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auto"/>
          <w:sz w:val="52"/>
          <w:szCs w:val="52"/>
        </w:rPr>
      </w:pPr>
    </w:p>
    <w:p>
      <w:pPr>
        <w:ind w:left="0" w:leftChars="0" w:firstLine="0" w:firstLineChars="0"/>
        <w:jc w:val="center"/>
        <w:rPr>
          <w:rFonts w:hint="eastAsia" w:ascii="方正小标宋_GBK" w:hAnsi="方正小标宋_GBK" w:eastAsia="方正小标宋_GBK" w:cs="方正小标宋_GBK"/>
          <w:b w:val="0"/>
          <w:bCs/>
          <w:color w:val="auto"/>
          <w:sz w:val="52"/>
          <w:szCs w:val="52"/>
          <w:highlight w:val="none"/>
        </w:rPr>
      </w:pPr>
      <w:r>
        <w:rPr>
          <w:rFonts w:hint="eastAsia" w:ascii="方正小标宋_GBK" w:hAnsi="方正小标宋_GBK" w:eastAsia="方正小标宋_GBK" w:cs="方正小标宋_GBK"/>
          <w:b w:val="0"/>
          <w:bCs/>
          <w:color w:val="auto"/>
          <w:sz w:val="52"/>
          <w:szCs w:val="52"/>
          <w:highlight w:val="none"/>
        </w:rPr>
        <w:t>重庆</w:t>
      </w:r>
      <w:r>
        <w:rPr>
          <w:rFonts w:hint="eastAsia" w:ascii="方正小标宋_GBK" w:hAnsi="方正小标宋_GBK" w:eastAsia="方正小标宋_GBK" w:cs="方正小标宋_GBK"/>
          <w:b w:val="0"/>
          <w:bCs/>
          <w:color w:val="auto"/>
          <w:sz w:val="52"/>
          <w:szCs w:val="52"/>
          <w:highlight w:val="none"/>
          <w:lang w:eastAsia="zh-CN"/>
        </w:rPr>
        <w:t>江北国际机场</w:t>
      </w:r>
      <w:r>
        <w:rPr>
          <w:rFonts w:hint="eastAsia" w:ascii="方正小标宋_GBK" w:hAnsi="方正小标宋_GBK" w:eastAsia="方正小标宋_GBK" w:cs="方正小标宋_GBK"/>
          <w:b w:val="0"/>
          <w:bCs/>
          <w:color w:val="auto"/>
          <w:sz w:val="52"/>
          <w:szCs w:val="52"/>
          <w:highlight w:val="none"/>
        </w:rPr>
        <w:t>有限公司</w:t>
      </w:r>
      <w:bookmarkStart w:id="531" w:name="_GoBack"/>
      <w:bookmarkEnd w:id="531"/>
    </w:p>
    <w:p>
      <w:pPr>
        <w:ind w:left="0" w:leftChars="0" w:firstLine="0" w:firstLineChars="0"/>
        <w:jc w:val="center"/>
        <w:rPr>
          <w:rFonts w:hint="eastAsia" w:ascii="方正小标宋_GBK" w:hAnsi="方正小标宋_GBK" w:eastAsia="方正小标宋_GBK" w:cs="方正小标宋_GBK"/>
          <w:b w:val="0"/>
          <w:bCs/>
          <w:color w:val="auto"/>
          <w:sz w:val="44"/>
          <w:szCs w:val="44"/>
          <w:highlight w:val="none"/>
        </w:rPr>
      </w:pPr>
    </w:p>
    <w:p>
      <w:pPr>
        <w:pStyle w:val="8"/>
        <w:rPr>
          <w:rFonts w:hint="eastAsia"/>
          <w:color w:val="auto"/>
        </w:rPr>
      </w:pPr>
    </w:p>
    <w:p>
      <w:pPr>
        <w:rPr>
          <w:rFonts w:hint="eastAsia"/>
          <w:color w:val="auto"/>
        </w:rPr>
      </w:pPr>
    </w:p>
    <w:p>
      <w:pPr>
        <w:ind w:left="0" w:leftChars="0" w:firstLine="0" w:firstLineChars="0"/>
        <w:jc w:val="center"/>
        <w:rPr>
          <w:rFonts w:hint="eastAsia" w:ascii="方正小标宋_GBK" w:hAnsi="方正小标宋_GBK" w:eastAsia="方正小标宋_GBK" w:cs="方正小标宋_GBK"/>
          <w:b w:val="0"/>
          <w:bCs/>
          <w:color w:val="auto"/>
          <w:spacing w:val="-20"/>
          <w:sz w:val="44"/>
          <w:szCs w:val="44"/>
          <w:highlight w:val="none"/>
        </w:rPr>
      </w:pPr>
      <w:r>
        <w:rPr>
          <w:rFonts w:hint="eastAsia" w:ascii="方正小标宋_GBK" w:hAnsi="方正小标宋_GBK" w:eastAsia="方正小标宋_GBK" w:cs="方正小标宋_GBK"/>
          <w:b w:val="0"/>
          <w:bCs/>
          <w:color w:val="auto"/>
          <w:spacing w:val="-20"/>
          <w:sz w:val="44"/>
          <w:szCs w:val="44"/>
          <w:highlight w:val="none"/>
          <w:lang w:eastAsia="zh-CN"/>
        </w:rPr>
        <w:t>重庆机场</w:t>
      </w:r>
      <w:r>
        <w:rPr>
          <w:rFonts w:hint="eastAsia" w:ascii="方正小标宋_GBK" w:hAnsi="方正小标宋_GBK" w:eastAsia="方正小标宋_GBK" w:cs="方正小标宋_GBK"/>
          <w:b w:val="0"/>
          <w:bCs/>
          <w:color w:val="auto"/>
          <w:spacing w:val="-20"/>
          <w:sz w:val="44"/>
          <w:szCs w:val="44"/>
          <w:highlight w:val="none"/>
        </w:rPr>
        <w:t>消防设施年度检测项目</w:t>
      </w:r>
    </w:p>
    <w:p>
      <w:pPr>
        <w:ind w:left="0" w:leftChars="0" w:firstLine="0" w:firstLineChars="0"/>
        <w:jc w:val="center"/>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ind w:left="0" w:leftChars="0" w:firstLine="0" w:firstLineChars="0"/>
        <w:jc w:val="center"/>
        <w:rPr>
          <w:rFonts w:hint="default" w:ascii="Times New Roman" w:hAnsi="Times New Roman" w:eastAsia="方正仿宋_GBK" w:cs="Times New Roman"/>
          <w:b/>
          <w:color w:val="auto"/>
          <w:sz w:val="32"/>
          <w:lang w:val="en-US" w:eastAsia="zh-CN"/>
        </w:rPr>
      </w:pPr>
      <w:r>
        <w:rPr>
          <w:rFonts w:hint="default" w:ascii="Times New Roman" w:hAnsi="Times New Roman" w:eastAsia="方正仿宋_GBK" w:cs="Times New Roman"/>
          <w:b/>
          <w:color w:val="auto"/>
          <w:sz w:val="32"/>
        </w:rPr>
        <w:t>编号：</w:t>
      </w:r>
      <w:r>
        <w:rPr>
          <w:rFonts w:hint="eastAsia" w:eastAsia="方正仿宋_GBK" w:cs="Times New Roman"/>
          <w:b/>
          <w:color w:val="auto"/>
          <w:sz w:val="32"/>
          <w:lang w:val="en-US" w:eastAsia="zh-CN"/>
        </w:rPr>
        <w:t>BX</w:t>
      </w:r>
      <w:r>
        <w:rPr>
          <w:rFonts w:hint="default" w:ascii="Times New Roman" w:hAnsi="Times New Roman" w:eastAsia="方正仿宋_GBK" w:cs="Times New Roman"/>
          <w:b/>
          <w:color w:val="auto"/>
          <w:sz w:val="32"/>
          <w:lang w:val="en-US" w:eastAsia="zh-CN"/>
        </w:rPr>
        <w:t>-2024-0</w:t>
      </w:r>
      <w:r>
        <w:rPr>
          <w:rFonts w:hint="eastAsia" w:eastAsia="方正仿宋_GBK" w:cs="Times New Roman"/>
          <w:b/>
          <w:color w:val="auto"/>
          <w:sz w:val="32"/>
          <w:lang w:val="en-US" w:eastAsia="zh-CN"/>
        </w:rPr>
        <w:t>08</w:t>
      </w:r>
    </w:p>
    <w:p>
      <w:pPr>
        <w:jc w:val="center"/>
        <w:rPr>
          <w:rFonts w:hint="default" w:ascii="Times New Roman" w:hAnsi="Times New Roman" w:eastAsia="方正仿宋_GBK" w:cs="Times New Roman"/>
          <w:b/>
          <w:color w:val="auto"/>
          <w:sz w:val="52"/>
        </w:rPr>
      </w:pPr>
    </w:p>
    <w:p>
      <w:pPr>
        <w:jc w:val="center"/>
        <w:rPr>
          <w:rFonts w:hint="default" w:ascii="Times New Roman" w:hAnsi="Times New Roman" w:eastAsia="方正仿宋_GBK" w:cs="Times New Roman"/>
          <w:b/>
          <w:color w:val="auto"/>
          <w:sz w:val="52"/>
        </w:rPr>
      </w:pPr>
    </w:p>
    <w:p>
      <w:pPr>
        <w:jc w:val="center"/>
        <w:rPr>
          <w:rFonts w:hint="default" w:ascii="Times New Roman" w:hAnsi="Times New Roman" w:eastAsia="方正仿宋_GBK" w:cs="Times New Roman"/>
          <w:b/>
          <w:color w:val="auto"/>
          <w:sz w:val="52"/>
        </w:rPr>
      </w:pPr>
    </w:p>
    <w:p>
      <w:pPr>
        <w:ind w:left="0" w:leftChars="0" w:firstLine="0" w:firstLineChars="0"/>
        <w:jc w:val="center"/>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重庆</w:t>
      </w:r>
      <w:r>
        <w:rPr>
          <w:rFonts w:hint="default" w:ascii="Times New Roman" w:hAnsi="Times New Roman" w:eastAsia="方正仿宋_GBK" w:cs="Times New Roman"/>
          <w:b/>
          <w:color w:val="auto"/>
          <w:sz w:val="32"/>
          <w:szCs w:val="32"/>
          <w:lang w:eastAsia="zh-CN"/>
        </w:rPr>
        <w:t>江北国际机场有限公司</w:t>
      </w:r>
    </w:p>
    <w:p>
      <w:pPr>
        <w:ind w:left="0" w:leftChars="0" w:firstLine="0" w:firstLineChars="0"/>
        <w:jc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消防</w:t>
      </w:r>
      <w:r>
        <w:rPr>
          <w:rFonts w:hint="default" w:ascii="Times New Roman" w:hAnsi="Times New Roman" w:eastAsia="方正仿宋_GBK" w:cs="Times New Roman"/>
          <w:b/>
          <w:color w:val="auto"/>
          <w:sz w:val="32"/>
          <w:szCs w:val="32"/>
          <w:lang w:eastAsia="zh-CN"/>
        </w:rPr>
        <w:t>监护</w:t>
      </w:r>
      <w:r>
        <w:rPr>
          <w:rFonts w:hint="default" w:ascii="Times New Roman" w:hAnsi="Times New Roman" w:eastAsia="方正仿宋_GBK" w:cs="Times New Roman"/>
          <w:b/>
          <w:color w:val="auto"/>
          <w:sz w:val="32"/>
          <w:szCs w:val="32"/>
        </w:rPr>
        <w:t>部</w:t>
      </w:r>
    </w:p>
    <w:p>
      <w:pPr>
        <w:rPr>
          <w:rFonts w:hint="default" w:ascii="Times New Roman" w:hAnsi="Times New Roman" w:eastAsia="方正仿宋_GBK" w:cs="Times New Roman"/>
          <w:b/>
          <w:color w:val="auto"/>
          <w:sz w:val="32"/>
          <w:szCs w:val="32"/>
        </w:rPr>
      </w:pPr>
    </w:p>
    <w:p>
      <w:pPr>
        <w:ind w:left="0" w:leftChars="0" w:firstLine="0" w:firstLineChars="0"/>
        <w:jc w:val="center"/>
        <w:rPr>
          <w:rFonts w:hint="default" w:ascii="Times New Roman" w:hAnsi="Times New Roman" w:eastAsia="方正仿宋_GBK" w:cs="Times New Roman"/>
          <w:b/>
          <w:color w:val="auto"/>
          <w:sz w:val="32"/>
          <w:szCs w:val="32"/>
        </w:rPr>
        <w:sectPr>
          <w:footerReference r:id="rId5"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方正仿宋_GBK" w:cs="Times New Roman"/>
          <w:b/>
          <w:color w:val="auto"/>
          <w:sz w:val="32"/>
          <w:szCs w:val="32"/>
        </w:rPr>
        <w:t>二〇</w:t>
      </w:r>
      <w:r>
        <w:rPr>
          <w:rFonts w:hint="default" w:ascii="Times New Roman" w:hAnsi="Times New Roman" w:eastAsia="方正仿宋_GBK" w:cs="Times New Roman"/>
          <w:b/>
          <w:color w:val="auto"/>
          <w:sz w:val="32"/>
          <w:szCs w:val="32"/>
          <w:lang w:val="en-US" w:eastAsia="zh-CN"/>
        </w:rPr>
        <w:t>二四</w:t>
      </w:r>
      <w:r>
        <w:rPr>
          <w:rFonts w:hint="default" w:ascii="Times New Roman" w:hAnsi="Times New Roman" w:eastAsia="方正仿宋_GBK" w:cs="Times New Roman"/>
          <w:b/>
          <w:color w:val="auto"/>
          <w:sz w:val="32"/>
          <w:szCs w:val="32"/>
        </w:rPr>
        <w:t>年</w:t>
      </w:r>
      <w:r>
        <w:rPr>
          <w:rFonts w:hint="default" w:ascii="Times New Roman" w:hAnsi="Times New Roman" w:eastAsia="方正仿宋_GBK" w:cs="Times New Roman"/>
          <w:b/>
          <w:color w:val="auto"/>
          <w:sz w:val="32"/>
          <w:szCs w:val="32"/>
          <w:lang w:val="en-US" w:eastAsia="zh-CN"/>
        </w:rPr>
        <w:t>九</w:t>
      </w:r>
      <w:r>
        <w:rPr>
          <w:rFonts w:hint="default" w:ascii="Times New Roman" w:hAnsi="Times New Roman" w:eastAsia="方正仿宋_GBK" w:cs="Times New Roman"/>
          <w:b/>
          <w:color w:val="auto"/>
          <w:sz w:val="32"/>
          <w:szCs w:val="32"/>
        </w:rPr>
        <w:t>月</w:t>
      </w:r>
    </w:p>
    <w:p>
      <w:pPr>
        <w:pStyle w:val="3"/>
        <w:rPr>
          <w:rFonts w:hint="eastAsia"/>
          <w:b w:val="0"/>
          <w:bCs/>
          <w:color w:val="auto"/>
        </w:rPr>
      </w:pPr>
      <w:bookmarkStart w:id="0" w:name="_Toc27876"/>
      <w:bookmarkStart w:id="1" w:name="_Toc24270"/>
      <w:bookmarkStart w:id="2" w:name="_Toc5374"/>
      <w:bookmarkStart w:id="3" w:name="_Toc7628"/>
      <w:bookmarkStart w:id="4" w:name="_Toc6066"/>
      <w:bookmarkStart w:id="5" w:name="_Toc28846"/>
      <w:r>
        <w:rPr>
          <w:rFonts w:hint="default"/>
          <w:b w:val="0"/>
          <w:bCs/>
          <w:color w:val="auto"/>
          <w:lang w:eastAsia="zh-CN"/>
        </w:rPr>
        <w:t>第一章</w:t>
      </w:r>
      <w:r>
        <w:rPr>
          <w:rFonts w:hint="default"/>
          <w:b w:val="0"/>
          <w:bCs/>
          <w:color w:val="auto"/>
          <w:lang w:val="en-US" w:eastAsia="zh-CN"/>
        </w:rPr>
        <w:t xml:space="preserve"> </w:t>
      </w:r>
      <w:r>
        <w:rPr>
          <w:rFonts w:hint="default"/>
          <w:b w:val="0"/>
          <w:bCs/>
          <w:color w:val="auto"/>
        </w:rPr>
        <w:t>项目</w:t>
      </w:r>
      <w:r>
        <w:rPr>
          <w:rFonts w:hint="default"/>
          <w:b w:val="0"/>
          <w:bCs/>
          <w:color w:val="auto"/>
          <w:lang w:eastAsia="zh-CN"/>
        </w:rPr>
        <w:t>实施内容及</w:t>
      </w:r>
      <w:r>
        <w:rPr>
          <w:rFonts w:hint="default"/>
          <w:b w:val="0"/>
          <w:bCs/>
          <w:color w:val="auto"/>
        </w:rPr>
        <w:t>要求</w:t>
      </w:r>
      <w:bookmarkEnd w:id="0"/>
      <w:bookmarkEnd w:id="1"/>
      <w:bookmarkEnd w:id="2"/>
      <w:bookmarkEnd w:id="3"/>
      <w:bookmarkEnd w:id="4"/>
      <w:bookmarkEnd w:id="5"/>
    </w:p>
    <w:p>
      <w:pPr>
        <w:pStyle w:val="4"/>
        <w:ind w:firstLine="0"/>
        <w:rPr>
          <w:rFonts w:hint="default" w:ascii="Times New Roman" w:hAnsi="Times New Roman" w:eastAsia="方正黑体_GBK" w:cs="Times New Roman"/>
          <w:b w:val="0"/>
          <w:bCs w:val="0"/>
          <w:color w:val="auto"/>
        </w:rPr>
      </w:pPr>
      <w:bookmarkStart w:id="6" w:name="_Toc30376"/>
      <w:bookmarkStart w:id="7" w:name="_Toc16909"/>
      <w:bookmarkStart w:id="8" w:name="_Toc16742"/>
      <w:bookmarkStart w:id="9" w:name="_Toc18377"/>
      <w:bookmarkStart w:id="10" w:name="_Toc4964958"/>
      <w:bookmarkStart w:id="11" w:name="_Toc459888220"/>
      <w:bookmarkStart w:id="12" w:name="_Toc2104"/>
      <w:bookmarkStart w:id="13" w:name="_Toc28662"/>
      <w:bookmarkStart w:id="14" w:name="_Toc273447117"/>
      <w:r>
        <w:rPr>
          <w:rFonts w:hint="default" w:ascii="Times New Roman" w:hAnsi="Times New Roman" w:eastAsia="方正黑体_GBK" w:cs="Times New Roman"/>
          <w:b w:val="0"/>
          <w:bCs w:val="0"/>
          <w:color w:val="auto"/>
        </w:rPr>
        <w:t>1</w:t>
      </w:r>
      <w:r>
        <w:rPr>
          <w:rFonts w:hint="default" w:ascii="Times New Roman" w:hAnsi="Times New Roman" w:eastAsia="方正黑体_GBK" w:cs="Times New Roman"/>
          <w:b w:val="0"/>
          <w:bCs w:val="0"/>
          <w:color w:val="auto"/>
          <w:lang w:val="en-US" w:eastAsia="zh-CN"/>
        </w:rPr>
        <w:t xml:space="preserve"> </w:t>
      </w:r>
      <w:r>
        <w:rPr>
          <w:rFonts w:hint="default" w:ascii="Times New Roman" w:hAnsi="Times New Roman" w:eastAsia="方正黑体_GBK" w:cs="Times New Roman"/>
          <w:b w:val="0"/>
          <w:bCs w:val="0"/>
          <w:color w:val="auto"/>
        </w:rPr>
        <w:t>比选条件</w:t>
      </w:r>
      <w:bookmarkEnd w:id="6"/>
      <w:bookmarkEnd w:id="7"/>
      <w:bookmarkEnd w:id="8"/>
      <w:bookmarkEnd w:id="9"/>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ascii="Times New Roman" w:hAnsi="Times New Roman" w:eastAsia="方正仿宋_GBK" w:cs="Times New Roman"/>
          <w:color w:val="auto"/>
          <w:sz w:val="28"/>
          <w:szCs w:val="28"/>
        </w:rPr>
      </w:pPr>
      <w:bookmarkStart w:id="15" w:name="_Toc31393"/>
      <w:bookmarkStart w:id="16" w:name="_Toc30660"/>
      <w:bookmarkStart w:id="17" w:name="_Toc12990"/>
      <w:bookmarkStart w:id="18" w:name="_Toc32618"/>
      <w:bookmarkStart w:id="19" w:name="_Toc18428"/>
      <w:bookmarkStart w:id="20" w:name="_Toc4649"/>
      <w:r>
        <w:rPr>
          <w:rFonts w:hint="eastAsia" w:ascii="Times New Roman" w:hAnsi="Times New Roman" w:eastAsia="方正仿宋_GBK" w:cs="Times New Roman"/>
          <w:color w:val="auto"/>
          <w:sz w:val="28"/>
          <w:szCs w:val="28"/>
        </w:rPr>
        <w:t>本项目系重庆</w:t>
      </w:r>
      <w:r>
        <w:rPr>
          <w:rFonts w:hint="eastAsia" w:ascii="Times New Roman" w:hAnsi="Times New Roman" w:eastAsia="方正仿宋_GBK" w:cs="Times New Roman"/>
          <w:color w:val="auto"/>
          <w:sz w:val="28"/>
          <w:szCs w:val="28"/>
          <w:lang w:eastAsia="zh-CN"/>
        </w:rPr>
        <w:t>机场集团</w:t>
      </w:r>
      <w:r>
        <w:rPr>
          <w:rFonts w:hint="eastAsia" w:ascii="Times New Roman" w:hAnsi="Times New Roman" w:eastAsia="方正仿宋_GBK" w:cs="Times New Roman"/>
          <w:color w:val="auto"/>
          <w:sz w:val="28"/>
          <w:szCs w:val="28"/>
        </w:rPr>
        <w:t>有限公司</w:t>
      </w:r>
      <w:r>
        <w:rPr>
          <w:rFonts w:hint="eastAsia" w:ascii="Times New Roman" w:hAnsi="Times New Roman" w:eastAsia="方正仿宋_GBK" w:cs="Times New Roman"/>
          <w:color w:val="auto"/>
          <w:sz w:val="28"/>
          <w:szCs w:val="28"/>
          <w:lang w:eastAsia="zh-CN"/>
        </w:rPr>
        <w:t>、重庆江北国际机场有限公司、</w:t>
      </w:r>
      <w:r>
        <w:rPr>
          <w:rFonts w:hint="eastAsia" w:ascii="Times New Roman" w:hAnsi="Times New Roman" w:eastAsia="方正仿宋_GBK" w:cs="Times New Roman"/>
          <w:color w:val="auto"/>
          <w:sz w:val="28"/>
          <w:szCs w:val="28"/>
          <w:lang w:eastAsia="zh-CN"/>
        </w:rPr>
        <w:fldChar w:fldCharType="begin"/>
      </w:r>
      <w:r>
        <w:rPr>
          <w:rFonts w:hint="eastAsia" w:ascii="Times New Roman" w:hAnsi="Times New Roman" w:eastAsia="方正仿宋_GBK" w:cs="Times New Roman"/>
          <w:color w:val="auto"/>
          <w:sz w:val="28"/>
          <w:szCs w:val="28"/>
          <w:lang w:eastAsia="zh-CN"/>
        </w:rPr>
        <w:instrText xml:space="preserve"> HYPERLINK "http://www.baidu.com/link?url=2S5FmAM1qtSnCKF8mEY6wWhzcpeFL7Uxo-_OzAJt3fjfuveEZe_rr36EhEA72n5Km8O-B0ECryZemsjFrQqm__" \t "https://www.baidu.com/_blank" </w:instrText>
      </w:r>
      <w:r>
        <w:rPr>
          <w:rFonts w:hint="eastAsia" w:ascii="Times New Roman" w:hAnsi="Times New Roman" w:eastAsia="方正仿宋_GBK" w:cs="Times New Roman"/>
          <w:color w:val="auto"/>
          <w:sz w:val="28"/>
          <w:szCs w:val="28"/>
          <w:lang w:eastAsia="zh-CN"/>
        </w:rPr>
        <w:fldChar w:fldCharType="separate"/>
      </w:r>
      <w:r>
        <w:rPr>
          <w:rFonts w:hint="eastAsia" w:ascii="Times New Roman" w:hAnsi="Times New Roman" w:eastAsia="方正仿宋_GBK" w:cs="Times New Roman"/>
          <w:color w:val="auto"/>
          <w:sz w:val="28"/>
          <w:szCs w:val="28"/>
          <w:lang w:eastAsia="zh-CN"/>
        </w:rPr>
        <w:t>重庆机场集团有限公司航空物流园发展分公司</w:t>
      </w:r>
      <w:r>
        <w:rPr>
          <w:rFonts w:hint="eastAsia" w:ascii="Times New Roman" w:hAnsi="Times New Roman" w:eastAsia="方正仿宋_GBK" w:cs="Times New Roman"/>
          <w:color w:val="auto"/>
          <w:sz w:val="28"/>
          <w:szCs w:val="28"/>
          <w:lang w:eastAsia="zh-CN"/>
        </w:rPr>
        <w:fldChar w:fldCharType="end"/>
      </w:r>
      <w:r>
        <w:rPr>
          <w:rFonts w:hint="eastAsia" w:ascii="Times New Roman" w:hAnsi="Times New Roman" w:eastAsia="方正仿宋_GBK" w:cs="Times New Roman"/>
          <w:color w:val="auto"/>
          <w:sz w:val="28"/>
          <w:szCs w:val="28"/>
          <w:lang w:eastAsia="zh-CN"/>
        </w:rPr>
        <w:t>相关</w:t>
      </w:r>
      <w:r>
        <w:rPr>
          <w:rFonts w:hint="eastAsia" w:ascii="Times New Roman" w:hAnsi="Times New Roman" w:eastAsia="方正仿宋_GBK" w:cs="Times New Roman"/>
          <w:color w:val="auto"/>
          <w:sz w:val="28"/>
          <w:szCs w:val="28"/>
        </w:rPr>
        <w:t>建筑自动消防设施年度检测项目</w:t>
      </w:r>
      <w:r>
        <w:rPr>
          <w:rFonts w:hint="eastAsia" w:ascii="Times New Roman" w:hAnsi="Times New Roman" w:eastAsia="方正仿宋_GBK" w:cs="Times New Roman"/>
          <w:color w:val="auto"/>
          <w:sz w:val="28"/>
          <w:szCs w:val="28"/>
          <w:lang w:eastAsia="zh-CN"/>
        </w:rPr>
        <w:t>。项目分</w:t>
      </w:r>
      <w:r>
        <w:rPr>
          <w:rFonts w:hint="eastAsia" w:ascii="Times New Roman" w:hAnsi="Times New Roman" w:eastAsia="方正仿宋_GBK" w:cs="Times New Roman"/>
          <w:color w:val="auto"/>
          <w:sz w:val="28"/>
          <w:szCs w:val="28"/>
          <w:lang w:val="en-US" w:eastAsia="zh-CN"/>
        </w:rPr>
        <w:t>4个部分，第一、二部分</w:t>
      </w:r>
      <w:r>
        <w:rPr>
          <w:rFonts w:hint="eastAsia" w:ascii="Times New Roman" w:hAnsi="Times New Roman" w:eastAsia="方正仿宋_GBK" w:cs="Times New Roman"/>
          <w:color w:val="auto"/>
          <w:sz w:val="28"/>
          <w:szCs w:val="28"/>
        </w:rPr>
        <w:t>项目业主</w:t>
      </w:r>
      <w:r>
        <w:rPr>
          <w:rFonts w:hint="eastAsia" w:ascii="Times New Roman" w:hAnsi="Times New Roman" w:eastAsia="方正仿宋_GBK" w:cs="Times New Roman"/>
          <w:color w:val="auto"/>
          <w:sz w:val="28"/>
          <w:szCs w:val="28"/>
          <w:lang w:eastAsia="zh-CN"/>
        </w:rPr>
        <w:t>为</w:t>
      </w:r>
      <w:r>
        <w:rPr>
          <w:rFonts w:hint="eastAsia" w:ascii="Times New Roman" w:hAnsi="Times New Roman" w:eastAsia="方正仿宋_GBK" w:cs="Times New Roman"/>
          <w:color w:val="auto"/>
          <w:sz w:val="28"/>
          <w:szCs w:val="28"/>
        </w:rPr>
        <w:t>重庆</w:t>
      </w:r>
      <w:r>
        <w:rPr>
          <w:rFonts w:hint="eastAsia" w:ascii="Times New Roman" w:hAnsi="Times New Roman" w:eastAsia="方正仿宋_GBK" w:cs="Times New Roman"/>
          <w:color w:val="auto"/>
          <w:sz w:val="28"/>
          <w:szCs w:val="28"/>
          <w:lang w:eastAsia="zh-CN"/>
        </w:rPr>
        <w:t>机场集团</w:t>
      </w:r>
      <w:r>
        <w:rPr>
          <w:rFonts w:hint="eastAsia" w:ascii="Times New Roman" w:hAnsi="Times New Roman" w:eastAsia="方正仿宋_GBK" w:cs="Times New Roman"/>
          <w:color w:val="auto"/>
          <w:sz w:val="28"/>
          <w:szCs w:val="28"/>
        </w:rPr>
        <w:t>有限公司</w:t>
      </w: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第三、四部分项目业主分别为</w:t>
      </w:r>
      <w:r>
        <w:rPr>
          <w:rFonts w:hint="eastAsia" w:ascii="Times New Roman" w:hAnsi="Times New Roman" w:eastAsia="方正仿宋_GBK" w:cs="Times New Roman"/>
          <w:color w:val="auto"/>
          <w:sz w:val="28"/>
          <w:szCs w:val="28"/>
          <w:lang w:eastAsia="zh-CN"/>
        </w:rPr>
        <w:t>重庆江北国际机场有限公司、</w:t>
      </w:r>
      <w:r>
        <w:rPr>
          <w:rFonts w:hint="eastAsia" w:ascii="Times New Roman" w:hAnsi="Times New Roman" w:eastAsia="方正仿宋_GBK" w:cs="Times New Roman"/>
          <w:color w:val="auto"/>
          <w:sz w:val="28"/>
          <w:szCs w:val="28"/>
          <w:lang w:eastAsia="zh-CN"/>
        </w:rPr>
        <w:fldChar w:fldCharType="begin"/>
      </w:r>
      <w:r>
        <w:rPr>
          <w:rFonts w:hint="eastAsia" w:ascii="Times New Roman" w:hAnsi="Times New Roman" w:eastAsia="方正仿宋_GBK" w:cs="Times New Roman"/>
          <w:color w:val="auto"/>
          <w:sz w:val="28"/>
          <w:szCs w:val="28"/>
          <w:lang w:eastAsia="zh-CN"/>
        </w:rPr>
        <w:instrText xml:space="preserve"> HYPERLINK "http://www.baidu.com/link?url=2S5FmAM1qtSnCKF8mEY6wWhzcpeFL7Uxo-_OzAJt3fjfuveEZe_rr36EhEA72n5Km8O-B0ECryZemsjFrQqm__" \t "https://www.baidu.com/_blank" </w:instrText>
      </w:r>
      <w:r>
        <w:rPr>
          <w:rFonts w:hint="eastAsia" w:ascii="Times New Roman" w:hAnsi="Times New Roman" w:eastAsia="方正仿宋_GBK" w:cs="Times New Roman"/>
          <w:color w:val="auto"/>
          <w:sz w:val="28"/>
          <w:szCs w:val="28"/>
          <w:lang w:eastAsia="zh-CN"/>
        </w:rPr>
        <w:fldChar w:fldCharType="separate"/>
      </w:r>
      <w:r>
        <w:rPr>
          <w:rFonts w:hint="eastAsia" w:ascii="Times New Roman" w:hAnsi="Times New Roman" w:eastAsia="方正仿宋_GBK" w:cs="Times New Roman"/>
          <w:color w:val="auto"/>
          <w:sz w:val="28"/>
          <w:szCs w:val="28"/>
          <w:lang w:eastAsia="zh-CN"/>
        </w:rPr>
        <w:t>重庆机场集团有限公司航空物流园发展分公司</w:t>
      </w:r>
      <w:r>
        <w:rPr>
          <w:rFonts w:hint="eastAsia" w:ascii="Times New Roman" w:hAnsi="Times New Roman" w:eastAsia="方正仿宋_GBK" w:cs="Times New Roman"/>
          <w:color w:val="auto"/>
          <w:sz w:val="28"/>
          <w:szCs w:val="28"/>
          <w:lang w:eastAsia="zh-CN"/>
        </w:rPr>
        <w:fldChar w:fldCharType="end"/>
      </w:r>
      <w:r>
        <w:rPr>
          <w:rFonts w:hint="eastAsia" w:ascii="Times New Roman" w:hAnsi="Times New Roman" w:eastAsia="方正仿宋_GBK" w:cs="Times New Roman"/>
          <w:color w:val="auto"/>
          <w:sz w:val="28"/>
          <w:szCs w:val="28"/>
          <w:lang w:eastAsia="zh-CN"/>
        </w:rPr>
        <w:t>，项目成交后各部分业主分别与成交方签订合同。</w:t>
      </w:r>
      <w:r>
        <w:rPr>
          <w:rFonts w:hint="eastAsia" w:ascii="Times New Roman" w:hAnsi="Times New Roman" w:eastAsia="方正仿宋_GBK" w:cs="Times New Roman"/>
          <w:color w:val="auto"/>
          <w:sz w:val="28"/>
          <w:szCs w:val="28"/>
        </w:rPr>
        <w:t>资金来源为自筹资金，项目现已具备比选条件，由</w:t>
      </w:r>
      <w:r>
        <w:rPr>
          <w:rFonts w:hint="eastAsia" w:ascii="Times New Roman" w:hAnsi="Times New Roman" w:eastAsia="方正仿宋_GBK" w:cs="Times New Roman"/>
          <w:color w:val="auto"/>
          <w:sz w:val="28"/>
          <w:szCs w:val="28"/>
          <w:lang w:eastAsia="zh-CN"/>
        </w:rPr>
        <w:t>重庆江北国际机场有限公司组织</w:t>
      </w:r>
      <w:r>
        <w:rPr>
          <w:rFonts w:hint="eastAsia" w:ascii="Times New Roman" w:hAnsi="Times New Roman" w:eastAsia="方正仿宋_GBK" w:cs="Times New Roman"/>
          <w:color w:val="auto"/>
          <w:sz w:val="28"/>
          <w:szCs w:val="28"/>
        </w:rPr>
        <w:t>对该项目进行比选。</w:t>
      </w:r>
    </w:p>
    <w:p>
      <w:pPr>
        <w:pStyle w:val="4"/>
        <w:ind w:firstLine="0"/>
        <w:rPr>
          <w:rFonts w:hint="eastAsia" w:ascii="Times New Roman" w:hAnsi="Times New Roman" w:eastAsia="方正黑体_GBK" w:cs="Times New Roman"/>
          <w:b w:val="0"/>
          <w:bCs w:val="0"/>
          <w:color w:val="auto"/>
          <w:lang w:eastAsia="zh-CN"/>
        </w:rPr>
      </w:pPr>
      <w:r>
        <w:rPr>
          <w:rFonts w:hint="eastAsia" w:ascii="Times New Roman" w:hAnsi="Times New Roman" w:eastAsia="方正黑体_GBK" w:cs="Times New Roman"/>
          <w:b w:val="0"/>
          <w:bCs w:val="0"/>
          <w:color w:val="auto"/>
          <w:lang w:val="en-US" w:eastAsia="zh-CN"/>
        </w:rPr>
        <w:t xml:space="preserve">2 </w:t>
      </w:r>
      <w:r>
        <w:rPr>
          <w:rFonts w:hint="eastAsia" w:ascii="Times New Roman" w:hAnsi="Times New Roman" w:eastAsia="方正黑体_GBK" w:cs="Times New Roman"/>
          <w:b w:val="0"/>
          <w:bCs w:val="0"/>
          <w:color w:val="auto"/>
        </w:rPr>
        <w:t>项目概况</w:t>
      </w:r>
      <w:r>
        <w:rPr>
          <w:rFonts w:hint="eastAsia" w:ascii="Times New Roman" w:hAnsi="Times New Roman" w:eastAsia="方正黑体_GBK" w:cs="Times New Roman"/>
          <w:b w:val="0"/>
          <w:bCs w:val="0"/>
          <w:color w:val="auto"/>
          <w:lang w:eastAsia="zh-CN"/>
        </w:rPr>
        <w:t>与服务内容</w:t>
      </w:r>
      <w:bookmarkEnd w:id="15"/>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default" w:ascii="Times New Roman" w:hAnsi="Times New Roman" w:eastAsia="方正仿宋_GBK" w:cs="Times New Roman"/>
          <w:color w:val="auto"/>
          <w:sz w:val="28"/>
          <w:szCs w:val="28"/>
        </w:rPr>
      </w:pPr>
      <w:bookmarkStart w:id="21" w:name="_Toc18925"/>
      <w:bookmarkStart w:id="22" w:name="_Toc26795"/>
      <w:r>
        <w:rPr>
          <w:rFonts w:hint="default" w:ascii="Times New Roman" w:hAnsi="Times New Roman" w:eastAsia="方正仿宋_GBK" w:cs="Times New Roman"/>
          <w:color w:val="auto"/>
          <w:sz w:val="28"/>
          <w:szCs w:val="28"/>
        </w:rPr>
        <w:t>2.1 项目名称：</w:t>
      </w:r>
      <w:r>
        <w:rPr>
          <w:rFonts w:hint="default" w:ascii="Times New Roman" w:hAnsi="Times New Roman" w:eastAsia="方正仿宋_GBK" w:cs="Times New Roman"/>
          <w:color w:val="auto"/>
          <w:sz w:val="28"/>
          <w:szCs w:val="28"/>
          <w:lang w:eastAsia="zh-CN"/>
        </w:rPr>
        <w:t>重庆机场</w:t>
      </w:r>
      <w:r>
        <w:rPr>
          <w:rFonts w:hint="default" w:ascii="Times New Roman" w:hAnsi="Times New Roman" w:eastAsia="方正仿宋_GBK" w:cs="Times New Roman"/>
          <w:color w:val="auto"/>
          <w:sz w:val="28"/>
          <w:szCs w:val="28"/>
        </w:rPr>
        <w:t>自动消防设施年度检测项目</w:t>
      </w:r>
      <w:bookmarkEnd w:id="21"/>
      <w:bookmarkEnd w:id="22"/>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default" w:ascii="Times New Roman" w:hAnsi="Times New Roman" w:eastAsia="方正仿宋_GBK" w:cs="Times New Roman"/>
          <w:color w:val="auto"/>
          <w:sz w:val="28"/>
          <w:szCs w:val="28"/>
        </w:rPr>
      </w:pPr>
      <w:bookmarkStart w:id="23" w:name="_Toc16474"/>
      <w:bookmarkStart w:id="24" w:name="_Toc22802"/>
      <w:r>
        <w:rPr>
          <w:rFonts w:hint="default" w:ascii="Times New Roman" w:hAnsi="Times New Roman" w:eastAsia="方正仿宋_GBK" w:cs="Times New Roman"/>
          <w:color w:val="auto"/>
          <w:sz w:val="28"/>
          <w:szCs w:val="28"/>
        </w:rPr>
        <w:t>2.2 项目地点：重庆江北国际机场</w:t>
      </w:r>
      <w:bookmarkEnd w:id="23"/>
      <w:bookmarkEnd w:id="24"/>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default" w:ascii="Times New Roman" w:hAnsi="Times New Roman" w:eastAsia="方正仿宋_GBK" w:cs="Times New Roman"/>
          <w:color w:val="auto"/>
          <w:sz w:val="28"/>
          <w:szCs w:val="28"/>
          <w:lang w:eastAsia="zh-CN"/>
        </w:rPr>
      </w:pPr>
      <w:bookmarkStart w:id="25" w:name="_Toc16154"/>
      <w:bookmarkStart w:id="26" w:name="_Toc22256"/>
      <w:r>
        <w:rPr>
          <w:rFonts w:hint="default" w:ascii="Times New Roman" w:hAnsi="Times New Roman" w:eastAsia="方正仿宋_GBK" w:cs="Times New Roman"/>
          <w:color w:val="auto"/>
          <w:sz w:val="28"/>
          <w:szCs w:val="28"/>
        </w:rPr>
        <w:t>2.3 项目区域：</w:t>
      </w:r>
      <w:r>
        <w:rPr>
          <w:rFonts w:hint="default" w:ascii="Times New Roman" w:hAnsi="Times New Roman" w:eastAsia="方正仿宋_GBK" w:cs="Times New Roman"/>
          <w:color w:val="auto"/>
          <w:sz w:val="28"/>
          <w:szCs w:val="28"/>
          <w:lang w:eastAsia="zh-CN"/>
        </w:rPr>
        <w:t>部分划分和</w:t>
      </w:r>
      <w:r>
        <w:rPr>
          <w:rFonts w:hint="default" w:ascii="Times New Roman" w:hAnsi="Times New Roman" w:eastAsia="方正仿宋_GBK" w:cs="Times New Roman"/>
          <w:color w:val="auto"/>
          <w:sz w:val="28"/>
          <w:szCs w:val="28"/>
        </w:rPr>
        <w:t>检测具体范围</w:t>
      </w:r>
      <w:r>
        <w:rPr>
          <w:rFonts w:hint="default" w:ascii="Times New Roman" w:hAnsi="Times New Roman" w:eastAsia="方正仿宋_GBK" w:cs="Times New Roman"/>
          <w:color w:val="auto"/>
          <w:sz w:val="28"/>
          <w:szCs w:val="28"/>
          <w:lang w:eastAsia="zh-CN"/>
        </w:rPr>
        <w:t>（见下表）</w:t>
      </w:r>
      <w:bookmarkEnd w:id="25"/>
      <w:bookmarkEnd w:id="26"/>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表1 重庆机场集团有限公司检测建筑清单（第一部分）</w:t>
      </w:r>
    </w:p>
    <w:tbl>
      <w:tblPr>
        <w:tblStyle w:val="17"/>
        <w:tblW w:w="82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3"/>
        <w:gridCol w:w="2526"/>
        <w:gridCol w:w="2349"/>
        <w:gridCol w:w="2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建（构）筑名称</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地址</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建筑面积(㎡）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ITC大楼</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机场东一路15号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15480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2</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信息公司原办公楼</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航娇路6号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3</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职工一食堂</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机场东一路10号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4</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商务楼（A栋和地下车库）</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机场东一路18号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40886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5</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商务楼B栋</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机场东一路18号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27983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6</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综合物资仓库(公区综合楼)</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机场东路28号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10450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7</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九食堂</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机场西二路</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8</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幸福佳苑B区1栋</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启航路32号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7111.46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9</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幸福佳苑B区2栋</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启航路32号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7111.46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10</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幸福佳苑B区3栋</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启航路32号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7111.46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11</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幸福佳苑B区4栋</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启航路32号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7111.46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12</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幸福佳苑B区食堂</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启航路32号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13</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边检大楼</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机场东二路5号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4957.7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14</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机场集团新办公楼</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机场东二路19号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26237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15</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会议中心</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机场东二路19号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4379.45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16</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机场体育中心</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航宾大道39号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4555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0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sz w:val="28"/>
                <w:szCs w:val="28"/>
                <w:highlight w:val="none"/>
                <w:u w:val="none"/>
                <w:lang w:val="en-US" w:eastAsia="zh-CN"/>
              </w:rPr>
              <w:t>合计</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eastAsia="zh-CN"/>
              </w:rPr>
            </w:pPr>
            <w:r>
              <w:rPr>
                <w:rFonts w:hint="eastAsia" w:ascii="仿宋" w:hAnsi="仿宋" w:cs="仿宋"/>
                <w:i w:val="0"/>
                <w:iCs w:val="0"/>
                <w:color w:val="auto"/>
                <w:sz w:val="28"/>
                <w:szCs w:val="28"/>
                <w:highlight w:val="none"/>
                <w:u w:val="none"/>
                <w:lang w:val="en-US" w:eastAsia="zh-CN"/>
              </w:rPr>
              <w:t>174160.99</w:t>
            </w:r>
          </w:p>
        </w:tc>
      </w:tr>
    </w:tbl>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表2 重庆机场集团有限公司检测建筑清单（第二部分）</w:t>
      </w:r>
    </w:p>
    <w:tbl>
      <w:tblPr>
        <w:tblStyle w:val="17"/>
        <w:tblW w:w="82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3"/>
        <w:gridCol w:w="2853"/>
        <w:gridCol w:w="2334"/>
        <w:gridCol w:w="1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outlineLvl w:val="9"/>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黑体" w:cs="Times New Roman"/>
                <w:color w:val="auto"/>
                <w:sz w:val="28"/>
                <w:szCs w:val="28"/>
              </w:rPr>
              <w:t>序号</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center"/>
              <w:textAlignment w:val="auto"/>
              <w:outlineLvl w:val="9"/>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黑体" w:cs="Times New Roman"/>
                <w:color w:val="auto"/>
                <w:sz w:val="28"/>
                <w:szCs w:val="28"/>
              </w:rPr>
              <w:t>建（构）筑名称</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outlineLvl w:val="9"/>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黑体" w:cs="Times New Roman"/>
                <w:color w:val="auto"/>
                <w:sz w:val="28"/>
                <w:szCs w:val="28"/>
                <w:lang w:val="en-US" w:eastAsia="zh-CN"/>
              </w:rPr>
              <w:t>地址</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center"/>
              <w:textAlignment w:val="auto"/>
              <w:outlineLvl w:val="9"/>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黑体" w:cs="Times New Roman"/>
                <w:color w:val="auto"/>
                <w:sz w:val="28"/>
                <w:szCs w:val="28"/>
                <w:lang w:val="en-US" w:eastAsia="zh-CN"/>
              </w:rPr>
              <w:t>建筑面积(㎡）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一号能源中心（动力能源处办)</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机场东路30号</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10414.89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110KV变电站主控楼</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航宾大道38号</w:t>
            </w:r>
          </w:p>
        </w:tc>
        <w:tc>
          <w:tcPr>
            <w:tcW w:w="19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1203.41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110kV变电站办公楼</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航宾大道38号</w:t>
            </w:r>
          </w:p>
        </w:tc>
        <w:tc>
          <w:tcPr>
            <w:tcW w:w="19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2号（齐心）110kV变电站</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机场东二路26号</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3号（楚田）110kV变电站</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机场北二路16号</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西区3号开闭站</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机场西路11号（老集团办公楼旁）</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430.52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西区1号开闭站</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锦航路8号（综合口岸办对面）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1252.4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西区动力中心</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航安路1号</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535.58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第三污水处理站</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机场东3路</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2772.44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rPr>
            </w:pPr>
            <w:r>
              <w:rPr>
                <w:rFonts w:hint="eastAsia" w:ascii="仿宋" w:hAnsi="仿宋" w:eastAsia="仿宋" w:cs="仿宋"/>
                <w:i w:val="0"/>
                <w:iCs w:val="0"/>
                <w:color w:val="auto"/>
                <w:kern w:val="0"/>
                <w:sz w:val="28"/>
                <w:szCs w:val="28"/>
                <w:highlight w:val="none"/>
                <w:u w:val="none"/>
                <w:lang w:val="en-US" w:eastAsia="zh-CN" w:bidi="ar"/>
              </w:rPr>
              <w:t>10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西区天然气阀室</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双凤支路45号</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rPr>
            </w:pPr>
            <w:r>
              <w:rPr>
                <w:rFonts w:hint="eastAsia" w:ascii="仿宋" w:hAnsi="仿宋" w:eastAsia="仿宋" w:cs="仿宋"/>
                <w:i w:val="0"/>
                <w:iCs w:val="0"/>
                <w:color w:val="auto"/>
                <w:kern w:val="0"/>
                <w:sz w:val="28"/>
                <w:szCs w:val="28"/>
                <w:highlight w:val="none"/>
                <w:u w:val="none"/>
                <w:lang w:val="en-US" w:eastAsia="zh-CN" w:bidi="ar"/>
              </w:rPr>
              <w:t>11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五号坪充电站</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机坪北货运区</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6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合计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210</w:t>
            </w:r>
            <w:r>
              <w:rPr>
                <w:rFonts w:hint="eastAsia" w:ascii="仿宋" w:hAnsi="仿宋" w:cs="仿宋"/>
                <w:i w:val="0"/>
                <w:iCs w:val="0"/>
                <w:color w:val="auto"/>
                <w:kern w:val="0"/>
                <w:sz w:val="28"/>
                <w:szCs w:val="28"/>
                <w:highlight w:val="none"/>
                <w:u w:val="none"/>
                <w:lang w:val="en-US" w:eastAsia="zh-CN" w:bidi="ar"/>
              </w:rPr>
              <w:t>1</w:t>
            </w:r>
            <w:r>
              <w:rPr>
                <w:rFonts w:hint="eastAsia" w:ascii="仿宋" w:hAnsi="仿宋" w:eastAsia="仿宋" w:cs="仿宋"/>
                <w:i w:val="0"/>
                <w:iCs w:val="0"/>
                <w:color w:val="auto"/>
                <w:kern w:val="0"/>
                <w:sz w:val="28"/>
                <w:szCs w:val="28"/>
                <w:highlight w:val="none"/>
                <w:u w:val="none"/>
                <w:lang w:val="en-US" w:eastAsia="zh-CN" w:bidi="ar"/>
              </w:rPr>
              <w:t>5.24</w:t>
            </w:r>
          </w:p>
        </w:tc>
      </w:tr>
    </w:tbl>
    <w:p>
      <w:pPr>
        <w:rPr>
          <w:rFonts w:hint="eastAsia"/>
          <w:color w:val="auto"/>
          <w:sz w:val="28"/>
          <w:szCs w:val="28"/>
          <w:lang w:eastAsia="zh-CN"/>
        </w:rPr>
      </w:pPr>
    </w:p>
    <w:p>
      <w:pPr>
        <w:pStyle w:val="2"/>
        <w:rPr>
          <w:rFonts w:hint="eastAsia"/>
          <w:color w:val="auto"/>
          <w:lang w:eastAsia="zh-CN"/>
        </w:rPr>
        <w:sectPr>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表3 重庆江北国际机场有限公司检测建筑清单（第三部分）</w:t>
      </w:r>
    </w:p>
    <w:tbl>
      <w:tblPr>
        <w:tblStyle w:val="17"/>
        <w:tblW w:w="8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1"/>
        <w:gridCol w:w="2933"/>
        <w:gridCol w:w="2235"/>
        <w:gridCol w:w="2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outlineLvl w:val="9"/>
              <w:rPr>
                <w:rFonts w:hint="eastAsia" w:ascii="仿宋" w:hAnsi="仿宋" w:eastAsia="仿宋" w:cs="仿宋"/>
                <w:i w:val="0"/>
                <w:iCs w:val="0"/>
                <w:color w:val="auto"/>
                <w:sz w:val="28"/>
                <w:szCs w:val="28"/>
                <w:highlight w:val="none"/>
                <w:u w:val="none"/>
              </w:rPr>
            </w:pPr>
            <w:r>
              <w:rPr>
                <w:rFonts w:hint="eastAsia" w:ascii="黑体" w:hAnsi="黑体" w:eastAsia="黑体" w:cs="黑体"/>
                <w:color w:val="auto"/>
                <w:sz w:val="28"/>
                <w:szCs w:val="28"/>
              </w:rPr>
              <w:t>序号</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center"/>
              <w:textAlignment w:val="auto"/>
              <w:outlineLvl w:val="9"/>
              <w:rPr>
                <w:rFonts w:hint="eastAsia" w:ascii="仿宋" w:hAnsi="仿宋" w:eastAsia="仿宋" w:cs="仿宋"/>
                <w:i w:val="0"/>
                <w:iCs w:val="0"/>
                <w:color w:val="auto"/>
                <w:sz w:val="28"/>
                <w:szCs w:val="28"/>
                <w:highlight w:val="none"/>
                <w:u w:val="none"/>
              </w:rPr>
            </w:pPr>
            <w:r>
              <w:rPr>
                <w:rFonts w:hint="eastAsia" w:ascii="黑体" w:hAnsi="黑体" w:eastAsia="黑体" w:cs="黑体"/>
                <w:color w:val="auto"/>
                <w:sz w:val="28"/>
                <w:szCs w:val="28"/>
              </w:rPr>
              <w:t>建（构）筑名称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outlineLvl w:val="9"/>
              <w:rPr>
                <w:rFonts w:hint="eastAsia" w:ascii="仿宋" w:hAnsi="仿宋" w:eastAsia="仿宋" w:cs="仿宋"/>
                <w:i w:val="0"/>
                <w:iCs w:val="0"/>
                <w:color w:val="auto"/>
                <w:sz w:val="28"/>
                <w:szCs w:val="28"/>
                <w:highlight w:val="none"/>
                <w:u w:val="none"/>
              </w:rPr>
            </w:pPr>
            <w:r>
              <w:rPr>
                <w:rFonts w:hint="eastAsia" w:ascii="黑体" w:hAnsi="黑体" w:eastAsia="黑体" w:cs="黑体"/>
                <w:color w:val="auto"/>
                <w:sz w:val="28"/>
                <w:szCs w:val="28"/>
                <w:lang w:val="en-US" w:eastAsia="zh-CN"/>
              </w:rPr>
              <w:t>地址</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center"/>
              <w:textAlignment w:val="auto"/>
              <w:outlineLvl w:val="9"/>
              <w:rPr>
                <w:rFonts w:hint="eastAsia" w:ascii="仿宋" w:hAnsi="仿宋" w:eastAsia="仿宋" w:cs="仿宋"/>
                <w:i w:val="0"/>
                <w:iCs w:val="0"/>
                <w:color w:val="auto"/>
                <w:sz w:val="28"/>
                <w:szCs w:val="28"/>
                <w:highlight w:val="none"/>
                <w:u w:val="none"/>
              </w:rPr>
            </w:pPr>
            <w:r>
              <w:rPr>
                <w:rFonts w:hint="eastAsia" w:ascii="黑体" w:hAnsi="黑体" w:eastAsia="黑体" w:cs="黑体"/>
                <w:color w:val="auto"/>
                <w:sz w:val="28"/>
                <w:szCs w:val="28"/>
                <w:lang w:val="en-US" w:eastAsia="zh-CN"/>
              </w:rPr>
              <w:t>建筑面积(㎡）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东区安检、医救办公楼</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翔安路16号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10623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东区安检宿舍楼</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翔安路16号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江北公司办公楼</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机场西路26号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8652.6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国检大楼</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机场东二路9号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海关大楼</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机场东二路7号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飞行区</w:t>
            </w:r>
            <w:r>
              <w:rPr>
                <w:rFonts w:hint="eastAsia" w:ascii="仿宋" w:hAnsi="仿宋" w:cs="仿宋"/>
                <w:i w:val="0"/>
                <w:iCs w:val="0"/>
                <w:color w:val="auto"/>
                <w:kern w:val="0"/>
                <w:sz w:val="28"/>
                <w:szCs w:val="28"/>
                <w:highlight w:val="none"/>
                <w:u w:val="none"/>
                <w:lang w:val="en-US" w:eastAsia="zh-CN" w:bidi="ar"/>
              </w:rPr>
              <w:t>航务</w:t>
            </w:r>
            <w:r>
              <w:rPr>
                <w:rFonts w:hint="eastAsia" w:ascii="仿宋" w:hAnsi="仿宋" w:eastAsia="仿宋" w:cs="仿宋"/>
                <w:i w:val="0"/>
                <w:iCs w:val="0"/>
                <w:color w:val="auto"/>
                <w:kern w:val="0"/>
                <w:sz w:val="28"/>
                <w:szCs w:val="28"/>
                <w:highlight w:val="none"/>
                <w:u w:val="none"/>
                <w:lang w:val="en-US" w:eastAsia="zh-CN" w:bidi="ar"/>
              </w:rPr>
              <w:t>管理部办公楼（</w:t>
            </w:r>
            <w:r>
              <w:rPr>
                <w:rFonts w:hint="eastAsia" w:ascii="仿宋" w:hAnsi="仿宋" w:cs="仿宋"/>
                <w:i w:val="0"/>
                <w:iCs w:val="0"/>
                <w:color w:val="auto"/>
                <w:kern w:val="0"/>
                <w:sz w:val="28"/>
                <w:szCs w:val="28"/>
                <w:highlight w:val="none"/>
                <w:u w:val="none"/>
                <w:lang w:val="en-US" w:eastAsia="zh-CN" w:bidi="ar"/>
              </w:rPr>
              <w:t>飞航</w:t>
            </w:r>
            <w:r>
              <w:rPr>
                <w:rFonts w:hint="eastAsia" w:ascii="仿宋" w:hAnsi="仿宋" w:eastAsia="仿宋" w:cs="仿宋"/>
                <w:i w:val="0"/>
                <w:iCs w:val="0"/>
                <w:color w:val="auto"/>
                <w:kern w:val="0"/>
                <w:sz w:val="28"/>
                <w:szCs w:val="28"/>
                <w:highlight w:val="none"/>
                <w:u w:val="none"/>
                <w:lang w:val="en-US" w:eastAsia="zh-CN" w:bidi="ar"/>
              </w:rPr>
              <w:t>楼）</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机场东路17号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6904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1号灯光站</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航宾大道37号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2号灯光站</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飞行区内</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3号灯光站</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飞行区内</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4号灯光站</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飞行区内</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cs="仿宋"/>
                <w:i w:val="0"/>
                <w:iCs w:val="0"/>
                <w:color w:val="auto"/>
                <w:kern w:val="0"/>
                <w:sz w:val="28"/>
                <w:szCs w:val="28"/>
                <w:highlight w:val="none"/>
                <w:u w:val="none"/>
                <w:lang w:val="en-US" w:eastAsia="zh-CN" w:bidi="ar"/>
              </w:rPr>
              <w:t>消防监护部、综合执法</w:t>
            </w:r>
            <w:r>
              <w:rPr>
                <w:rFonts w:hint="eastAsia" w:ascii="仿宋" w:hAnsi="仿宋" w:eastAsia="仿宋" w:cs="仿宋"/>
                <w:i w:val="0"/>
                <w:iCs w:val="0"/>
                <w:color w:val="auto"/>
                <w:kern w:val="0"/>
                <w:sz w:val="28"/>
                <w:szCs w:val="28"/>
                <w:highlight w:val="none"/>
                <w:u w:val="none"/>
                <w:lang w:val="en-US" w:eastAsia="zh-CN" w:bidi="ar"/>
              </w:rPr>
              <w:t>办公楼</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机场东路15号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02L航向台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跑道02L侧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02L下滑台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跑道02L侧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02R航向台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跑道02R侧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02R下滑台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跑道02R侧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20L航向台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跑道20L侧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20L下滑台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跑道20L侧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20R航向台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跑道20R侧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20R下滑台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跑道20R侧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03航向台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跑道03北端</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03下滑台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跑道03西侧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21航向台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跑道21南端</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21下滑台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跑道21西侧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南近台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跑道02L南端</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北外指点标台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渝北区木耳镇举人坝村</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北中指点标台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渝北区双凤办事处新华村</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统景导航台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渝北区统景镇御临村二社</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长生导航台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南岸区长生镇石桥铺街107号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sz w:val="28"/>
                <w:szCs w:val="28"/>
                <w:highlight w:val="none"/>
                <w:u w:val="none"/>
                <w:lang w:eastAsia="zh-CN"/>
              </w:rPr>
              <w:t>西区武警用房（厨房和燃气热水间可燃气体探测报警系统）</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航惠路21号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cs="仿宋"/>
                <w:color w:val="auto"/>
                <w:sz w:val="28"/>
                <w:szCs w:val="28"/>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合计</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64694.6</w:t>
            </w:r>
          </w:p>
        </w:tc>
      </w:tr>
    </w:tbl>
    <w:p>
      <w:pPr>
        <w:rPr>
          <w:rFonts w:hint="eastAsia"/>
          <w:color w:val="auto"/>
          <w:lang w:eastAsia="zh-CN"/>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表4 重庆机场集团有限公司航空物流园发展分公司检测建筑清单（第四部分）</w:t>
      </w:r>
    </w:p>
    <w:tbl>
      <w:tblPr>
        <w:tblStyle w:val="17"/>
        <w:tblW w:w="83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2883"/>
        <w:gridCol w:w="2330"/>
        <w:gridCol w:w="1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80" w:lineRule="exact"/>
              <w:ind w:firstLine="0" w:firstLineChars="0"/>
              <w:jc w:val="center"/>
              <w:textAlignment w:val="auto"/>
              <w:outlineLvl w:val="9"/>
              <w:rPr>
                <w:rFonts w:hint="eastAsia" w:ascii="仿宋" w:hAnsi="仿宋" w:eastAsia="仿宋" w:cs="仿宋"/>
                <w:i w:val="0"/>
                <w:iCs w:val="0"/>
                <w:color w:val="auto"/>
                <w:sz w:val="28"/>
                <w:szCs w:val="28"/>
                <w:highlight w:val="none"/>
                <w:u w:val="none"/>
              </w:rPr>
            </w:pPr>
            <w:r>
              <w:rPr>
                <w:rFonts w:hint="default" w:ascii="Times New Roman" w:hAnsi="Times New Roman" w:eastAsia="黑体" w:cs="Times New Roman"/>
                <w:color w:val="auto"/>
                <w:sz w:val="28"/>
                <w:szCs w:val="28"/>
              </w:rPr>
              <w:t>序号</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80" w:lineRule="exact"/>
              <w:ind w:left="0" w:leftChars="0" w:firstLine="0" w:firstLineChars="0"/>
              <w:jc w:val="center"/>
              <w:textAlignment w:val="auto"/>
              <w:outlineLvl w:val="9"/>
              <w:rPr>
                <w:rFonts w:hint="eastAsia" w:ascii="仿宋" w:hAnsi="仿宋" w:eastAsia="仿宋" w:cs="仿宋"/>
                <w:i w:val="0"/>
                <w:iCs w:val="0"/>
                <w:color w:val="auto"/>
                <w:sz w:val="28"/>
                <w:szCs w:val="28"/>
                <w:highlight w:val="none"/>
                <w:u w:val="none"/>
              </w:rPr>
            </w:pPr>
            <w:r>
              <w:rPr>
                <w:rFonts w:hint="default" w:ascii="Times New Roman" w:hAnsi="Times New Roman" w:eastAsia="黑体" w:cs="Times New Roman"/>
                <w:color w:val="auto"/>
                <w:sz w:val="28"/>
                <w:szCs w:val="28"/>
              </w:rPr>
              <w:t>建（构）筑名称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Lines="0" w:afterLines="0" w:line="480" w:lineRule="exact"/>
              <w:ind w:firstLine="0" w:firstLineChars="0"/>
              <w:jc w:val="center"/>
              <w:textAlignment w:val="auto"/>
              <w:outlineLvl w:val="9"/>
              <w:rPr>
                <w:rFonts w:hint="eastAsia" w:ascii="仿宋" w:hAnsi="仿宋" w:eastAsia="仿宋" w:cs="仿宋"/>
                <w:i w:val="0"/>
                <w:iCs w:val="0"/>
                <w:color w:val="auto"/>
                <w:sz w:val="28"/>
                <w:szCs w:val="28"/>
                <w:highlight w:val="none"/>
                <w:u w:val="none"/>
              </w:rPr>
            </w:pPr>
            <w:r>
              <w:rPr>
                <w:rFonts w:hint="default" w:ascii="Times New Roman" w:hAnsi="Times New Roman" w:eastAsia="黑体" w:cs="Times New Roman"/>
                <w:color w:val="auto"/>
                <w:sz w:val="28"/>
                <w:szCs w:val="28"/>
                <w:lang w:val="en-US" w:eastAsia="zh-CN"/>
              </w:rPr>
              <w:t>地址</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Lines="0" w:afterLines="0" w:line="480" w:lineRule="exact"/>
              <w:ind w:left="0" w:leftChars="0" w:firstLine="0" w:firstLineChars="0"/>
              <w:jc w:val="center"/>
              <w:textAlignment w:val="auto"/>
              <w:outlineLvl w:val="9"/>
              <w:rPr>
                <w:rFonts w:hint="eastAsia" w:ascii="仿宋" w:hAnsi="仿宋" w:eastAsia="仿宋" w:cs="仿宋"/>
                <w:i w:val="0"/>
                <w:iCs w:val="0"/>
                <w:color w:val="auto"/>
                <w:sz w:val="28"/>
                <w:szCs w:val="28"/>
                <w:highlight w:val="none"/>
                <w:u w:val="none"/>
              </w:rPr>
            </w:pPr>
            <w:r>
              <w:rPr>
                <w:rFonts w:hint="default" w:ascii="Times New Roman" w:hAnsi="Times New Roman" w:eastAsia="黑体" w:cs="Times New Roman"/>
                <w:color w:val="auto"/>
                <w:sz w:val="28"/>
                <w:szCs w:val="28"/>
                <w:lang w:val="en-US" w:eastAsia="zh-CN"/>
              </w:rPr>
              <w:t>建筑面积(㎡）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物流园区综合楼</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机场北一路5号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17980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北区1号货站</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机场北一路6号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北区2号货站</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机场北一路8号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4</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北区3号货站</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机场北一路10号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北区消防水泵房</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机场北一路10号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6</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北区车辆检修库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机场北一路16号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7</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北区1号货代库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机场北一路4号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sz w:val="28"/>
                <w:szCs w:val="28"/>
                <w:highlight w:val="none"/>
                <w:u w:val="none"/>
                <w:lang w:val="en-US"/>
              </w:rPr>
            </w:pPr>
            <w:r>
              <w:rPr>
                <w:rFonts w:hint="eastAsia" w:ascii="仿宋" w:hAnsi="仿宋" w:eastAsia="仿宋" w:cs="仿宋"/>
                <w:i w:val="0"/>
                <w:iCs w:val="0"/>
                <w:color w:val="auto"/>
                <w:kern w:val="0"/>
                <w:sz w:val="28"/>
                <w:szCs w:val="28"/>
                <w:highlight w:val="none"/>
                <w:u w:val="none"/>
                <w:lang w:val="en-US" w:eastAsia="zh-CN" w:bidi="ar"/>
              </w:rPr>
              <w:t>4456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8</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北区2号货代库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机场北一路4号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9</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北区3号货代库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机场北一路4号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sz w:val="28"/>
                <w:szCs w:val="28"/>
                <w:highlight w:val="none"/>
                <w:u w:val="none"/>
                <w:lang w:val="en-US"/>
              </w:rPr>
            </w:pPr>
            <w:r>
              <w:rPr>
                <w:rFonts w:hint="eastAsia" w:ascii="仿宋" w:hAnsi="仿宋" w:eastAsia="仿宋" w:cs="仿宋"/>
                <w:i w:val="0"/>
                <w:iCs w:val="0"/>
                <w:color w:val="auto"/>
                <w:kern w:val="0"/>
                <w:sz w:val="28"/>
                <w:szCs w:val="28"/>
                <w:highlight w:val="none"/>
                <w:u w:val="none"/>
                <w:lang w:val="en-US" w:eastAsia="zh-CN" w:bidi="ar"/>
              </w:rPr>
              <w:t>4456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10</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北区4号货代库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机场北一路4号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11</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北区5号货代库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机场北二路25号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12</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北区6号货代库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机场北二路25号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13</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北区7号货代库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机场北二路25号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14</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北区8号货代库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机场北二路25号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15</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国际2号货站</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机场北二路24号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33249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16</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国际3号货站</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机场北二路22号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21798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17</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国际危险品库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机场北二路24号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18</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国际货运综合楼（含海关指定监管场地、宿舍、营业厅）</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机场北二路18号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15489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19</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国际货站消防水泵房</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国际3号货站旁</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20</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国际叉车充电棚</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国际3号货站旁</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21</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北区特运库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北区3号货站</w:t>
            </w:r>
            <w:r>
              <w:rPr>
                <w:rFonts w:hint="eastAsia" w:ascii="仿宋" w:hAnsi="仿宋" w:cs="仿宋"/>
                <w:i w:val="0"/>
                <w:iCs w:val="0"/>
                <w:color w:val="auto"/>
                <w:kern w:val="0"/>
                <w:sz w:val="28"/>
                <w:szCs w:val="28"/>
                <w:highlight w:val="none"/>
                <w:u w:val="none"/>
                <w:lang w:val="en-US" w:eastAsia="zh-CN" w:bidi="ar"/>
              </w:rPr>
              <w:t>旁</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80" w:lineRule="exact"/>
              <w:ind w:left="0" w:leftChars="0"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合</w:t>
            </w:r>
            <w:r>
              <w:rPr>
                <w:rFonts w:hint="eastAsia" w:ascii="仿宋" w:hAnsi="仿宋" w:cs="仿宋"/>
                <w:i w:val="0"/>
                <w:iCs w:val="0"/>
                <w:color w:val="auto"/>
                <w:sz w:val="28"/>
                <w:szCs w:val="28"/>
                <w:highlight w:val="none"/>
                <w:u w:val="none"/>
                <w:lang w:eastAsia="zh-CN"/>
              </w:rPr>
              <w:t>计</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213110</w:t>
            </w:r>
          </w:p>
        </w:tc>
      </w:tr>
    </w:tbl>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27" w:name="_Toc26339"/>
      <w:bookmarkStart w:id="28" w:name="_Toc6886"/>
      <w:r>
        <w:rPr>
          <w:rFonts w:hint="eastAsia" w:ascii="Times New Roman" w:hAnsi="Times New Roman" w:eastAsia="方正仿宋_GBK" w:cs="Times New Roman"/>
          <w:color w:val="auto"/>
          <w:sz w:val="28"/>
          <w:szCs w:val="28"/>
          <w:lang w:val="en-US" w:eastAsia="zh-CN"/>
        </w:rPr>
        <w:t>2.4消防年度检测服务内容</w:t>
      </w:r>
      <w:bookmarkEnd w:id="27"/>
      <w:bookmarkEnd w:id="28"/>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服务范围中所列建筑的全部消防设施（包括但不限于：消防供配电设施、火灾自动报警及联动控制系统、图形显示系统装置、火灾应急广播、消防通讯、水灭火系统、气体灭火系统、厨房设备灭火装置、防排烟系统、防火卷帘与防火门、消防电梯、应急照明与疏散指示标志、电气火灾监控系统、消防设备应急电源、消防电源监控系统、可燃气体探测系统、灭火器等）的检测任务全部委托给服务商检测，服务商按照国家和地方相关技术标准规定的工艺、流程等要求进行检测，并出具具有法律效力的检测报告（一式两份）。</w:t>
      </w:r>
    </w:p>
    <w:p>
      <w:pPr>
        <w:pStyle w:val="4"/>
        <w:pageBreakBefore w:val="0"/>
        <w:widowControl w:val="0"/>
        <w:kinsoku/>
        <w:wordWrap/>
        <w:overflowPunct/>
        <w:topLinePunct w:val="0"/>
        <w:autoSpaceDE/>
        <w:autoSpaceDN/>
        <w:bidi w:val="0"/>
        <w:spacing w:before="0" w:beforeLines="0" w:after="0" w:afterLines="0" w:line="400" w:lineRule="exact"/>
        <w:ind w:firstLine="0"/>
        <w:textAlignment w:val="auto"/>
        <w:rPr>
          <w:rFonts w:hint="default" w:ascii="Times New Roman" w:hAnsi="Times New Roman" w:eastAsia="方正黑体_GBK" w:cs="Times New Roman"/>
          <w:b w:val="0"/>
          <w:bCs w:val="0"/>
          <w:color w:val="auto"/>
        </w:rPr>
      </w:pPr>
      <w:bookmarkStart w:id="29" w:name="_Toc14360"/>
      <w:bookmarkStart w:id="30" w:name="_Toc13743"/>
      <w:bookmarkStart w:id="31" w:name="_Toc779"/>
      <w:bookmarkStart w:id="32" w:name="_Toc16471"/>
      <w:bookmarkStart w:id="33" w:name="_Toc23257"/>
      <w:bookmarkStart w:id="34" w:name="_Toc27578"/>
      <w:r>
        <w:rPr>
          <w:rFonts w:hint="eastAsia" w:ascii="Times New Roman" w:hAnsi="Times New Roman" w:eastAsia="方正黑体_GBK" w:cs="Times New Roman"/>
          <w:b w:val="0"/>
          <w:bCs w:val="0"/>
          <w:color w:val="auto"/>
          <w:lang w:val="en-US" w:eastAsia="zh-CN"/>
        </w:rPr>
        <w:t xml:space="preserve">3 </w:t>
      </w:r>
      <w:r>
        <w:rPr>
          <w:rFonts w:hint="eastAsia" w:ascii="Times New Roman" w:hAnsi="Times New Roman" w:eastAsia="方正黑体_GBK" w:cs="Times New Roman"/>
          <w:b w:val="0"/>
          <w:bCs w:val="0"/>
          <w:color w:val="auto"/>
          <w:lang w:eastAsia="zh-CN"/>
        </w:rPr>
        <w:t>比选响应人</w:t>
      </w:r>
      <w:r>
        <w:rPr>
          <w:rFonts w:hint="eastAsia" w:ascii="Times New Roman" w:hAnsi="Times New Roman" w:eastAsia="方正黑体_GBK" w:cs="Times New Roman"/>
          <w:b w:val="0"/>
          <w:bCs w:val="0"/>
          <w:color w:val="auto"/>
        </w:rPr>
        <w:t>资格条件</w:t>
      </w:r>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本项目比选响应人应具备以下资格条件：</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3.1 营业执照</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在中华人民共和国依法注册、具有独立法人资格，具有有效的企业法人营业执照。（提供加盖鲜公章的营业执照复印件）</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3.2 从业人员要求</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单位从业人员数量和人员资格须满足《社会消防技术服务管理规定》（中华人民共和国应急管理部令第7号）相关要求：</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（1）注册消防工程师不少于2人，其中一级注册消防工程师不少于1人；</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（2）取得建（构）筑物消防员（或消防设施操作员）国家职业资格证书的人员不少于6人，其中中级技能等级以上的不少于2人。</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备注：提供单位账户登录全国“</w:t>
      </w:r>
      <w:r>
        <w:rPr>
          <w:rFonts w:hint="eastAsia" w:ascii="Times New Roman" w:hAnsi="Times New Roman" w:eastAsia="方正仿宋_GBK" w:cs="Times New Roman"/>
          <w:color w:val="auto"/>
          <w:sz w:val="28"/>
          <w:szCs w:val="28"/>
          <w:lang w:val="en-US" w:eastAsia="zh-CN"/>
        </w:rPr>
        <w:fldChar w:fldCharType="begin"/>
      </w:r>
      <w:r>
        <w:rPr>
          <w:rFonts w:hint="eastAsia" w:ascii="Times New Roman" w:hAnsi="Times New Roman" w:eastAsia="方正仿宋_GBK" w:cs="Times New Roman"/>
          <w:color w:val="auto"/>
          <w:sz w:val="28"/>
          <w:szCs w:val="28"/>
          <w:lang w:val="en-US" w:eastAsia="zh-CN"/>
        </w:rPr>
        <w:instrText xml:space="preserve"> HYPERLINK "https://www.baidu.com/link?url=0kQhPHGcY62AJY_dgCMhjWhsFBCYmHHcVXkRxzv6lNj9P_xFuKQh3m5AcgMy780O&amp;wd=&amp;eqid=8d6a0dc800000e59000000065f856750" \t "https://www.baidu.com/_blank" </w:instrText>
      </w:r>
      <w:r>
        <w:rPr>
          <w:rFonts w:hint="eastAsia" w:ascii="Times New Roman" w:hAnsi="Times New Roman" w:eastAsia="方正仿宋_GBK" w:cs="Times New Roman"/>
          <w:color w:val="auto"/>
          <w:sz w:val="28"/>
          <w:szCs w:val="28"/>
          <w:lang w:val="en-US" w:eastAsia="zh-CN"/>
        </w:rPr>
        <w:fldChar w:fldCharType="separate"/>
      </w:r>
      <w:r>
        <w:rPr>
          <w:rFonts w:hint="eastAsia" w:ascii="Times New Roman" w:hAnsi="Times New Roman" w:eastAsia="方正仿宋_GBK" w:cs="Times New Roman"/>
          <w:color w:val="auto"/>
          <w:sz w:val="28"/>
          <w:szCs w:val="28"/>
          <w:lang w:val="en-US" w:eastAsia="zh-CN"/>
        </w:rPr>
        <w:t>社会消防技术服务信息系统</w:t>
      </w:r>
      <w:r>
        <w:rPr>
          <w:rFonts w:hint="eastAsia" w:ascii="Times New Roman" w:hAnsi="Times New Roman" w:eastAsia="方正仿宋_GBK" w:cs="Times New Roman"/>
          <w:color w:val="auto"/>
          <w:sz w:val="28"/>
          <w:szCs w:val="28"/>
          <w:lang w:val="en-US" w:eastAsia="zh-CN"/>
        </w:rPr>
        <w:fldChar w:fldCharType="end"/>
      </w:r>
      <w:r>
        <w:rPr>
          <w:rFonts w:hint="eastAsia" w:ascii="Times New Roman" w:hAnsi="Times New Roman" w:eastAsia="方正仿宋_GBK" w:cs="Times New Roman"/>
          <w:color w:val="auto"/>
          <w:sz w:val="28"/>
          <w:szCs w:val="28"/>
          <w:lang w:val="en-US" w:eastAsia="zh-CN"/>
        </w:rPr>
        <w:t>”后相关人员的查询截图，截图包括单位基本情况、执业的注册消防工程师、消防设施操作员，截图须加盖单位鲜公章；提供上述人员的执业（职业）资格证书复印件，复印件加盖单位鲜公章；提供</w:t>
      </w:r>
      <w:r>
        <w:rPr>
          <w:rFonts w:hint="default" w:ascii="Times New Roman" w:hAnsi="Times New Roman" w:eastAsia="方正仿宋_GBK" w:cs="Times New Roman"/>
          <w:color w:val="auto"/>
          <w:sz w:val="28"/>
          <w:szCs w:val="28"/>
          <w:lang w:val="en-US" w:eastAsia="zh-CN"/>
        </w:rPr>
        <w:t>202</w:t>
      </w:r>
      <w:r>
        <w:rPr>
          <w:rFonts w:hint="eastAsia"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年</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月至202</w:t>
      </w:r>
      <w:r>
        <w:rPr>
          <w:rFonts w:hint="eastAsia"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年</w:t>
      </w:r>
      <w:r>
        <w:rPr>
          <w:rFonts w:hint="eastAsia"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lang w:val="en-US" w:eastAsia="zh-CN"/>
        </w:rPr>
        <w:t>月</w:t>
      </w:r>
      <w:r>
        <w:rPr>
          <w:rFonts w:hint="eastAsia" w:ascii="Times New Roman" w:hAnsi="Times New Roman" w:eastAsia="方正仿宋_GBK" w:cs="Times New Roman"/>
          <w:color w:val="auto"/>
          <w:sz w:val="28"/>
          <w:szCs w:val="28"/>
          <w:lang w:val="en-US" w:eastAsia="zh-CN"/>
        </w:rPr>
        <w:t>上述相关人员的社会保险参保证明，参保证明要能体现近半年相关人员是本单位的正式职工。</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3.3比选响应人未被“中国执行信息公开网”网站（zxgk.court.gov.cn）列为失信被执行人，未被“信用中国”网站（www.creditchina.gov.cn）列入严重失信主体名单。（提供相关截图查询</w:t>
      </w:r>
      <w:r>
        <w:rPr>
          <w:rFonts w:hint="eastAsia" w:ascii="Times New Roman" w:hAnsi="Times New Roman" w:eastAsia="方正仿宋_GBK" w:cs="Times New Roman"/>
          <w:color w:val="auto"/>
          <w:sz w:val="28"/>
          <w:szCs w:val="28"/>
          <w:lang w:val="en-US" w:eastAsia="zh-Hans"/>
        </w:rPr>
        <w:t>并</w:t>
      </w:r>
      <w:r>
        <w:rPr>
          <w:rFonts w:hint="eastAsia" w:ascii="Times New Roman" w:hAnsi="Times New Roman" w:eastAsia="方正仿宋_GBK" w:cs="Times New Roman"/>
          <w:color w:val="auto"/>
          <w:sz w:val="28"/>
          <w:szCs w:val="28"/>
          <w:lang w:val="en-US" w:eastAsia="zh-CN"/>
        </w:rPr>
        <w:t>加盖鲜章）</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35" w:name="_Toc3655"/>
      <w:bookmarkStart w:id="36" w:name="_Toc23732"/>
      <w:bookmarkStart w:id="37" w:name="_Toc19798"/>
      <w:bookmarkStart w:id="38" w:name="_Toc28347"/>
      <w:r>
        <w:rPr>
          <w:rFonts w:hint="eastAsia" w:ascii="Times New Roman" w:hAnsi="Times New Roman" w:eastAsia="方正仿宋_GBK" w:cs="Times New Roman"/>
          <w:color w:val="auto"/>
          <w:sz w:val="28"/>
          <w:szCs w:val="28"/>
          <w:lang w:val="en-US" w:eastAsia="zh-CN"/>
        </w:rPr>
        <w:t xml:space="preserve">3.4 </w:t>
      </w:r>
      <w:r>
        <w:rPr>
          <w:rFonts w:hint="default" w:ascii="Times New Roman" w:hAnsi="Times New Roman" w:eastAsia="方正仿宋_GBK" w:cs="Times New Roman"/>
          <w:color w:val="auto"/>
          <w:sz w:val="28"/>
          <w:szCs w:val="28"/>
          <w:lang w:val="en-US" w:eastAsia="zh-CN"/>
        </w:rPr>
        <w:t>其它要求</w:t>
      </w:r>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（1）正在为本项目所涉及建（构）筑物消防设施提供维护保养服务的单位不得参与比选。</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（2）本项目不接受转包、分包、联合体报名。</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（3）法定代表人为同一个人的两个及两个以上法人，母公司、全资子公司及其控股公司，以及其他形式有管理关系的比选响应人，不得同时参与本项目比选。</w:t>
      </w:r>
    </w:p>
    <w:p>
      <w:pPr>
        <w:pStyle w:val="4"/>
        <w:pageBreakBefore w:val="0"/>
        <w:widowControl w:val="0"/>
        <w:kinsoku/>
        <w:wordWrap/>
        <w:overflowPunct/>
        <w:topLinePunct w:val="0"/>
        <w:autoSpaceDE/>
        <w:autoSpaceDN/>
        <w:bidi w:val="0"/>
        <w:spacing w:before="0" w:beforeLines="0" w:after="0" w:afterLines="0" w:line="400" w:lineRule="exact"/>
        <w:ind w:firstLine="0"/>
        <w:textAlignment w:val="auto"/>
        <w:rPr>
          <w:rFonts w:hint="eastAsia" w:ascii="Times New Roman" w:hAnsi="Times New Roman" w:eastAsia="方正黑体_GBK" w:cs="Times New Roman"/>
          <w:b w:val="0"/>
          <w:bCs w:val="0"/>
          <w:color w:val="auto"/>
          <w:lang w:val="en-US" w:eastAsia="zh-CN"/>
        </w:rPr>
      </w:pPr>
      <w:bookmarkStart w:id="39" w:name="_Toc15144"/>
      <w:bookmarkStart w:id="40" w:name="_Toc10305"/>
      <w:bookmarkStart w:id="41" w:name="_Toc459888225"/>
      <w:bookmarkStart w:id="42" w:name="_Toc2752"/>
      <w:bookmarkStart w:id="43" w:name="_Toc3315"/>
      <w:bookmarkStart w:id="44" w:name="_Toc4964964"/>
      <w:bookmarkStart w:id="45" w:name="_Toc7828"/>
      <w:bookmarkStart w:id="46" w:name="_Toc6258"/>
      <w:r>
        <w:rPr>
          <w:rFonts w:hint="eastAsia" w:ascii="Times New Roman" w:hAnsi="Times New Roman" w:eastAsia="方正黑体_GBK" w:cs="Times New Roman"/>
          <w:b w:val="0"/>
          <w:bCs w:val="0"/>
          <w:color w:val="auto"/>
          <w:lang w:val="en-US" w:eastAsia="zh-CN"/>
        </w:rPr>
        <w:t xml:space="preserve">4 </w:t>
      </w:r>
      <w:bookmarkEnd w:id="39"/>
      <w:bookmarkEnd w:id="40"/>
      <w:bookmarkEnd w:id="41"/>
      <w:bookmarkEnd w:id="42"/>
      <w:bookmarkEnd w:id="43"/>
      <w:bookmarkEnd w:id="44"/>
      <w:bookmarkEnd w:id="45"/>
      <w:bookmarkEnd w:id="46"/>
      <w:bookmarkStart w:id="47" w:name="_Toc32128"/>
      <w:bookmarkStart w:id="48" w:name="_Toc3161"/>
      <w:bookmarkStart w:id="49" w:name="_Toc4964963"/>
      <w:bookmarkStart w:id="50" w:name="_Toc9234"/>
      <w:bookmarkStart w:id="51" w:name="_Toc459888224"/>
      <w:bookmarkStart w:id="52" w:name="_Toc6875"/>
      <w:r>
        <w:rPr>
          <w:rFonts w:hint="eastAsia" w:ascii="Times New Roman" w:hAnsi="Times New Roman" w:eastAsia="方正黑体_GBK" w:cs="Times New Roman"/>
          <w:b w:val="0"/>
          <w:bCs w:val="0"/>
          <w:color w:val="auto"/>
          <w:lang w:val="en-US" w:eastAsia="zh-CN"/>
        </w:rPr>
        <w:t>比选时间及地点安排</w:t>
      </w:r>
    </w:p>
    <w:bookmarkEnd w:id="47"/>
    <w:bookmarkEnd w:id="48"/>
    <w:bookmarkEnd w:id="49"/>
    <w:bookmarkEnd w:id="50"/>
    <w:bookmarkEnd w:id="51"/>
    <w:bookmarkEnd w:id="52"/>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bookmarkStart w:id="53" w:name="_Toc2968"/>
      <w:bookmarkStart w:id="54" w:name="_Toc25080"/>
      <w:bookmarkStart w:id="55" w:name="_Toc2174"/>
      <w:bookmarkStart w:id="56" w:name="_Toc1888"/>
      <w:bookmarkStart w:id="57" w:name="_Toc19780"/>
      <w:bookmarkStart w:id="58" w:name="_Toc12050"/>
      <w:bookmarkStart w:id="59" w:name="_Toc17981"/>
      <w:bookmarkStart w:id="60" w:name="_Toc459888229"/>
      <w:r>
        <w:rPr>
          <w:rFonts w:hint="eastAsia" w:ascii="Times New Roman" w:hAnsi="Times New Roman" w:eastAsia="方正仿宋_GBK" w:cs="Times New Roman"/>
          <w:color w:val="auto"/>
          <w:sz w:val="28"/>
          <w:szCs w:val="28"/>
          <w:lang w:val="en-US" w:eastAsia="zh-CN"/>
        </w:rPr>
        <w:t>比选文件及相关资料于2024年</w:t>
      </w:r>
      <w:r>
        <w:rPr>
          <w:rFonts w:hint="eastAsia" w:eastAsia="方正仿宋_GBK" w:cs="Times New Roman"/>
          <w:color w:val="auto"/>
          <w:sz w:val="28"/>
          <w:szCs w:val="28"/>
          <w:lang w:val="en-US" w:eastAsia="zh-CN"/>
        </w:rPr>
        <w:t>9</w:t>
      </w:r>
      <w:r>
        <w:rPr>
          <w:rFonts w:hint="eastAsia" w:ascii="Times New Roman" w:hAnsi="Times New Roman" w:eastAsia="方正仿宋_GBK" w:cs="Times New Roman"/>
          <w:color w:val="auto"/>
          <w:sz w:val="28"/>
          <w:szCs w:val="28"/>
          <w:lang w:val="en-US" w:eastAsia="zh-CN"/>
        </w:rPr>
        <w:t>月</w:t>
      </w:r>
      <w:r>
        <w:rPr>
          <w:rFonts w:hint="eastAsia" w:eastAsia="方正仿宋_GBK" w:cs="Times New Roman"/>
          <w:color w:val="auto"/>
          <w:sz w:val="28"/>
          <w:szCs w:val="28"/>
          <w:lang w:val="en-US" w:eastAsia="zh-CN"/>
        </w:rPr>
        <w:t>30</w:t>
      </w:r>
      <w:r>
        <w:rPr>
          <w:rFonts w:hint="eastAsia" w:ascii="Times New Roman" w:hAnsi="Times New Roman" w:eastAsia="方正仿宋_GBK" w:cs="Times New Roman"/>
          <w:color w:val="auto"/>
          <w:sz w:val="28"/>
          <w:szCs w:val="28"/>
          <w:lang w:val="en-US" w:eastAsia="zh-CN"/>
        </w:rPr>
        <w:t>日在重庆江北机场官网（www.cqa.cn）发布。</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4.1 提出问题的截止时间及比选采购人澄清时间：</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比选响应人对比选采购文件如有疑问，须于2024年</w:t>
      </w:r>
      <w:r>
        <w:rPr>
          <w:rFonts w:hint="eastAsia" w:eastAsia="方正仿宋_GBK" w:cs="Times New Roman"/>
          <w:color w:val="auto"/>
          <w:sz w:val="28"/>
          <w:szCs w:val="28"/>
          <w:lang w:val="en-US" w:eastAsia="zh-CN"/>
        </w:rPr>
        <w:t>10</w:t>
      </w:r>
      <w:r>
        <w:rPr>
          <w:rFonts w:hint="eastAsia" w:ascii="Times New Roman" w:hAnsi="Times New Roman" w:eastAsia="方正仿宋_GBK" w:cs="Times New Roman"/>
          <w:color w:val="auto"/>
          <w:sz w:val="28"/>
          <w:szCs w:val="28"/>
          <w:lang w:val="en-US" w:eastAsia="zh-CN"/>
        </w:rPr>
        <w:t>月</w:t>
      </w:r>
      <w:r>
        <w:rPr>
          <w:rFonts w:hint="eastAsia" w:eastAsia="方正仿宋_GBK" w:cs="Times New Roman"/>
          <w:color w:val="auto"/>
          <w:sz w:val="28"/>
          <w:szCs w:val="28"/>
          <w:lang w:val="en-US" w:eastAsia="zh-CN"/>
        </w:rPr>
        <w:t>3</w:t>
      </w:r>
      <w:r>
        <w:rPr>
          <w:rFonts w:hint="eastAsia" w:ascii="Times New Roman" w:hAnsi="Times New Roman" w:eastAsia="方正仿宋_GBK" w:cs="Times New Roman"/>
          <w:color w:val="auto"/>
          <w:sz w:val="28"/>
          <w:szCs w:val="28"/>
          <w:lang w:val="en-US" w:eastAsia="zh-CN"/>
        </w:rPr>
        <w:t>日</w:t>
      </w:r>
      <w:r>
        <w:rPr>
          <w:rFonts w:hint="eastAsia" w:eastAsia="方正仿宋_GBK" w:cs="Times New Roman"/>
          <w:color w:val="auto"/>
          <w:sz w:val="28"/>
          <w:szCs w:val="28"/>
          <w:lang w:val="en-US" w:eastAsia="zh-CN"/>
        </w:rPr>
        <w:t>15:00</w:t>
      </w:r>
      <w:r>
        <w:rPr>
          <w:rFonts w:hint="eastAsia" w:ascii="Times New Roman" w:hAnsi="Times New Roman" w:eastAsia="方正仿宋_GBK" w:cs="Times New Roman"/>
          <w:color w:val="auto"/>
          <w:sz w:val="28"/>
          <w:szCs w:val="28"/>
          <w:lang w:val="en-US" w:eastAsia="zh-CN"/>
        </w:rPr>
        <w:t>时前将疑问（需盖单位鲜章）以电子邮件形式发至比选采购人电子邮箱 cqaxfhwb@163.com，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4.2比选时间</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4.2.1比选</w:t>
      </w:r>
      <w:r>
        <w:rPr>
          <w:rFonts w:hint="eastAsia" w:ascii="Times New Roman" w:hAnsi="Times New Roman" w:eastAsia="方正仿宋_GBK" w:cs="Times New Roman"/>
          <w:color w:val="auto"/>
          <w:sz w:val="28"/>
          <w:szCs w:val="28"/>
          <w:lang w:val="zh-CN" w:eastAsia="zh-CN"/>
        </w:rPr>
        <w:t>响应文件</w:t>
      </w:r>
      <w:r>
        <w:rPr>
          <w:rFonts w:hint="eastAsia" w:ascii="Times New Roman" w:hAnsi="Times New Roman" w:eastAsia="方正仿宋_GBK" w:cs="Times New Roman"/>
          <w:color w:val="auto"/>
          <w:sz w:val="28"/>
          <w:szCs w:val="28"/>
          <w:lang w:val="en-US" w:eastAsia="zh-CN"/>
        </w:rPr>
        <w:t>必须在2024年</w:t>
      </w:r>
      <w:r>
        <w:rPr>
          <w:rFonts w:hint="eastAsia" w:eastAsia="方正仿宋_GBK" w:cs="Times New Roman"/>
          <w:color w:val="auto"/>
          <w:sz w:val="28"/>
          <w:szCs w:val="28"/>
          <w:lang w:val="en-US" w:eastAsia="zh-CN"/>
        </w:rPr>
        <w:t>10</w:t>
      </w:r>
      <w:r>
        <w:rPr>
          <w:rFonts w:hint="eastAsia" w:ascii="Times New Roman" w:hAnsi="Times New Roman" w:eastAsia="方正仿宋_GBK" w:cs="Times New Roman"/>
          <w:color w:val="auto"/>
          <w:sz w:val="28"/>
          <w:szCs w:val="28"/>
          <w:lang w:val="en-US" w:eastAsia="zh-CN"/>
        </w:rPr>
        <w:t>月</w:t>
      </w:r>
      <w:r>
        <w:rPr>
          <w:rFonts w:hint="eastAsia" w:eastAsia="方正仿宋_GBK" w:cs="Times New Roman"/>
          <w:color w:val="auto"/>
          <w:sz w:val="28"/>
          <w:szCs w:val="28"/>
          <w:lang w:val="en-US" w:eastAsia="zh-CN"/>
        </w:rPr>
        <w:t>11</w:t>
      </w:r>
      <w:r>
        <w:rPr>
          <w:rFonts w:hint="eastAsia" w:ascii="Times New Roman" w:hAnsi="Times New Roman" w:eastAsia="方正仿宋_GBK" w:cs="Times New Roman"/>
          <w:color w:val="auto"/>
          <w:sz w:val="28"/>
          <w:szCs w:val="28"/>
          <w:lang w:val="en-US" w:eastAsia="zh-CN"/>
        </w:rPr>
        <w:t>日</w:t>
      </w:r>
      <w:r>
        <w:rPr>
          <w:rFonts w:hint="eastAsia" w:eastAsia="方正仿宋_GBK" w:cs="Times New Roman"/>
          <w:color w:val="auto"/>
          <w:sz w:val="28"/>
          <w:szCs w:val="28"/>
          <w:lang w:val="en-US" w:eastAsia="zh-CN"/>
        </w:rPr>
        <w:t>14时00分</w:t>
      </w:r>
      <w:r>
        <w:rPr>
          <w:rFonts w:hint="eastAsia" w:ascii="Times New Roman" w:hAnsi="Times New Roman" w:eastAsia="方正仿宋_GBK" w:cs="Times New Roman"/>
          <w:color w:val="auto"/>
          <w:sz w:val="28"/>
          <w:szCs w:val="28"/>
          <w:lang w:val="en-US" w:eastAsia="zh-CN"/>
        </w:rPr>
        <w:t>至</w:t>
      </w:r>
      <w:r>
        <w:rPr>
          <w:rFonts w:hint="eastAsia" w:eastAsia="方正仿宋_GBK" w:cs="Times New Roman"/>
          <w:color w:val="auto"/>
          <w:sz w:val="28"/>
          <w:szCs w:val="28"/>
          <w:lang w:val="en-US" w:eastAsia="zh-CN"/>
        </w:rPr>
        <w:t>14时30分</w:t>
      </w:r>
      <w:r>
        <w:rPr>
          <w:rFonts w:hint="eastAsia" w:ascii="Times New Roman" w:hAnsi="Times New Roman" w:eastAsia="方正仿宋_GBK" w:cs="Times New Roman"/>
          <w:color w:val="auto"/>
          <w:sz w:val="28"/>
          <w:szCs w:val="28"/>
          <w:lang w:val="en-US" w:eastAsia="zh-CN"/>
        </w:rPr>
        <w:t>送到重庆江北国际机场有限公司消防监护部办公楼207室（</w:t>
      </w:r>
      <w:r>
        <w:rPr>
          <w:rFonts w:hint="eastAsia" w:ascii="Times New Roman" w:hAnsi="Times New Roman" w:eastAsia="方正仿宋_GBK" w:cs="Times New Roman"/>
          <w:color w:val="auto"/>
          <w:sz w:val="28"/>
          <w:szCs w:val="28"/>
          <w:lang w:val="en-US" w:eastAsia="zh-Hans"/>
        </w:rPr>
        <w:t>机场东路15号）</w:t>
      </w:r>
      <w:r>
        <w:rPr>
          <w:rFonts w:hint="eastAsia" w:ascii="Times New Roman" w:hAnsi="Times New Roman" w:eastAsia="方正仿宋_GBK" w:cs="Times New Roman"/>
          <w:color w:val="auto"/>
          <w:sz w:val="28"/>
          <w:szCs w:val="28"/>
          <w:lang w:val="en-US" w:eastAsia="zh-CN"/>
        </w:rPr>
        <w:t>，过期不予受理。</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4.2.2 2024年</w:t>
      </w:r>
      <w:r>
        <w:rPr>
          <w:rFonts w:hint="eastAsia" w:eastAsia="方正仿宋_GBK" w:cs="Times New Roman"/>
          <w:color w:val="auto"/>
          <w:sz w:val="28"/>
          <w:szCs w:val="28"/>
          <w:lang w:val="en-US" w:eastAsia="zh-CN"/>
        </w:rPr>
        <w:t>10</w:t>
      </w:r>
      <w:r>
        <w:rPr>
          <w:rFonts w:hint="eastAsia" w:ascii="Times New Roman" w:hAnsi="Times New Roman" w:eastAsia="方正仿宋_GBK" w:cs="Times New Roman"/>
          <w:color w:val="auto"/>
          <w:sz w:val="28"/>
          <w:szCs w:val="28"/>
          <w:lang w:val="en-US" w:eastAsia="zh-CN"/>
        </w:rPr>
        <w:t>月</w:t>
      </w:r>
      <w:r>
        <w:rPr>
          <w:rFonts w:hint="eastAsia" w:eastAsia="方正仿宋_GBK" w:cs="Times New Roman"/>
          <w:color w:val="auto"/>
          <w:sz w:val="28"/>
          <w:szCs w:val="28"/>
          <w:lang w:val="en-US" w:eastAsia="zh-CN"/>
        </w:rPr>
        <w:t>11</w:t>
      </w:r>
      <w:r>
        <w:rPr>
          <w:rFonts w:hint="eastAsia" w:ascii="Times New Roman" w:hAnsi="Times New Roman" w:eastAsia="方正仿宋_GBK" w:cs="Times New Roman"/>
          <w:color w:val="auto"/>
          <w:sz w:val="28"/>
          <w:szCs w:val="28"/>
          <w:lang w:val="en-US" w:eastAsia="zh-CN"/>
        </w:rPr>
        <w:t>日</w:t>
      </w:r>
      <w:r>
        <w:rPr>
          <w:rFonts w:hint="eastAsia" w:eastAsia="方正仿宋_GBK" w:cs="Times New Roman"/>
          <w:color w:val="auto"/>
          <w:sz w:val="28"/>
          <w:szCs w:val="28"/>
          <w:lang w:val="en-US" w:eastAsia="zh-CN"/>
        </w:rPr>
        <w:t>14时30分</w:t>
      </w:r>
      <w:r>
        <w:rPr>
          <w:rFonts w:hint="eastAsia" w:ascii="Times New Roman" w:hAnsi="Times New Roman" w:eastAsia="方正仿宋_GBK" w:cs="Times New Roman"/>
          <w:color w:val="auto"/>
          <w:sz w:val="28"/>
          <w:szCs w:val="28"/>
          <w:lang w:val="en-US" w:eastAsia="zh-Hans"/>
        </w:rPr>
        <w:t>在</w:t>
      </w:r>
      <w:r>
        <w:rPr>
          <w:rFonts w:hint="eastAsia" w:ascii="Times New Roman" w:hAnsi="Times New Roman" w:eastAsia="方正仿宋_GBK" w:cs="Times New Roman"/>
          <w:color w:val="auto"/>
          <w:sz w:val="28"/>
          <w:szCs w:val="28"/>
          <w:lang w:val="en-US" w:eastAsia="zh-CN"/>
        </w:rPr>
        <w:t>重庆江北国际机场有限公司消防监护部办公楼对本项目进行比选，各</w:t>
      </w:r>
      <w:r>
        <w:rPr>
          <w:rFonts w:hint="eastAsia" w:eastAsia="方正仿宋_GBK" w:cs="Times New Roman"/>
          <w:color w:val="auto"/>
          <w:sz w:val="28"/>
          <w:szCs w:val="28"/>
          <w:lang w:val="en-US" w:eastAsia="zh-CN"/>
        </w:rPr>
        <w:t>比选</w:t>
      </w:r>
      <w:r>
        <w:rPr>
          <w:rFonts w:hint="eastAsia" w:ascii="Times New Roman" w:hAnsi="Times New Roman" w:eastAsia="方正仿宋_GBK" w:cs="Times New Roman"/>
          <w:color w:val="auto"/>
          <w:sz w:val="28"/>
          <w:szCs w:val="28"/>
          <w:lang w:val="en-US" w:eastAsia="zh-CN"/>
        </w:rPr>
        <w:t>响应人须参加。注：比选开始前，各比选响应人须在重庆江北国际机场消防监护部办公楼207室等候通知具体比选地点。</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4.2.3参加比选唱价会议的比选响应人的法定代表人或其授权的代理人应当随身携带本人身份证（原件），授权的代理人还应当随身携带法定代表人授权委托书（原件），以备核验其合法身份。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4.4比选结果通知</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拟成交结果将公示在重庆江北机场官网，待结果确定后会及时通知，原则上只通知被选中的比选响应人，对未被选中的比选响应人不通知、不解释，响应文件不予退还。</w:t>
      </w:r>
    </w:p>
    <w:p>
      <w:pPr>
        <w:pStyle w:val="4"/>
        <w:pageBreakBefore w:val="0"/>
        <w:widowControl w:val="0"/>
        <w:kinsoku/>
        <w:wordWrap/>
        <w:overflowPunct/>
        <w:topLinePunct w:val="0"/>
        <w:autoSpaceDE/>
        <w:autoSpaceDN/>
        <w:bidi w:val="0"/>
        <w:spacing w:before="0" w:beforeLines="0" w:after="0" w:afterLines="0" w:line="400" w:lineRule="exact"/>
        <w:ind w:firstLine="0"/>
        <w:textAlignment w:val="auto"/>
        <w:rPr>
          <w:rFonts w:hint="eastAsia" w:ascii="Times New Roman" w:hAnsi="Times New Roman" w:eastAsia="方正黑体_GBK" w:cs="Times New Roman"/>
          <w:b w:val="0"/>
          <w:bCs w:val="0"/>
          <w:color w:val="auto"/>
        </w:rPr>
      </w:pPr>
      <w:r>
        <w:rPr>
          <w:rFonts w:hint="eastAsia" w:ascii="Times New Roman" w:hAnsi="Times New Roman" w:eastAsia="方正黑体_GBK" w:cs="Times New Roman"/>
          <w:b w:val="0"/>
          <w:bCs w:val="0"/>
          <w:color w:val="auto"/>
          <w:lang w:val="en-US" w:eastAsia="zh-CN"/>
        </w:rPr>
        <w:t xml:space="preserve">5 </w:t>
      </w:r>
      <w:r>
        <w:rPr>
          <w:rFonts w:hint="eastAsia" w:ascii="Times New Roman" w:hAnsi="Times New Roman" w:eastAsia="方正黑体_GBK" w:cs="Times New Roman"/>
          <w:b w:val="0"/>
          <w:bCs w:val="0"/>
          <w:color w:val="auto"/>
        </w:rPr>
        <w:t>现场踏勘</w:t>
      </w:r>
      <w:bookmarkEnd w:id="53"/>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不组织统一踏勘现场。需踏勘现场的比选响应人可自行踏勘现场或联系比选单位带领踏勘现场。</w:t>
      </w:r>
    </w:p>
    <w:p>
      <w:pPr>
        <w:pStyle w:val="4"/>
        <w:pageBreakBefore w:val="0"/>
        <w:widowControl w:val="0"/>
        <w:kinsoku/>
        <w:wordWrap/>
        <w:overflowPunct/>
        <w:topLinePunct w:val="0"/>
        <w:autoSpaceDE/>
        <w:autoSpaceDN/>
        <w:bidi w:val="0"/>
        <w:spacing w:before="0" w:beforeLines="0" w:after="0" w:afterLines="0" w:line="400" w:lineRule="exact"/>
        <w:ind w:firstLine="0"/>
        <w:textAlignment w:val="auto"/>
        <w:rPr>
          <w:rFonts w:hint="eastAsia" w:ascii="Times New Roman" w:hAnsi="Times New Roman" w:eastAsia="方正黑体_GBK" w:cs="Times New Roman"/>
          <w:color w:val="auto"/>
          <w:sz w:val="28"/>
          <w:szCs w:val="28"/>
          <w:lang w:val="en-US" w:eastAsia="zh-CN"/>
        </w:rPr>
      </w:pPr>
      <w:bookmarkStart w:id="61" w:name="_Toc32178"/>
      <w:bookmarkStart w:id="62" w:name="_Toc22832"/>
      <w:r>
        <w:rPr>
          <w:rFonts w:hint="eastAsia" w:ascii="Times New Roman" w:hAnsi="Times New Roman" w:eastAsia="方正黑体_GBK" w:cs="Times New Roman"/>
          <w:color w:val="auto"/>
          <w:sz w:val="28"/>
          <w:szCs w:val="28"/>
          <w:lang w:val="en-US" w:eastAsia="zh-CN"/>
        </w:rPr>
        <w:t>6 支付方式</w:t>
      </w:r>
      <w:bookmarkEnd w:id="61"/>
      <w:bookmarkEnd w:id="62"/>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6.1 项目完成出具建筑消防设施检测报告，且业主方收到成交方开具的发票后，业主方30个工作日内一次性支付全部费用。</w:t>
      </w:r>
    </w:p>
    <w:p>
      <w:pPr>
        <w:pageBreakBefore w:val="0"/>
        <w:widowControl w:val="0"/>
        <w:kinsoku/>
        <w:wordWrap/>
        <w:overflowPunct/>
        <w:topLinePunct w:val="0"/>
        <w:autoSpaceDE/>
        <w:autoSpaceDN/>
        <w:bidi w:val="0"/>
        <w:adjustRightInd w:val="0"/>
        <w:snapToGrid w:val="0"/>
        <w:spacing w:line="400" w:lineRule="exact"/>
        <w:ind w:left="1" w:firstLine="560" w:firstLineChars="200"/>
        <w:textAlignment w:val="auto"/>
        <w:rPr>
          <w:rFonts w:hint="default" w:ascii="Times New Roman" w:hAnsi="Times New Roman" w:eastAsia="方正仿宋_GBK" w:cs="Times New Roman"/>
          <w:color w:val="auto"/>
          <w:sz w:val="28"/>
          <w:szCs w:val="28"/>
          <w:u w:val="none"/>
          <w:lang w:val="en-US" w:eastAsia="zh-CN"/>
        </w:rPr>
      </w:pPr>
      <w:r>
        <w:rPr>
          <w:rFonts w:hint="default" w:ascii="Times New Roman" w:hAnsi="Times New Roman" w:eastAsia="方正仿宋_GBK" w:cs="Times New Roman"/>
          <w:color w:val="auto"/>
          <w:sz w:val="28"/>
          <w:szCs w:val="28"/>
          <w:lang w:val="en-US" w:eastAsia="zh-CN"/>
        </w:rPr>
        <w:t>6.2 成交方向业主方提供正规增值税专用发票，实际支付金额=不含税金额+增值税税额；若成交方提供普票，业主方支付不含税金额。如税率发生国家法规调整，折算为不含税价后以新适用税率结算</w:t>
      </w:r>
      <w:r>
        <w:rPr>
          <w:rFonts w:hint="default" w:ascii="Times New Roman" w:hAnsi="Times New Roman" w:eastAsia="方正仿宋_GBK" w:cs="Times New Roman"/>
          <w:color w:val="auto"/>
          <w:sz w:val="28"/>
          <w:szCs w:val="28"/>
          <w:u w:val="none"/>
          <w:lang w:val="en-US" w:eastAsia="zh-CN"/>
        </w:rPr>
        <w:t>。</w:t>
      </w:r>
    </w:p>
    <w:p>
      <w:pPr>
        <w:pStyle w:val="4"/>
        <w:pageBreakBefore w:val="0"/>
        <w:widowControl w:val="0"/>
        <w:kinsoku/>
        <w:wordWrap/>
        <w:overflowPunct/>
        <w:topLinePunct w:val="0"/>
        <w:autoSpaceDE/>
        <w:autoSpaceDN/>
        <w:bidi w:val="0"/>
        <w:spacing w:before="0" w:beforeLines="0" w:after="0" w:afterLines="0" w:line="400" w:lineRule="exact"/>
        <w:ind w:firstLine="0"/>
        <w:textAlignment w:val="auto"/>
        <w:rPr>
          <w:rFonts w:hint="eastAsia" w:ascii="Times New Roman" w:hAnsi="Times New Roman" w:eastAsia="方正黑体_GBK" w:cs="Times New Roman"/>
          <w:color w:val="auto"/>
          <w:sz w:val="28"/>
          <w:szCs w:val="28"/>
          <w:lang w:val="en-US" w:eastAsia="zh-CN"/>
        </w:rPr>
      </w:pPr>
      <w:bookmarkStart w:id="63" w:name="_Toc28844"/>
      <w:bookmarkStart w:id="64" w:name="_Toc78202983"/>
      <w:bookmarkStart w:id="65" w:name="_Toc30833"/>
      <w:r>
        <w:rPr>
          <w:rFonts w:hint="eastAsia" w:ascii="Times New Roman" w:hAnsi="Times New Roman" w:eastAsia="方正黑体_GBK" w:cs="Times New Roman"/>
          <w:color w:val="auto"/>
          <w:sz w:val="28"/>
          <w:szCs w:val="28"/>
          <w:lang w:val="en-US" w:eastAsia="zh-CN"/>
        </w:rPr>
        <w:t xml:space="preserve">7 </w:t>
      </w:r>
      <w:bookmarkEnd w:id="63"/>
      <w:bookmarkEnd w:id="64"/>
      <w:r>
        <w:rPr>
          <w:rFonts w:hint="eastAsia" w:ascii="Times New Roman" w:hAnsi="Times New Roman" w:eastAsia="方正黑体_GBK" w:cs="Times New Roman"/>
          <w:color w:val="auto"/>
          <w:sz w:val="28"/>
          <w:szCs w:val="28"/>
          <w:lang w:val="en-US" w:eastAsia="zh-CN"/>
        </w:rPr>
        <w:t>比选响应保证金及履约保证金</w:t>
      </w:r>
      <w:bookmarkEnd w:id="65"/>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7.1 本次比选无响应保证金。</w:t>
      </w:r>
    </w:p>
    <w:p>
      <w:pPr>
        <w:adjustRightInd w:val="0"/>
        <w:snapToGrid w:val="0"/>
        <w:spacing w:line="460" w:lineRule="exact"/>
        <w:ind w:left="1" w:firstLine="560" w:firstLineChars="200"/>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7.2 履约保证金分别为</w:t>
      </w:r>
      <w:r>
        <w:rPr>
          <w:rFonts w:hint="eastAsia" w:eastAsia="方正仿宋_GBK" w:cs="Times New Roman"/>
          <w:color w:val="auto"/>
          <w:sz w:val="28"/>
          <w:szCs w:val="28"/>
          <w:lang w:val="en-US" w:eastAsia="zh-CN"/>
        </w:rPr>
        <w:t>四</w:t>
      </w:r>
      <w:r>
        <w:rPr>
          <w:rFonts w:hint="eastAsia" w:ascii="Times New Roman" w:hAnsi="Times New Roman" w:eastAsia="方正仿宋_GBK" w:cs="Times New Roman"/>
          <w:color w:val="auto"/>
          <w:sz w:val="28"/>
          <w:szCs w:val="28"/>
          <w:lang w:val="en-US" w:eastAsia="zh-CN"/>
        </w:rPr>
        <w:t>部分合同价款的10%，比选响应人</w:t>
      </w:r>
      <w:r>
        <w:rPr>
          <w:rFonts w:hint="eastAsia" w:ascii="仿宋" w:hAnsi="仿宋" w:eastAsia="仿宋" w:cs="仿宋"/>
          <w:color w:val="auto"/>
          <w:sz w:val="28"/>
          <w:szCs w:val="28"/>
        </w:rPr>
        <w:t>在收到成交通知书1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日内且在合同签订前</w:t>
      </w:r>
      <w:r>
        <w:rPr>
          <w:rFonts w:hint="eastAsia" w:ascii="Times New Roman" w:hAnsi="Times New Roman" w:eastAsia="方正仿宋_GBK" w:cs="Times New Roman"/>
          <w:color w:val="auto"/>
          <w:sz w:val="28"/>
          <w:szCs w:val="28"/>
          <w:lang w:val="en-US" w:eastAsia="zh-CN"/>
        </w:rPr>
        <w:t>分别向</w:t>
      </w:r>
      <w:r>
        <w:rPr>
          <w:rFonts w:hint="eastAsia" w:eastAsia="方正仿宋_GBK" w:cs="Times New Roman"/>
          <w:color w:val="auto"/>
          <w:sz w:val="28"/>
          <w:szCs w:val="28"/>
          <w:lang w:val="en-US" w:eastAsia="zh-CN"/>
        </w:rPr>
        <w:t>四个</w:t>
      </w:r>
      <w:r>
        <w:rPr>
          <w:rFonts w:hint="eastAsia" w:ascii="Times New Roman" w:hAnsi="Times New Roman" w:eastAsia="方正仿宋_GBK" w:cs="Times New Roman"/>
          <w:color w:val="auto"/>
          <w:sz w:val="28"/>
          <w:szCs w:val="28"/>
          <w:lang w:val="en-US" w:eastAsia="zh-CN"/>
        </w:rPr>
        <w:t>部分的业主交纳，单个部分或</w:t>
      </w:r>
      <w:r>
        <w:rPr>
          <w:rFonts w:hint="eastAsia" w:eastAsia="方正仿宋_GBK" w:cs="Times New Roman"/>
          <w:color w:val="auto"/>
          <w:sz w:val="28"/>
          <w:szCs w:val="28"/>
          <w:lang w:val="en-US" w:eastAsia="zh-CN"/>
        </w:rPr>
        <w:t>多</w:t>
      </w:r>
      <w:r>
        <w:rPr>
          <w:rFonts w:hint="eastAsia" w:ascii="Times New Roman" w:hAnsi="Times New Roman" w:eastAsia="方正仿宋_GBK" w:cs="Times New Roman"/>
          <w:color w:val="auto"/>
          <w:sz w:val="28"/>
          <w:szCs w:val="28"/>
          <w:lang w:val="en-US" w:eastAsia="zh-CN"/>
        </w:rPr>
        <w:t>个部分逾期未交纳都视为放弃整个项目成交资格。履约结束后，成交方无违约情形，分别向</w:t>
      </w:r>
      <w:r>
        <w:rPr>
          <w:rFonts w:hint="eastAsia" w:eastAsia="方正仿宋_GBK" w:cs="Times New Roman"/>
          <w:color w:val="auto"/>
          <w:sz w:val="28"/>
          <w:szCs w:val="28"/>
          <w:lang w:val="en-US" w:eastAsia="zh-CN"/>
        </w:rPr>
        <w:t>四</w:t>
      </w:r>
      <w:r>
        <w:rPr>
          <w:rFonts w:hint="eastAsia" w:ascii="Times New Roman" w:hAnsi="Times New Roman" w:eastAsia="方正仿宋_GBK" w:cs="Times New Roman"/>
          <w:color w:val="auto"/>
          <w:sz w:val="28"/>
          <w:szCs w:val="28"/>
          <w:lang w:val="en-US" w:eastAsia="zh-CN"/>
        </w:rPr>
        <w:t>个部分业主提出书面申请后30个工作日内无息退还。</w:t>
      </w:r>
    </w:p>
    <w:p>
      <w:pPr>
        <w:adjustRightInd w:val="0"/>
        <w:snapToGrid w:val="0"/>
        <w:spacing w:line="460" w:lineRule="exact"/>
        <w:ind w:left="1" w:firstLine="560" w:firstLineChars="200"/>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7.3 履约保证金提交方式：比选响应人企业基本账户银行转账</w:t>
      </w:r>
      <w:r>
        <w:rPr>
          <w:rFonts w:hint="eastAsia" w:ascii="仿宋" w:hAnsi="仿宋" w:eastAsia="仿宋" w:cs="仿宋"/>
          <w:color w:val="auto"/>
          <w:sz w:val="28"/>
          <w:szCs w:val="28"/>
          <w:highlight w:val="none"/>
        </w:rPr>
        <w:t>，应在“付款备注”中写明本项目名称+</w:t>
      </w:r>
      <w:r>
        <w:rPr>
          <w:rFonts w:hint="eastAsia" w:ascii="仿宋" w:hAnsi="仿宋" w:eastAsia="仿宋" w:cs="仿宋"/>
          <w:color w:val="auto"/>
          <w:sz w:val="28"/>
          <w:szCs w:val="28"/>
          <w:highlight w:val="none"/>
          <w:lang w:eastAsia="zh-CN"/>
        </w:rPr>
        <w:t>履约</w:t>
      </w:r>
      <w:r>
        <w:rPr>
          <w:rFonts w:hint="eastAsia" w:ascii="仿宋" w:hAnsi="仿宋" w:eastAsia="仿宋" w:cs="仿宋"/>
          <w:color w:val="auto"/>
          <w:sz w:val="28"/>
          <w:szCs w:val="28"/>
          <w:highlight w:val="none"/>
        </w:rPr>
        <w:t>保证金</w:t>
      </w:r>
      <w:r>
        <w:rPr>
          <w:rFonts w:hint="eastAsia" w:ascii="Times New Roman" w:hAnsi="Times New Roman" w:eastAsia="方正仿宋_GBK" w:cs="Times New Roman"/>
          <w:color w:val="auto"/>
          <w:sz w:val="28"/>
          <w:szCs w:val="28"/>
          <w:lang w:val="en-US" w:eastAsia="zh-CN"/>
        </w:rPr>
        <w:t>。比选响应人提交后应到</w:t>
      </w:r>
      <w:r>
        <w:rPr>
          <w:rFonts w:hint="eastAsia" w:eastAsia="方正仿宋_GBK" w:cs="Times New Roman"/>
          <w:color w:val="auto"/>
          <w:sz w:val="28"/>
          <w:szCs w:val="28"/>
          <w:lang w:val="en-US" w:eastAsia="zh-CN"/>
        </w:rPr>
        <w:t>四</w:t>
      </w:r>
      <w:r>
        <w:rPr>
          <w:rFonts w:hint="eastAsia" w:ascii="Times New Roman" w:hAnsi="Times New Roman" w:eastAsia="方正仿宋_GBK" w:cs="Times New Roman"/>
          <w:color w:val="auto"/>
          <w:sz w:val="28"/>
          <w:szCs w:val="28"/>
          <w:lang w:val="en-US" w:eastAsia="zh-CN"/>
        </w:rPr>
        <w:t>个部分业主各自财务部门换取保证金收据。</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GB" w:eastAsia="zh-CN"/>
        </w:rPr>
      </w:pPr>
      <w:r>
        <w:rPr>
          <w:rFonts w:hint="eastAsia" w:ascii="Times New Roman" w:hAnsi="Times New Roman" w:eastAsia="方正仿宋_GBK" w:cs="Times New Roman"/>
          <w:color w:val="auto"/>
          <w:sz w:val="28"/>
          <w:szCs w:val="28"/>
          <w:lang w:val="en-US" w:eastAsia="zh-CN"/>
        </w:rPr>
        <w:t>第一部分开户名：</w:t>
      </w:r>
      <w:r>
        <w:rPr>
          <w:rFonts w:hint="eastAsia" w:ascii="Times New Roman" w:hAnsi="Times New Roman" w:eastAsia="方正仿宋_GBK" w:cs="Times New Roman"/>
          <w:color w:val="auto"/>
          <w:sz w:val="28"/>
          <w:szCs w:val="28"/>
          <w:lang w:val="en-GB" w:eastAsia="zh-CN"/>
        </w:rPr>
        <w:t>重庆机场集团有限公司</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GB" w:eastAsia="zh-CN"/>
        </w:rPr>
      </w:pPr>
      <w:r>
        <w:rPr>
          <w:rFonts w:hint="eastAsia" w:ascii="Times New Roman" w:hAnsi="Times New Roman" w:eastAsia="方正仿宋_GBK" w:cs="Times New Roman"/>
          <w:color w:val="auto"/>
          <w:sz w:val="28"/>
          <w:szCs w:val="28"/>
          <w:lang w:val="en-GB" w:eastAsia="zh-CN"/>
        </w:rPr>
        <w:t>开户行：建设银行重庆渝北机场支行</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GB" w:eastAsia="zh-CN"/>
        </w:rPr>
      </w:pPr>
      <w:r>
        <w:rPr>
          <w:rFonts w:hint="eastAsia" w:ascii="Times New Roman" w:hAnsi="Times New Roman" w:eastAsia="方正仿宋_GBK" w:cs="Times New Roman"/>
          <w:color w:val="auto"/>
          <w:sz w:val="28"/>
          <w:szCs w:val="28"/>
          <w:lang w:val="en-GB" w:eastAsia="zh-CN"/>
        </w:rPr>
        <w:t>账号：50001083800050000447</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GB" w:eastAsia="zh-CN"/>
        </w:rPr>
      </w:pPr>
      <w:r>
        <w:rPr>
          <w:rFonts w:hint="eastAsia" w:ascii="Times New Roman" w:hAnsi="Times New Roman" w:eastAsia="方正仿宋_GBK" w:cs="Times New Roman"/>
          <w:color w:val="auto"/>
          <w:sz w:val="28"/>
          <w:szCs w:val="28"/>
          <w:lang w:val="en-US" w:eastAsia="zh-CN"/>
        </w:rPr>
        <w:t>第</w:t>
      </w:r>
      <w:r>
        <w:rPr>
          <w:rFonts w:hint="eastAsia" w:eastAsia="方正仿宋_GBK" w:cs="Times New Roman"/>
          <w:color w:val="auto"/>
          <w:sz w:val="28"/>
          <w:szCs w:val="28"/>
          <w:lang w:val="en-US" w:eastAsia="zh-CN"/>
        </w:rPr>
        <w:t>二</w:t>
      </w:r>
      <w:r>
        <w:rPr>
          <w:rFonts w:hint="eastAsia" w:ascii="Times New Roman" w:hAnsi="Times New Roman" w:eastAsia="方正仿宋_GBK" w:cs="Times New Roman"/>
          <w:color w:val="auto"/>
          <w:sz w:val="28"/>
          <w:szCs w:val="28"/>
          <w:lang w:val="en-US" w:eastAsia="zh-CN"/>
        </w:rPr>
        <w:t>部分开户名：</w:t>
      </w:r>
      <w:r>
        <w:rPr>
          <w:rFonts w:hint="eastAsia" w:ascii="Times New Roman" w:hAnsi="Times New Roman" w:eastAsia="方正仿宋_GBK" w:cs="Times New Roman"/>
          <w:color w:val="auto"/>
          <w:sz w:val="28"/>
          <w:szCs w:val="28"/>
          <w:lang w:val="en-GB" w:eastAsia="zh-CN"/>
        </w:rPr>
        <w:t>重庆机场集团有限公司</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GB" w:eastAsia="zh-CN"/>
        </w:rPr>
      </w:pPr>
      <w:r>
        <w:rPr>
          <w:rFonts w:hint="eastAsia" w:ascii="Times New Roman" w:hAnsi="Times New Roman" w:eastAsia="方正仿宋_GBK" w:cs="Times New Roman"/>
          <w:color w:val="auto"/>
          <w:sz w:val="28"/>
          <w:szCs w:val="28"/>
          <w:lang w:val="en-GB" w:eastAsia="zh-CN"/>
        </w:rPr>
        <w:t>开户行：建设银行重庆渝北机场支行</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GB" w:eastAsia="zh-CN"/>
        </w:rPr>
      </w:pPr>
      <w:r>
        <w:rPr>
          <w:rFonts w:hint="eastAsia" w:ascii="Times New Roman" w:hAnsi="Times New Roman" w:eastAsia="方正仿宋_GBK" w:cs="Times New Roman"/>
          <w:color w:val="auto"/>
          <w:sz w:val="28"/>
          <w:szCs w:val="28"/>
          <w:lang w:val="en-GB" w:eastAsia="zh-CN"/>
        </w:rPr>
        <w:t>账号：50001083800050000447</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第</w:t>
      </w:r>
      <w:r>
        <w:rPr>
          <w:rFonts w:hint="eastAsia" w:eastAsia="方正仿宋_GBK" w:cs="Times New Roman"/>
          <w:color w:val="auto"/>
          <w:sz w:val="28"/>
          <w:szCs w:val="28"/>
          <w:lang w:val="en-US" w:eastAsia="zh-CN"/>
        </w:rPr>
        <w:t>三</w:t>
      </w:r>
      <w:r>
        <w:rPr>
          <w:rFonts w:hint="eastAsia" w:ascii="Times New Roman" w:hAnsi="Times New Roman" w:eastAsia="方正仿宋_GBK" w:cs="Times New Roman"/>
          <w:color w:val="auto"/>
          <w:sz w:val="28"/>
          <w:szCs w:val="28"/>
          <w:lang w:val="en-US" w:eastAsia="zh-CN"/>
        </w:rPr>
        <w:t>部分开户名：重庆江北国际机场有限公司</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开户银行：建设银行重庆渝北机场支行</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账号：50050108380000000060</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第</w:t>
      </w:r>
      <w:r>
        <w:rPr>
          <w:rFonts w:hint="eastAsia" w:eastAsia="方正仿宋_GBK" w:cs="Times New Roman"/>
          <w:color w:val="auto"/>
          <w:sz w:val="28"/>
          <w:szCs w:val="28"/>
          <w:lang w:val="en-US" w:eastAsia="zh-CN"/>
        </w:rPr>
        <w:t>四</w:t>
      </w:r>
      <w:r>
        <w:rPr>
          <w:rFonts w:hint="eastAsia" w:ascii="Times New Roman" w:hAnsi="Times New Roman" w:eastAsia="方正仿宋_GBK" w:cs="Times New Roman"/>
          <w:color w:val="auto"/>
          <w:sz w:val="28"/>
          <w:szCs w:val="28"/>
          <w:lang w:val="en-US" w:eastAsia="zh-CN"/>
        </w:rPr>
        <w:t>部分开户名：</w:t>
      </w:r>
      <w:r>
        <w:rPr>
          <w:rFonts w:hint="eastAsia" w:ascii="Times New Roman" w:hAnsi="Times New Roman" w:eastAsia="方正仿宋_GBK" w:cs="Times New Roman"/>
          <w:color w:val="auto"/>
          <w:sz w:val="28"/>
          <w:szCs w:val="28"/>
          <w:lang w:val="en-US" w:eastAsia="zh-CN"/>
        </w:rPr>
        <w:fldChar w:fldCharType="begin"/>
      </w:r>
      <w:r>
        <w:rPr>
          <w:rFonts w:hint="eastAsia" w:ascii="Times New Roman" w:hAnsi="Times New Roman" w:eastAsia="方正仿宋_GBK" w:cs="Times New Roman"/>
          <w:color w:val="auto"/>
          <w:sz w:val="28"/>
          <w:szCs w:val="28"/>
          <w:lang w:val="en-US" w:eastAsia="zh-CN"/>
        </w:rPr>
        <w:instrText xml:space="preserve"> HYPERLINK "http://www.baidu.com/link?url=2S5FmAM1qtSnCKF8mEY6wWhzcpeFL7Uxo-_OzAJt3fjfuveEZe_rr36EhEA72n5Km8O-B0ECryZemsjFrQqm__" \t "https://www.baidu.com/_blank" </w:instrText>
      </w:r>
      <w:r>
        <w:rPr>
          <w:rFonts w:hint="eastAsia" w:ascii="Times New Roman" w:hAnsi="Times New Roman" w:eastAsia="方正仿宋_GBK" w:cs="Times New Roman"/>
          <w:color w:val="auto"/>
          <w:sz w:val="28"/>
          <w:szCs w:val="28"/>
          <w:lang w:val="en-US" w:eastAsia="zh-CN"/>
        </w:rPr>
        <w:fldChar w:fldCharType="separate"/>
      </w:r>
      <w:r>
        <w:rPr>
          <w:rFonts w:hint="eastAsia" w:ascii="Times New Roman" w:hAnsi="Times New Roman" w:eastAsia="方正仿宋_GBK" w:cs="Times New Roman"/>
          <w:color w:val="auto"/>
          <w:sz w:val="28"/>
          <w:szCs w:val="28"/>
          <w:lang w:val="en-US" w:eastAsia="zh-CN"/>
        </w:rPr>
        <w:t>重庆机场集团有限公司航空物流园发展分公司</w:t>
      </w:r>
      <w:r>
        <w:rPr>
          <w:rFonts w:hint="eastAsia" w:ascii="Times New Roman" w:hAnsi="Times New Roman" w:eastAsia="方正仿宋_GBK" w:cs="Times New Roman"/>
          <w:color w:val="auto"/>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开户银行：建设银行重庆渝北机场支行</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账号：50001083800050201417</w:t>
      </w:r>
    </w:p>
    <w:p>
      <w:pPr>
        <w:pStyle w:val="4"/>
        <w:pageBreakBefore w:val="0"/>
        <w:widowControl w:val="0"/>
        <w:kinsoku/>
        <w:wordWrap/>
        <w:overflowPunct/>
        <w:topLinePunct w:val="0"/>
        <w:autoSpaceDE/>
        <w:autoSpaceDN/>
        <w:bidi w:val="0"/>
        <w:spacing w:before="0" w:beforeLines="0" w:after="0" w:afterLines="0" w:line="400" w:lineRule="exact"/>
        <w:ind w:firstLine="0"/>
        <w:textAlignment w:val="auto"/>
        <w:rPr>
          <w:rFonts w:hint="eastAsia" w:ascii="Times New Roman" w:hAnsi="Times New Roman" w:eastAsia="方正黑体_GBK" w:cs="Times New Roman"/>
          <w:color w:val="auto"/>
          <w:sz w:val="28"/>
          <w:szCs w:val="28"/>
          <w:lang w:val="en-US" w:eastAsia="zh-CN"/>
        </w:rPr>
      </w:pPr>
      <w:bookmarkStart w:id="66" w:name="_Toc845"/>
      <w:bookmarkStart w:id="67" w:name="_Toc13057"/>
      <w:r>
        <w:rPr>
          <w:rFonts w:hint="eastAsia" w:ascii="Times New Roman" w:hAnsi="Times New Roman" w:eastAsia="方正黑体_GBK" w:cs="Times New Roman"/>
          <w:color w:val="auto"/>
          <w:sz w:val="28"/>
          <w:szCs w:val="28"/>
          <w:lang w:val="en-US" w:eastAsia="zh-CN"/>
        </w:rPr>
        <w:t>8 项目工期</w:t>
      </w:r>
      <w:bookmarkEnd w:id="66"/>
      <w:bookmarkEnd w:id="67"/>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自合同签订</w:t>
      </w:r>
      <w:r>
        <w:rPr>
          <w:rFonts w:hint="eastAsia" w:eastAsia="方正仿宋_GBK" w:cs="Times New Roman"/>
          <w:color w:val="auto"/>
          <w:sz w:val="28"/>
          <w:szCs w:val="28"/>
          <w:lang w:val="en-US" w:eastAsia="zh-CN"/>
        </w:rPr>
        <w:t>之日起45</w:t>
      </w:r>
      <w:r>
        <w:rPr>
          <w:rFonts w:hint="eastAsia" w:ascii="Times New Roman" w:hAnsi="Times New Roman" w:eastAsia="方正仿宋_GBK" w:cs="Times New Roman"/>
          <w:color w:val="auto"/>
          <w:sz w:val="28"/>
          <w:szCs w:val="28"/>
          <w:lang w:val="en-US" w:eastAsia="zh-CN"/>
        </w:rPr>
        <w:t>个</w:t>
      </w:r>
      <w:bookmarkEnd w:id="59"/>
      <w:bookmarkStart w:id="68" w:name="_Toc26097"/>
      <w:bookmarkStart w:id="69" w:name="_Toc9074"/>
      <w:bookmarkStart w:id="70" w:name="_Toc4964968"/>
      <w:bookmarkStart w:id="71" w:name="_Toc27441"/>
      <w:bookmarkStart w:id="72" w:name="_Toc30911"/>
      <w:r>
        <w:rPr>
          <w:rFonts w:hint="eastAsia" w:eastAsia="方正仿宋_GBK" w:cs="Times New Roman"/>
          <w:color w:val="auto"/>
          <w:sz w:val="28"/>
          <w:szCs w:val="28"/>
          <w:lang w:val="en-US" w:eastAsia="zh-CN"/>
        </w:rPr>
        <w:t>日历天</w:t>
      </w:r>
      <w:r>
        <w:rPr>
          <w:rFonts w:hint="eastAsia" w:ascii="Times New Roman" w:hAnsi="Times New Roman" w:eastAsia="方正仿宋_GBK" w:cs="Times New Roman"/>
          <w:color w:val="auto"/>
          <w:sz w:val="28"/>
          <w:szCs w:val="28"/>
          <w:lang w:val="en-US" w:eastAsia="zh-CN"/>
        </w:rPr>
        <w:t>。</w:t>
      </w:r>
    </w:p>
    <w:p>
      <w:pPr>
        <w:pStyle w:val="4"/>
        <w:pageBreakBefore w:val="0"/>
        <w:widowControl w:val="0"/>
        <w:kinsoku/>
        <w:wordWrap/>
        <w:overflowPunct/>
        <w:topLinePunct w:val="0"/>
        <w:autoSpaceDE/>
        <w:autoSpaceDN/>
        <w:bidi w:val="0"/>
        <w:spacing w:before="0" w:beforeLines="0" w:after="0" w:afterLines="0" w:line="400" w:lineRule="exact"/>
        <w:ind w:firstLine="0"/>
        <w:textAlignment w:val="auto"/>
        <w:rPr>
          <w:rFonts w:hint="eastAsia" w:ascii="Times New Roman" w:hAnsi="Times New Roman" w:eastAsia="方正黑体_GBK" w:cs="Times New Roman"/>
          <w:color w:val="auto"/>
          <w:sz w:val="28"/>
          <w:szCs w:val="28"/>
          <w:lang w:val="en-US" w:eastAsia="zh-CN"/>
        </w:rPr>
      </w:pPr>
      <w:bookmarkStart w:id="73" w:name="_Toc4375"/>
      <w:bookmarkStart w:id="74" w:name="_Toc4830"/>
      <w:bookmarkStart w:id="75" w:name="_Toc78202986"/>
      <w:r>
        <w:rPr>
          <w:rFonts w:hint="eastAsia" w:ascii="Times New Roman" w:hAnsi="Times New Roman" w:eastAsia="方正黑体_GBK" w:cs="Times New Roman"/>
          <w:color w:val="auto"/>
          <w:sz w:val="28"/>
          <w:szCs w:val="28"/>
          <w:lang w:val="en-US" w:eastAsia="zh-CN"/>
        </w:rPr>
        <w:t>9 比选响应有效期</w:t>
      </w:r>
      <w:bookmarkEnd w:id="73"/>
      <w:bookmarkEnd w:id="74"/>
      <w:bookmarkEnd w:id="75"/>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90天（自比选响应人提交比选响应文件截止之日起计算）。</w:t>
      </w:r>
    </w:p>
    <w:p>
      <w:pPr>
        <w:pStyle w:val="4"/>
        <w:pageBreakBefore w:val="0"/>
        <w:widowControl w:val="0"/>
        <w:kinsoku/>
        <w:wordWrap/>
        <w:overflowPunct/>
        <w:topLinePunct w:val="0"/>
        <w:autoSpaceDE/>
        <w:autoSpaceDN/>
        <w:bidi w:val="0"/>
        <w:spacing w:before="0" w:beforeLines="0" w:after="0" w:afterLines="0" w:line="400" w:lineRule="exact"/>
        <w:ind w:firstLine="0"/>
        <w:textAlignment w:val="auto"/>
        <w:rPr>
          <w:rFonts w:hint="eastAsia" w:ascii="Times New Roman" w:hAnsi="Times New Roman" w:eastAsia="方正黑体_GBK" w:cs="Times New Roman"/>
          <w:color w:val="auto"/>
          <w:sz w:val="28"/>
          <w:szCs w:val="28"/>
          <w:lang w:val="en-US" w:eastAsia="zh-CN"/>
        </w:rPr>
      </w:pPr>
      <w:bookmarkStart w:id="76" w:name="_Toc78202987"/>
      <w:bookmarkStart w:id="77" w:name="_Toc12146"/>
      <w:bookmarkStart w:id="78" w:name="_Toc2376"/>
      <w:r>
        <w:rPr>
          <w:rFonts w:hint="eastAsia" w:ascii="Times New Roman" w:hAnsi="Times New Roman" w:eastAsia="方正黑体_GBK" w:cs="Times New Roman"/>
          <w:color w:val="auto"/>
          <w:sz w:val="28"/>
          <w:szCs w:val="28"/>
          <w:lang w:val="en-US" w:eastAsia="zh-CN"/>
        </w:rPr>
        <w:t>10 比选响应文件的编制和提交</w:t>
      </w:r>
      <w:bookmarkEnd w:id="76"/>
      <w:bookmarkEnd w:id="77"/>
      <w:bookmarkEnd w:id="78"/>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zh-CN" w:eastAsia="zh-CN"/>
        </w:rPr>
      </w:pPr>
      <w:r>
        <w:rPr>
          <w:rFonts w:hint="eastAsia" w:ascii="Times New Roman" w:hAnsi="Times New Roman" w:eastAsia="方正仿宋_GBK" w:cs="Times New Roman"/>
          <w:color w:val="auto"/>
          <w:sz w:val="28"/>
          <w:szCs w:val="28"/>
          <w:lang w:val="en-US" w:eastAsia="zh-CN"/>
        </w:rPr>
        <w:t>10</w:t>
      </w:r>
      <w:r>
        <w:rPr>
          <w:rFonts w:hint="eastAsia" w:ascii="Times New Roman" w:hAnsi="Times New Roman" w:eastAsia="方正仿宋_GBK" w:cs="Times New Roman"/>
          <w:color w:val="auto"/>
          <w:sz w:val="28"/>
          <w:szCs w:val="28"/>
          <w:lang w:val="zh-CN" w:eastAsia="zh-CN"/>
        </w:rPr>
        <w:t xml:space="preserve">.1 </w:t>
      </w:r>
      <w:r>
        <w:rPr>
          <w:rFonts w:hint="eastAsia" w:ascii="Times New Roman" w:hAnsi="Times New Roman" w:eastAsia="方正仿宋_GBK" w:cs="Times New Roman"/>
          <w:color w:val="auto"/>
          <w:sz w:val="28"/>
          <w:szCs w:val="28"/>
          <w:lang w:val="en-US" w:eastAsia="zh-CN"/>
        </w:rPr>
        <w:t>比选响应人</w:t>
      </w:r>
      <w:r>
        <w:rPr>
          <w:rFonts w:hint="eastAsia" w:ascii="Times New Roman" w:hAnsi="Times New Roman" w:eastAsia="方正仿宋_GBK" w:cs="Times New Roman"/>
          <w:color w:val="auto"/>
          <w:sz w:val="28"/>
          <w:szCs w:val="28"/>
          <w:lang w:val="zh-CN" w:eastAsia="zh-CN"/>
        </w:rPr>
        <w:t>应当按照</w:t>
      </w:r>
      <w:r>
        <w:rPr>
          <w:rFonts w:hint="eastAsia" w:ascii="Times New Roman" w:hAnsi="Times New Roman" w:eastAsia="方正仿宋_GBK" w:cs="Times New Roman"/>
          <w:color w:val="auto"/>
          <w:sz w:val="28"/>
          <w:szCs w:val="28"/>
          <w:lang w:val="en-US" w:eastAsia="zh-CN"/>
        </w:rPr>
        <w:t>比选</w:t>
      </w:r>
      <w:r>
        <w:rPr>
          <w:rFonts w:hint="eastAsia" w:ascii="Times New Roman" w:hAnsi="Times New Roman" w:eastAsia="方正仿宋_GBK" w:cs="Times New Roman"/>
          <w:color w:val="auto"/>
          <w:sz w:val="28"/>
          <w:szCs w:val="28"/>
          <w:lang w:val="zh-CN" w:eastAsia="zh-CN"/>
        </w:rPr>
        <w:t>采购文件的要求编制比选响应文件，比选响应文件应当对</w:t>
      </w:r>
      <w:r>
        <w:rPr>
          <w:rFonts w:hint="eastAsia" w:ascii="Times New Roman" w:hAnsi="Times New Roman" w:eastAsia="方正仿宋_GBK" w:cs="Times New Roman"/>
          <w:color w:val="auto"/>
          <w:sz w:val="28"/>
          <w:szCs w:val="28"/>
          <w:lang w:val="en-US" w:eastAsia="zh-CN"/>
        </w:rPr>
        <w:t>比选</w:t>
      </w:r>
      <w:r>
        <w:rPr>
          <w:rFonts w:hint="eastAsia" w:ascii="Times New Roman" w:hAnsi="Times New Roman" w:eastAsia="方正仿宋_GBK" w:cs="Times New Roman"/>
          <w:color w:val="auto"/>
          <w:sz w:val="28"/>
          <w:szCs w:val="28"/>
          <w:lang w:val="zh-CN" w:eastAsia="zh-CN"/>
        </w:rPr>
        <w:t>采购文件提出的要求和条件作出实质性应答。</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zh-CN" w:eastAsia="zh-CN"/>
        </w:rPr>
      </w:pPr>
      <w:r>
        <w:rPr>
          <w:rFonts w:hint="eastAsia" w:ascii="Times New Roman" w:hAnsi="Times New Roman" w:eastAsia="方正仿宋_GBK" w:cs="Times New Roman"/>
          <w:color w:val="auto"/>
          <w:sz w:val="28"/>
          <w:szCs w:val="28"/>
          <w:lang w:val="en-US" w:eastAsia="zh-CN"/>
        </w:rPr>
        <w:t>10</w:t>
      </w:r>
      <w:r>
        <w:rPr>
          <w:rFonts w:hint="eastAsia" w:ascii="Times New Roman" w:hAnsi="Times New Roman" w:eastAsia="方正仿宋_GBK" w:cs="Times New Roman"/>
          <w:color w:val="auto"/>
          <w:sz w:val="28"/>
          <w:szCs w:val="28"/>
          <w:lang w:val="zh-CN" w:eastAsia="zh-CN"/>
        </w:rPr>
        <w:t>.2 比选响应文件应用A4规格纸编制并装订成册，主要由以下几个部分组成：</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zh-CN" w:eastAsia="zh-CN"/>
        </w:rPr>
      </w:pPr>
      <w:r>
        <w:rPr>
          <w:rFonts w:hint="eastAsia" w:ascii="Times New Roman" w:hAnsi="Times New Roman"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zh-CN" w:eastAsia="zh-CN"/>
        </w:rPr>
        <w:t>封面（在封面注明</w:t>
      </w:r>
      <w:r>
        <w:rPr>
          <w:rFonts w:hint="eastAsia" w:ascii="Times New Roman" w:hAnsi="Times New Roman" w:eastAsia="方正仿宋_GBK" w:cs="Times New Roman"/>
          <w:color w:val="auto"/>
          <w:sz w:val="28"/>
          <w:szCs w:val="28"/>
          <w:lang w:val="en-US" w:eastAsia="zh-CN"/>
        </w:rPr>
        <w:t>项目</w:t>
      </w:r>
      <w:r>
        <w:rPr>
          <w:rFonts w:hint="eastAsia" w:ascii="Times New Roman" w:hAnsi="Times New Roman" w:eastAsia="方正仿宋_GBK" w:cs="Times New Roman"/>
          <w:color w:val="auto"/>
          <w:sz w:val="28"/>
          <w:szCs w:val="28"/>
          <w:lang w:val="zh-CN" w:eastAsia="zh-CN"/>
        </w:rPr>
        <w:t>名称）。</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zh-CN" w:eastAsia="zh-CN"/>
        </w:rPr>
      </w:pPr>
      <w:r>
        <w:rPr>
          <w:rFonts w:hint="eastAsia"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zh-CN" w:eastAsia="zh-CN"/>
        </w:rPr>
        <w:t>加盖公章的报价函及声明（格式按附件）。</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zh-CN" w:eastAsia="zh-CN"/>
        </w:rPr>
      </w:pPr>
      <w:r>
        <w:rPr>
          <w:rFonts w:hint="eastAsia" w:ascii="Times New Roman" w:hAnsi="Times New Roman" w:eastAsia="方正仿宋_GBK" w:cs="Times New Roman"/>
          <w:color w:val="auto"/>
          <w:sz w:val="28"/>
          <w:szCs w:val="28"/>
          <w:lang w:val="en-US" w:eastAsia="zh-CN"/>
        </w:rPr>
        <w:t>（3）</w:t>
      </w:r>
      <w:r>
        <w:rPr>
          <w:rFonts w:hint="eastAsia" w:ascii="Times New Roman" w:hAnsi="Times New Roman" w:eastAsia="方正仿宋_GBK" w:cs="Times New Roman"/>
          <w:color w:val="auto"/>
          <w:sz w:val="28"/>
          <w:szCs w:val="28"/>
          <w:lang w:val="zh-CN" w:eastAsia="zh-CN"/>
        </w:rPr>
        <w:t>报价部分。比选响应人应按照比选采购文件要求进行报价，报价应包括拟提供检测、人员、工具、相关税金、通行证件办理等全部费用，报价为不含税报价，增值税税率单列。</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zh-CN" w:eastAsia="zh-CN"/>
        </w:rPr>
      </w:pPr>
      <w:r>
        <w:rPr>
          <w:rFonts w:hint="eastAsia" w:ascii="Times New Roman" w:hAnsi="Times New Roman" w:eastAsia="方正仿宋_GBK" w:cs="Times New Roman"/>
          <w:color w:val="auto"/>
          <w:sz w:val="28"/>
          <w:szCs w:val="28"/>
          <w:lang w:val="en-US" w:eastAsia="zh-CN"/>
        </w:rPr>
        <w:t>（4）</w:t>
      </w:r>
      <w:r>
        <w:rPr>
          <w:rFonts w:hint="eastAsia" w:ascii="Times New Roman" w:hAnsi="Times New Roman" w:eastAsia="方正仿宋_GBK" w:cs="Times New Roman"/>
          <w:color w:val="auto"/>
          <w:sz w:val="28"/>
          <w:szCs w:val="28"/>
          <w:lang w:val="zh-CN" w:eastAsia="zh-CN"/>
        </w:rPr>
        <w:t>技术部分。比选响应人根据检测任务，结合国家、行业、地方有关消防设施检测的标准、规程，拟定各类自动消防设施年度检测技术服务方案。</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w:t>
      </w:r>
      <w:r>
        <w:rPr>
          <w:rFonts w:hint="eastAsia" w:ascii="Times New Roman" w:hAnsi="Times New Roman" w:eastAsia="方正仿宋_GBK" w:cs="Times New Roman"/>
          <w:color w:val="auto"/>
          <w:sz w:val="28"/>
          <w:szCs w:val="28"/>
          <w:lang w:val="zh-CN" w:eastAsia="zh-CN"/>
        </w:rPr>
        <w:t>商务部分。</w:t>
      </w:r>
      <w:r>
        <w:rPr>
          <w:rFonts w:hint="default" w:ascii="Times New Roman" w:hAnsi="Times New Roman" w:eastAsia="仿宋" w:cs="Times New Roman"/>
          <w:color w:val="auto"/>
          <w:sz w:val="28"/>
          <w:szCs w:val="28"/>
          <w:highlight w:val="none"/>
          <w:lang w:val="zh-CN"/>
        </w:rPr>
        <w:t>主要包括营业执照（复印件，</w:t>
      </w:r>
      <w:r>
        <w:rPr>
          <w:rFonts w:hint="default" w:ascii="Times New Roman" w:hAnsi="Times New Roman" w:eastAsia="仿宋" w:cs="Times New Roman"/>
          <w:color w:val="auto"/>
          <w:sz w:val="28"/>
          <w:szCs w:val="28"/>
          <w:highlight w:val="none"/>
        </w:rPr>
        <w:t>加盖鲜章</w:t>
      </w: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法定代表人身份证明（原件盖鲜章并附法定代表人身份证复印件加盖鲜章），法定代表人授权委托书</w:t>
      </w:r>
      <w:r>
        <w:rPr>
          <w:rFonts w:hint="default" w:ascii="Times New Roman" w:hAnsi="Times New Roman" w:eastAsia="仿宋" w:cs="Times New Roman"/>
          <w:color w:val="auto"/>
          <w:sz w:val="28"/>
          <w:szCs w:val="28"/>
          <w:highlight w:val="none"/>
          <w:lang w:val="zh-CN"/>
        </w:rPr>
        <w:t>（原件</w:t>
      </w:r>
      <w:r>
        <w:rPr>
          <w:rFonts w:hint="default" w:ascii="Times New Roman" w:hAnsi="Times New Roman" w:eastAsia="仿宋" w:cs="Times New Roman"/>
          <w:color w:val="auto"/>
          <w:sz w:val="28"/>
          <w:szCs w:val="28"/>
          <w:highlight w:val="none"/>
        </w:rPr>
        <w:t>盖鲜章并附委托代理人身份证复印件加盖鲜章</w:t>
      </w:r>
      <w:r>
        <w:rPr>
          <w:rFonts w:hint="default" w:ascii="Times New Roman" w:hAnsi="Times New Roman" w:eastAsia="仿宋" w:cs="Times New Roman"/>
          <w:color w:val="auto"/>
          <w:sz w:val="28"/>
          <w:szCs w:val="28"/>
          <w:highlight w:val="none"/>
          <w:lang w:val="zh-CN"/>
        </w:rPr>
        <w:t>）</w:t>
      </w:r>
      <w:r>
        <w:rPr>
          <w:rFonts w:hint="eastAsia" w:ascii="Times New Roman" w:hAnsi="Times New Roman" w:eastAsia="仿宋" w:cs="Times New Roman"/>
          <w:color w:val="auto"/>
          <w:sz w:val="28"/>
          <w:szCs w:val="28"/>
          <w:highlight w:val="none"/>
          <w:lang w:val="zh-CN"/>
        </w:rPr>
        <w:t>，</w:t>
      </w:r>
      <w:r>
        <w:rPr>
          <w:rFonts w:hint="eastAsia" w:ascii="Times New Roman" w:hAnsi="Times New Roman" w:eastAsia="方正仿宋_GBK" w:cs="Times New Roman"/>
          <w:color w:val="auto"/>
          <w:sz w:val="28"/>
          <w:szCs w:val="28"/>
          <w:lang w:val="zh-CN" w:eastAsia="zh-CN"/>
        </w:rPr>
        <w:t>信誉要求证明、其它资格证明（如质量体系认证等）以及服务承诺等。</w:t>
      </w:r>
    </w:p>
    <w:p>
      <w:pPr>
        <w:autoSpaceDE w:val="0"/>
        <w:autoSpaceDN w:val="0"/>
        <w:adjustRightInd w:val="0"/>
        <w:spacing w:line="460" w:lineRule="exact"/>
        <w:ind w:firstLine="630" w:firstLineChars="225"/>
        <w:rPr>
          <w:rFonts w:hint="eastAsia" w:ascii="Times New Roman" w:hAnsi="Times New Roman" w:eastAsia="方正仿宋_GBK" w:cs="Times New Roman"/>
          <w:color w:val="auto"/>
          <w:sz w:val="28"/>
          <w:szCs w:val="28"/>
          <w:lang w:val="zh-CN" w:eastAsia="zh-CN"/>
        </w:rPr>
      </w:pPr>
      <w:r>
        <w:rPr>
          <w:rFonts w:hint="eastAsia" w:ascii="Times New Roman" w:hAnsi="Times New Roman" w:eastAsia="方正仿宋_GBK" w:cs="Times New Roman"/>
          <w:color w:val="auto"/>
          <w:sz w:val="28"/>
          <w:szCs w:val="28"/>
          <w:lang w:val="en-US" w:eastAsia="zh-CN"/>
        </w:rPr>
        <w:t>（6）</w:t>
      </w:r>
      <w:r>
        <w:rPr>
          <w:rFonts w:hint="default" w:ascii="Times New Roman" w:hAnsi="Times New Roman" w:eastAsia="仿宋" w:cs="Times New Roman"/>
          <w:color w:val="auto"/>
          <w:sz w:val="28"/>
          <w:szCs w:val="28"/>
          <w:highlight w:val="none"/>
          <w:lang w:val="zh-CN"/>
        </w:rPr>
        <w:t>比选响应文件</w:t>
      </w:r>
      <w:r>
        <w:rPr>
          <w:rFonts w:hint="default" w:ascii="Times New Roman" w:hAnsi="Times New Roman" w:eastAsia="仿宋" w:cs="Times New Roman"/>
          <w:color w:val="auto"/>
          <w:sz w:val="28"/>
          <w:szCs w:val="28"/>
          <w:highlight w:val="none"/>
        </w:rPr>
        <w:t>包括：</w:t>
      </w:r>
      <w:r>
        <w:rPr>
          <w:rFonts w:hint="default" w:ascii="Times New Roman" w:hAnsi="Times New Roman" w:eastAsia="仿宋" w:cs="Times New Roman"/>
          <w:b/>
          <w:bCs/>
          <w:color w:val="auto"/>
          <w:sz w:val="28"/>
          <w:szCs w:val="28"/>
          <w:highlight w:val="none"/>
          <w:u w:val="single"/>
          <w:lang w:val="zh-CN"/>
        </w:rPr>
        <w:t>纸质文件一式</w:t>
      </w:r>
      <w:r>
        <w:rPr>
          <w:rFonts w:hint="default" w:ascii="Times New Roman" w:hAnsi="Times New Roman" w:eastAsia="仿宋" w:cs="Times New Roman"/>
          <w:b/>
          <w:bCs/>
          <w:color w:val="auto"/>
          <w:sz w:val="28"/>
          <w:szCs w:val="28"/>
          <w:highlight w:val="none"/>
          <w:u w:val="single"/>
        </w:rPr>
        <w:t>3</w:t>
      </w:r>
      <w:r>
        <w:rPr>
          <w:rFonts w:hint="default" w:ascii="Times New Roman" w:hAnsi="Times New Roman" w:eastAsia="仿宋" w:cs="Times New Roman"/>
          <w:b/>
          <w:bCs/>
          <w:color w:val="auto"/>
          <w:sz w:val="28"/>
          <w:szCs w:val="28"/>
          <w:highlight w:val="none"/>
          <w:u w:val="single"/>
          <w:lang w:val="zh-CN"/>
        </w:rPr>
        <w:t>份，其中正本1份，副本</w:t>
      </w:r>
      <w:r>
        <w:rPr>
          <w:rFonts w:hint="default" w:ascii="Times New Roman" w:hAnsi="Times New Roman" w:eastAsia="仿宋" w:cs="Times New Roman"/>
          <w:b/>
          <w:bCs/>
          <w:color w:val="auto"/>
          <w:sz w:val="28"/>
          <w:szCs w:val="28"/>
          <w:highlight w:val="none"/>
          <w:u w:val="single"/>
        </w:rPr>
        <w:t>2</w:t>
      </w:r>
      <w:r>
        <w:rPr>
          <w:rFonts w:hint="default" w:ascii="Times New Roman" w:hAnsi="Times New Roman" w:eastAsia="仿宋" w:cs="Times New Roman"/>
          <w:b/>
          <w:bCs/>
          <w:color w:val="auto"/>
          <w:sz w:val="28"/>
          <w:szCs w:val="28"/>
          <w:highlight w:val="none"/>
          <w:u w:val="single"/>
          <w:lang w:val="zh-CN"/>
        </w:rPr>
        <w:t>份；电子响应文件</w:t>
      </w:r>
      <w:r>
        <w:rPr>
          <w:rFonts w:hint="default" w:ascii="Times New Roman" w:hAnsi="Times New Roman" w:eastAsia="仿宋" w:cs="Times New Roman"/>
          <w:b/>
          <w:bCs/>
          <w:color w:val="auto"/>
          <w:sz w:val="28"/>
          <w:szCs w:val="28"/>
          <w:highlight w:val="none"/>
          <w:u w:val="single"/>
        </w:rPr>
        <w:t>1</w:t>
      </w:r>
      <w:r>
        <w:rPr>
          <w:rFonts w:hint="default" w:ascii="Times New Roman" w:hAnsi="Times New Roman" w:eastAsia="仿宋" w:cs="Times New Roman"/>
          <w:b/>
          <w:bCs/>
          <w:color w:val="auto"/>
          <w:sz w:val="28"/>
          <w:szCs w:val="28"/>
          <w:highlight w:val="none"/>
          <w:u w:val="single"/>
          <w:lang w:val="zh-CN"/>
        </w:rPr>
        <w:t>份（U盘形式），电子响应文件应是纸质文件扫描格式。</w:t>
      </w:r>
    </w:p>
    <w:p>
      <w:pPr>
        <w:pStyle w:val="4"/>
        <w:pageBreakBefore w:val="0"/>
        <w:widowControl w:val="0"/>
        <w:kinsoku/>
        <w:wordWrap/>
        <w:overflowPunct/>
        <w:topLinePunct w:val="0"/>
        <w:autoSpaceDE/>
        <w:autoSpaceDN/>
        <w:bidi w:val="0"/>
        <w:spacing w:before="0" w:beforeLines="0" w:after="0" w:afterLines="0" w:line="400" w:lineRule="exact"/>
        <w:ind w:firstLine="0"/>
        <w:textAlignment w:val="auto"/>
        <w:rPr>
          <w:rFonts w:hint="eastAsia" w:ascii="Times New Roman" w:hAnsi="Times New Roman" w:eastAsia="方正黑体_GBK" w:cs="Times New Roman"/>
          <w:color w:val="auto"/>
          <w:sz w:val="28"/>
          <w:szCs w:val="28"/>
          <w:lang w:val="en-US" w:eastAsia="zh-CN"/>
        </w:rPr>
      </w:pPr>
      <w:bookmarkStart w:id="79" w:name="_Toc9426"/>
      <w:bookmarkStart w:id="80" w:name="_Toc15444"/>
      <w:bookmarkStart w:id="81" w:name="_Toc29634"/>
      <w:bookmarkStart w:id="82" w:name="_Toc19774"/>
      <w:bookmarkStart w:id="83" w:name="_Toc659"/>
      <w:bookmarkStart w:id="84" w:name="_Toc78202988"/>
      <w:bookmarkStart w:id="85" w:name="_Toc2790"/>
      <w:bookmarkStart w:id="86" w:name="_Toc8044"/>
      <w:bookmarkStart w:id="87" w:name="_Toc11247"/>
      <w:bookmarkStart w:id="88" w:name="_Toc2435"/>
      <w:bookmarkStart w:id="89" w:name="_Toc27874"/>
      <w:bookmarkStart w:id="90" w:name="_Toc9294"/>
      <w:bookmarkStart w:id="91" w:name="_Toc25316"/>
      <w:r>
        <w:rPr>
          <w:rFonts w:hint="eastAsia" w:ascii="Times New Roman" w:hAnsi="Times New Roman" w:eastAsia="方正黑体_GBK" w:cs="Times New Roman"/>
          <w:color w:val="auto"/>
          <w:sz w:val="28"/>
          <w:szCs w:val="28"/>
          <w:lang w:val="en-US" w:eastAsia="zh-CN"/>
        </w:rPr>
        <w:t xml:space="preserve">11 </w:t>
      </w:r>
      <w:r>
        <w:rPr>
          <w:rFonts w:hint="eastAsia" w:ascii="Times New Roman" w:hAnsi="Times New Roman" w:eastAsia="方正黑体_GBK" w:cs="Times New Roman"/>
          <w:color w:val="auto"/>
          <w:sz w:val="28"/>
          <w:szCs w:val="28"/>
          <w:lang w:val="zh-CN" w:eastAsia="zh-CN"/>
        </w:rPr>
        <w:t>比选响应文件作废条款</w:t>
      </w:r>
      <w:bookmarkEnd w:id="79"/>
      <w:bookmarkEnd w:id="80"/>
      <w:bookmarkEnd w:id="81"/>
      <w:bookmarkEnd w:id="82"/>
      <w:bookmarkEnd w:id="83"/>
      <w:bookmarkEnd w:id="84"/>
      <w:bookmarkEnd w:id="85"/>
      <w:bookmarkEnd w:id="86"/>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11.1 未按照规定交纳比选响应保证金的（若要求缴纳比选响应保证金）。</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11.2 比选响应人的报价超过比选最高限价的。</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11.3 比选响应文件未装袋密封的。比选响应文件封面及密封袋封面上须注明“项目名称”、“项目编号”、“比选响应单位名称”，并加盖单位公章。</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11.4 比选响应文件装订要求不符：</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11.4.1 散装或者活页装订的；</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11.4.2 比选响应文件份数不足或未按要求提供电子U盘的；</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11.4.3 比选响应文件封面未标注正副本（密封袋封面无需标注正副本）。</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11.5 比选响应文件中报价函部分、授权部分无法定代表人签字（签章）或签字人无有效授权书的。</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11.6 报价函部分未按规定的格式完整填写（增项填写不作为作废条款）。</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11.7 评审委员会审查发现比选响应文件未能对比选文件提出的所有实质性要求和条件作出响应的。</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zh-CN" w:eastAsia="zh-CN"/>
        </w:rPr>
      </w:pPr>
      <w:r>
        <w:rPr>
          <w:rFonts w:hint="eastAsia" w:ascii="Times New Roman" w:hAnsi="Times New Roman" w:eastAsia="方正仿宋_GBK" w:cs="Times New Roman"/>
          <w:color w:val="auto"/>
          <w:sz w:val="28"/>
          <w:szCs w:val="28"/>
          <w:lang w:val="en-US" w:eastAsia="zh-CN"/>
        </w:rPr>
        <w:t>11.8 有串通比选或弄虚作假或有其他违法行为的。</w:t>
      </w:r>
    </w:p>
    <w:p>
      <w:pPr>
        <w:pStyle w:val="4"/>
        <w:pageBreakBefore w:val="0"/>
        <w:widowControl w:val="0"/>
        <w:kinsoku/>
        <w:wordWrap/>
        <w:overflowPunct/>
        <w:topLinePunct w:val="0"/>
        <w:autoSpaceDE/>
        <w:autoSpaceDN/>
        <w:bidi w:val="0"/>
        <w:spacing w:before="0" w:beforeLines="0" w:after="0" w:afterLines="0" w:line="400" w:lineRule="exact"/>
        <w:ind w:firstLine="0"/>
        <w:textAlignment w:val="auto"/>
        <w:rPr>
          <w:rFonts w:hint="eastAsia" w:ascii="Times New Roman" w:hAnsi="Times New Roman" w:eastAsia="方正黑体_GBK" w:cs="Times New Roman"/>
          <w:color w:val="auto"/>
          <w:sz w:val="28"/>
          <w:szCs w:val="28"/>
          <w:lang w:val="en-US" w:eastAsia="zh-CN"/>
        </w:rPr>
      </w:pPr>
      <w:bookmarkStart w:id="92" w:name="_Toc22428"/>
      <w:bookmarkStart w:id="93" w:name="_Toc383"/>
      <w:bookmarkStart w:id="94" w:name="_Toc6237"/>
      <w:bookmarkStart w:id="95" w:name="_Toc20304"/>
      <w:bookmarkStart w:id="96" w:name="_Toc382"/>
      <w:bookmarkStart w:id="97" w:name="_Toc78202989"/>
      <w:bookmarkStart w:id="98" w:name="_Toc7308"/>
      <w:bookmarkStart w:id="99" w:name="_Toc6171"/>
      <w:bookmarkStart w:id="100" w:name="_Toc24701"/>
      <w:bookmarkStart w:id="101" w:name="_Toc27905"/>
      <w:bookmarkStart w:id="102" w:name="_Toc31589"/>
      <w:bookmarkStart w:id="103" w:name="_Toc10769"/>
      <w:bookmarkStart w:id="104" w:name="_Toc27159"/>
      <w:bookmarkStart w:id="105" w:name="_Toc31171"/>
      <w:bookmarkStart w:id="106" w:name="_Toc28561"/>
      <w:r>
        <w:rPr>
          <w:rFonts w:hint="eastAsia" w:ascii="Times New Roman" w:hAnsi="Times New Roman" w:eastAsia="方正黑体_GBK" w:cs="Times New Roman"/>
          <w:color w:val="auto"/>
          <w:sz w:val="28"/>
          <w:szCs w:val="28"/>
          <w:lang w:val="en-US" w:eastAsia="zh-CN"/>
        </w:rPr>
        <w:t>12 异议</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12.2 异议提出人向采购人提起异议时，应当提交异议书。异议书应当包括下列内容：</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bookmarkStart w:id="107" w:name="_Toc16959"/>
      <w:r>
        <w:rPr>
          <w:rFonts w:hint="eastAsia" w:ascii="Times New Roman" w:hAnsi="Times New Roman" w:eastAsia="方正仿宋_GBK" w:cs="Times New Roman"/>
          <w:color w:val="auto"/>
          <w:sz w:val="28"/>
          <w:szCs w:val="28"/>
          <w:lang w:val="en-US" w:eastAsia="zh-CN"/>
        </w:rPr>
        <w:t>（一）异议提出人的名称、地址及有效联系方式。</w:t>
      </w:r>
      <w:bookmarkEnd w:id="107"/>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bookmarkStart w:id="108" w:name="_Toc11572"/>
      <w:r>
        <w:rPr>
          <w:rFonts w:hint="eastAsia" w:ascii="Times New Roman" w:hAnsi="Times New Roman" w:eastAsia="方正仿宋_GBK" w:cs="Times New Roman"/>
          <w:color w:val="auto"/>
          <w:sz w:val="28"/>
          <w:szCs w:val="28"/>
          <w:lang w:val="en-US" w:eastAsia="zh-CN"/>
        </w:rPr>
        <w:t>（二）异议事项的基本事实。</w:t>
      </w:r>
      <w:bookmarkEnd w:id="108"/>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bookmarkStart w:id="109" w:name="_Toc4125"/>
      <w:r>
        <w:rPr>
          <w:rFonts w:hint="eastAsia" w:ascii="Times New Roman" w:hAnsi="Times New Roman" w:eastAsia="方正仿宋_GBK" w:cs="Times New Roman"/>
          <w:color w:val="auto"/>
          <w:sz w:val="28"/>
          <w:szCs w:val="28"/>
          <w:lang w:val="en-US" w:eastAsia="zh-CN"/>
        </w:rPr>
        <w:t>（三）异议请求及主张。</w:t>
      </w:r>
      <w:bookmarkEnd w:id="109"/>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bookmarkStart w:id="110" w:name="_Toc5175"/>
      <w:r>
        <w:rPr>
          <w:rFonts w:hint="eastAsia" w:ascii="Times New Roman" w:hAnsi="Times New Roman" w:eastAsia="方正仿宋_GBK" w:cs="Times New Roman"/>
          <w:color w:val="auto"/>
          <w:sz w:val="28"/>
          <w:szCs w:val="28"/>
          <w:lang w:val="en-US" w:eastAsia="zh-CN"/>
        </w:rPr>
        <w:t>（四）有效线索和相关证据、证明材料。</w:t>
      </w:r>
      <w:bookmarkEnd w:id="110"/>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12.3 异议提出人对异议事项提出的请求和主张，有责任提供证据；只有自己陈述而不能提出其他相关证据的，对其请求和主张不予支持。</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12.4 异议提出人不得虚假异议、恶意异议，不得以异议为名排挤竞争对手，阻碍采购活动的正常进行。若出现该情况，视为无效异议，不再受理。</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（一）招标投标法第二十二条规定的招标投标保密信息。</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（二）应当保密的采购响应文件（但采购人提起异议时，采购响应文件不作为非法证据）。</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（三）招标投标法第四十四条规定保密的投标文件评审和比较情况、成交候选人推荐情况和评标有关的其他情况。</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（四）其他依法应当保密的信息和资料。</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12.6 有下列情形之一的异议，不予受理：</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（一）异议事项不具体，且未提供有效线索、相关证据和证明材料，难以查证。</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（二）未署异议提出人真实姓名、签字和有效联系方式。</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（三）未经法定代表人或授权的委托代理人签字并加盖公章，或未经主要负责人或异议提出人本人签字。</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（四）不在结果公示期内的。</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（五）已对异议事项做出答复的。</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4"/>
        <w:pageBreakBefore w:val="0"/>
        <w:widowControl w:val="0"/>
        <w:kinsoku/>
        <w:wordWrap/>
        <w:overflowPunct/>
        <w:topLinePunct w:val="0"/>
        <w:autoSpaceDE/>
        <w:autoSpaceDN/>
        <w:bidi w:val="0"/>
        <w:spacing w:before="0" w:beforeLines="0" w:after="0" w:afterLines="0" w:line="400" w:lineRule="exact"/>
        <w:ind w:firstLine="0"/>
        <w:textAlignment w:val="auto"/>
        <w:rPr>
          <w:rFonts w:hint="eastAsia" w:ascii="Times New Roman" w:hAnsi="Times New Roman" w:eastAsia="方正黑体_GBK" w:cs="Times New Roman"/>
          <w:color w:val="auto"/>
          <w:sz w:val="28"/>
          <w:szCs w:val="28"/>
          <w:lang w:val="en-US" w:eastAsia="zh-CN"/>
        </w:rPr>
      </w:pPr>
      <w:bookmarkStart w:id="111" w:name="_Toc10683"/>
      <w:bookmarkStart w:id="112" w:name="_Toc18396"/>
      <w:bookmarkStart w:id="113" w:name="_Toc31593"/>
      <w:bookmarkStart w:id="114" w:name="_Toc27416"/>
      <w:bookmarkStart w:id="115" w:name="_Toc4831"/>
      <w:bookmarkStart w:id="116" w:name="_Toc30932"/>
      <w:bookmarkStart w:id="117" w:name="_Toc7779"/>
      <w:bookmarkStart w:id="118" w:name="_Toc29478"/>
      <w:bookmarkStart w:id="119" w:name="_Toc78202990"/>
      <w:bookmarkStart w:id="120" w:name="_Toc9085"/>
      <w:bookmarkStart w:id="121" w:name="_Toc5878"/>
      <w:bookmarkStart w:id="122" w:name="_Toc14920"/>
      <w:bookmarkStart w:id="123" w:name="_Toc26758"/>
      <w:bookmarkStart w:id="124" w:name="_Toc23506"/>
      <w:bookmarkStart w:id="125" w:name="_Toc4635"/>
      <w:r>
        <w:rPr>
          <w:rFonts w:hint="eastAsia" w:ascii="Times New Roman" w:hAnsi="Times New Roman" w:eastAsia="方正黑体_GBK" w:cs="Times New Roman"/>
          <w:color w:val="auto"/>
          <w:sz w:val="28"/>
          <w:szCs w:val="28"/>
          <w:lang w:val="en-US" w:eastAsia="zh-CN"/>
        </w:rPr>
        <w:t>13 监督部门</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bookmarkStart w:id="126" w:name="_Toc30605"/>
      <w:bookmarkStart w:id="127" w:name="_Toc17215"/>
      <w:bookmarkStart w:id="128" w:name="_Toc27890"/>
      <w:bookmarkStart w:id="129" w:name="_Toc24504"/>
      <w:bookmarkStart w:id="130" w:name="_Toc26090"/>
      <w:bookmarkStart w:id="131" w:name="_Toc24183"/>
      <w:bookmarkStart w:id="132" w:name="_Toc452"/>
      <w:bookmarkStart w:id="133" w:name="_Toc8579"/>
      <w:bookmarkStart w:id="134" w:name="_Toc21602"/>
      <w:bookmarkStart w:id="135" w:name="_Toc28972"/>
      <w:bookmarkStart w:id="136" w:name="_Toc7801"/>
      <w:bookmarkStart w:id="137" w:name="_Toc29835"/>
      <w:bookmarkStart w:id="138" w:name="_Toc78202991"/>
      <w:bookmarkStart w:id="139" w:name="_Hlk76997400"/>
      <w:r>
        <w:rPr>
          <w:rFonts w:hint="eastAsia" w:ascii="Times New Roman" w:hAnsi="Times New Roman" w:eastAsia="方正仿宋_GBK" w:cs="Times New Roman"/>
          <w:color w:val="auto"/>
          <w:sz w:val="28"/>
          <w:szCs w:val="28"/>
          <w:lang w:val="en-US" w:eastAsia="zh-CN"/>
        </w:rPr>
        <w:t>重庆江北国际机场有限公司消防监护部综合办公室</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地址：重庆市渝北区机场东路15号</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电话：023-67153645</w:t>
      </w:r>
    </w:p>
    <w:p>
      <w:pPr>
        <w:pStyle w:val="4"/>
        <w:pageBreakBefore w:val="0"/>
        <w:widowControl w:val="0"/>
        <w:kinsoku/>
        <w:wordWrap/>
        <w:overflowPunct/>
        <w:topLinePunct w:val="0"/>
        <w:autoSpaceDE/>
        <w:autoSpaceDN/>
        <w:bidi w:val="0"/>
        <w:spacing w:before="0" w:beforeLines="0" w:after="0" w:afterLines="0" w:line="400" w:lineRule="exact"/>
        <w:ind w:firstLine="0"/>
        <w:textAlignment w:val="auto"/>
        <w:rPr>
          <w:rFonts w:hint="default" w:ascii="Times New Roman" w:hAnsi="Times New Roman" w:eastAsia="方正黑体_GBK" w:cs="Times New Roman"/>
          <w:color w:val="auto"/>
          <w:sz w:val="28"/>
          <w:szCs w:val="28"/>
          <w:lang w:val="en-US" w:eastAsia="zh-CN"/>
        </w:rPr>
      </w:pPr>
      <w:bookmarkStart w:id="140" w:name="_Toc7004"/>
      <w:bookmarkStart w:id="141" w:name="_Toc20974"/>
      <w:r>
        <w:rPr>
          <w:rFonts w:hint="default" w:ascii="Times New Roman" w:hAnsi="Times New Roman" w:eastAsia="方正黑体_GBK" w:cs="Times New Roman"/>
          <w:color w:val="auto"/>
          <w:sz w:val="28"/>
          <w:szCs w:val="28"/>
          <w:lang w:val="en-US" w:eastAsia="zh-CN"/>
        </w:rPr>
        <w:t xml:space="preserve">14 </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40"/>
      <w:bookmarkEnd w:id="141"/>
      <w:r>
        <w:rPr>
          <w:rFonts w:hint="default" w:ascii="Times New Roman" w:hAnsi="Times New Roman" w:eastAsia="方正黑体_GBK" w:cs="Times New Roman"/>
          <w:color w:val="auto"/>
          <w:sz w:val="28"/>
          <w:szCs w:val="28"/>
          <w:lang w:val="en-US" w:eastAsia="zh-CN"/>
        </w:rPr>
        <w:t>结果异议提交渠道</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正式结果异议函件应同步提交采购人及监督部门。</w:t>
      </w:r>
    </w:p>
    <w:p>
      <w:pPr>
        <w:pStyle w:val="4"/>
        <w:pageBreakBefore w:val="0"/>
        <w:widowControl w:val="0"/>
        <w:kinsoku/>
        <w:wordWrap/>
        <w:overflowPunct/>
        <w:topLinePunct w:val="0"/>
        <w:autoSpaceDE/>
        <w:autoSpaceDN/>
        <w:bidi w:val="0"/>
        <w:spacing w:before="0" w:beforeLines="0" w:after="0" w:afterLines="0" w:line="400" w:lineRule="exact"/>
        <w:ind w:firstLine="0"/>
        <w:textAlignment w:val="auto"/>
        <w:rPr>
          <w:rFonts w:hint="eastAsia" w:ascii="Times New Roman" w:hAnsi="Times New Roman" w:eastAsia="方正黑体_GBK" w:cs="Times New Roman"/>
          <w:color w:val="auto"/>
          <w:sz w:val="28"/>
          <w:szCs w:val="28"/>
          <w:lang w:val="en-US" w:eastAsia="zh-CN"/>
        </w:rPr>
      </w:pPr>
      <w:bookmarkStart w:id="142" w:name="_Toc152"/>
      <w:bookmarkStart w:id="143" w:name="_Toc8110"/>
      <w:bookmarkStart w:id="144" w:name="_Toc10151"/>
      <w:bookmarkStart w:id="145" w:name="_Toc5120"/>
      <w:bookmarkStart w:id="146" w:name="_Toc11175"/>
      <w:bookmarkStart w:id="147" w:name="_Toc4104"/>
      <w:bookmarkStart w:id="148" w:name="_Toc25792"/>
      <w:bookmarkStart w:id="149" w:name="_Toc22887"/>
      <w:bookmarkStart w:id="150" w:name="_Toc1649"/>
      <w:bookmarkStart w:id="151" w:name="_Toc7289"/>
      <w:bookmarkStart w:id="152" w:name="_Toc24568"/>
      <w:bookmarkStart w:id="153" w:name="_Toc2086"/>
      <w:bookmarkStart w:id="154" w:name="_Toc12251"/>
      <w:bookmarkStart w:id="155" w:name="_Toc78202992"/>
      <w:bookmarkStart w:id="156" w:name="_Toc12235"/>
      <w:r>
        <w:rPr>
          <w:rFonts w:hint="eastAsia" w:ascii="Times New Roman" w:hAnsi="Times New Roman" w:eastAsia="方正黑体_GBK" w:cs="Times New Roman"/>
          <w:color w:val="auto"/>
          <w:sz w:val="28"/>
          <w:szCs w:val="28"/>
          <w:lang w:val="en-US" w:eastAsia="zh-CN"/>
        </w:rPr>
        <w:t>15 联系方式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bookmarkEnd w:id="139"/>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联系人：朱先生</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电话：023-67152931</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color w:val="auto"/>
          <w:sz w:val="28"/>
          <w:szCs w:val="28"/>
          <w:lang w:val="en-US" w:eastAsia="zh-CN"/>
        </w:rPr>
      </w:pPr>
      <w:r>
        <w:rPr>
          <w:rFonts w:hint="eastAsia"/>
          <w:color w:val="auto"/>
          <w:sz w:val="28"/>
          <w:szCs w:val="28"/>
        </w:rPr>
        <w:t>邮编：401120</w:t>
      </w:r>
    </w:p>
    <w:bookmarkEnd w:id="60"/>
    <w:bookmarkEnd w:id="68"/>
    <w:bookmarkEnd w:id="69"/>
    <w:bookmarkEnd w:id="70"/>
    <w:bookmarkEnd w:id="71"/>
    <w:bookmarkEnd w:id="72"/>
    <w:p>
      <w:pPr>
        <w:pageBreakBefore w:val="0"/>
        <w:widowControl w:val="0"/>
        <w:kinsoku/>
        <w:wordWrap/>
        <w:overflowPunct/>
        <w:topLinePunct w:val="0"/>
        <w:autoSpaceDE/>
        <w:autoSpaceDN/>
        <w:bidi w:val="0"/>
        <w:spacing w:line="400" w:lineRule="exact"/>
        <w:textAlignment w:val="auto"/>
        <w:rPr>
          <w:rFonts w:hint="eastAsia" w:ascii="仿宋" w:hAnsi="仿宋"/>
          <w:b/>
          <w:color w:val="auto"/>
          <w:sz w:val="32"/>
          <w:szCs w:val="32"/>
        </w:rPr>
        <w:sectPr>
          <w:pgSz w:w="11906" w:h="16838"/>
          <w:pgMar w:top="1440" w:right="1800" w:bottom="1440" w:left="1800" w:header="851" w:footer="992" w:gutter="0"/>
          <w:cols w:space="425" w:num="1"/>
          <w:docGrid w:type="lines" w:linePitch="312" w:charSpace="0"/>
        </w:sectPr>
      </w:pPr>
    </w:p>
    <w:p>
      <w:pPr>
        <w:pStyle w:val="3"/>
        <w:pageBreakBefore w:val="0"/>
        <w:widowControl w:val="0"/>
        <w:kinsoku/>
        <w:wordWrap/>
        <w:overflowPunct/>
        <w:topLinePunct w:val="0"/>
        <w:autoSpaceDE/>
        <w:autoSpaceDN/>
        <w:bidi w:val="0"/>
        <w:adjustRightInd/>
        <w:snapToGrid/>
        <w:spacing w:line="400" w:lineRule="exact"/>
        <w:textAlignment w:val="auto"/>
        <w:rPr>
          <w:rFonts w:hint="eastAsia"/>
          <w:b w:val="0"/>
          <w:bCs/>
          <w:color w:val="auto"/>
        </w:rPr>
      </w:pPr>
      <w:bookmarkStart w:id="157" w:name="_Toc22734"/>
      <w:bookmarkStart w:id="158" w:name="_Toc459888232"/>
      <w:bookmarkStart w:id="159" w:name="_Toc4964971"/>
      <w:bookmarkStart w:id="160" w:name="_Toc11926"/>
      <w:bookmarkStart w:id="161" w:name="_Toc31002"/>
      <w:bookmarkStart w:id="162" w:name="_Toc325034223"/>
      <w:bookmarkStart w:id="163" w:name="_Toc26222"/>
      <w:bookmarkStart w:id="164" w:name="_Toc16839"/>
      <w:bookmarkStart w:id="165" w:name="_Toc24219"/>
      <w:r>
        <w:rPr>
          <w:rFonts w:hint="eastAsia"/>
          <w:b w:val="0"/>
          <w:bCs/>
          <w:color w:val="auto"/>
        </w:rPr>
        <w:t>第二章 比选响应人须知</w:t>
      </w:r>
      <w:bookmarkEnd w:id="157"/>
      <w:bookmarkEnd w:id="158"/>
      <w:bookmarkEnd w:id="159"/>
      <w:bookmarkEnd w:id="160"/>
      <w:bookmarkEnd w:id="161"/>
      <w:bookmarkEnd w:id="162"/>
      <w:bookmarkEnd w:id="163"/>
      <w:bookmarkEnd w:id="164"/>
      <w:bookmarkEnd w:id="165"/>
    </w:p>
    <w:p>
      <w:pPr>
        <w:pStyle w:val="4"/>
        <w:pageBreakBefore w:val="0"/>
        <w:widowControl w:val="0"/>
        <w:kinsoku/>
        <w:wordWrap/>
        <w:overflowPunct/>
        <w:topLinePunct w:val="0"/>
        <w:autoSpaceDE/>
        <w:autoSpaceDN/>
        <w:bidi w:val="0"/>
        <w:adjustRightInd/>
        <w:snapToGrid/>
        <w:spacing w:line="400" w:lineRule="exact"/>
        <w:ind w:firstLine="0"/>
        <w:textAlignment w:val="auto"/>
        <w:rPr>
          <w:rFonts w:hint="eastAsia"/>
          <w:color w:val="auto"/>
          <w:sz w:val="28"/>
          <w:szCs w:val="28"/>
          <w:lang w:val="en-US" w:eastAsia="zh-CN"/>
        </w:rPr>
      </w:pPr>
      <w:bookmarkStart w:id="166" w:name="_Toc13938"/>
      <w:bookmarkStart w:id="167" w:name="_Toc8204"/>
      <w:r>
        <w:rPr>
          <w:rFonts w:hint="eastAsia"/>
          <w:color w:val="auto"/>
          <w:sz w:val="28"/>
          <w:szCs w:val="28"/>
          <w:lang w:val="en-US" w:eastAsia="zh-CN"/>
        </w:rPr>
        <w:t>1 项目报价要求</w:t>
      </w:r>
      <w:bookmarkEnd w:id="166"/>
      <w:bookmarkEnd w:id="167"/>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 本项目的报价应包括：</w:t>
      </w:r>
      <w:bookmarkStart w:id="168" w:name="_Hlk76507705"/>
      <w:r>
        <w:rPr>
          <w:rFonts w:hint="default" w:ascii="Times New Roman" w:hAnsi="Times New Roman" w:eastAsia="方正仿宋_GBK" w:cs="Times New Roman"/>
          <w:color w:val="auto"/>
          <w:sz w:val="28"/>
          <w:szCs w:val="28"/>
          <w:lang w:val="en-US" w:eastAsia="zh-CN"/>
        </w:rPr>
        <w:t>消防系统年度检测</w:t>
      </w:r>
      <w:bookmarkEnd w:id="168"/>
      <w:r>
        <w:rPr>
          <w:rFonts w:hint="default" w:ascii="Times New Roman" w:hAnsi="Times New Roman" w:eastAsia="方正仿宋_GBK" w:cs="Times New Roman"/>
          <w:color w:val="auto"/>
          <w:sz w:val="28"/>
          <w:szCs w:val="28"/>
          <w:lang w:val="en-US" w:eastAsia="zh-CN"/>
        </w:rPr>
        <w:t>涉及到的其他所有费用，本项目为包干价，不再另行增加费用。</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 本项目四个部分不含增值税最高总限价为人民币17.9万元（大写金额：壹拾柒万玖仟元整）。其中，第一部分不含增值税最高限价为6.6万元（大写：陆万陆仟元整），第二部分不含增值税最高限价为0.8万元（大写：捌仟元整），第三部分不含增值税最高限价为2.5万元（大写：贰万伍仟元整），第四部分不含增值税最高限价为8.0万元（大写：捌万元整）。报价超过最高总限价或单个部分限价的，都将取消比选响应人的比选资格。</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GB" w:eastAsia="zh-CN"/>
        </w:rPr>
      </w:pPr>
      <w:r>
        <w:rPr>
          <w:rFonts w:hint="default" w:ascii="Times New Roman" w:hAnsi="Times New Roman" w:eastAsia="方正仿宋_GBK" w:cs="Times New Roman"/>
          <w:color w:val="auto"/>
          <w:sz w:val="28"/>
          <w:szCs w:val="28"/>
          <w:lang w:val="en-US" w:eastAsia="zh-CN"/>
        </w:rPr>
        <w:t xml:space="preserve">1.3 </w:t>
      </w:r>
      <w:r>
        <w:rPr>
          <w:rFonts w:hint="default" w:ascii="Times New Roman" w:hAnsi="Times New Roman" w:eastAsia="方正仿宋_GBK" w:cs="Times New Roman"/>
          <w:color w:val="auto"/>
          <w:sz w:val="28"/>
          <w:szCs w:val="28"/>
          <w:lang w:val="en-GB" w:eastAsia="zh-CN"/>
        </w:rPr>
        <w:t>在修正范围内的以下情形不作为比选响应文件作废的依据：</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（1）比选响应文件中的大写金额与小写金额不一</w:t>
      </w:r>
      <w:r>
        <w:rPr>
          <w:rFonts w:hint="default" w:ascii="Times New Roman" w:hAnsi="Times New Roman" w:eastAsia="方正仿宋_GBK" w:cs="Times New Roman"/>
          <w:color w:val="auto"/>
          <w:sz w:val="28"/>
          <w:szCs w:val="28"/>
          <w:highlight w:val="none"/>
          <w:lang w:val="en-US" w:eastAsia="zh-CN"/>
        </w:rPr>
        <w:t>致的，以大写</w:t>
      </w:r>
      <w:r>
        <w:rPr>
          <w:rFonts w:hint="default" w:ascii="Times New Roman" w:hAnsi="Times New Roman" w:eastAsia="方正仿宋_GBK" w:cs="Times New Roman"/>
          <w:color w:val="auto"/>
          <w:sz w:val="28"/>
          <w:szCs w:val="28"/>
          <w:lang w:val="en-US" w:eastAsia="zh-CN"/>
        </w:rPr>
        <w:t>金额为准；</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（2）数字表示的数额与用文字表示的数额不一致时，以文字数额为准；</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（3）总价金额与依据单价计算出的结果不一致的，以单价金额为准修正总价，但单价金额小数点有明显错误的除外。</w:t>
      </w:r>
    </w:p>
    <w:p>
      <w:pPr>
        <w:pStyle w:val="4"/>
        <w:pageBreakBefore w:val="0"/>
        <w:widowControl w:val="0"/>
        <w:kinsoku/>
        <w:wordWrap/>
        <w:overflowPunct/>
        <w:topLinePunct w:val="0"/>
        <w:autoSpaceDE/>
        <w:autoSpaceDN/>
        <w:bidi w:val="0"/>
        <w:adjustRightInd/>
        <w:snapToGrid/>
        <w:spacing w:line="400" w:lineRule="exact"/>
        <w:ind w:firstLine="0"/>
        <w:textAlignment w:val="auto"/>
        <w:rPr>
          <w:rFonts w:hint="eastAsia"/>
          <w:color w:val="auto"/>
          <w:sz w:val="28"/>
          <w:szCs w:val="28"/>
          <w:lang w:val="en-US" w:eastAsia="zh-CN"/>
        </w:rPr>
      </w:pPr>
      <w:bookmarkStart w:id="169" w:name="_Toc32034"/>
      <w:bookmarkStart w:id="170" w:name="_Toc27698"/>
      <w:bookmarkStart w:id="171" w:name="_Toc78202980"/>
      <w:r>
        <w:rPr>
          <w:rFonts w:hint="eastAsia"/>
          <w:color w:val="auto"/>
          <w:sz w:val="28"/>
          <w:szCs w:val="28"/>
          <w:lang w:val="en-US" w:eastAsia="zh-CN"/>
        </w:rPr>
        <w:t>2 成交标准</w:t>
      </w:r>
      <w:bookmarkEnd w:id="169"/>
      <w:bookmarkEnd w:id="170"/>
      <w:bookmarkEnd w:id="171"/>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本次比选成交人确定办法采用综合评分法成交。</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具体比选规则如下：</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2.2 如有项目因专业性及特殊性，导致有效比选响应人不足3个的，评审委员会应当否决所有比选响应人。但是有效比选响应人的经济、技术等指标仍然具有市场竞争力，能够满足比选文件要求的，评审委员会可以继续评审，根据采购需求、质量和服务，综合得分最高的原则确定成交候选人。</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2.3 项目重新比选时，经评审有有效比选响应人的，应当按规定程序，且综合得分最高的原则确定成交候选人。</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综合得分评选方法：（评分标准详见第三章 综合评分标准）</w:t>
      </w:r>
    </w:p>
    <w:p>
      <w:pPr>
        <w:pStyle w:val="4"/>
        <w:pageBreakBefore w:val="0"/>
        <w:widowControl w:val="0"/>
        <w:kinsoku/>
        <w:wordWrap/>
        <w:overflowPunct/>
        <w:topLinePunct w:val="0"/>
        <w:autoSpaceDE/>
        <w:autoSpaceDN/>
        <w:bidi w:val="0"/>
        <w:adjustRightInd/>
        <w:snapToGrid/>
        <w:spacing w:line="400" w:lineRule="exact"/>
        <w:ind w:firstLine="0"/>
        <w:textAlignment w:val="auto"/>
        <w:rPr>
          <w:rFonts w:hint="eastAsia"/>
          <w:color w:val="auto"/>
          <w:sz w:val="28"/>
          <w:szCs w:val="28"/>
          <w:lang w:val="en-US" w:eastAsia="zh-CN"/>
        </w:rPr>
      </w:pPr>
      <w:bookmarkStart w:id="172" w:name="_Toc16801"/>
      <w:bookmarkStart w:id="173" w:name="_Toc28106"/>
      <w:bookmarkStart w:id="174" w:name="_Toc512"/>
      <w:bookmarkStart w:id="175" w:name="_Toc21655"/>
      <w:bookmarkStart w:id="176" w:name="_Toc3671"/>
      <w:bookmarkStart w:id="177" w:name="_Toc3491"/>
      <w:bookmarkStart w:id="178" w:name="_Toc1794"/>
      <w:bookmarkStart w:id="179" w:name="_Toc21335"/>
      <w:bookmarkStart w:id="180" w:name="_Toc21463"/>
      <w:bookmarkStart w:id="181" w:name="_Toc78202995"/>
      <w:bookmarkStart w:id="182" w:name="_Toc32130"/>
      <w:r>
        <w:rPr>
          <w:rFonts w:hint="eastAsia"/>
          <w:color w:val="auto"/>
          <w:sz w:val="28"/>
          <w:szCs w:val="28"/>
          <w:lang w:val="en-US" w:eastAsia="zh-CN"/>
        </w:rPr>
        <w:t>3 检测作业要求</w:t>
      </w:r>
      <w:bookmarkEnd w:id="172"/>
      <w:bookmarkEnd w:id="173"/>
      <w:bookmarkEnd w:id="174"/>
      <w:bookmarkEnd w:id="175"/>
      <w:bookmarkEnd w:id="176"/>
      <w:bookmarkEnd w:id="177"/>
      <w:bookmarkEnd w:id="178"/>
      <w:bookmarkEnd w:id="179"/>
      <w:bookmarkEnd w:id="180"/>
      <w:bookmarkEnd w:id="181"/>
      <w:bookmarkEnd w:id="182"/>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bookmarkStart w:id="183" w:name="_Toc24712"/>
      <w:bookmarkStart w:id="184" w:name="_Toc51"/>
      <w:bookmarkStart w:id="185" w:name="_Toc3137"/>
      <w:bookmarkStart w:id="186" w:name="_Toc12931"/>
      <w:bookmarkStart w:id="187" w:name="_Toc3018"/>
      <w:bookmarkStart w:id="188" w:name="_Toc17827"/>
      <w:bookmarkStart w:id="189" w:name="_Toc6421"/>
      <w:bookmarkStart w:id="190" w:name="_Toc9836"/>
      <w:r>
        <w:rPr>
          <w:rFonts w:hint="eastAsia" w:ascii="Times New Roman" w:hAnsi="Times New Roman" w:eastAsia="方正仿宋_GBK" w:cs="Times New Roman"/>
          <w:color w:val="auto"/>
          <w:sz w:val="28"/>
          <w:szCs w:val="28"/>
          <w:lang w:val="en-US" w:eastAsia="zh-CN"/>
        </w:rPr>
        <w:t>3.1 证件办理及管理</w:t>
      </w:r>
      <w:bookmarkEnd w:id="183"/>
      <w:bookmarkEnd w:id="184"/>
      <w:bookmarkEnd w:id="185"/>
      <w:bookmarkEnd w:id="186"/>
      <w:bookmarkEnd w:id="187"/>
      <w:bookmarkEnd w:id="188"/>
      <w:bookmarkEnd w:id="189"/>
      <w:bookmarkEnd w:id="190"/>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（1）参与消防设施年度检测的人员必须持有效证件上岗。</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（2）人员进出机场控制区内应佩戴安全检查站印发的临时通行证，并有指定的专人负责管理。</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（3）测试材料及工具等必须按相关要求办理限制物品申请，限制物品应有专人管理，因限制物品管理不当造成影响的，由比选响应人自行承担。</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（4）所产生的一切证件办理费用由比选响应人自行承担。</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bookmarkStart w:id="191" w:name="_Toc24604"/>
      <w:bookmarkStart w:id="192" w:name="_Toc31389"/>
      <w:bookmarkStart w:id="193" w:name="_Toc27545"/>
      <w:bookmarkStart w:id="194" w:name="_Toc29243"/>
      <w:bookmarkStart w:id="195" w:name="_Toc1333"/>
      <w:bookmarkStart w:id="196" w:name="_Toc28523"/>
      <w:bookmarkStart w:id="197" w:name="_Toc21765"/>
      <w:bookmarkStart w:id="198" w:name="_Toc17810"/>
      <w:r>
        <w:rPr>
          <w:rFonts w:hint="eastAsia" w:ascii="Times New Roman" w:hAnsi="Times New Roman" w:eastAsia="方正仿宋_GBK" w:cs="Times New Roman"/>
          <w:color w:val="auto"/>
          <w:sz w:val="28"/>
          <w:szCs w:val="28"/>
          <w:lang w:val="en-US" w:eastAsia="zh-CN"/>
        </w:rPr>
        <w:t>3.2安全文明措施</w:t>
      </w:r>
      <w:bookmarkEnd w:id="191"/>
      <w:bookmarkEnd w:id="192"/>
      <w:bookmarkEnd w:id="193"/>
      <w:bookmarkEnd w:id="194"/>
      <w:bookmarkEnd w:id="195"/>
      <w:bookmarkEnd w:id="196"/>
      <w:bookmarkEnd w:id="197"/>
      <w:bookmarkEnd w:id="198"/>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（1）比选响应人应指定一名项目负责人，对整个服务过程的安全问题负责。</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（2）严格按照安全防护措施要求做好检测现场安全防护，措施不到位不得进行检测工作。</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（3）检测时间严格遵守比选采购人相关要求，检测前应取得相关比选采购人的许可，检测结束后应告知比选采购人。</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比选响应人应严格遵守相关的法律、法规的要求，负责检测过程中的人身安全、消防安全及第三方安全。接受比选采购人现场监管人员的安全管理、监督。若在检测过程中发生不安全事件，导致人员伤亡，其一切责任均由比选响应人自行负责并承担相应的法律责任。</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bookmarkStart w:id="199" w:name="_Toc29713"/>
      <w:bookmarkStart w:id="200" w:name="_Toc26429"/>
      <w:bookmarkStart w:id="201" w:name="_Toc27368"/>
      <w:bookmarkStart w:id="202" w:name="_Toc21536"/>
      <w:bookmarkStart w:id="203" w:name="_Toc10594"/>
      <w:bookmarkStart w:id="204" w:name="_Toc21893"/>
      <w:bookmarkStart w:id="205" w:name="_Toc27682"/>
      <w:bookmarkStart w:id="206" w:name="_Toc31762"/>
      <w:r>
        <w:rPr>
          <w:rFonts w:hint="eastAsia" w:ascii="Times New Roman" w:hAnsi="Times New Roman" w:eastAsia="方正仿宋_GBK" w:cs="Times New Roman"/>
          <w:color w:val="auto"/>
          <w:sz w:val="28"/>
          <w:szCs w:val="28"/>
          <w:lang w:val="en-US" w:eastAsia="zh-CN"/>
        </w:rPr>
        <w:t>3.3 不停航</w:t>
      </w:r>
      <w:bookmarkEnd w:id="199"/>
      <w:r>
        <w:rPr>
          <w:rFonts w:hint="eastAsia" w:ascii="Times New Roman" w:hAnsi="Times New Roman" w:eastAsia="方正仿宋_GBK" w:cs="Times New Roman"/>
          <w:color w:val="auto"/>
          <w:sz w:val="28"/>
          <w:szCs w:val="28"/>
          <w:lang w:val="en-US" w:eastAsia="zh-CN"/>
        </w:rPr>
        <w:t>检测</w:t>
      </w:r>
      <w:bookmarkEnd w:id="200"/>
      <w:bookmarkEnd w:id="201"/>
      <w:bookmarkEnd w:id="202"/>
      <w:bookmarkEnd w:id="203"/>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比选响应人应提前与比选采购人确认当日航班情况，对检测情况进行评估，提前做好检测准备（如检测人员安排、检测工具准备等），对于航班延误、取消导致检测推迟或取消的情况做好相应的保障措施并自行测算相关延时误工费。</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（2）检测前应确定被测设备的影响范围，将可能会造成的影响告知比选采购人现场管理人员。</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（3）出现消防系统误动作等情况时应及时联系比选采购人现场管理人员，做好应急保障措施，及时恢复系统正常运行状态，避免对机场运行造成影响。</w:t>
      </w:r>
    </w:p>
    <w:p>
      <w:pPr>
        <w:pStyle w:val="4"/>
        <w:pageBreakBefore w:val="0"/>
        <w:widowControl w:val="0"/>
        <w:kinsoku/>
        <w:wordWrap/>
        <w:overflowPunct/>
        <w:topLinePunct w:val="0"/>
        <w:autoSpaceDE/>
        <w:autoSpaceDN/>
        <w:bidi w:val="0"/>
        <w:adjustRightInd/>
        <w:snapToGrid/>
        <w:spacing w:line="400" w:lineRule="exact"/>
        <w:ind w:firstLine="0"/>
        <w:textAlignment w:val="auto"/>
        <w:rPr>
          <w:rFonts w:hint="eastAsia"/>
          <w:color w:val="auto"/>
          <w:sz w:val="28"/>
          <w:szCs w:val="28"/>
          <w:lang w:val="en-US" w:eastAsia="zh-CN"/>
        </w:rPr>
      </w:pPr>
      <w:bookmarkStart w:id="207" w:name="_Toc5747"/>
      <w:bookmarkStart w:id="208" w:name="_Toc78202996"/>
      <w:bookmarkStart w:id="209" w:name="_Toc15017"/>
      <w:bookmarkStart w:id="210" w:name="_Toc5188"/>
      <w:bookmarkStart w:id="211" w:name="_Toc14272"/>
      <w:bookmarkStart w:id="212" w:name="_Toc25017"/>
      <w:bookmarkStart w:id="213" w:name="_Toc14303"/>
      <w:bookmarkStart w:id="214" w:name="_Toc2952"/>
      <w:bookmarkStart w:id="215" w:name="_Toc26257"/>
      <w:bookmarkStart w:id="216" w:name="_Toc29508"/>
      <w:bookmarkStart w:id="217" w:name="_Toc18825"/>
      <w:r>
        <w:rPr>
          <w:rFonts w:hint="eastAsia"/>
          <w:color w:val="auto"/>
          <w:sz w:val="28"/>
          <w:szCs w:val="28"/>
          <w:lang w:val="en-US" w:eastAsia="zh-CN"/>
        </w:rPr>
        <w:t>4 技术要求</w:t>
      </w:r>
      <w:bookmarkEnd w:id="207"/>
      <w:bookmarkEnd w:id="208"/>
      <w:bookmarkEnd w:id="209"/>
      <w:bookmarkEnd w:id="210"/>
      <w:bookmarkEnd w:id="211"/>
      <w:bookmarkEnd w:id="212"/>
      <w:bookmarkEnd w:id="213"/>
      <w:bookmarkEnd w:id="214"/>
      <w:bookmarkEnd w:id="215"/>
      <w:bookmarkEnd w:id="216"/>
      <w:bookmarkEnd w:id="217"/>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比选响应人使用的标准应遵照本章4.1条中有关法律及规范要求，如果采用的法律及规范标准在本章4.1条中没有规定，须对采用的新标准加以说明，当推荐的标准与实施规则等效于或优于本比选文件技术要求时，该标准才可能为采购人接受。比选响应人应清楚的说明用于替代的标准或实际使用的标准和规范，并提交推荐标准或实施规范的中英文对照文本，对明显的差异点要做出说明。</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最新替代标准已颁布并正式实施的，则遵从替代标准。</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若下述法律及规范标准有不同之处，则应符合其中标准较高的一个。</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4.1 比选响应人应采用的法律及规范标准，包括但不限于：</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218" w:name="_Toc30300"/>
      <w:bookmarkStart w:id="219" w:name="_Toc12688"/>
      <w:bookmarkStart w:id="220" w:name="_Toc5497"/>
      <w:bookmarkStart w:id="221" w:name="_Toc25083"/>
      <w:bookmarkStart w:id="222" w:name="_Toc31406"/>
      <w:bookmarkStart w:id="223" w:name="_Toc28618"/>
      <w:bookmarkStart w:id="224" w:name="_Toc26300"/>
      <w:bookmarkStart w:id="225" w:name="_Toc19991"/>
      <w:r>
        <w:rPr>
          <w:rFonts w:hint="default" w:ascii="Times New Roman" w:hAnsi="Times New Roman" w:eastAsia="方正仿宋_GBK" w:cs="Times New Roman"/>
          <w:color w:val="auto"/>
          <w:sz w:val="28"/>
          <w:szCs w:val="28"/>
          <w:lang w:val="en-US" w:eastAsia="zh-CN"/>
        </w:rPr>
        <w:t>（1）《中华人民共和国安全生产法》</w:t>
      </w:r>
      <w:bookmarkEnd w:id="218"/>
      <w:bookmarkEnd w:id="219"/>
      <w:bookmarkEnd w:id="220"/>
      <w:bookmarkEnd w:id="221"/>
      <w:bookmarkEnd w:id="222"/>
      <w:bookmarkEnd w:id="223"/>
      <w:bookmarkEnd w:id="224"/>
      <w:bookmarkEnd w:id="225"/>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226" w:name="_Toc30323"/>
      <w:bookmarkStart w:id="227" w:name="_Toc7217"/>
      <w:bookmarkStart w:id="228" w:name="_Toc16484"/>
      <w:bookmarkStart w:id="229" w:name="_Toc10475"/>
      <w:bookmarkStart w:id="230" w:name="_Toc12767"/>
      <w:bookmarkStart w:id="231" w:name="_Toc14582"/>
      <w:bookmarkStart w:id="232" w:name="_Toc28766"/>
      <w:bookmarkStart w:id="233" w:name="_Toc20067"/>
      <w:r>
        <w:rPr>
          <w:rFonts w:hint="default" w:ascii="Times New Roman" w:hAnsi="Times New Roman" w:eastAsia="方正仿宋_GBK" w:cs="Times New Roman"/>
          <w:color w:val="auto"/>
          <w:sz w:val="28"/>
          <w:szCs w:val="28"/>
          <w:lang w:val="en-US" w:eastAsia="zh-CN"/>
        </w:rPr>
        <w:t>（2）《中华人民共和国消防法》</w:t>
      </w:r>
      <w:bookmarkEnd w:id="226"/>
      <w:bookmarkEnd w:id="227"/>
      <w:bookmarkEnd w:id="228"/>
      <w:bookmarkEnd w:id="229"/>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234" w:name="_Toc11464"/>
      <w:bookmarkStart w:id="235" w:name="_Toc13995"/>
      <w:bookmarkStart w:id="236" w:name="_Toc23922"/>
      <w:bookmarkStart w:id="237" w:name="_Toc22476"/>
      <w:bookmarkStart w:id="238" w:name="_Toc222"/>
      <w:bookmarkStart w:id="239" w:name="_Toc21847"/>
      <w:bookmarkStart w:id="240" w:name="_Toc18912"/>
      <w:bookmarkStart w:id="241" w:name="_Toc22999"/>
      <w:r>
        <w:rPr>
          <w:rFonts w:hint="default" w:ascii="Times New Roman" w:hAnsi="Times New Roman" w:eastAsia="方正仿宋_GBK" w:cs="Times New Roman"/>
          <w:color w:val="auto"/>
          <w:sz w:val="28"/>
          <w:szCs w:val="28"/>
          <w:lang w:val="en-US" w:eastAsia="zh-CN"/>
        </w:rPr>
        <w:t>（3）《重庆市安全生产条例》</w:t>
      </w:r>
      <w:bookmarkEnd w:id="234"/>
      <w:bookmarkEnd w:id="235"/>
      <w:bookmarkEnd w:id="236"/>
      <w:bookmarkEnd w:id="237"/>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242" w:name="_Toc31555"/>
      <w:bookmarkStart w:id="243" w:name="_Toc23060"/>
      <w:bookmarkStart w:id="244" w:name="_Toc4081"/>
      <w:bookmarkStart w:id="245" w:name="_Toc26205"/>
      <w:bookmarkStart w:id="246" w:name="_Toc7188"/>
      <w:bookmarkStart w:id="247" w:name="_Toc20489"/>
      <w:bookmarkStart w:id="248" w:name="_Toc4146"/>
      <w:bookmarkStart w:id="249" w:name="_Toc12662"/>
      <w:r>
        <w:rPr>
          <w:rFonts w:hint="default" w:ascii="Times New Roman" w:hAnsi="Times New Roman" w:eastAsia="方正仿宋_GBK" w:cs="Times New Roman"/>
          <w:color w:val="auto"/>
          <w:sz w:val="28"/>
          <w:szCs w:val="28"/>
          <w:lang w:val="en-US" w:eastAsia="zh-CN"/>
        </w:rPr>
        <w:t>（4）《重庆市消防条例》</w:t>
      </w:r>
      <w:bookmarkEnd w:id="242"/>
      <w:bookmarkEnd w:id="243"/>
      <w:bookmarkEnd w:id="244"/>
      <w:bookmarkEnd w:id="245"/>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250" w:name="_Toc15803"/>
      <w:bookmarkStart w:id="251" w:name="_Toc5469"/>
      <w:bookmarkStart w:id="252" w:name="_Toc2793"/>
      <w:bookmarkStart w:id="253" w:name="_Toc29346"/>
      <w:bookmarkStart w:id="254" w:name="_Toc3866"/>
      <w:bookmarkStart w:id="255" w:name="_Toc31940"/>
      <w:bookmarkStart w:id="256" w:name="_Toc30693"/>
      <w:bookmarkStart w:id="257" w:name="_Toc11654"/>
      <w:r>
        <w:rPr>
          <w:rFonts w:hint="default" w:ascii="Times New Roman" w:hAnsi="Times New Roman" w:eastAsia="方正仿宋_GBK" w:cs="Times New Roman"/>
          <w:color w:val="auto"/>
          <w:sz w:val="28"/>
          <w:szCs w:val="28"/>
          <w:lang w:val="en-US" w:eastAsia="zh-CN"/>
        </w:rPr>
        <w:t>（5）《机关、团体、企业、事业单位消防安全管理规定》</w:t>
      </w:r>
      <w:bookmarkEnd w:id="250"/>
      <w:bookmarkEnd w:id="251"/>
      <w:bookmarkEnd w:id="252"/>
      <w:bookmarkEnd w:id="253"/>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258" w:name="_Toc11485"/>
      <w:bookmarkStart w:id="259" w:name="_Toc5334"/>
      <w:r>
        <w:rPr>
          <w:rFonts w:hint="default" w:ascii="Times New Roman" w:hAnsi="Times New Roman" w:eastAsia="方正仿宋_GBK" w:cs="Times New Roman"/>
          <w:color w:val="auto"/>
          <w:sz w:val="28"/>
          <w:szCs w:val="28"/>
          <w:lang w:val="en-US" w:eastAsia="zh-CN"/>
        </w:rPr>
        <w:t>（6）《重庆市火灾高危单位消防安全管理规定》</w:t>
      </w:r>
      <w:bookmarkEnd w:id="258"/>
      <w:bookmarkEnd w:id="259"/>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260" w:name="_Toc20986"/>
      <w:bookmarkStart w:id="261" w:name="_Toc13387"/>
      <w:bookmarkStart w:id="262" w:name="_Toc21429"/>
      <w:bookmarkStart w:id="263" w:name="_Toc21729"/>
      <w:bookmarkStart w:id="264" w:name="_Toc9369"/>
      <w:bookmarkStart w:id="265" w:name="_Toc4511"/>
      <w:bookmarkStart w:id="266" w:name="_Toc23422"/>
      <w:bookmarkStart w:id="267" w:name="_Toc10642"/>
      <w:r>
        <w:rPr>
          <w:rFonts w:hint="default" w:ascii="Times New Roman" w:hAnsi="Times New Roman" w:eastAsia="方正仿宋_GBK" w:cs="Times New Roman"/>
          <w:color w:val="auto"/>
          <w:sz w:val="28"/>
          <w:szCs w:val="28"/>
          <w:lang w:val="en-US" w:eastAsia="zh-CN"/>
        </w:rPr>
        <w:t>（7）《建筑设计防火规范》（GB50016-2014）</w:t>
      </w:r>
      <w:bookmarkEnd w:id="260"/>
      <w:bookmarkEnd w:id="261"/>
      <w:bookmarkEnd w:id="262"/>
      <w:bookmarkEnd w:id="263"/>
      <w:bookmarkEnd w:id="264"/>
      <w:bookmarkEnd w:id="265"/>
      <w:bookmarkEnd w:id="266"/>
      <w:bookmarkEnd w:id="267"/>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268" w:name="_Toc22983"/>
      <w:bookmarkStart w:id="269" w:name="_Toc2949"/>
      <w:bookmarkStart w:id="270" w:name="_Toc20002"/>
      <w:bookmarkStart w:id="271" w:name="_Toc10835"/>
      <w:bookmarkStart w:id="272" w:name="_Toc14377"/>
      <w:bookmarkStart w:id="273" w:name="_Toc7494"/>
      <w:bookmarkStart w:id="274" w:name="_Toc30551"/>
      <w:bookmarkStart w:id="275" w:name="_Toc30648"/>
      <w:r>
        <w:rPr>
          <w:rFonts w:hint="default" w:ascii="Times New Roman" w:hAnsi="Times New Roman" w:eastAsia="方正仿宋_GBK" w:cs="Times New Roman"/>
          <w:color w:val="auto"/>
          <w:sz w:val="28"/>
          <w:szCs w:val="28"/>
          <w:lang w:val="en-US" w:eastAsia="zh-CN"/>
        </w:rPr>
        <w:t>（8）《消防给水及消火栓系统技术规范》（GB50794-2014）</w:t>
      </w:r>
      <w:bookmarkEnd w:id="268"/>
      <w:bookmarkEnd w:id="269"/>
      <w:bookmarkEnd w:id="270"/>
      <w:bookmarkEnd w:id="271"/>
      <w:bookmarkEnd w:id="272"/>
      <w:bookmarkEnd w:id="273"/>
      <w:bookmarkEnd w:id="274"/>
      <w:bookmarkEnd w:id="275"/>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276" w:name="_Toc14256"/>
      <w:bookmarkStart w:id="277" w:name="_Toc29793"/>
      <w:bookmarkStart w:id="278" w:name="_Toc28775"/>
      <w:bookmarkStart w:id="279" w:name="_Toc26498"/>
      <w:bookmarkStart w:id="280" w:name="_Toc3870"/>
      <w:bookmarkStart w:id="281" w:name="_Toc28570"/>
      <w:bookmarkStart w:id="282" w:name="_Toc13832"/>
      <w:bookmarkStart w:id="283" w:name="_Toc8046"/>
      <w:r>
        <w:rPr>
          <w:rFonts w:hint="default" w:ascii="Times New Roman" w:hAnsi="Times New Roman" w:eastAsia="方正仿宋_GBK" w:cs="Times New Roman"/>
          <w:color w:val="auto"/>
          <w:sz w:val="28"/>
          <w:szCs w:val="28"/>
          <w:lang w:val="en-US" w:eastAsia="zh-CN"/>
        </w:rPr>
        <w:t>（9）《火灾自动报警系统设计规范》（GB50116-2013）</w:t>
      </w:r>
      <w:bookmarkEnd w:id="276"/>
      <w:bookmarkEnd w:id="277"/>
      <w:bookmarkEnd w:id="278"/>
      <w:bookmarkEnd w:id="279"/>
      <w:bookmarkEnd w:id="280"/>
      <w:bookmarkEnd w:id="281"/>
      <w:bookmarkEnd w:id="282"/>
      <w:bookmarkEnd w:id="283"/>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284" w:name="_Toc501"/>
      <w:bookmarkStart w:id="285" w:name="_Toc11649"/>
      <w:bookmarkStart w:id="286" w:name="_Toc21821"/>
      <w:bookmarkStart w:id="287" w:name="_Toc28713"/>
      <w:bookmarkStart w:id="288" w:name="_Toc25751"/>
      <w:bookmarkStart w:id="289" w:name="_Toc380"/>
      <w:bookmarkStart w:id="290" w:name="_Toc30265"/>
      <w:bookmarkStart w:id="291" w:name="_Toc22577"/>
      <w:r>
        <w:rPr>
          <w:rFonts w:hint="default" w:ascii="Times New Roman" w:hAnsi="Times New Roman" w:eastAsia="方正仿宋_GBK" w:cs="Times New Roman"/>
          <w:color w:val="auto"/>
          <w:sz w:val="28"/>
          <w:szCs w:val="28"/>
          <w:lang w:val="en-US" w:eastAsia="zh-CN"/>
        </w:rPr>
        <w:t>（10）《自动喷水灭火系统设计规范》（GB50084-2017）</w:t>
      </w:r>
      <w:bookmarkEnd w:id="284"/>
      <w:bookmarkEnd w:id="285"/>
      <w:bookmarkEnd w:id="286"/>
      <w:bookmarkEnd w:id="287"/>
      <w:bookmarkEnd w:id="288"/>
      <w:bookmarkEnd w:id="289"/>
      <w:bookmarkEnd w:id="290"/>
      <w:bookmarkEnd w:id="291"/>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292" w:name="_Toc2726"/>
      <w:bookmarkStart w:id="293" w:name="_Toc10422"/>
      <w:bookmarkStart w:id="294" w:name="_Toc4517"/>
      <w:bookmarkStart w:id="295" w:name="_Toc8686"/>
      <w:bookmarkStart w:id="296" w:name="_Toc15443"/>
      <w:bookmarkStart w:id="297" w:name="_Toc19971"/>
      <w:bookmarkStart w:id="298" w:name="_Toc12748"/>
      <w:bookmarkStart w:id="299" w:name="_Toc28306"/>
      <w:r>
        <w:rPr>
          <w:rFonts w:hint="default" w:ascii="Times New Roman" w:hAnsi="Times New Roman" w:eastAsia="方正仿宋_GBK" w:cs="Times New Roman"/>
          <w:color w:val="auto"/>
          <w:sz w:val="28"/>
          <w:szCs w:val="28"/>
          <w:lang w:val="en-US" w:eastAsia="zh-CN"/>
        </w:rPr>
        <w:t>（11）《自动喷水灭火系统施工及验收规范》（GB50261-2017）</w:t>
      </w:r>
      <w:bookmarkEnd w:id="292"/>
      <w:bookmarkEnd w:id="293"/>
      <w:bookmarkEnd w:id="294"/>
      <w:bookmarkEnd w:id="295"/>
      <w:bookmarkEnd w:id="296"/>
      <w:bookmarkEnd w:id="297"/>
      <w:bookmarkEnd w:id="298"/>
      <w:bookmarkEnd w:id="299"/>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300" w:name="_Toc25018"/>
      <w:bookmarkStart w:id="301" w:name="_Toc31470"/>
      <w:bookmarkStart w:id="302" w:name="_Toc16703"/>
      <w:bookmarkStart w:id="303" w:name="_Toc14308"/>
      <w:bookmarkStart w:id="304" w:name="_Toc1312"/>
      <w:bookmarkStart w:id="305" w:name="_Toc30656"/>
      <w:bookmarkStart w:id="306" w:name="_Toc28763"/>
      <w:bookmarkStart w:id="307" w:name="_Toc5094"/>
      <w:r>
        <w:rPr>
          <w:rFonts w:hint="default" w:ascii="Times New Roman" w:hAnsi="Times New Roman" w:eastAsia="方正仿宋_GBK" w:cs="Times New Roman"/>
          <w:color w:val="auto"/>
          <w:sz w:val="28"/>
          <w:szCs w:val="28"/>
          <w:lang w:val="en-US" w:eastAsia="zh-CN"/>
        </w:rPr>
        <w:t>（12）《气体灭火系统设计规范》（GB50370-2005）</w:t>
      </w:r>
      <w:bookmarkEnd w:id="300"/>
      <w:bookmarkEnd w:id="301"/>
      <w:bookmarkEnd w:id="302"/>
      <w:bookmarkEnd w:id="303"/>
      <w:bookmarkEnd w:id="304"/>
      <w:bookmarkEnd w:id="305"/>
      <w:bookmarkEnd w:id="306"/>
      <w:bookmarkEnd w:id="307"/>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308" w:name="_Toc19155"/>
      <w:bookmarkStart w:id="309" w:name="_Toc28481"/>
      <w:bookmarkStart w:id="310" w:name="_Toc29937"/>
      <w:bookmarkStart w:id="311" w:name="_Toc9646"/>
      <w:bookmarkStart w:id="312" w:name="_Toc27672"/>
      <w:bookmarkStart w:id="313" w:name="_Toc2158"/>
      <w:bookmarkStart w:id="314" w:name="_Toc14277"/>
      <w:bookmarkStart w:id="315" w:name="_Toc27284"/>
      <w:r>
        <w:rPr>
          <w:rFonts w:hint="default" w:ascii="Times New Roman" w:hAnsi="Times New Roman" w:eastAsia="方正仿宋_GBK" w:cs="Times New Roman"/>
          <w:color w:val="auto"/>
          <w:sz w:val="28"/>
          <w:szCs w:val="28"/>
          <w:lang w:val="en-US" w:eastAsia="zh-CN"/>
        </w:rPr>
        <w:t>（13）《气体灭火系统施工及验收规范》（GB50263-2007）</w:t>
      </w:r>
      <w:bookmarkEnd w:id="308"/>
      <w:bookmarkEnd w:id="309"/>
      <w:bookmarkEnd w:id="310"/>
      <w:bookmarkEnd w:id="311"/>
      <w:bookmarkEnd w:id="312"/>
      <w:bookmarkEnd w:id="313"/>
      <w:bookmarkEnd w:id="314"/>
      <w:bookmarkEnd w:id="315"/>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316" w:name="_Toc22398"/>
      <w:bookmarkStart w:id="317" w:name="_Toc7111"/>
      <w:bookmarkStart w:id="318" w:name="_Toc4913"/>
      <w:bookmarkStart w:id="319" w:name="_Toc14171"/>
      <w:bookmarkStart w:id="320" w:name="_Toc3073"/>
      <w:bookmarkStart w:id="321" w:name="_Toc13338"/>
      <w:bookmarkStart w:id="322" w:name="_Toc12538"/>
      <w:bookmarkStart w:id="323" w:name="_Toc13379"/>
      <w:r>
        <w:rPr>
          <w:rFonts w:hint="default" w:ascii="Times New Roman" w:hAnsi="Times New Roman" w:eastAsia="方正仿宋_GBK" w:cs="Times New Roman"/>
          <w:color w:val="auto"/>
          <w:sz w:val="28"/>
          <w:szCs w:val="28"/>
          <w:lang w:val="en-US" w:eastAsia="zh-CN"/>
        </w:rPr>
        <w:t>（14）《建筑灭火器配置设计规范》（GB50140-2005）</w:t>
      </w:r>
      <w:bookmarkEnd w:id="316"/>
      <w:bookmarkEnd w:id="317"/>
      <w:bookmarkEnd w:id="318"/>
      <w:bookmarkEnd w:id="319"/>
      <w:bookmarkEnd w:id="320"/>
      <w:bookmarkEnd w:id="321"/>
      <w:bookmarkEnd w:id="322"/>
      <w:bookmarkEnd w:id="323"/>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324" w:name="_Toc9350"/>
      <w:bookmarkStart w:id="325" w:name="_Toc1247"/>
      <w:bookmarkStart w:id="326" w:name="_Toc12336"/>
      <w:bookmarkStart w:id="327" w:name="_Toc1780"/>
      <w:bookmarkStart w:id="328" w:name="_Toc29087"/>
      <w:bookmarkStart w:id="329" w:name="_Toc21850"/>
      <w:bookmarkStart w:id="330" w:name="_Toc21115"/>
      <w:bookmarkStart w:id="331" w:name="_Toc14539"/>
      <w:r>
        <w:rPr>
          <w:rFonts w:hint="default" w:ascii="Times New Roman" w:hAnsi="Times New Roman" w:eastAsia="方正仿宋_GBK" w:cs="Times New Roman"/>
          <w:color w:val="auto"/>
          <w:sz w:val="28"/>
          <w:szCs w:val="28"/>
          <w:lang w:val="en-US" w:eastAsia="zh-CN"/>
        </w:rPr>
        <w:t>（15）《建筑灭火器配置验收及检查规范》（GB50444-2008）</w:t>
      </w:r>
      <w:bookmarkEnd w:id="324"/>
      <w:bookmarkEnd w:id="325"/>
      <w:bookmarkEnd w:id="326"/>
      <w:bookmarkEnd w:id="327"/>
      <w:bookmarkEnd w:id="328"/>
      <w:bookmarkEnd w:id="329"/>
      <w:bookmarkEnd w:id="330"/>
      <w:bookmarkEnd w:id="331"/>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332" w:name="_Toc18710"/>
      <w:bookmarkStart w:id="333" w:name="_Toc1946"/>
      <w:bookmarkStart w:id="334" w:name="_Toc11562"/>
      <w:bookmarkStart w:id="335" w:name="_Toc7212"/>
      <w:bookmarkStart w:id="336" w:name="_Toc28373"/>
      <w:bookmarkStart w:id="337" w:name="_Toc7229"/>
      <w:bookmarkStart w:id="338" w:name="_Toc14009"/>
      <w:bookmarkStart w:id="339" w:name="_Toc16370"/>
      <w:r>
        <w:rPr>
          <w:rFonts w:hint="default" w:ascii="Times New Roman" w:hAnsi="Times New Roman" w:eastAsia="方正仿宋_GBK" w:cs="Times New Roman"/>
          <w:color w:val="auto"/>
          <w:sz w:val="28"/>
          <w:szCs w:val="28"/>
          <w:lang w:val="en-US" w:eastAsia="zh-CN"/>
        </w:rPr>
        <w:t>（16）《建筑消防设施的维护管理》（GB25201-2010）</w:t>
      </w:r>
      <w:bookmarkEnd w:id="332"/>
      <w:bookmarkEnd w:id="333"/>
      <w:bookmarkEnd w:id="334"/>
      <w:bookmarkEnd w:id="335"/>
      <w:bookmarkEnd w:id="336"/>
      <w:bookmarkEnd w:id="337"/>
      <w:bookmarkEnd w:id="338"/>
      <w:bookmarkEnd w:id="339"/>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340" w:name="_Toc20642"/>
      <w:bookmarkStart w:id="341" w:name="_Toc28714"/>
      <w:bookmarkStart w:id="342" w:name="_Toc2772"/>
      <w:bookmarkStart w:id="343" w:name="_Toc11480"/>
      <w:bookmarkStart w:id="344" w:name="_Toc5483"/>
      <w:bookmarkStart w:id="345" w:name="_Toc9956"/>
      <w:bookmarkStart w:id="346" w:name="_Toc26386"/>
      <w:bookmarkStart w:id="347" w:name="_Toc19567"/>
      <w:r>
        <w:rPr>
          <w:rFonts w:hint="default" w:ascii="Times New Roman" w:hAnsi="Times New Roman" w:eastAsia="方正仿宋_GBK" w:cs="Times New Roman"/>
          <w:color w:val="auto"/>
          <w:sz w:val="28"/>
          <w:szCs w:val="28"/>
          <w:lang w:val="en-US" w:eastAsia="zh-CN"/>
        </w:rPr>
        <w:t>（17）《建筑消防设施检测技术规程》（XF503-2004）</w:t>
      </w:r>
      <w:bookmarkEnd w:id="340"/>
      <w:bookmarkEnd w:id="341"/>
      <w:bookmarkEnd w:id="342"/>
      <w:bookmarkEnd w:id="343"/>
      <w:bookmarkEnd w:id="344"/>
      <w:bookmarkEnd w:id="345"/>
      <w:bookmarkEnd w:id="346"/>
      <w:bookmarkEnd w:id="347"/>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（18）《厨房设备灭火装置 》（XF498-2012）</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4.2 比选响应人所提供的消防服务均应符合上述所列的法律及规范标准要求，同时须符合但不限于下列单位提出的规范： </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348" w:name="_Toc1194"/>
      <w:bookmarkStart w:id="349" w:name="_Toc601"/>
      <w:bookmarkStart w:id="350" w:name="_Toc18122"/>
      <w:bookmarkStart w:id="351" w:name="_Toc29921"/>
      <w:bookmarkStart w:id="352" w:name="_Toc14765"/>
      <w:bookmarkStart w:id="353" w:name="_Toc4631"/>
      <w:bookmarkStart w:id="354" w:name="_Toc28513"/>
      <w:bookmarkStart w:id="355" w:name="_Toc667"/>
      <w:r>
        <w:rPr>
          <w:rFonts w:hint="default" w:ascii="Times New Roman" w:hAnsi="Times New Roman" w:eastAsia="方正仿宋_GBK" w:cs="Times New Roman"/>
          <w:color w:val="auto"/>
          <w:sz w:val="28"/>
          <w:szCs w:val="28"/>
          <w:lang w:val="en-US" w:eastAsia="zh-CN"/>
        </w:rPr>
        <w:t>（1）中国民用航空局</w:t>
      </w:r>
      <w:bookmarkEnd w:id="348"/>
      <w:bookmarkEnd w:id="349"/>
      <w:bookmarkEnd w:id="350"/>
      <w:bookmarkEnd w:id="351"/>
      <w:bookmarkEnd w:id="352"/>
      <w:bookmarkEnd w:id="353"/>
      <w:bookmarkEnd w:id="354"/>
      <w:bookmarkEnd w:id="355"/>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356" w:name="_Toc24077"/>
      <w:bookmarkStart w:id="357" w:name="_Toc16097"/>
      <w:bookmarkStart w:id="358" w:name="_Toc6521"/>
      <w:bookmarkStart w:id="359" w:name="_Toc9003"/>
      <w:bookmarkStart w:id="360" w:name="_Toc28238"/>
      <w:bookmarkStart w:id="361" w:name="_Toc24289"/>
      <w:bookmarkStart w:id="362" w:name="_Toc25775"/>
      <w:bookmarkStart w:id="363" w:name="_Toc6692"/>
      <w:r>
        <w:rPr>
          <w:rFonts w:hint="default" w:ascii="Times New Roman" w:hAnsi="Times New Roman" w:eastAsia="方正仿宋_GBK" w:cs="Times New Roman"/>
          <w:color w:val="auto"/>
          <w:sz w:val="28"/>
          <w:szCs w:val="28"/>
          <w:lang w:val="en-US" w:eastAsia="zh-CN"/>
        </w:rPr>
        <w:t>（2）重庆市卫生健康委</w:t>
      </w:r>
      <w:bookmarkEnd w:id="356"/>
      <w:bookmarkEnd w:id="357"/>
      <w:bookmarkEnd w:id="358"/>
      <w:bookmarkEnd w:id="359"/>
      <w:bookmarkEnd w:id="360"/>
      <w:bookmarkEnd w:id="361"/>
      <w:bookmarkEnd w:id="362"/>
      <w:bookmarkEnd w:id="363"/>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364" w:name="_Toc1908"/>
      <w:bookmarkStart w:id="365" w:name="_Toc5823"/>
      <w:bookmarkStart w:id="366" w:name="_Toc13696"/>
      <w:bookmarkStart w:id="367" w:name="_Toc14873"/>
      <w:bookmarkStart w:id="368" w:name="_Toc29487"/>
      <w:bookmarkStart w:id="369" w:name="_Toc6587"/>
      <w:bookmarkStart w:id="370" w:name="_Toc21834"/>
      <w:bookmarkStart w:id="371" w:name="_Toc15430"/>
      <w:r>
        <w:rPr>
          <w:rFonts w:hint="default" w:ascii="Times New Roman" w:hAnsi="Times New Roman" w:eastAsia="方正仿宋_GBK" w:cs="Times New Roman"/>
          <w:color w:val="auto"/>
          <w:sz w:val="28"/>
          <w:szCs w:val="28"/>
          <w:lang w:val="en-US" w:eastAsia="zh-CN"/>
        </w:rPr>
        <w:t>（3）重庆市市场监管局</w:t>
      </w:r>
      <w:bookmarkEnd w:id="364"/>
      <w:bookmarkEnd w:id="365"/>
      <w:bookmarkEnd w:id="366"/>
      <w:bookmarkEnd w:id="367"/>
      <w:bookmarkEnd w:id="368"/>
      <w:bookmarkEnd w:id="369"/>
      <w:bookmarkEnd w:id="370"/>
      <w:bookmarkEnd w:id="371"/>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372" w:name="_Toc22656"/>
      <w:bookmarkStart w:id="373" w:name="_Toc1978"/>
      <w:bookmarkStart w:id="374" w:name="_Toc24082"/>
      <w:bookmarkStart w:id="375" w:name="_Toc26376"/>
      <w:bookmarkStart w:id="376" w:name="_Toc24771"/>
      <w:bookmarkStart w:id="377" w:name="_Toc6707"/>
      <w:bookmarkStart w:id="378" w:name="_Toc10079"/>
      <w:bookmarkStart w:id="379" w:name="_Toc9588"/>
      <w:r>
        <w:rPr>
          <w:rFonts w:hint="default" w:ascii="Times New Roman" w:hAnsi="Times New Roman" w:eastAsia="方正仿宋_GBK" w:cs="Times New Roman"/>
          <w:color w:val="auto"/>
          <w:sz w:val="28"/>
          <w:szCs w:val="28"/>
          <w:lang w:val="en-US" w:eastAsia="zh-CN"/>
        </w:rPr>
        <w:t>（4）重庆市消防救援总队</w:t>
      </w:r>
      <w:bookmarkEnd w:id="372"/>
      <w:bookmarkEnd w:id="373"/>
      <w:bookmarkEnd w:id="374"/>
      <w:bookmarkEnd w:id="375"/>
      <w:bookmarkEnd w:id="376"/>
      <w:bookmarkEnd w:id="377"/>
      <w:bookmarkEnd w:id="378"/>
      <w:bookmarkEnd w:id="379"/>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bookmarkStart w:id="380" w:name="_Toc18506"/>
      <w:bookmarkStart w:id="381" w:name="_Toc1641"/>
      <w:bookmarkStart w:id="382" w:name="_Toc27302"/>
      <w:bookmarkStart w:id="383" w:name="_Toc17717"/>
      <w:bookmarkStart w:id="384" w:name="_Toc21252"/>
      <w:bookmarkStart w:id="385" w:name="_Toc8719"/>
      <w:bookmarkStart w:id="386" w:name="_Toc21086"/>
      <w:bookmarkStart w:id="387" w:name="_Toc29770"/>
      <w:r>
        <w:rPr>
          <w:rFonts w:hint="default" w:ascii="Times New Roman" w:hAnsi="Times New Roman" w:eastAsia="方正仿宋_GBK" w:cs="Times New Roman"/>
          <w:color w:val="auto"/>
          <w:sz w:val="28"/>
          <w:szCs w:val="28"/>
          <w:lang w:val="en-US" w:eastAsia="zh-CN"/>
        </w:rPr>
        <w:t>（5）重庆市人力社保局</w:t>
      </w:r>
      <w:bookmarkEnd w:id="380"/>
      <w:bookmarkEnd w:id="381"/>
      <w:bookmarkEnd w:id="382"/>
      <w:bookmarkEnd w:id="383"/>
      <w:bookmarkEnd w:id="384"/>
      <w:bookmarkEnd w:id="385"/>
      <w:bookmarkEnd w:id="386"/>
      <w:bookmarkEnd w:id="387"/>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4.3现场人员配备</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比选响应人应安排1名项目经理和至少6名技术人员参与检测工作，项目经理应具有一级注册消防工程师资格证书，技术人员必须取得中级及以上《建（构）筑物消防员》或《消防设施操作员》资格，参加高空作业的人员须取得高处作业证，参加电工作业的人员须取得电工作业证。</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（2）项目经理必须为比选</w:t>
      </w:r>
      <w:r>
        <w:rPr>
          <w:rFonts w:hint="eastAsia" w:eastAsia="方正仿宋_GBK" w:cs="Times New Roman"/>
          <w:color w:val="auto"/>
          <w:sz w:val="28"/>
          <w:szCs w:val="28"/>
          <w:lang w:val="en-US" w:eastAsia="zh-CN"/>
        </w:rPr>
        <w:t>响应</w:t>
      </w:r>
      <w:r>
        <w:rPr>
          <w:rFonts w:hint="default" w:ascii="Times New Roman" w:hAnsi="Times New Roman" w:eastAsia="方正仿宋_GBK" w:cs="Times New Roman"/>
          <w:color w:val="auto"/>
          <w:sz w:val="28"/>
          <w:szCs w:val="28"/>
          <w:lang w:val="en-US" w:eastAsia="zh-CN"/>
        </w:rPr>
        <w:t>文件明确的人员，技术人员可更换，但持有的资格证书和级别必须与比选</w:t>
      </w:r>
      <w:r>
        <w:rPr>
          <w:rFonts w:hint="eastAsia" w:eastAsia="方正仿宋_GBK" w:cs="Times New Roman"/>
          <w:color w:val="auto"/>
          <w:sz w:val="28"/>
          <w:szCs w:val="28"/>
          <w:lang w:val="en-US" w:eastAsia="zh-CN"/>
        </w:rPr>
        <w:t>响应</w:t>
      </w:r>
      <w:r>
        <w:rPr>
          <w:rFonts w:hint="default" w:ascii="Times New Roman" w:hAnsi="Times New Roman" w:eastAsia="方正仿宋_GBK" w:cs="Times New Roman"/>
          <w:color w:val="auto"/>
          <w:sz w:val="28"/>
          <w:szCs w:val="28"/>
          <w:lang w:val="en-US" w:eastAsia="zh-CN"/>
        </w:rPr>
        <w:t>文件一致，检测时项目经理必须在场。</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（3）比选响应人委派的检测人员必须具备相关系统设备的检测能力和检测经验。</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（4）比选响应人派遣人员应配合采购人安排及相关证件办理工作，费用自理。</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（5）比选响应人派遣人员应穿着统一制服，制服应大方整洁。</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（6）比选响应人所有本项目人员须进行入场安全教育，并签字存档。</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4.4 工器具配备</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根据现场检测的实际需要，比选响应人应投入消防系统检测所必需的各种工具（如起子、螺丝刀）、器具（如：登高梯、激光测距仪等），投入的工器具必须满足安全作业条件和检测工作需要，不得以作业难度、行业惯例等原因减少检测项目、内容或降低检测质量。比选响应人应自行解决工器具运输、使用、管理工作，比选采购人给予适当配合；配合比选采购人办理相关工器具带入证明。</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4.5 检测现场管控措施</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（1）比选响应人应确保检测过程中被测系统设施设备的完好性。</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（2）比选响应人应按照比选采购人规定及要求开展检测工作，不得对比选采购人的日常生产及工作造成影响。</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（3）比选响应人检测期间不得遗留任何垃圾，保持环境整洁、干净。</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（4）比选响应人应进行专项安全技术教育及交底，落实所有安全技术措施和人身防护用品，未落实不得进行工作。</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5）比选响应人应在检测结束后，向比选采购人提交国家、地方认可的检测报告，内容包括消防系统运行维保提升；消防设施设备巡检、维修；管理台账记录；消防系统硬件、软件提升；日常检测效率提升；消防设施设备改造等方面的内容。</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4.6 检测技术方案</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结合本项目比选的范围、内容和要求，编制消防系统检测服务过程中涉及到的各种检测技术方案，并制定确保安全工作的具体实施细则。</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4.7 突发事件应急预案和保障措施</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根据本项目比选的范围和内容，充分认识重庆江北国际机场作为大型公共交通基础设施的重要性，编制适宜、可靠的突发事件应急预案及消防测试的保障措施。包括火灾自动报警系统、气体灭火系统、自动灭火系统、电气火灾监控的系统突遇重大突发性设施设备不正常动作事件（如：测试过程中消防联动设备误报、误动作、报警系统不正常联动等）时配合业主的应急处置办法。</w:t>
      </w:r>
    </w:p>
    <w:p>
      <w:pPr>
        <w:pStyle w:val="8"/>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ascii="Times New Roman" w:hAnsi="Times New Roman" w:eastAsia="方正仿宋_GBK" w:cs="Times New Roman"/>
          <w:color w:val="auto"/>
          <w:sz w:val="28"/>
          <w:szCs w:val="28"/>
          <w:lang w:val="en-US" w:eastAsia="zh-CN"/>
        </w:rPr>
        <w:sectPr>
          <w:pgSz w:w="11906" w:h="16838"/>
          <w:pgMar w:top="1440" w:right="1800" w:bottom="1440" w:left="1800" w:header="851" w:footer="992" w:gutter="0"/>
          <w:cols w:space="425" w:num="1"/>
          <w:docGrid w:type="lines" w:linePitch="312" w:charSpace="0"/>
        </w:sectPr>
      </w:pPr>
    </w:p>
    <w:p>
      <w:pPr>
        <w:pStyle w:val="3"/>
        <w:ind w:firstLine="0"/>
        <w:rPr>
          <w:rFonts w:hint="default"/>
          <w:b w:val="0"/>
          <w:bCs/>
          <w:color w:val="auto"/>
          <w:sz w:val="28"/>
          <w:szCs w:val="28"/>
        </w:rPr>
      </w:pPr>
      <w:bookmarkStart w:id="388" w:name="_Toc3578"/>
      <w:bookmarkStart w:id="389" w:name="_Toc20386"/>
      <w:bookmarkStart w:id="390" w:name="_Toc14017"/>
      <w:bookmarkStart w:id="391" w:name="_Toc4070"/>
      <w:bookmarkStart w:id="392" w:name="_Toc4964984"/>
      <w:bookmarkStart w:id="393" w:name="_Toc1821"/>
      <w:bookmarkStart w:id="394" w:name="_Toc32308"/>
      <w:r>
        <w:rPr>
          <w:rFonts w:hint="default"/>
          <w:b w:val="0"/>
          <w:bCs/>
          <w:color w:val="auto"/>
          <w:sz w:val="28"/>
          <w:szCs w:val="28"/>
        </w:rPr>
        <w:t>第三章 评标办法（综合评估法）</w:t>
      </w:r>
      <w:bookmarkEnd w:id="388"/>
      <w:bookmarkEnd w:id="389"/>
      <w:bookmarkEnd w:id="390"/>
      <w:bookmarkEnd w:id="391"/>
      <w:bookmarkEnd w:id="392"/>
      <w:bookmarkEnd w:id="393"/>
      <w:bookmarkEnd w:id="394"/>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bookmarkStart w:id="395" w:name="_Toc454"/>
      <w:bookmarkStart w:id="396" w:name="_Toc14615"/>
      <w:bookmarkStart w:id="397" w:name="_Toc15770"/>
      <w:bookmarkStart w:id="398" w:name="_Toc29336"/>
      <w:bookmarkStart w:id="399" w:name="_Toc23575"/>
      <w:r>
        <w:rPr>
          <w:rFonts w:hint="eastAsia" w:ascii="Times New Roman" w:hAnsi="Times New Roman" w:eastAsia="方正仿宋_GBK" w:cs="Times New Roman"/>
          <w:color w:val="auto"/>
          <w:sz w:val="28"/>
          <w:szCs w:val="28"/>
          <w:lang w:val="en-US" w:eastAsia="zh-CN"/>
        </w:rPr>
        <w:t>本次比选采取综合评分法。在经过初步审查后对符合本文件基本要求的比选响应人进行详细评审，总得分为经济、商务、技术务三种评定因素分别按照相应分值计算分项得分后相加，满分为100分，综合得分从高到</w:t>
      </w:r>
      <w:r>
        <w:rPr>
          <w:rFonts w:hint="eastAsia" w:eastAsia="方正仿宋_GBK" w:cs="Times New Roman"/>
          <w:color w:val="auto"/>
          <w:sz w:val="28"/>
          <w:szCs w:val="28"/>
          <w:lang w:val="en-US" w:eastAsia="zh-CN"/>
        </w:rPr>
        <w:t>低</w:t>
      </w:r>
      <w:r>
        <w:rPr>
          <w:rFonts w:hint="eastAsia" w:ascii="Times New Roman" w:hAnsi="Times New Roman" w:eastAsia="方正仿宋_GBK" w:cs="Times New Roman"/>
          <w:color w:val="auto"/>
          <w:sz w:val="28"/>
          <w:szCs w:val="28"/>
          <w:lang w:val="en-US" w:eastAsia="zh-CN"/>
        </w:rPr>
        <w:t>排名前1-3名的比选响应人作为成交候选人。</w:t>
      </w:r>
    </w:p>
    <w:bookmarkEnd w:id="395"/>
    <w:bookmarkEnd w:id="396"/>
    <w:bookmarkEnd w:id="397"/>
    <w:bookmarkEnd w:id="398"/>
    <w:bookmarkEnd w:id="399"/>
    <w:tbl>
      <w:tblPr>
        <w:tblStyle w:val="17"/>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104"/>
        <w:gridCol w:w="1313"/>
        <w:gridCol w:w="4711"/>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outlineLvl w:val="9"/>
              <w:rPr>
                <w:rFonts w:hint="default" w:ascii="Times New Roman" w:hAnsi="Times New Roman" w:eastAsia="方正仿宋_GBK" w:cs="Times New Roman"/>
                <w:bCs/>
                <w:snapToGrid w:val="0"/>
                <w:color w:val="auto"/>
                <w:kern w:val="0"/>
                <w:sz w:val="28"/>
                <w:szCs w:val="28"/>
              </w:rPr>
            </w:pPr>
            <w:r>
              <w:rPr>
                <w:rFonts w:hint="default" w:ascii="Times New Roman" w:hAnsi="Times New Roman" w:eastAsia="方正仿宋_GBK" w:cs="Times New Roman"/>
                <w:bCs/>
                <w:snapToGrid w:val="0"/>
                <w:color w:val="auto"/>
                <w:kern w:val="0"/>
                <w:sz w:val="28"/>
                <w:szCs w:val="28"/>
              </w:rPr>
              <w:t>条款号</w:t>
            </w:r>
          </w:p>
        </w:tc>
        <w:tc>
          <w:tcPr>
            <w:tcW w:w="2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snapToGrid w:val="0"/>
                <w:color w:val="auto"/>
                <w:kern w:val="0"/>
                <w:sz w:val="28"/>
                <w:szCs w:val="28"/>
              </w:rPr>
            </w:pPr>
            <w:r>
              <w:rPr>
                <w:rFonts w:hint="default" w:ascii="Times New Roman" w:hAnsi="Times New Roman" w:eastAsia="方正仿宋_GBK" w:cs="Times New Roman"/>
                <w:bCs/>
                <w:snapToGrid w:val="0"/>
                <w:color w:val="auto"/>
                <w:kern w:val="0"/>
                <w:sz w:val="28"/>
                <w:szCs w:val="28"/>
              </w:rPr>
              <w:t>评分因素</w:t>
            </w:r>
          </w:p>
        </w:tc>
        <w:tc>
          <w:tcPr>
            <w:tcW w:w="4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snapToGrid w:val="0"/>
                <w:color w:val="auto"/>
                <w:kern w:val="0"/>
                <w:sz w:val="28"/>
                <w:szCs w:val="28"/>
              </w:rPr>
            </w:pPr>
            <w:r>
              <w:rPr>
                <w:rFonts w:hint="default" w:ascii="Times New Roman" w:hAnsi="Times New Roman" w:eastAsia="方正仿宋_GBK" w:cs="Times New Roman"/>
                <w:bCs/>
                <w:snapToGrid w:val="0"/>
                <w:color w:val="auto"/>
                <w:kern w:val="0"/>
                <w:sz w:val="28"/>
                <w:szCs w:val="28"/>
              </w:rPr>
              <w:t>评分标准</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snapToGrid w:val="0"/>
                <w:color w:val="auto"/>
                <w:kern w:val="0"/>
                <w:sz w:val="28"/>
                <w:szCs w:val="28"/>
              </w:rPr>
            </w:pPr>
            <w:r>
              <w:rPr>
                <w:rFonts w:hint="default" w:ascii="Times New Roman" w:hAnsi="Times New Roman" w:eastAsia="方正仿宋_GBK" w:cs="Times New Roman"/>
                <w:bCs/>
                <w:snapToGrid w:val="0"/>
                <w:color w:val="auto"/>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sz w:val="28"/>
                <w:szCs w:val="28"/>
              </w:rPr>
              <w:t>1</w:t>
            </w:r>
          </w:p>
        </w:tc>
        <w:tc>
          <w:tcPr>
            <w:tcW w:w="2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val="0"/>
              <w:spacing w:line="400" w:lineRule="exact"/>
              <w:ind w:left="0" w:leftChars="0" w:firstLine="0" w:firstLineChars="0"/>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分值构成</w:t>
            </w:r>
          </w:p>
          <w:p>
            <w:pPr>
              <w:keepNext w:val="0"/>
              <w:keepLines w:val="0"/>
              <w:pageBreakBefore w:val="0"/>
              <w:kinsoku/>
              <w:wordWrap/>
              <w:overflowPunct/>
              <w:topLinePunct w:val="0"/>
              <w:bidi w:val="0"/>
              <w:snapToGrid w:val="0"/>
              <w:spacing w:line="400" w:lineRule="exact"/>
              <w:ind w:left="0" w:leftChars="0" w:firstLine="0" w:firstLineChars="0"/>
              <w:jc w:val="center"/>
              <w:textAlignment w:val="auto"/>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color w:val="auto"/>
                <w:kern w:val="0"/>
                <w:sz w:val="28"/>
                <w:szCs w:val="28"/>
              </w:rPr>
              <w:t>（总分100分）</w:t>
            </w:r>
          </w:p>
        </w:tc>
        <w:tc>
          <w:tcPr>
            <w:tcW w:w="4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rPr>
              <w:t>总分=经济部分得分</w:t>
            </w:r>
            <w:r>
              <w:rPr>
                <w:rFonts w:hint="default" w:ascii="Times New Roman" w:hAnsi="Times New Roman" w:eastAsia="方正仿宋_GBK" w:cs="Times New Roman"/>
                <w:color w:val="auto"/>
                <w:kern w:val="0"/>
                <w:sz w:val="28"/>
                <w:szCs w:val="28"/>
                <w:highlight w:val="none"/>
                <w:lang w:val="en-US" w:eastAsia="zh-CN"/>
              </w:rPr>
              <w:t>+商务部分得分+</w:t>
            </w:r>
            <w:r>
              <w:rPr>
                <w:rFonts w:hint="default" w:ascii="Times New Roman" w:hAnsi="Times New Roman" w:eastAsia="方正仿宋_GBK" w:cs="Times New Roman"/>
                <w:color w:val="auto"/>
                <w:kern w:val="0"/>
                <w:sz w:val="28"/>
                <w:szCs w:val="28"/>
                <w:highlight w:val="none"/>
              </w:rPr>
              <w:t>技术部分得分</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eastAsia="方正仿宋_GBK" w:cs="Times New Roman"/>
                <w:color w:val="auto"/>
                <w:kern w:val="0"/>
                <w:sz w:val="28"/>
                <w:szCs w:val="28"/>
                <w:highlight w:val="none"/>
                <w:lang w:eastAsia="zh-CN"/>
              </w:rPr>
            </w:pPr>
            <w:r>
              <w:rPr>
                <w:rFonts w:hint="default" w:ascii="Times New Roman" w:hAnsi="Times New Roman" w:eastAsia="方正仿宋_GBK" w:cs="Times New Roman"/>
                <w:color w:val="auto"/>
                <w:kern w:val="0"/>
                <w:sz w:val="28"/>
                <w:szCs w:val="28"/>
                <w:highlight w:val="none"/>
              </w:rPr>
              <w:t>经济部分：</w:t>
            </w:r>
            <w:r>
              <w:rPr>
                <w:rFonts w:hint="default" w:ascii="Times New Roman" w:hAnsi="Times New Roman" w:eastAsia="方正仿宋_GBK" w:cs="Times New Roman"/>
                <w:color w:val="auto"/>
                <w:kern w:val="0"/>
                <w:sz w:val="28"/>
                <w:szCs w:val="28"/>
                <w:highlight w:val="none"/>
                <w:lang w:val="en-US" w:eastAsia="zh-CN"/>
              </w:rPr>
              <w:t>7</w:t>
            </w:r>
            <w:r>
              <w:rPr>
                <w:rFonts w:hint="default" w:ascii="Times New Roman" w:hAnsi="Times New Roman" w:eastAsia="方正仿宋_GBK" w:cs="Times New Roman"/>
                <w:color w:val="auto"/>
                <w:kern w:val="0"/>
                <w:sz w:val="28"/>
                <w:szCs w:val="28"/>
                <w:highlight w:val="none"/>
              </w:rPr>
              <w:t>0分</w:t>
            </w:r>
            <w:r>
              <w:rPr>
                <w:rFonts w:hint="default" w:ascii="Times New Roman" w:hAnsi="Times New Roman" w:eastAsia="方正仿宋_GBK" w:cs="Times New Roman"/>
                <w:color w:val="auto"/>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eastAsia="方正仿宋_GBK" w:cs="Times New Roman"/>
                <w:color w:val="auto"/>
                <w:kern w:val="0"/>
                <w:sz w:val="28"/>
                <w:szCs w:val="28"/>
                <w:highlight w:val="none"/>
                <w:lang w:eastAsia="zh-CN"/>
              </w:rPr>
            </w:pPr>
            <w:r>
              <w:rPr>
                <w:rFonts w:hint="default" w:ascii="Times New Roman" w:hAnsi="Times New Roman" w:eastAsia="方正仿宋_GBK" w:cs="Times New Roman"/>
                <w:color w:val="auto"/>
                <w:kern w:val="0"/>
                <w:sz w:val="28"/>
                <w:szCs w:val="28"/>
                <w:highlight w:val="none"/>
              </w:rPr>
              <w:t>商务部分：</w:t>
            </w:r>
            <w:r>
              <w:rPr>
                <w:rFonts w:hint="default" w:ascii="Times New Roman" w:hAnsi="Times New Roman" w:eastAsia="方正仿宋_GBK" w:cs="Times New Roman"/>
                <w:color w:val="auto"/>
                <w:kern w:val="0"/>
                <w:sz w:val="28"/>
                <w:szCs w:val="28"/>
                <w:highlight w:val="none"/>
                <w:lang w:val="en-US" w:eastAsia="zh-CN"/>
              </w:rPr>
              <w:t>1</w:t>
            </w:r>
            <w:r>
              <w:rPr>
                <w:rFonts w:hint="eastAsia" w:eastAsia="方正仿宋_GBK" w:cs="Times New Roman"/>
                <w:color w:val="auto"/>
                <w:kern w:val="0"/>
                <w:sz w:val="28"/>
                <w:szCs w:val="28"/>
                <w:highlight w:val="none"/>
                <w:lang w:val="en-US" w:eastAsia="zh-CN"/>
              </w:rPr>
              <w:t>2</w:t>
            </w:r>
            <w:r>
              <w:rPr>
                <w:rFonts w:hint="default" w:ascii="Times New Roman" w:hAnsi="Times New Roman" w:eastAsia="方正仿宋_GBK" w:cs="Times New Roman"/>
                <w:color w:val="auto"/>
                <w:kern w:val="0"/>
                <w:sz w:val="28"/>
                <w:szCs w:val="28"/>
                <w:highlight w:val="none"/>
              </w:rPr>
              <w:t>分</w:t>
            </w:r>
            <w:r>
              <w:rPr>
                <w:rFonts w:hint="default" w:ascii="Times New Roman" w:hAnsi="Times New Roman" w:eastAsia="方正仿宋_GBK" w:cs="Times New Roman"/>
                <w:color w:val="auto"/>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0"/>
                <w:sz w:val="28"/>
                <w:szCs w:val="28"/>
                <w:highlight w:val="none"/>
              </w:rPr>
              <w:t>技术部分：</w:t>
            </w:r>
            <w:r>
              <w:rPr>
                <w:rFonts w:hint="default" w:ascii="Times New Roman" w:hAnsi="Times New Roman" w:eastAsia="方正仿宋_GBK" w:cs="Times New Roman"/>
                <w:color w:val="auto"/>
                <w:kern w:val="0"/>
                <w:sz w:val="28"/>
                <w:szCs w:val="28"/>
                <w:highlight w:val="none"/>
                <w:lang w:val="en-US" w:eastAsia="zh-CN"/>
              </w:rPr>
              <w:t>1</w:t>
            </w:r>
            <w:r>
              <w:rPr>
                <w:rFonts w:hint="eastAsia" w:eastAsia="方正仿宋_GBK" w:cs="Times New Roman"/>
                <w:color w:val="auto"/>
                <w:kern w:val="0"/>
                <w:sz w:val="28"/>
                <w:szCs w:val="28"/>
                <w:highlight w:val="none"/>
                <w:lang w:val="en-US" w:eastAsia="zh-CN"/>
              </w:rPr>
              <w:t>8</w:t>
            </w:r>
            <w:r>
              <w:rPr>
                <w:rFonts w:hint="default" w:ascii="Times New Roman" w:hAnsi="Times New Roman" w:eastAsia="方正仿宋_GBK" w:cs="Times New Roman"/>
                <w:color w:val="auto"/>
                <w:kern w:val="0"/>
                <w:sz w:val="28"/>
                <w:szCs w:val="28"/>
                <w:highlight w:val="none"/>
              </w:rPr>
              <w:t>分。</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snapToGrid w:val="0"/>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5"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color w:val="auto"/>
                <w:sz w:val="28"/>
                <w:szCs w:val="28"/>
                <w:lang w:eastAsia="zh-CN"/>
              </w:rPr>
            </w:pPr>
            <w:r>
              <w:rPr>
                <w:rFonts w:hint="eastAsia" w:eastAsia="方正仿宋_GBK" w:cs="Times New Roman"/>
                <w:bCs/>
                <w:color w:val="auto"/>
                <w:sz w:val="28"/>
                <w:szCs w:val="28"/>
                <w:lang w:val="en-US" w:eastAsia="zh-CN"/>
              </w:rPr>
              <w:t>2</w:t>
            </w:r>
          </w:p>
        </w:tc>
        <w:tc>
          <w:tcPr>
            <w:tcW w:w="2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经济评分标准</w:t>
            </w:r>
          </w:p>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color w:val="auto"/>
                <w:sz w:val="28"/>
                <w:szCs w:val="28"/>
                <w:lang w:eastAsia="zh-CN"/>
              </w:rPr>
            </w:pPr>
            <w:r>
              <w:rPr>
                <w:rFonts w:hint="default" w:ascii="Times New Roman" w:hAnsi="Times New Roman" w:eastAsia="方正仿宋_GBK" w:cs="Times New Roman"/>
                <w:bCs/>
                <w:color w:val="auto"/>
                <w:sz w:val="28"/>
                <w:szCs w:val="28"/>
                <w:lang w:eastAsia="zh-CN"/>
              </w:rPr>
              <w:t>（</w:t>
            </w:r>
            <w:r>
              <w:rPr>
                <w:rFonts w:hint="eastAsia" w:ascii="Times New Roman" w:hAnsi="Times New Roman" w:eastAsia="方正仿宋_GBK" w:cs="Times New Roman"/>
                <w:bCs/>
                <w:snapToGrid w:val="0"/>
                <w:color w:val="auto"/>
                <w:kern w:val="0"/>
                <w:sz w:val="28"/>
                <w:szCs w:val="28"/>
                <w:lang w:val="en-US" w:eastAsia="zh-CN"/>
              </w:rPr>
              <w:t>7</w:t>
            </w:r>
            <w:r>
              <w:rPr>
                <w:rFonts w:hint="default" w:ascii="Times New Roman" w:hAnsi="Times New Roman" w:eastAsia="方正仿宋_GBK" w:cs="Times New Roman"/>
                <w:bCs/>
                <w:snapToGrid w:val="0"/>
                <w:color w:val="auto"/>
                <w:kern w:val="0"/>
                <w:sz w:val="28"/>
                <w:szCs w:val="28"/>
              </w:rPr>
              <w:t>0分</w:t>
            </w:r>
            <w:r>
              <w:rPr>
                <w:rFonts w:hint="default" w:ascii="Times New Roman" w:hAnsi="Times New Roman" w:eastAsia="方正仿宋_GBK" w:cs="Times New Roman"/>
                <w:bCs/>
                <w:color w:val="auto"/>
                <w:sz w:val="28"/>
                <w:szCs w:val="28"/>
                <w:lang w:eastAsia="zh-CN"/>
              </w:rPr>
              <w:t>）</w:t>
            </w:r>
          </w:p>
        </w:tc>
        <w:tc>
          <w:tcPr>
            <w:tcW w:w="4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textAlignment w:val="auto"/>
              <w:outlineLvl w:val="9"/>
              <w:rPr>
                <w:rFonts w:hint="default" w:ascii="Times New Roman" w:hAnsi="Times New Roman" w:eastAsia="方正仿宋_GBK" w:cs="Times New Roman"/>
                <w:bCs/>
                <w:color w:val="auto"/>
                <w:sz w:val="28"/>
                <w:szCs w:val="28"/>
                <w:lang w:eastAsia="zh-CN"/>
              </w:rPr>
            </w:pPr>
            <w:r>
              <w:rPr>
                <w:rFonts w:hint="default" w:ascii="Times New Roman" w:hAnsi="Times New Roman" w:eastAsia="方正仿宋_GBK" w:cs="Times New Roman"/>
                <w:bCs/>
                <w:color w:val="auto"/>
                <w:sz w:val="28"/>
                <w:szCs w:val="28"/>
              </w:rPr>
              <w:t>在比选人公布的控制价以内的所有经初步评审合格的比选响应人的</w:t>
            </w:r>
            <w:r>
              <w:rPr>
                <w:rFonts w:hint="default" w:ascii="Times New Roman" w:hAnsi="Times New Roman" w:eastAsia="方正仿宋_GBK" w:cs="Times New Roman"/>
                <w:bCs/>
                <w:color w:val="auto"/>
                <w:sz w:val="28"/>
                <w:szCs w:val="28"/>
                <w:lang w:eastAsia="zh-CN"/>
              </w:rPr>
              <w:t>不含增值税总</w:t>
            </w:r>
            <w:r>
              <w:rPr>
                <w:rFonts w:hint="default" w:ascii="Times New Roman" w:hAnsi="Times New Roman" w:eastAsia="方正仿宋_GBK" w:cs="Times New Roman"/>
                <w:bCs/>
                <w:color w:val="auto"/>
                <w:sz w:val="28"/>
                <w:szCs w:val="28"/>
              </w:rPr>
              <w:t>报价中去掉1/6（不能整除的按小数前整数取整，不足六家（含）报价则不去掉）的最高价和相同家数的最低价后进行算术平均，所得的算术平均值即为投标总报价的评标基准价。</w:t>
            </w:r>
            <w:r>
              <w:rPr>
                <w:rFonts w:hint="default" w:ascii="Times New Roman" w:hAnsi="Times New Roman" w:eastAsia="方正仿宋_GBK" w:cs="Times New Roman"/>
                <w:bCs/>
                <w:color w:val="auto"/>
                <w:sz w:val="28"/>
                <w:szCs w:val="28"/>
                <w:lang w:eastAsia="zh-CN"/>
              </w:rPr>
              <w:t>总报价指</w:t>
            </w:r>
            <w:r>
              <w:rPr>
                <w:rFonts w:hint="eastAsia" w:ascii="Times New Roman" w:hAnsi="Times New Roman" w:eastAsia="方正仿宋_GBK" w:cs="Times New Roman"/>
                <w:bCs/>
                <w:color w:val="auto"/>
                <w:sz w:val="28"/>
                <w:szCs w:val="28"/>
                <w:highlight w:val="none"/>
                <w:lang w:val="en-US" w:eastAsia="zh-CN"/>
              </w:rPr>
              <w:t>4</w:t>
            </w:r>
            <w:r>
              <w:rPr>
                <w:rFonts w:hint="default" w:ascii="Times New Roman" w:hAnsi="Times New Roman" w:eastAsia="方正仿宋_GBK" w:cs="Times New Roman"/>
                <w:bCs/>
                <w:color w:val="auto"/>
                <w:sz w:val="28"/>
                <w:szCs w:val="28"/>
                <w:highlight w:val="none"/>
                <w:lang w:eastAsia="zh-CN"/>
              </w:rPr>
              <w:t>个部</w:t>
            </w:r>
            <w:r>
              <w:rPr>
                <w:rFonts w:hint="default" w:ascii="Times New Roman" w:hAnsi="Times New Roman" w:eastAsia="方正仿宋_GBK" w:cs="Times New Roman"/>
                <w:bCs/>
                <w:color w:val="auto"/>
                <w:sz w:val="28"/>
                <w:szCs w:val="28"/>
                <w:lang w:eastAsia="zh-CN"/>
              </w:rPr>
              <w:t>分报价相加而得的报价。</w:t>
            </w:r>
          </w:p>
          <w:p>
            <w:pPr>
              <w:keepNext w:val="0"/>
              <w:keepLines w:val="0"/>
              <w:pageBreakBefore w:val="0"/>
              <w:kinsoku/>
              <w:wordWrap/>
              <w:overflowPunct/>
              <w:topLinePunct w:val="0"/>
              <w:bidi w:val="0"/>
              <w:spacing w:line="400" w:lineRule="exact"/>
              <w:ind w:firstLine="0" w:firstLineChars="0"/>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lang w:eastAsia="zh-CN"/>
              </w:rPr>
              <w:t>总</w:t>
            </w:r>
            <w:r>
              <w:rPr>
                <w:rFonts w:hint="default" w:ascii="Times New Roman" w:hAnsi="Times New Roman" w:eastAsia="方正仿宋_GBK" w:cs="Times New Roman"/>
                <w:bCs/>
                <w:color w:val="auto"/>
                <w:sz w:val="28"/>
                <w:szCs w:val="28"/>
              </w:rPr>
              <w:t>报价等于评标基础</w:t>
            </w:r>
            <w:r>
              <w:rPr>
                <w:rFonts w:hint="default" w:ascii="Times New Roman" w:hAnsi="Times New Roman" w:eastAsia="方正仿宋_GBK" w:cs="Times New Roman"/>
                <w:bCs/>
                <w:color w:val="auto"/>
                <w:sz w:val="28"/>
                <w:szCs w:val="28"/>
                <w:lang w:eastAsia="zh-CN"/>
              </w:rPr>
              <w:t>总</w:t>
            </w:r>
            <w:r>
              <w:rPr>
                <w:rFonts w:hint="default" w:ascii="Times New Roman" w:hAnsi="Times New Roman" w:eastAsia="方正仿宋_GBK" w:cs="Times New Roman"/>
                <w:bCs/>
                <w:color w:val="auto"/>
                <w:sz w:val="28"/>
                <w:szCs w:val="28"/>
              </w:rPr>
              <w:t>报价的，得</w:t>
            </w:r>
            <w:r>
              <w:rPr>
                <w:rFonts w:hint="eastAsia" w:ascii="Times New Roman" w:hAnsi="Times New Roman" w:eastAsia="方正仿宋_GBK" w:cs="Times New Roman"/>
                <w:bCs/>
                <w:color w:val="auto"/>
                <w:sz w:val="28"/>
                <w:szCs w:val="28"/>
                <w:lang w:val="en-US" w:eastAsia="zh-CN"/>
              </w:rPr>
              <w:t>7</w:t>
            </w:r>
            <w:r>
              <w:rPr>
                <w:rFonts w:hint="default" w:ascii="Times New Roman" w:hAnsi="Times New Roman" w:eastAsia="方正仿宋_GBK" w:cs="Times New Roman"/>
                <w:bCs/>
                <w:color w:val="auto"/>
                <w:sz w:val="28"/>
                <w:szCs w:val="28"/>
              </w:rPr>
              <w:t>0分</w:t>
            </w:r>
            <w:r>
              <w:rPr>
                <w:rFonts w:hint="default"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rPr>
              <w:t>除</w:t>
            </w:r>
            <w:r>
              <w:rPr>
                <w:rFonts w:hint="eastAsia" w:ascii="Times New Roman" w:hAnsi="Times New Roman" w:eastAsia="方正仿宋_GBK" w:cs="Times New Roman"/>
                <w:bCs/>
                <w:color w:val="auto"/>
                <w:sz w:val="28"/>
                <w:szCs w:val="28"/>
                <w:lang w:val="en-US" w:eastAsia="zh-CN"/>
              </w:rPr>
              <w:t>7</w:t>
            </w:r>
            <w:r>
              <w:rPr>
                <w:rFonts w:hint="default" w:ascii="Times New Roman" w:hAnsi="Times New Roman" w:eastAsia="方正仿宋_GBK" w:cs="Times New Roman"/>
                <w:bCs/>
                <w:color w:val="auto"/>
                <w:sz w:val="28"/>
                <w:szCs w:val="28"/>
              </w:rPr>
              <w:t>0分情况以外的其他报价，按照以下标准计算分值：报价每高于评标基础</w:t>
            </w:r>
            <w:r>
              <w:rPr>
                <w:rFonts w:hint="default" w:ascii="Times New Roman" w:hAnsi="Times New Roman" w:eastAsia="方正仿宋_GBK" w:cs="Times New Roman"/>
                <w:bCs/>
                <w:color w:val="auto"/>
                <w:sz w:val="28"/>
                <w:szCs w:val="28"/>
                <w:lang w:eastAsia="zh-CN"/>
              </w:rPr>
              <w:t>总</w:t>
            </w:r>
            <w:r>
              <w:rPr>
                <w:rFonts w:hint="default" w:ascii="Times New Roman" w:hAnsi="Times New Roman" w:eastAsia="方正仿宋_GBK" w:cs="Times New Roman"/>
                <w:bCs/>
                <w:color w:val="auto"/>
                <w:sz w:val="28"/>
                <w:szCs w:val="28"/>
              </w:rPr>
              <w:t>报价</w:t>
            </w:r>
            <w:r>
              <w:rPr>
                <w:rFonts w:hint="default" w:ascii="Times New Roman" w:hAnsi="Times New Roman" w:eastAsia="方正仿宋_GBK" w:cs="Times New Roman"/>
                <w:bCs/>
                <w:color w:val="auto"/>
                <w:sz w:val="28"/>
                <w:szCs w:val="28"/>
                <w:highlight w:val="none"/>
              </w:rPr>
              <w:t>的1%，扣</w:t>
            </w:r>
            <w:r>
              <w:rPr>
                <w:rFonts w:hint="default" w:ascii="Times New Roman" w:hAnsi="Times New Roman" w:eastAsia="方正仿宋_GBK" w:cs="Times New Roman"/>
                <w:bCs/>
                <w:color w:val="auto"/>
                <w:sz w:val="28"/>
                <w:szCs w:val="28"/>
                <w:highlight w:val="none"/>
                <w:lang w:val="en-US" w:eastAsia="zh-CN"/>
              </w:rPr>
              <w:t>1</w:t>
            </w:r>
            <w:r>
              <w:rPr>
                <w:rFonts w:hint="default" w:ascii="Times New Roman" w:hAnsi="Times New Roman" w:eastAsia="方正仿宋_GBK" w:cs="Times New Roman"/>
                <w:bCs/>
                <w:color w:val="auto"/>
                <w:sz w:val="28"/>
                <w:szCs w:val="28"/>
                <w:highlight w:val="none"/>
              </w:rPr>
              <w:t>分；每低于1%，扣0.</w:t>
            </w:r>
            <w:r>
              <w:rPr>
                <w:rFonts w:hint="default" w:ascii="Times New Roman" w:hAnsi="Times New Roman" w:eastAsia="方正仿宋_GBK" w:cs="Times New Roman"/>
                <w:bCs/>
                <w:color w:val="auto"/>
                <w:sz w:val="28"/>
                <w:szCs w:val="28"/>
                <w:highlight w:val="none"/>
                <w:lang w:val="en-US" w:eastAsia="zh-CN"/>
              </w:rPr>
              <w:t>5</w:t>
            </w:r>
            <w:r>
              <w:rPr>
                <w:rFonts w:hint="default" w:ascii="Times New Roman" w:hAnsi="Times New Roman" w:eastAsia="方正仿宋_GBK" w:cs="Times New Roman"/>
                <w:bCs/>
                <w:color w:val="auto"/>
                <w:sz w:val="28"/>
                <w:szCs w:val="28"/>
                <w:highlight w:val="none"/>
              </w:rPr>
              <w:t>分；以此</w:t>
            </w:r>
            <w:r>
              <w:rPr>
                <w:rFonts w:hint="default" w:ascii="Times New Roman" w:hAnsi="Times New Roman" w:eastAsia="方正仿宋_GBK" w:cs="Times New Roman"/>
                <w:bCs/>
                <w:color w:val="auto"/>
                <w:sz w:val="28"/>
                <w:szCs w:val="28"/>
              </w:rPr>
              <w:t>类推直至扣完为止。（比选报价四舍五入，并取小数点后两位）</w:t>
            </w:r>
            <w:r>
              <w:rPr>
                <w:rFonts w:hint="eastAsia" w:ascii="Times New Roman" w:hAnsi="Times New Roman" w:eastAsia="方正仿宋_GBK" w:cs="Times New Roman"/>
                <w:bCs/>
                <w:color w:val="auto"/>
                <w:sz w:val="28"/>
                <w:szCs w:val="28"/>
                <w:lang w:eastAsia="zh-CN"/>
              </w:rPr>
              <w:t>（注：不足</w:t>
            </w:r>
            <w:r>
              <w:rPr>
                <w:rFonts w:hint="default" w:ascii="Times New Roman" w:hAnsi="Times New Roman" w:eastAsia="方正仿宋_GBK" w:cs="Times New Roman"/>
                <w:bCs/>
                <w:color w:val="auto"/>
                <w:sz w:val="28"/>
                <w:szCs w:val="28"/>
                <w:lang w:eastAsia="zh-CN"/>
              </w:rPr>
              <w:t>1%</w:t>
            </w:r>
            <w:r>
              <w:rPr>
                <w:rFonts w:hint="eastAsia" w:ascii="Times New Roman" w:hAnsi="Times New Roman" w:eastAsia="方正仿宋_GBK" w:cs="Times New Roman"/>
                <w:bCs/>
                <w:color w:val="auto"/>
                <w:sz w:val="28"/>
                <w:szCs w:val="28"/>
                <w:lang w:eastAsia="zh-CN"/>
              </w:rPr>
              <w:t>的，采用插入法计算，四舍五入保留小数点后二位。</w:t>
            </w:r>
            <w:r>
              <w:rPr>
                <w:rFonts w:hint="eastAsia" w:ascii="宋体" w:hAnsi="宋体" w:cs="宋体"/>
                <w:color w:val="auto"/>
                <w:szCs w:val="21"/>
              </w:rPr>
              <w:t>）</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snapToGrid w:val="0"/>
                <w:color w:val="auto"/>
                <w:kern w:val="0"/>
                <w:sz w:val="28"/>
                <w:szCs w:val="28"/>
              </w:rPr>
            </w:pPr>
            <w:r>
              <w:rPr>
                <w:rFonts w:hint="eastAsia" w:ascii="Times New Roman" w:hAnsi="Times New Roman" w:eastAsia="方正仿宋_GBK" w:cs="Times New Roman"/>
                <w:bCs/>
                <w:snapToGrid w:val="0"/>
                <w:color w:val="auto"/>
                <w:kern w:val="0"/>
                <w:sz w:val="28"/>
                <w:szCs w:val="28"/>
                <w:lang w:val="en-US" w:eastAsia="zh-CN"/>
              </w:rPr>
              <w:t>7</w:t>
            </w:r>
            <w:r>
              <w:rPr>
                <w:rFonts w:hint="default" w:ascii="Times New Roman" w:hAnsi="Times New Roman" w:eastAsia="方正仿宋_GBK" w:cs="Times New Roman"/>
                <w:bCs/>
                <w:snapToGrid w:val="0"/>
                <w:color w:val="auto"/>
                <w:kern w:val="0"/>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136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outlineLvl w:val="9"/>
              <w:rPr>
                <w:rFonts w:hint="default" w:ascii="Times New Roman" w:hAnsi="Times New Roman" w:eastAsia="方正仿宋_GBK" w:cs="Times New Roman"/>
                <w:bCs/>
                <w:snapToGrid w:val="0"/>
                <w:color w:val="auto"/>
                <w:kern w:val="0"/>
                <w:sz w:val="28"/>
                <w:szCs w:val="28"/>
                <w:lang w:val="en-US" w:eastAsia="zh-CN"/>
              </w:rPr>
            </w:pPr>
            <w:r>
              <w:rPr>
                <w:rFonts w:hint="eastAsia" w:eastAsia="方正仿宋_GBK" w:cs="Times New Roman"/>
                <w:bCs/>
                <w:snapToGrid w:val="0"/>
                <w:color w:val="auto"/>
                <w:kern w:val="0"/>
                <w:sz w:val="28"/>
                <w:szCs w:val="28"/>
                <w:lang w:val="en-US" w:eastAsia="zh-CN"/>
              </w:rPr>
              <w:t>3</w:t>
            </w:r>
          </w:p>
        </w:tc>
        <w:tc>
          <w:tcPr>
            <w:tcW w:w="2417" w:type="dxa"/>
            <w:gridSpan w:val="2"/>
            <w:tcBorders>
              <w:top w:val="single" w:color="auto" w:sz="4" w:space="0"/>
              <w:left w:val="single" w:color="auto" w:sz="4" w:space="0"/>
              <w:right w:val="single" w:color="auto" w:sz="4" w:space="0"/>
            </w:tcBorders>
            <w:vAlign w:val="center"/>
          </w:tcPr>
          <w:p>
            <w:pPr>
              <w:pStyle w:val="8"/>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商务部分评分标准（</w:t>
            </w:r>
            <w:r>
              <w:rPr>
                <w:rFonts w:hint="eastAsia" w:ascii="Times New Roman" w:hAnsi="Times New Roman" w:eastAsia="方正仿宋_GBK" w:cs="Times New Roman"/>
                <w:bCs/>
                <w:color w:val="auto"/>
                <w:sz w:val="28"/>
                <w:szCs w:val="28"/>
                <w:lang w:val="en-US" w:eastAsia="zh-CN"/>
              </w:rPr>
              <w:t>1</w:t>
            </w:r>
            <w:r>
              <w:rPr>
                <w:rFonts w:hint="eastAsia" w:eastAsia="方正仿宋_GBK" w:cs="Times New Roman"/>
                <w:bCs/>
                <w:color w:val="auto"/>
                <w:sz w:val="28"/>
                <w:szCs w:val="28"/>
                <w:lang w:val="en-US" w:eastAsia="zh-CN"/>
              </w:rPr>
              <w:t>2</w:t>
            </w:r>
            <w:r>
              <w:rPr>
                <w:rFonts w:hint="default" w:ascii="Times New Roman" w:hAnsi="Times New Roman" w:eastAsia="方正仿宋_GBK" w:cs="Times New Roman"/>
                <w:bCs/>
                <w:color w:val="auto"/>
                <w:sz w:val="28"/>
                <w:szCs w:val="28"/>
              </w:rPr>
              <w:t>分）</w:t>
            </w:r>
          </w:p>
        </w:tc>
        <w:tc>
          <w:tcPr>
            <w:tcW w:w="471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560" w:firstLineChars="200"/>
              <w:jc w:val="both"/>
              <w:textAlignment w:val="auto"/>
              <w:outlineLvl w:val="9"/>
              <w:rPr>
                <w:rFonts w:hint="default" w:ascii="Times New Roman" w:hAnsi="Times New Roman" w:eastAsia="方正仿宋_GBK" w:cs="Times New Roman"/>
                <w:bCs w:val="0"/>
                <w:color w:val="auto"/>
                <w:sz w:val="28"/>
                <w:szCs w:val="28"/>
                <w:lang w:eastAsia="zh-CN"/>
              </w:rPr>
            </w:pPr>
            <w:r>
              <w:rPr>
                <w:rFonts w:hint="default" w:ascii="Times New Roman" w:hAnsi="Times New Roman" w:eastAsia="方正仿宋_GBK" w:cs="Times New Roman"/>
                <w:bCs/>
                <w:color w:val="auto"/>
                <w:sz w:val="28"/>
                <w:szCs w:val="28"/>
              </w:rPr>
              <w:t>1.具有ISO9001质量管理体系</w:t>
            </w:r>
            <w:r>
              <w:rPr>
                <w:rFonts w:hint="default" w:ascii="Times New Roman" w:hAnsi="Times New Roman" w:eastAsia="方正仿宋_GBK" w:cs="Times New Roman"/>
                <w:bCs/>
                <w:color w:val="auto"/>
                <w:sz w:val="28"/>
                <w:szCs w:val="28"/>
                <w:lang w:eastAsia="zh-CN"/>
              </w:rPr>
              <w:t>认证，且认证范围包括消防设施检测的得</w:t>
            </w:r>
            <w:r>
              <w:rPr>
                <w:rFonts w:hint="default" w:ascii="Times New Roman" w:hAnsi="Times New Roman" w:eastAsia="方正仿宋_GBK" w:cs="Times New Roman"/>
                <w:bCs/>
                <w:color w:val="auto"/>
                <w:sz w:val="28"/>
                <w:szCs w:val="28"/>
                <w:lang w:val="en-US" w:eastAsia="zh-CN"/>
              </w:rPr>
              <w:t>2</w:t>
            </w:r>
            <w:r>
              <w:rPr>
                <w:rFonts w:hint="default" w:ascii="Times New Roman" w:hAnsi="Times New Roman" w:eastAsia="方正仿宋_GBK" w:cs="Times New Roman"/>
                <w:bCs/>
                <w:color w:val="auto"/>
                <w:sz w:val="28"/>
                <w:szCs w:val="28"/>
                <w:lang w:eastAsia="zh-CN"/>
              </w:rPr>
              <w:t>分。（</w:t>
            </w:r>
            <w:r>
              <w:rPr>
                <w:rFonts w:hint="default" w:ascii="Times New Roman" w:hAnsi="Times New Roman" w:eastAsia="方正仿宋_GBK" w:cs="Times New Roman"/>
                <w:b w:val="0"/>
                <w:bCs w:val="0"/>
                <w:color w:val="auto"/>
                <w:sz w:val="28"/>
                <w:szCs w:val="28"/>
              </w:rPr>
              <w:t>提供</w:t>
            </w:r>
            <w:r>
              <w:rPr>
                <w:rFonts w:hint="default" w:ascii="Times New Roman" w:hAnsi="Times New Roman" w:eastAsia="方正仿宋_GBK" w:cs="Times New Roman"/>
                <w:b w:val="0"/>
                <w:bCs w:val="0"/>
                <w:color w:val="auto"/>
                <w:sz w:val="28"/>
                <w:szCs w:val="28"/>
                <w:lang w:eastAsia="zh-CN"/>
              </w:rPr>
              <w:t>加盖单位鲜公章的</w:t>
            </w:r>
            <w:r>
              <w:rPr>
                <w:rFonts w:hint="default" w:ascii="Times New Roman" w:hAnsi="Times New Roman" w:eastAsia="方正仿宋_GBK" w:cs="Times New Roman"/>
                <w:b w:val="0"/>
                <w:bCs w:val="0"/>
                <w:color w:val="auto"/>
                <w:sz w:val="28"/>
                <w:szCs w:val="28"/>
              </w:rPr>
              <w:t>在有效期内的证书复印件</w:t>
            </w:r>
            <w:r>
              <w:rPr>
                <w:rFonts w:hint="default" w:ascii="Times New Roman" w:hAnsi="Times New Roman" w:eastAsia="方正仿宋_GBK" w:cs="Times New Roman"/>
                <w:b w:val="0"/>
                <w:bCs w:val="0"/>
                <w:color w:val="auto"/>
                <w:sz w:val="28"/>
                <w:szCs w:val="28"/>
                <w:lang w:eastAsia="zh-CN"/>
              </w:rPr>
              <w:t>，原件备查</w:t>
            </w:r>
            <w:r>
              <w:rPr>
                <w:rFonts w:hint="default" w:ascii="Times New Roman" w:hAnsi="Times New Roman" w:eastAsia="方正仿宋_GBK" w:cs="Times New Roman"/>
                <w:bCs w:val="0"/>
                <w:color w:val="auto"/>
                <w:sz w:val="28"/>
                <w:szCs w:val="28"/>
                <w:lang w:eastAsia="zh-CN"/>
              </w:rPr>
              <w:t>）</w:t>
            </w:r>
          </w:p>
          <w:p>
            <w:pPr>
              <w:keepNext w:val="0"/>
              <w:keepLines w:val="0"/>
              <w:pageBreakBefore w:val="0"/>
              <w:kinsoku/>
              <w:wordWrap/>
              <w:overflowPunct/>
              <w:topLinePunct w:val="0"/>
              <w:bidi w:val="0"/>
              <w:spacing w:line="400" w:lineRule="exact"/>
              <w:ind w:firstLine="560" w:firstLineChars="200"/>
              <w:jc w:val="both"/>
              <w:textAlignment w:val="auto"/>
              <w:outlineLvl w:val="9"/>
              <w:rPr>
                <w:rFonts w:hint="default" w:ascii="Times New Roman" w:hAnsi="Times New Roman" w:eastAsia="方正仿宋_GBK" w:cs="Times New Roman"/>
                <w:bCs/>
                <w:color w:val="auto"/>
                <w:sz w:val="28"/>
                <w:szCs w:val="28"/>
                <w:lang w:val="en-US" w:eastAsia="zh-CN"/>
              </w:rPr>
            </w:pPr>
            <w:r>
              <w:rPr>
                <w:rFonts w:hint="default" w:ascii="Times New Roman" w:hAnsi="Times New Roman" w:eastAsia="方正仿宋_GBK" w:cs="Times New Roman"/>
                <w:bCs/>
                <w:color w:val="auto"/>
                <w:sz w:val="28"/>
                <w:szCs w:val="28"/>
                <w:lang w:val="en-US" w:eastAsia="zh-CN"/>
              </w:rPr>
              <w:t>2.具有ISO45001</w:t>
            </w:r>
            <w:r>
              <w:rPr>
                <w:rFonts w:hint="default" w:ascii="Times New Roman" w:hAnsi="Times New Roman" w:eastAsia="方正仿宋_GBK" w:cs="Times New Roman"/>
                <w:bCs/>
                <w:color w:val="auto"/>
                <w:sz w:val="28"/>
                <w:szCs w:val="28"/>
                <w:highlight w:val="none"/>
                <w:lang w:val="en-US" w:eastAsia="zh-CN"/>
              </w:rPr>
              <w:t>（或ISO18000）</w:t>
            </w:r>
            <w:r>
              <w:rPr>
                <w:rFonts w:hint="default" w:ascii="Times New Roman" w:hAnsi="Times New Roman" w:eastAsia="方正仿宋_GBK" w:cs="Times New Roman"/>
                <w:bCs/>
                <w:color w:val="auto"/>
                <w:sz w:val="28"/>
                <w:szCs w:val="28"/>
                <w:lang w:val="en-US" w:eastAsia="zh-CN"/>
              </w:rPr>
              <w:t>职业健康安全管理体系认证，</w:t>
            </w:r>
            <w:r>
              <w:rPr>
                <w:rFonts w:hint="default" w:ascii="Times New Roman" w:hAnsi="Times New Roman" w:eastAsia="方正仿宋_GBK" w:cs="Times New Roman"/>
                <w:bCs/>
                <w:color w:val="auto"/>
                <w:sz w:val="28"/>
                <w:szCs w:val="28"/>
                <w:lang w:eastAsia="zh-CN"/>
              </w:rPr>
              <w:t>且认证范</w:t>
            </w:r>
            <w:r>
              <w:rPr>
                <w:rFonts w:hint="default" w:ascii="Times New Roman" w:hAnsi="Times New Roman" w:eastAsia="方正仿宋_GBK" w:cs="Times New Roman"/>
                <w:bCs/>
                <w:color w:val="auto"/>
                <w:sz w:val="28"/>
                <w:szCs w:val="28"/>
                <w:lang w:val="en-US" w:eastAsia="zh-CN"/>
              </w:rPr>
              <w:t>围包括消防设施检测的得2分。（</w:t>
            </w:r>
            <w:r>
              <w:rPr>
                <w:rFonts w:hint="default" w:ascii="Times New Roman" w:hAnsi="Times New Roman" w:eastAsia="方正仿宋_GBK" w:cs="Times New Roman"/>
                <w:b w:val="0"/>
                <w:bCs w:val="0"/>
                <w:color w:val="auto"/>
                <w:sz w:val="28"/>
                <w:szCs w:val="28"/>
              </w:rPr>
              <w:t>提供</w:t>
            </w:r>
            <w:r>
              <w:rPr>
                <w:rFonts w:hint="default" w:ascii="Times New Roman" w:hAnsi="Times New Roman" w:eastAsia="方正仿宋_GBK" w:cs="Times New Roman"/>
                <w:b w:val="0"/>
                <w:bCs w:val="0"/>
                <w:color w:val="auto"/>
                <w:sz w:val="28"/>
                <w:szCs w:val="28"/>
                <w:lang w:eastAsia="zh-CN"/>
              </w:rPr>
              <w:t>加盖单位鲜公章的</w:t>
            </w:r>
            <w:r>
              <w:rPr>
                <w:rFonts w:hint="default" w:ascii="Times New Roman" w:hAnsi="Times New Roman" w:eastAsia="方正仿宋_GBK" w:cs="Times New Roman"/>
                <w:b w:val="0"/>
                <w:bCs w:val="0"/>
                <w:color w:val="auto"/>
                <w:sz w:val="28"/>
                <w:szCs w:val="28"/>
              </w:rPr>
              <w:t>在有效期内的证书复印件</w:t>
            </w:r>
            <w:r>
              <w:rPr>
                <w:rFonts w:hint="default" w:ascii="Times New Roman" w:hAnsi="Times New Roman" w:eastAsia="方正仿宋_GBK" w:cs="Times New Roman"/>
                <w:b w:val="0"/>
                <w:bCs w:val="0"/>
                <w:color w:val="auto"/>
                <w:sz w:val="28"/>
                <w:szCs w:val="28"/>
                <w:lang w:eastAsia="zh-CN"/>
              </w:rPr>
              <w:t>，原件备查</w:t>
            </w:r>
            <w:r>
              <w:rPr>
                <w:rFonts w:hint="default" w:ascii="Times New Roman" w:hAnsi="Times New Roman" w:eastAsia="方正仿宋_GBK" w:cs="Times New Roman"/>
                <w:bCs w:val="0"/>
                <w:color w:val="auto"/>
                <w:sz w:val="28"/>
                <w:szCs w:val="28"/>
                <w:lang w:eastAsia="zh-CN"/>
              </w:rPr>
              <w:t>）</w:t>
            </w:r>
          </w:p>
          <w:p>
            <w:pPr>
              <w:keepNext w:val="0"/>
              <w:keepLines w:val="0"/>
              <w:pageBreakBefore w:val="0"/>
              <w:kinsoku/>
              <w:wordWrap/>
              <w:overflowPunct/>
              <w:topLinePunct w:val="0"/>
              <w:bidi w:val="0"/>
              <w:spacing w:line="400" w:lineRule="exact"/>
              <w:ind w:firstLine="560" w:firstLineChars="200"/>
              <w:jc w:val="both"/>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lang w:val="en-US" w:eastAsia="zh-CN"/>
              </w:rPr>
              <w:t xml:space="preserve">3. </w:t>
            </w:r>
            <w:r>
              <w:rPr>
                <w:rFonts w:hint="default" w:ascii="Times New Roman" w:hAnsi="Times New Roman" w:eastAsia="方正仿宋_GBK" w:cs="Times New Roman"/>
                <w:bCs/>
                <w:color w:val="auto"/>
                <w:sz w:val="28"/>
                <w:szCs w:val="28"/>
              </w:rPr>
              <w:t>20</w:t>
            </w:r>
            <w:r>
              <w:rPr>
                <w:rFonts w:hint="default" w:ascii="Times New Roman" w:hAnsi="Times New Roman" w:eastAsia="方正仿宋_GBK" w:cs="Times New Roman"/>
                <w:bCs/>
                <w:color w:val="auto"/>
                <w:sz w:val="28"/>
                <w:szCs w:val="28"/>
                <w:lang w:val="en-US" w:eastAsia="zh-CN"/>
              </w:rPr>
              <w:t>2</w:t>
            </w:r>
            <w:r>
              <w:rPr>
                <w:rFonts w:hint="eastAsia" w:ascii="Times New Roman" w:hAnsi="Times New Roman" w:eastAsia="方正仿宋_GBK" w:cs="Times New Roman"/>
                <w:bCs/>
                <w:color w:val="auto"/>
                <w:sz w:val="28"/>
                <w:szCs w:val="28"/>
                <w:lang w:val="en-US" w:eastAsia="zh-CN"/>
              </w:rPr>
              <w:t>2</w:t>
            </w:r>
            <w:r>
              <w:rPr>
                <w:rFonts w:hint="default" w:ascii="Times New Roman" w:hAnsi="Times New Roman" w:eastAsia="方正仿宋_GBK" w:cs="Times New Roman"/>
                <w:bCs/>
                <w:color w:val="auto"/>
                <w:sz w:val="28"/>
                <w:szCs w:val="28"/>
              </w:rPr>
              <w:t>年1月1日</w:t>
            </w:r>
            <w:r>
              <w:rPr>
                <w:rFonts w:hint="eastAsia" w:eastAsia="方正仿宋_GBK" w:cs="Times New Roman"/>
                <w:bCs/>
                <w:color w:val="auto"/>
                <w:sz w:val="28"/>
                <w:szCs w:val="28"/>
                <w:lang w:val="en-US" w:eastAsia="zh-CN"/>
              </w:rPr>
              <w:t>至比选响应文件递交截止日</w:t>
            </w:r>
            <w:r>
              <w:rPr>
                <w:rFonts w:hint="default" w:ascii="Times New Roman" w:hAnsi="Times New Roman" w:eastAsia="方正仿宋_GBK" w:cs="Times New Roman"/>
                <w:bCs/>
                <w:color w:val="auto"/>
                <w:sz w:val="28"/>
                <w:szCs w:val="28"/>
                <w:lang w:eastAsia="zh-CN"/>
              </w:rPr>
              <w:t>（以合同签订时间为准），</w:t>
            </w:r>
            <w:r>
              <w:rPr>
                <w:rFonts w:hint="default" w:ascii="Times New Roman" w:hAnsi="Times New Roman" w:eastAsia="方正仿宋_GBK" w:cs="Times New Roman"/>
                <w:color w:val="auto"/>
                <w:sz w:val="28"/>
                <w:szCs w:val="28"/>
                <w:highlight w:val="none"/>
              </w:rPr>
              <w:t>具有单</w:t>
            </w:r>
            <w:r>
              <w:rPr>
                <w:rFonts w:hint="eastAsia" w:eastAsia="方正仿宋_GBK" w:cs="Times New Roman"/>
                <w:color w:val="auto"/>
                <w:sz w:val="28"/>
                <w:szCs w:val="28"/>
                <w:highlight w:val="none"/>
                <w:lang w:eastAsia="zh-CN"/>
              </w:rPr>
              <w:t>个合同</w:t>
            </w:r>
            <w:r>
              <w:rPr>
                <w:rFonts w:hint="default" w:ascii="Times New Roman" w:hAnsi="Times New Roman" w:eastAsia="方正仿宋_GBK" w:cs="Times New Roman"/>
                <w:color w:val="auto"/>
                <w:sz w:val="28"/>
                <w:szCs w:val="28"/>
                <w:highlight w:val="none"/>
              </w:rPr>
              <w:t>建筑面积</w:t>
            </w:r>
            <w:r>
              <w:rPr>
                <w:rFonts w:hint="eastAsia" w:eastAsia="方正仿宋_GBK" w:cs="Times New Roman"/>
                <w:color w:val="auto"/>
                <w:sz w:val="28"/>
                <w:szCs w:val="28"/>
                <w:highlight w:val="none"/>
                <w:lang w:val="en-US" w:eastAsia="zh-CN"/>
              </w:rPr>
              <w:t>10</w:t>
            </w:r>
            <w:r>
              <w:rPr>
                <w:rFonts w:hint="default" w:ascii="Times New Roman" w:hAnsi="Times New Roman" w:eastAsia="方正仿宋_GBK" w:cs="Times New Roman"/>
                <w:color w:val="auto"/>
                <w:sz w:val="28"/>
                <w:szCs w:val="28"/>
                <w:highlight w:val="none"/>
              </w:rPr>
              <w:t>万平方米</w:t>
            </w:r>
            <w:r>
              <w:rPr>
                <w:rFonts w:hint="default" w:ascii="Times New Roman" w:hAnsi="Times New Roman" w:eastAsia="方正仿宋_GBK" w:cs="Times New Roman"/>
                <w:color w:val="auto"/>
                <w:sz w:val="28"/>
                <w:szCs w:val="28"/>
                <w:highlight w:val="none"/>
                <w:lang w:eastAsia="zh-CN"/>
              </w:rPr>
              <w:t>（含）</w:t>
            </w:r>
            <w:r>
              <w:rPr>
                <w:rFonts w:hint="default" w:ascii="Times New Roman" w:hAnsi="Times New Roman" w:eastAsia="方正仿宋_GBK" w:cs="Times New Roman"/>
                <w:color w:val="auto"/>
                <w:sz w:val="28"/>
                <w:szCs w:val="28"/>
                <w:highlight w:val="none"/>
              </w:rPr>
              <w:t>以上</w:t>
            </w:r>
            <w:r>
              <w:rPr>
                <w:rFonts w:hint="default" w:ascii="Times New Roman" w:hAnsi="Times New Roman" w:eastAsia="方正仿宋_GBK" w:cs="Times New Roman"/>
                <w:color w:val="auto"/>
                <w:sz w:val="28"/>
                <w:szCs w:val="28"/>
              </w:rPr>
              <w:t>的公共建筑消防设施年度检测服务业绩</w:t>
            </w:r>
            <w:r>
              <w:rPr>
                <w:rFonts w:hint="default" w:ascii="Times New Roman" w:hAnsi="Times New Roman" w:eastAsia="方正仿宋_GBK" w:cs="Times New Roman"/>
                <w:color w:val="auto"/>
                <w:sz w:val="28"/>
                <w:szCs w:val="28"/>
                <w:lang w:eastAsia="zh-CN"/>
              </w:rPr>
              <w:t>，每个合同得</w:t>
            </w:r>
            <w:r>
              <w:rPr>
                <w:rFonts w:hint="default" w:ascii="Times New Roman" w:hAnsi="Times New Roman" w:eastAsia="方正仿宋_GBK" w:cs="Times New Roman"/>
                <w:color w:val="auto"/>
                <w:sz w:val="28"/>
                <w:szCs w:val="28"/>
                <w:lang w:val="en-US" w:eastAsia="zh-CN"/>
              </w:rPr>
              <w:t>2分，</w:t>
            </w:r>
            <w:r>
              <w:rPr>
                <w:rFonts w:hint="default" w:ascii="Times New Roman" w:hAnsi="Times New Roman" w:eastAsia="方正仿宋_GBK" w:cs="Times New Roman"/>
                <w:bCs/>
                <w:color w:val="auto"/>
                <w:sz w:val="28"/>
                <w:szCs w:val="28"/>
                <w:lang w:val="en-US" w:eastAsia="zh-CN"/>
              </w:rPr>
              <w:t>最多得</w:t>
            </w:r>
            <w:r>
              <w:rPr>
                <w:rFonts w:hint="eastAsia" w:eastAsia="方正仿宋_GBK" w:cs="Times New Roman"/>
                <w:bCs/>
                <w:color w:val="auto"/>
                <w:sz w:val="28"/>
                <w:szCs w:val="28"/>
                <w:lang w:val="en-US" w:eastAsia="zh-CN"/>
              </w:rPr>
              <w:t>4</w:t>
            </w:r>
            <w:r>
              <w:rPr>
                <w:rFonts w:hint="default" w:ascii="Times New Roman" w:hAnsi="Times New Roman" w:eastAsia="方正仿宋_GBK" w:cs="Times New Roman"/>
                <w:bCs/>
                <w:color w:val="auto"/>
                <w:sz w:val="28"/>
                <w:szCs w:val="28"/>
                <w:lang w:val="en-US" w:eastAsia="zh-CN"/>
              </w:rPr>
              <w:t>分</w:t>
            </w:r>
            <w:r>
              <w:rPr>
                <w:rFonts w:hint="default"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rPr>
              <w:t>（提供</w:t>
            </w:r>
            <w:r>
              <w:rPr>
                <w:rFonts w:hint="default" w:ascii="Times New Roman" w:hAnsi="Times New Roman" w:eastAsia="方正仿宋_GBK" w:cs="Times New Roman"/>
                <w:bCs/>
                <w:color w:val="auto"/>
                <w:sz w:val="28"/>
                <w:szCs w:val="28"/>
                <w:lang w:eastAsia="zh-CN"/>
              </w:rPr>
              <w:t>加盖单位鲜公章的合同复印件和发票复印件，原件备查；若</w:t>
            </w:r>
            <w:r>
              <w:rPr>
                <w:rFonts w:hint="default" w:ascii="Times New Roman" w:hAnsi="Times New Roman" w:eastAsia="方正仿宋_GBK" w:cs="Times New Roman"/>
                <w:bCs/>
                <w:color w:val="auto"/>
                <w:sz w:val="28"/>
                <w:szCs w:val="28"/>
              </w:rPr>
              <w:t>合同无法体现建筑面积</w:t>
            </w:r>
            <w:r>
              <w:rPr>
                <w:rFonts w:hint="default" w:ascii="Times New Roman" w:hAnsi="Times New Roman" w:eastAsia="方正仿宋_GBK" w:cs="Times New Roman"/>
                <w:bCs/>
                <w:color w:val="auto"/>
                <w:sz w:val="28"/>
                <w:szCs w:val="28"/>
                <w:lang w:eastAsia="zh-CN"/>
              </w:rPr>
              <w:t>和建筑性质</w:t>
            </w:r>
            <w:r>
              <w:rPr>
                <w:rFonts w:hint="default" w:ascii="Times New Roman" w:hAnsi="Times New Roman" w:eastAsia="方正仿宋_GBK" w:cs="Times New Roman"/>
                <w:bCs/>
                <w:color w:val="auto"/>
                <w:sz w:val="28"/>
                <w:szCs w:val="28"/>
              </w:rPr>
              <w:t>的，提供该项目的业主证明</w:t>
            </w:r>
            <w:r>
              <w:rPr>
                <w:rFonts w:hint="default" w:ascii="Times New Roman" w:hAnsi="Times New Roman" w:eastAsia="方正仿宋_GBK" w:cs="Times New Roman"/>
                <w:bCs/>
                <w:color w:val="auto"/>
                <w:sz w:val="28"/>
                <w:szCs w:val="28"/>
                <w:lang w:eastAsia="zh-CN"/>
              </w:rPr>
              <w:t>（需加盖业主单位鲜公章）</w:t>
            </w:r>
            <w:r>
              <w:rPr>
                <w:rFonts w:hint="default" w:ascii="Times New Roman" w:hAnsi="Times New Roman" w:eastAsia="方正仿宋_GBK" w:cs="Times New Roman"/>
                <w:bCs/>
                <w:color w:val="auto"/>
                <w:sz w:val="28"/>
                <w:szCs w:val="28"/>
              </w:rPr>
              <w:t>或</w:t>
            </w:r>
            <w:r>
              <w:rPr>
                <w:rFonts w:hint="default" w:ascii="Times New Roman" w:hAnsi="Times New Roman" w:eastAsia="方正仿宋_GBK" w:cs="Times New Roman"/>
                <w:bCs/>
                <w:color w:val="auto"/>
                <w:sz w:val="28"/>
                <w:szCs w:val="28"/>
                <w:lang w:eastAsia="zh-CN"/>
              </w:rPr>
              <w:t>成交</w:t>
            </w:r>
            <w:r>
              <w:rPr>
                <w:rFonts w:hint="default" w:ascii="Times New Roman" w:hAnsi="Times New Roman" w:eastAsia="方正仿宋_GBK" w:cs="Times New Roman"/>
                <w:bCs/>
                <w:color w:val="auto"/>
                <w:sz w:val="28"/>
                <w:szCs w:val="28"/>
              </w:rPr>
              <w:t>通知书（须体现建筑面积）</w:t>
            </w:r>
            <w:r>
              <w:rPr>
                <w:rFonts w:hint="default" w:ascii="Times New Roman" w:hAnsi="Times New Roman" w:eastAsia="方正仿宋_GBK" w:cs="Times New Roman"/>
                <w:bCs/>
                <w:color w:val="auto"/>
                <w:sz w:val="28"/>
                <w:szCs w:val="28"/>
                <w:lang w:eastAsia="zh-CN"/>
              </w:rPr>
              <w:t>复印件</w:t>
            </w:r>
            <w:r>
              <w:rPr>
                <w:rFonts w:hint="default" w:ascii="Times New Roman" w:hAnsi="Times New Roman" w:eastAsia="方正仿宋_GBK" w:cs="Times New Roman"/>
                <w:bCs/>
                <w:color w:val="auto"/>
                <w:sz w:val="28"/>
                <w:szCs w:val="28"/>
                <w:lang w:val="en-US" w:eastAsia="zh-CN"/>
              </w:rPr>
              <w:t>加盖比选响应人鲜公章</w:t>
            </w:r>
            <w:r>
              <w:rPr>
                <w:rFonts w:hint="default" w:ascii="Times New Roman" w:hAnsi="Times New Roman" w:eastAsia="方正仿宋_GBK" w:cs="Times New Roman"/>
                <w:bCs/>
                <w:color w:val="auto"/>
                <w:sz w:val="28"/>
                <w:szCs w:val="28"/>
                <w:lang w:eastAsia="zh-CN"/>
              </w:rPr>
              <w:t>）</w:t>
            </w:r>
          </w:p>
          <w:p>
            <w:pPr>
              <w:keepNext w:val="0"/>
              <w:keepLines w:val="0"/>
              <w:pageBreakBefore w:val="0"/>
              <w:kinsoku/>
              <w:wordWrap/>
              <w:overflowPunct/>
              <w:topLinePunct w:val="0"/>
              <w:bidi w:val="0"/>
              <w:spacing w:line="400" w:lineRule="exact"/>
              <w:ind w:firstLine="560" w:firstLineChars="200"/>
              <w:jc w:val="both"/>
              <w:textAlignment w:val="auto"/>
              <w:outlineLvl w:val="9"/>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bCs/>
                <w:color w:val="auto"/>
                <w:sz w:val="28"/>
                <w:szCs w:val="28"/>
                <w:highlight w:val="none"/>
                <w:lang w:val="en-US" w:eastAsia="zh-CN"/>
              </w:rPr>
              <w:t>4</w:t>
            </w:r>
            <w:r>
              <w:rPr>
                <w:rFonts w:hint="default" w:ascii="Times New Roman" w:hAnsi="Times New Roman" w:eastAsia="方正仿宋_GBK" w:cs="Times New Roman"/>
                <w:bCs/>
                <w:color w:val="auto"/>
                <w:sz w:val="28"/>
                <w:szCs w:val="28"/>
                <w:highlight w:val="none"/>
                <w:lang w:val="en-US" w:eastAsia="zh-CN"/>
              </w:rPr>
              <w:t>. 比选响应人除具有从业条件要求的注册消防工程师外，每多1名一级注册消防工程师得</w:t>
            </w:r>
            <w:r>
              <w:rPr>
                <w:rFonts w:hint="eastAsia" w:ascii="Times New Roman" w:hAnsi="Times New Roman" w:eastAsia="方正仿宋_GBK" w:cs="Times New Roman"/>
                <w:bCs/>
                <w:color w:val="auto"/>
                <w:sz w:val="28"/>
                <w:szCs w:val="28"/>
                <w:highlight w:val="none"/>
                <w:lang w:val="en-US" w:eastAsia="zh-CN"/>
              </w:rPr>
              <w:t>1</w:t>
            </w:r>
            <w:r>
              <w:rPr>
                <w:rFonts w:hint="default" w:ascii="Times New Roman" w:hAnsi="Times New Roman" w:eastAsia="方正仿宋_GBK" w:cs="Times New Roman"/>
                <w:bCs/>
                <w:color w:val="auto"/>
                <w:sz w:val="28"/>
                <w:szCs w:val="28"/>
                <w:highlight w:val="none"/>
                <w:lang w:val="en-US" w:eastAsia="zh-CN"/>
              </w:rPr>
              <w:t>分；本项最多</w:t>
            </w:r>
            <w:r>
              <w:rPr>
                <w:rFonts w:hint="default" w:ascii="Times New Roman" w:hAnsi="Times New Roman" w:eastAsia="方正仿宋_GBK" w:cs="Times New Roman"/>
                <w:bCs/>
                <w:color w:val="auto"/>
                <w:sz w:val="28"/>
                <w:szCs w:val="28"/>
                <w:lang w:val="en-US" w:eastAsia="zh-CN"/>
              </w:rPr>
              <w:t>得</w:t>
            </w:r>
            <w:r>
              <w:rPr>
                <w:rFonts w:hint="eastAsia" w:eastAsia="方正仿宋_GBK" w:cs="Times New Roman"/>
                <w:bCs/>
                <w:color w:val="auto"/>
                <w:sz w:val="28"/>
                <w:szCs w:val="28"/>
                <w:lang w:val="en-US" w:eastAsia="zh-CN"/>
              </w:rPr>
              <w:t>4</w:t>
            </w:r>
            <w:r>
              <w:rPr>
                <w:rFonts w:hint="default" w:ascii="Times New Roman" w:hAnsi="Times New Roman" w:eastAsia="方正仿宋_GBK" w:cs="Times New Roman"/>
                <w:bCs/>
                <w:color w:val="auto"/>
                <w:sz w:val="28"/>
                <w:szCs w:val="28"/>
                <w:lang w:val="en-US" w:eastAsia="zh-CN"/>
              </w:rPr>
              <w:t>分。（</w:t>
            </w:r>
            <w:r>
              <w:rPr>
                <w:rFonts w:hint="default" w:ascii="Times New Roman" w:hAnsi="Times New Roman" w:eastAsia="方正仿宋_GBK" w:cs="Times New Roman"/>
                <w:color w:val="auto"/>
                <w:sz w:val="28"/>
                <w:szCs w:val="28"/>
                <w:lang w:val="en-US" w:eastAsia="zh-CN"/>
              </w:rPr>
              <w:t>提供单位账户登录“</w:t>
            </w:r>
            <w:r>
              <w:rPr>
                <w:rFonts w:hint="default" w:ascii="Times New Roman" w:hAnsi="Times New Roman" w:eastAsia="方正仿宋_GBK" w:cs="Times New Roman"/>
                <w:color w:val="auto"/>
                <w:sz w:val="28"/>
                <w:szCs w:val="28"/>
                <w:lang w:val="en-US" w:eastAsia="zh-CN"/>
              </w:rPr>
              <w:fldChar w:fldCharType="begin"/>
            </w:r>
            <w:r>
              <w:rPr>
                <w:rFonts w:hint="default" w:ascii="Times New Roman" w:hAnsi="Times New Roman" w:eastAsia="方正仿宋_GBK" w:cs="Times New Roman"/>
                <w:color w:val="auto"/>
                <w:sz w:val="28"/>
                <w:szCs w:val="28"/>
                <w:lang w:val="en-US" w:eastAsia="zh-CN"/>
              </w:rPr>
              <w:instrText xml:space="preserve"> HYPERLINK "https://www.baidu.com/link?url=0kQhPHGcY62AJY_dgCMhjWhsFBCYmHHcVXkRxzv6lNj9P_xFuKQh3m5AcgMy780O&amp;wd=&amp;eqid=8d6a0dc800000e59000000065f856750" \t "https://www.baidu.com/_blank" </w:instrText>
            </w:r>
            <w:r>
              <w:rPr>
                <w:rFonts w:hint="default" w:ascii="Times New Roman" w:hAnsi="Times New Roman" w:eastAsia="方正仿宋_GBK" w:cs="Times New Roman"/>
                <w:color w:val="auto"/>
                <w:sz w:val="28"/>
                <w:szCs w:val="28"/>
                <w:lang w:val="en-US" w:eastAsia="zh-CN"/>
              </w:rPr>
              <w:fldChar w:fldCharType="separate"/>
            </w:r>
            <w:r>
              <w:rPr>
                <w:rFonts w:hint="default" w:ascii="Times New Roman" w:hAnsi="Times New Roman" w:eastAsia="方正仿宋_GBK" w:cs="Times New Roman"/>
                <w:color w:val="auto"/>
                <w:sz w:val="28"/>
                <w:szCs w:val="28"/>
                <w:lang w:val="en-US" w:eastAsia="zh-CN"/>
              </w:rPr>
              <w:t>社会消防技术服务信息系统</w:t>
            </w:r>
            <w:r>
              <w:rPr>
                <w:rFonts w:hint="default" w:ascii="Times New Roman" w:hAnsi="Times New Roman" w:eastAsia="方正仿宋_GBK" w:cs="Times New Roman"/>
                <w:color w:val="auto"/>
                <w:sz w:val="28"/>
                <w:szCs w:val="28"/>
                <w:lang w:val="en-US" w:eastAsia="zh-CN"/>
              </w:rPr>
              <w:fldChar w:fldCharType="end"/>
            </w:r>
            <w:r>
              <w:rPr>
                <w:rFonts w:hint="default" w:ascii="Times New Roman" w:hAnsi="Times New Roman" w:eastAsia="方正仿宋_GBK" w:cs="Times New Roman"/>
                <w:color w:val="auto"/>
                <w:sz w:val="28"/>
                <w:szCs w:val="28"/>
                <w:lang w:val="en-US" w:eastAsia="zh-CN"/>
              </w:rPr>
              <w:t>”信息系统后的查询截图</w:t>
            </w:r>
            <w:r>
              <w:rPr>
                <w:rFonts w:hint="default" w:ascii="Times New Roman" w:hAnsi="Times New Roman" w:eastAsia="方正仿宋_GBK" w:cs="Times New Roman"/>
                <w:bCs/>
                <w:color w:val="auto"/>
                <w:sz w:val="28"/>
                <w:szCs w:val="28"/>
                <w:highlight w:val="none"/>
                <w:lang w:val="en-US" w:eastAsia="zh-CN"/>
              </w:rPr>
              <w:t>，提供202</w:t>
            </w:r>
            <w:r>
              <w:rPr>
                <w:rFonts w:hint="eastAsia" w:ascii="Times New Roman" w:hAnsi="Times New Roman" w:eastAsia="方正仿宋_GBK" w:cs="Times New Roman"/>
                <w:bCs/>
                <w:color w:val="auto"/>
                <w:sz w:val="28"/>
                <w:szCs w:val="28"/>
                <w:highlight w:val="none"/>
                <w:lang w:val="en-US" w:eastAsia="zh-CN"/>
              </w:rPr>
              <w:t>4</w:t>
            </w:r>
            <w:r>
              <w:rPr>
                <w:rFonts w:hint="default" w:ascii="Times New Roman" w:hAnsi="Times New Roman" w:eastAsia="方正仿宋_GBK" w:cs="Times New Roman"/>
                <w:bCs/>
                <w:color w:val="auto"/>
                <w:sz w:val="28"/>
                <w:szCs w:val="28"/>
                <w:highlight w:val="none"/>
                <w:lang w:val="en-US" w:eastAsia="zh-CN"/>
              </w:rPr>
              <w:t>年</w:t>
            </w:r>
            <w:r>
              <w:rPr>
                <w:rFonts w:hint="eastAsia" w:ascii="Times New Roman" w:hAnsi="Times New Roman" w:eastAsia="方正仿宋_GBK" w:cs="Times New Roman"/>
                <w:bCs/>
                <w:color w:val="auto"/>
                <w:sz w:val="28"/>
                <w:szCs w:val="28"/>
                <w:highlight w:val="none"/>
                <w:lang w:val="en-US" w:eastAsia="zh-CN"/>
              </w:rPr>
              <w:t>3</w:t>
            </w:r>
            <w:r>
              <w:rPr>
                <w:rFonts w:hint="default" w:ascii="Times New Roman" w:hAnsi="Times New Roman" w:eastAsia="方正仿宋_GBK" w:cs="Times New Roman"/>
                <w:bCs/>
                <w:color w:val="auto"/>
                <w:sz w:val="28"/>
                <w:szCs w:val="28"/>
                <w:highlight w:val="none"/>
                <w:lang w:val="en-US" w:eastAsia="zh-CN"/>
              </w:rPr>
              <w:t>月至202</w:t>
            </w:r>
            <w:r>
              <w:rPr>
                <w:rFonts w:hint="eastAsia" w:ascii="Times New Roman" w:hAnsi="Times New Roman" w:eastAsia="方正仿宋_GBK" w:cs="Times New Roman"/>
                <w:bCs/>
                <w:color w:val="auto"/>
                <w:sz w:val="28"/>
                <w:szCs w:val="28"/>
                <w:highlight w:val="none"/>
                <w:lang w:val="en-US" w:eastAsia="zh-CN"/>
              </w:rPr>
              <w:t>4</w:t>
            </w:r>
            <w:r>
              <w:rPr>
                <w:rFonts w:hint="default" w:ascii="Times New Roman" w:hAnsi="Times New Roman" w:eastAsia="方正仿宋_GBK" w:cs="Times New Roman"/>
                <w:bCs/>
                <w:color w:val="auto"/>
                <w:sz w:val="28"/>
                <w:szCs w:val="28"/>
                <w:highlight w:val="none"/>
                <w:lang w:val="en-US" w:eastAsia="zh-CN"/>
              </w:rPr>
              <w:t>年</w:t>
            </w:r>
            <w:r>
              <w:rPr>
                <w:rFonts w:hint="eastAsia" w:ascii="Times New Roman" w:hAnsi="Times New Roman" w:eastAsia="方正仿宋_GBK" w:cs="Times New Roman"/>
                <w:bCs/>
                <w:color w:val="auto"/>
                <w:sz w:val="28"/>
                <w:szCs w:val="28"/>
                <w:highlight w:val="none"/>
                <w:lang w:val="en-US" w:eastAsia="zh-CN"/>
              </w:rPr>
              <w:t>8</w:t>
            </w:r>
            <w:r>
              <w:rPr>
                <w:rFonts w:hint="default" w:ascii="Times New Roman" w:hAnsi="Times New Roman" w:eastAsia="方正仿宋_GBK" w:cs="Times New Roman"/>
                <w:bCs/>
                <w:color w:val="auto"/>
                <w:sz w:val="28"/>
                <w:szCs w:val="28"/>
                <w:highlight w:val="none"/>
                <w:lang w:val="en-US" w:eastAsia="zh-CN"/>
              </w:rPr>
              <w:t>月比选响应人为消防工程师缴纳社会保险的证明复印件，截图和复印件均须加盖比选响应人单位鲜公章）</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lang w:val="en-US" w:eastAsia="zh-CN"/>
              </w:rPr>
              <w:t>1</w:t>
            </w:r>
            <w:r>
              <w:rPr>
                <w:rFonts w:hint="eastAsia" w:eastAsia="方正仿宋_GBK" w:cs="Times New Roman"/>
                <w:bCs/>
                <w:color w:val="auto"/>
                <w:sz w:val="28"/>
                <w:szCs w:val="28"/>
                <w:lang w:val="en-US" w:eastAsia="zh-CN"/>
              </w:rPr>
              <w:t>2</w:t>
            </w:r>
            <w:r>
              <w:rPr>
                <w:rFonts w:hint="default" w:ascii="Times New Roman" w:hAnsi="Times New Roman" w:eastAsia="方正仿宋_GBK" w:cs="Times New Roman"/>
                <w:bCs/>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363"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outlineLvl w:val="9"/>
              <w:rPr>
                <w:rFonts w:hint="default" w:ascii="Times New Roman" w:hAnsi="Times New Roman" w:eastAsia="方正仿宋_GBK" w:cs="Times New Roman"/>
                <w:bCs/>
                <w:snapToGrid w:val="0"/>
                <w:color w:val="auto"/>
                <w:kern w:val="0"/>
                <w:sz w:val="28"/>
                <w:szCs w:val="28"/>
                <w:lang w:eastAsia="zh-CN"/>
              </w:rPr>
            </w:pPr>
            <w:r>
              <w:rPr>
                <w:rFonts w:hint="default" w:ascii="Times New Roman" w:hAnsi="Times New Roman" w:eastAsia="方正仿宋_GBK" w:cs="Times New Roman"/>
                <w:bCs/>
                <w:snapToGrid w:val="0"/>
                <w:color w:val="auto"/>
                <w:kern w:val="0"/>
                <w:sz w:val="28"/>
                <w:szCs w:val="28"/>
                <w:lang w:val="en-US" w:eastAsia="zh-CN"/>
              </w:rPr>
              <w:t>3</w:t>
            </w:r>
          </w:p>
        </w:tc>
        <w:tc>
          <w:tcPr>
            <w:tcW w:w="1104"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outlineLvl w:val="9"/>
              <w:rPr>
                <w:rFonts w:hint="default" w:ascii="Times New Roman" w:hAnsi="Times New Roman" w:eastAsia="方正仿宋_GBK" w:cs="Times New Roman"/>
                <w:bCs/>
                <w:snapToGrid w:val="0"/>
                <w:color w:val="auto"/>
                <w:kern w:val="0"/>
                <w:sz w:val="28"/>
                <w:szCs w:val="28"/>
              </w:rPr>
            </w:pPr>
            <w:r>
              <w:rPr>
                <w:rFonts w:hint="default" w:ascii="Times New Roman" w:hAnsi="Times New Roman" w:eastAsia="方正仿宋_GBK" w:cs="Times New Roman"/>
                <w:bCs/>
                <w:color w:val="auto"/>
                <w:sz w:val="28"/>
                <w:szCs w:val="28"/>
              </w:rPr>
              <w:t>技术部分（</w:t>
            </w:r>
            <w:r>
              <w:rPr>
                <w:rFonts w:hint="eastAsia" w:eastAsia="方正仿宋_GBK" w:cs="Times New Roman"/>
                <w:bCs/>
                <w:color w:val="auto"/>
                <w:sz w:val="28"/>
                <w:szCs w:val="28"/>
                <w:lang w:val="en-US" w:eastAsia="zh-CN"/>
              </w:rPr>
              <w:t>18</w:t>
            </w:r>
            <w:r>
              <w:rPr>
                <w:rFonts w:hint="default" w:ascii="Times New Roman" w:hAnsi="Times New Roman" w:eastAsia="方正仿宋_GBK" w:cs="Times New Roman"/>
                <w:bCs/>
                <w:color w:val="auto"/>
                <w:sz w:val="28"/>
                <w:szCs w:val="28"/>
              </w:rPr>
              <w:t>分）</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400" w:lineRule="exact"/>
              <w:ind w:left="0" w:leftChars="0" w:firstLine="0" w:firstLineChars="0"/>
              <w:jc w:val="center"/>
              <w:textAlignment w:val="auto"/>
              <w:outlineLvl w:val="9"/>
              <w:rPr>
                <w:rFonts w:hint="default" w:ascii="Times New Roman" w:hAnsi="Times New Roman" w:eastAsia="方正仿宋_GBK" w:cs="Times New Roman"/>
                <w:bCs/>
                <w:color w:val="auto"/>
                <w:sz w:val="28"/>
                <w:szCs w:val="28"/>
                <w:lang w:val="en-US" w:eastAsia="zh-CN"/>
              </w:rPr>
            </w:pPr>
            <w:r>
              <w:rPr>
                <w:rFonts w:hint="default" w:ascii="Times New Roman" w:hAnsi="Times New Roman" w:eastAsia="方正仿宋_GBK" w:cs="Times New Roman"/>
                <w:bCs/>
                <w:color w:val="auto"/>
                <w:sz w:val="28"/>
                <w:szCs w:val="28"/>
                <w:lang w:eastAsia="zh-CN"/>
              </w:rPr>
              <w:t>技术团队成员能力</w:t>
            </w:r>
          </w:p>
        </w:tc>
        <w:tc>
          <w:tcPr>
            <w:tcW w:w="4711"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400" w:lineRule="exact"/>
              <w:ind w:firstLine="560" w:firstLineChars="200"/>
              <w:jc w:val="both"/>
              <w:textAlignment w:val="auto"/>
              <w:outlineLvl w:val="9"/>
              <w:rPr>
                <w:rFonts w:hint="default" w:ascii="Times New Roman" w:hAnsi="Times New Roman" w:eastAsia="方正仿宋_GBK" w:cs="Times New Roman"/>
                <w:bCs/>
                <w:color w:val="auto"/>
                <w:sz w:val="28"/>
                <w:szCs w:val="28"/>
                <w:lang w:val="en-US" w:eastAsia="zh-CN"/>
              </w:rPr>
            </w:pPr>
            <w:r>
              <w:rPr>
                <w:rFonts w:hint="default" w:ascii="Times New Roman" w:hAnsi="Times New Roman" w:eastAsia="方正仿宋_GBK" w:cs="Times New Roman"/>
                <w:bCs/>
                <w:color w:val="auto"/>
                <w:sz w:val="28"/>
                <w:szCs w:val="28"/>
                <w:lang w:eastAsia="zh-CN"/>
              </w:rPr>
              <w:t>委派至本项目的技术团队成员除项目负责人外，每具备1个《建（构）筑物消防员国家职业资格证书》（三级/高级技能）或《消防设施操作员国家职业资格证书》（三级/高级技能）执业资格的得1分，最多</w:t>
            </w:r>
            <w:r>
              <w:rPr>
                <w:rFonts w:hint="eastAsia" w:ascii="Times New Roman" w:hAnsi="Times New Roman" w:eastAsia="方正仿宋_GBK" w:cs="Times New Roman"/>
                <w:bCs/>
                <w:color w:val="auto"/>
                <w:sz w:val="28"/>
                <w:szCs w:val="28"/>
                <w:lang w:val="en-US" w:eastAsia="zh-CN"/>
              </w:rPr>
              <w:t>2</w:t>
            </w:r>
            <w:r>
              <w:rPr>
                <w:rFonts w:hint="default" w:ascii="Times New Roman" w:hAnsi="Times New Roman" w:eastAsia="方正仿宋_GBK" w:cs="Times New Roman"/>
                <w:bCs/>
                <w:color w:val="auto"/>
                <w:sz w:val="28"/>
                <w:szCs w:val="28"/>
                <w:lang w:eastAsia="zh-CN"/>
              </w:rPr>
              <w:t>分。</w:t>
            </w:r>
          </w:p>
        </w:tc>
        <w:tc>
          <w:tcPr>
            <w:tcW w:w="1257"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400" w:lineRule="exact"/>
              <w:ind w:left="0" w:leftChars="0" w:firstLine="0" w:firstLineChars="0"/>
              <w:jc w:val="center"/>
              <w:textAlignment w:val="auto"/>
              <w:outlineLvl w:val="9"/>
              <w:rPr>
                <w:rFonts w:hint="default" w:ascii="Times New Roman" w:hAnsi="Times New Roman" w:eastAsia="方正仿宋_GBK" w:cs="Times New Roman"/>
                <w:bCs/>
                <w:color w:val="auto"/>
                <w:sz w:val="28"/>
                <w:szCs w:val="28"/>
                <w:lang w:val="en-US" w:eastAsia="zh-CN"/>
              </w:rPr>
            </w:pPr>
            <w:r>
              <w:rPr>
                <w:rFonts w:hint="eastAsia" w:ascii="Times New Roman" w:hAnsi="Times New Roman" w:eastAsia="方正仿宋_GBK" w:cs="Times New Roman"/>
                <w:bCs/>
                <w:color w:val="auto"/>
                <w:sz w:val="28"/>
                <w:szCs w:val="28"/>
                <w:lang w:val="en-US" w:eastAsia="zh-CN"/>
              </w:rPr>
              <w:t>2</w:t>
            </w:r>
            <w:r>
              <w:rPr>
                <w:rFonts w:hint="default" w:ascii="Times New Roman" w:hAnsi="Times New Roman" w:eastAsia="方正仿宋_GBK" w:cs="Times New Roman"/>
                <w:bCs/>
                <w:color w:val="auto"/>
                <w:sz w:val="28"/>
                <w:szCs w:val="28"/>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36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outlineLvl w:val="9"/>
              <w:rPr>
                <w:rFonts w:hint="default" w:ascii="Times New Roman" w:hAnsi="Times New Roman" w:eastAsia="方正仿宋_GBK" w:cs="Times New Roman"/>
                <w:bCs/>
                <w:snapToGrid w:val="0"/>
                <w:color w:val="auto"/>
                <w:kern w:val="0"/>
                <w:sz w:val="28"/>
                <w:szCs w:val="28"/>
                <w:lang w:eastAsia="zh-CN"/>
              </w:rPr>
            </w:pPr>
          </w:p>
        </w:tc>
        <w:tc>
          <w:tcPr>
            <w:tcW w:w="110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outlineLvl w:val="9"/>
              <w:rPr>
                <w:rFonts w:hint="default" w:ascii="Times New Roman" w:hAnsi="Times New Roman" w:eastAsia="方正仿宋_GBK" w:cs="Times New Roman"/>
                <w:bCs/>
                <w:snapToGrid w:val="0"/>
                <w:color w:val="auto"/>
                <w:kern w:val="0"/>
                <w:sz w:val="28"/>
                <w:szCs w:val="28"/>
              </w:rPr>
            </w:pP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color w:val="auto"/>
                <w:kern w:val="0"/>
                <w:sz w:val="28"/>
                <w:szCs w:val="28"/>
                <w:lang w:eastAsia="zh-CN"/>
              </w:rPr>
            </w:pPr>
            <w:r>
              <w:rPr>
                <w:rFonts w:hint="default" w:ascii="Times New Roman" w:hAnsi="Times New Roman" w:eastAsia="方正仿宋_GBK" w:cs="Times New Roman"/>
                <w:bCs/>
                <w:color w:val="auto"/>
                <w:kern w:val="0"/>
                <w:sz w:val="28"/>
                <w:szCs w:val="28"/>
                <w:lang w:eastAsia="zh-CN"/>
              </w:rPr>
              <w:t>检测技术方案</w:t>
            </w:r>
          </w:p>
        </w:tc>
        <w:tc>
          <w:tcPr>
            <w:tcW w:w="4711"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400" w:lineRule="exact"/>
              <w:ind w:firstLine="560" w:firstLineChars="200"/>
              <w:jc w:val="both"/>
              <w:textAlignment w:val="auto"/>
              <w:outlineLvl w:val="9"/>
              <w:rPr>
                <w:rFonts w:hint="default" w:ascii="Times New Roman" w:hAnsi="Times New Roman" w:eastAsia="方正仿宋_GBK" w:cs="Times New Roman"/>
                <w:bCs/>
                <w:color w:val="auto"/>
                <w:sz w:val="28"/>
                <w:szCs w:val="28"/>
                <w:lang w:val="en-US" w:eastAsia="zh-CN"/>
              </w:rPr>
            </w:pPr>
            <w:r>
              <w:rPr>
                <w:rFonts w:hint="default" w:ascii="Times New Roman" w:hAnsi="Times New Roman" w:eastAsia="方正仿宋_GBK" w:cs="Times New Roman"/>
                <w:bCs/>
                <w:color w:val="auto"/>
                <w:sz w:val="28"/>
                <w:szCs w:val="28"/>
                <w:lang w:val="en-US" w:eastAsia="zh-CN"/>
              </w:rPr>
              <w:t>1.</w:t>
            </w:r>
            <w:r>
              <w:rPr>
                <w:rFonts w:hint="eastAsia" w:eastAsia="方正仿宋_GBK" w:cs="Times New Roman"/>
                <w:bCs/>
                <w:color w:val="auto"/>
                <w:sz w:val="28"/>
                <w:szCs w:val="28"/>
                <w:lang w:val="en-US" w:eastAsia="zh-CN"/>
              </w:rPr>
              <w:t>分别</w:t>
            </w:r>
            <w:r>
              <w:rPr>
                <w:rFonts w:hint="default" w:ascii="Times New Roman" w:hAnsi="Times New Roman" w:eastAsia="方正仿宋_GBK" w:cs="Times New Roman"/>
                <w:bCs/>
                <w:color w:val="auto"/>
                <w:sz w:val="28"/>
                <w:szCs w:val="28"/>
                <w:lang w:eastAsia="zh-CN"/>
              </w:rPr>
              <w:t>针对火灾自动报警系统（含光截面系统、双波段系统）、气体灭火系统、消防电源监控系统、电气火灾监控系统、消火栓系统、自动喷水灭火系统、防烟排烟系统、自动跟踪定位射流灭火系统</w:t>
            </w:r>
            <w:r>
              <w:rPr>
                <w:rFonts w:hint="eastAsia" w:eastAsia="方正仿宋_GBK" w:cs="Times New Roman"/>
                <w:bCs/>
                <w:color w:val="auto"/>
                <w:sz w:val="28"/>
                <w:szCs w:val="28"/>
                <w:lang w:eastAsia="zh-CN"/>
              </w:rPr>
              <w:t>、厨房设备灭火装置</w:t>
            </w:r>
            <w:r>
              <w:rPr>
                <w:rFonts w:hint="default" w:ascii="Times New Roman" w:hAnsi="Times New Roman" w:eastAsia="方正仿宋_GBK" w:cs="Times New Roman"/>
                <w:bCs/>
                <w:color w:val="auto"/>
                <w:sz w:val="28"/>
                <w:szCs w:val="28"/>
                <w:lang w:eastAsia="zh-CN"/>
              </w:rPr>
              <w:t>等编制专项检测方案</w:t>
            </w:r>
            <w:r>
              <w:rPr>
                <w:rFonts w:hint="default" w:ascii="Times New Roman" w:hAnsi="Times New Roman" w:eastAsia="方正仿宋_GBK" w:cs="Times New Roman"/>
                <w:bCs/>
                <w:color w:val="auto"/>
                <w:sz w:val="28"/>
                <w:szCs w:val="28"/>
                <w:lang w:val="en-US" w:eastAsia="zh-CN"/>
              </w:rPr>
              <w:t>得</w:t>
            </w:r>
            <w:r>
              <w:rPr>
                <w:rFonts w:hint="eastAsia" w:eastAsia="方正仿宋_GBK" w:cs="Times New Roman"/>
                <w:bCs/>
                <w:color w:val="auto"/>
                <w:sz w:val="28"/>
                <w:szCs w:val="28"/>
                <w:lang w:val="en-US" w:eastAsia="zh-CN"/>
              </w:rPr>
              <w:t>4</w:t>
            </w:r>
            <w:r>
              <w:rPr>
                <w:rFonts w:hint="default" w:ascii="Times New Roman" w:hAnsi="Times New Roman" w:eastAsia="方正仿宋_GBK" w:cs="Times New Roman"/>
                <w:bCs/>
                <w:color w:val="auto"/>
                <w:sz w:val="28"/>
                <w:szCs w:val="28"/>
                <w:lang w:val="en-US" w:eastAsia="zh-CN"/>
              </w:rPr>
              <w:t>分</w:t>
            </w:r>
            <w:r>
              <w:rPr>
                <w:rFonts w:hint="eastAsia" w:eastAsia="方正仿宋_GBK" w:cs="Times New Roman"/>
                <w:bCs/>
                <w:color w:val="auto"/>
                <w:sz w:val="28"/>
                <w:szCs w:val="28"/>
                <w:lang w:val="en-US" w:eastAsia="zh-CN"/>
              </w:rPr>
              <w:t>，每少一个</w:t>
            </w:r>
            <w:r>
              <w:rPr>
                <w:rFonts w:hint="default" w:ascii="Times New Roman" w:hAnsi="Times New Roman" w:eastAsia="方正仿宋_GBK" w:cs="Times New Roman"/>
                <w:bCs/>
                <w:color w:val="auto"/>
                <w:sz w:val="28"/>
                <w:szCs w:val="28"/>
                <w:lang w:eastAsia="zh-CN"/>
              </w:rPr>
              <w:t>专项检测方案</w:t>
            </w:r>
            <w:r>
              <w:rPr>
                <w:rFonts w:hint="eastAsia" w:eastAsia="方正仿宋_GBK" w:cs="Times New Roman"/>
                <w:bCs/>
                <w:color w:val="auto"/>
                <w:sz w:val="28"/>
                <w:szCs w:val="28"/>
                <w:lang w:val="en-US" w:eastAsia="zh-CN"/>
              </w:rPr>
              <w:t>扣0.5分，扣完为止。</w:t>
            </w:r>
          </w:p>
          <w:p>
            <w:pPr>
              <w:keepNext w:val="0"/>
              <w:keepLines w:val="0"/>
              <w:pageBreakBefore w:val="0"/>
              <w:widowControl/>
              <w:kinsoku/>
              <w:wordWrap/>
              <w:overflowPunct/>
              <w:topLinePunct w:val="0"/>
              <w:bidi w:val="0"/>
              <w:spacing w:line="400" w:lineRule="exact"/>
              <w:ind w:firstLine="560" w:firstLineChars="200"/>
              <w:jc w:val="both"/>
              <w:textAlignment w:val="auto"/>
              <w:outlineLvl w:val="9"/>
              <w:rPr>
                <w:rFonts w:hint="default" w:ascii="Times New Roman" w:hAnsi="Times New Roman" w:eastAsia="方正仿宋_GBK" w:cs="Times New Roman"/>
                <w:bCs/>
                <w:color w:val="auto"/>
                <w:sz w:val="28"/>
                <w:szCs w:val="28"/>
                <w:lang w:val="en-US" w:eastAsia="zh-CN"/>
              </w:rPr>
            </w:pPr>
            <w:r>
              <w:rPr>
                <w:rFonts w:hint="default" w:ascii="Times New Roman" w:hAnsi="Times New Roman" w:eastAsia="方正仿宋_GBK" w:cs="Times New Roman"/>
                <w:bCs/>
                <w:color w:val="auto"/>
                <w:sz w:val="28"/>
                <w:szCs w:val="28"/>
                <w:lang w:val="en-US" w:eastAsia="zh-CN"/>
              </w:rPr>
              <w:t>2.</w:t>
            </w:r>
            <w:r>
              <w:rPr>
                <w:rFonts w:hint="default" w:ascii="Times New Roman" w:hAnsi="Times New Roman" w:eastAsia="方正仿宋_GBK" w:cs="Times New Roman"/>
                <w:bCs/>
                <w:color w:val="auto"/>
                <w:sz w:val="28"/>
                <w:szCs w:val="28"/>
                <w:lang w:eastAsia="zh-CN"/>
              </w:rPr>
              <w:t>方案</w:t>
            </w:r>
            <w:r>
              <w:rPr>
                <w:rFonts w:hint="default" w:ascii="Times New Roman" w:hAnsi="Times New Roman" w:eastAsia="方正仿宋_GBK" w:cs="Times New Roman"/>
                <w:bCs/>
                <w:color w:val="auto"/>
                <w:sz w:val="28"/>
                <w:szCs w:val="28"/>
                <w:lang w:val="en-US" w:eastAsia="zh-CN"/>
              </w:rPr>
              <w:t>内容</w:t>
            </w:r>
            <w:r>
              <w:rPr>
                <w:rFonts w:hint="default" w:ascii="Times New Roman" w:hAnsi="Times New Roman" w:eastAsia="方正仿宋_GBK" w:cs="Times New Roman"/>
                <w:bCs/>
                <w:color w:val="auto"/>
                <w:sz w:val="28"/>
                <w:szCs w:val="28"/>
                <w:lang w:eastAsia="zh-CN"/>
              </w:rPr>
              <w:t>包含且不限于测试前准备、测试操作规程、</w:t>
            </w:r>
            <w:r>
              <w:rPr>
                <w:rFonts w:hint="default" w:ascii="Times New Roman" w:hAnsi="Times New Roman" w:eastAsia="方正仿宋_GBK" w:cs="Times New Roman"/>
                <w:bCs/>
                <w:color w:val="auto"/>
                <w:sz w:val="28"/>
                <w:szCs w:val="28"/>
                <w:lang w:val="en-US" w:eastAsia="zh-CN"/>
              </w:rPr>
              <w:t>注意事项</w:t>
            </w:r>
            <w:r>
              <w:rPr>
                <w:rFonts w:hint="eastAsia" w:eastAsia="方正仿宋_GBK" w:cs="Times New Roman"/>
                <w:bCs/>
                <w:color w:val="auto"/>
                <w:sz w:val="28"/>
                <w:szCs w:val="28"/>
                <w:lang w:val="en-US" w:eastAsia="zh-CN"/>
              </w:rPr>
              <w:t>等</w:t>
            </w:r>
            <w:r>
              <w:rPr>
                <w:rFonts w:hint="default" w:ascii="Times New Roman" w:hAnsi="Times New Roman" w:eastAsia="方正仿宋_GBK" w:cs="Times New Roman"/>
                <w:bCs/>
                <w:color w:val="auto"/>
                <w:sz w:val="28"/>
                <w:szCs w:val="28"/>
                <w:lang w:val="en-US" w:eastAsia="zh-CN"/>
              </w:rPr>
              <w:t>得0~2分。</w:t>
            </w:r>
          </w:p>
          <w:p>
            <w:pPr>
              <w:keepNext w:val="0"/>
              <w:keepLines w:val="0"/>
              <w:pageBreakBefore w:val="0"/>
              <w:widowControl/>
              <w:kinsoku/>
              <w:wordWrap/>
              <w:overflowPunct/>
              <w:topLinePunct w:val="0"/>
              <w:bidi w:val="0"/>
              <w:spacing w:line="400" w:lineRule="exact"/>
              <w:ind w:firstLine="560" w:firstLineChars="200"/>
              <w:jc w:val="both"/>
              <w:textAlignment w:val="auto"/>
              <w:outlineLvl w:val="9"/>
              <w:rPr>
                <w:rFonts w:hint="default" w:ascii="Times New Roman" w:hAnsi="Times New Roman" w:eastAsia="方正仿宋_GBK" w:cs="Times New Roman"/>
                <w:bCs/>
                <w:color w:val="auto"/>
                <w:kern w:val="0"/>
                <w:sz w:val="28"/>
                <w:szCs w:val="28"/>
                <w:lang w:eastAsia="zh-CN"/>
              </w:rPr>
            </w:pPr>
            <w:r>
              <w:rPr>
                <w:rFonts w:hint="default" w:ascii="Times New Roman" w:hAnsi="Times New Roman" w:eastAsia="方正仿宋_GBK" w:cs="Times New Roman"/>
                <w:bCs/>
                <w:color w:val="auto"/>
                <w:sz w:val="28"/>
                <w:szCs w:val="28"/>
                <w:lang w:val="en-US" w:eastAsia="zh-CN"/>
              </w:rPr>
              <w:t>3.方案操作性强，能保证测试结果准确、有效，方案编写细致得0~2分。</w:t>
            </w:r>
          </w:p>
        </w:tc>
        <w:tc>
          <w:tcPr>
            <w:tcW w:w="125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color w:val="auto"/>
                <w:sz w:val="28"/>
                <w:szCs w:val="28"/>
              </w:rPr>
            </w:pPr>
            <w:r>
              <w:rPr>
                <w:rFonts w:hint="eastAsia" w:eastAsia="方正仿宋_GBK" w:cs="Times New Roman"/>
                <w:bCs/>
                <w:color w:val="auto"/>
                <w:sz w:val="28"/>
                <w:szCs w:val="28"/>
                <w:lang w:val="en-US" w:eastAsia="zh-CN"/>
              </w:rPr>
              <w:t>8</w:t>
            </w:r>
            <w:r>
              <w:rPr>
                <w:rFonts w:hint="default" w:ascii="Times New Roman" w:hAnsi="Times New Roman" w:eastAsia="方正仿宋_GBK" w:cs="Times New Roman"/>
                <w:bCs/>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136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420"/>
              <w:textAlignment w:val="auto"/>
              <w:outlineLvl w:val="9"/>
              <w:rPr>
                <w:rFonts w:hint="default" w:ascii="Times New Roman" w:hAnsi="Times New Roman" w:eastAsia="方正仿宋_GBK" w:cs="Times New Roman"/>
                <w:bCs/>
                <w:color w:val="auto"/>
                <w:sz w:val="28"/>
                <w:szCs w:val="28"/>
              </w:rPr>
            </w:pPr>
          </w:p>
        </w:tc>
        <w:tc>
          <w:tcPr>
            <w:tcW w:w="110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color w:val="auto"/>
                <w:sz w:val="28"/>
                <w:szCs w:val="28"/>
              </w:rPr>
            </w:pP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lang w:eastAsia="zh-CN"/>
              </w:rPr>
              <w:t>项目</w:t>
            </w:r>
            <w:r>
              <w:rPr>
                <w:rFonts w:hint="default" w:ascii="Times New Roman" w:hAnsi="Times New Roman" w:eastAsia="方正仿宋_GBK" w:cs="Times New Roman"/>
                <w:bCs/>
                <w:color w:val="auto"/>
                <w:kern w:val="0"/>
                <w:sz w:val="28"/>
                <w:szCs w:val="28"/>
              </w:rPr>
              <w:t>进度计划</w:t>
            </w:r>
          </w:p>
        </w:tc>
        <w:tc>
          <w:tcPr>
            <w:tcW w:w="4711"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00" w:lineRule="exact"/>
              <w:ind w:firstLine="560" w:firstLineChars="200"/>
              <w:jc w:val="both"/>
              <w:textAlignment w:val="auto"/>
              <w:outlineLvl w:val="9"/>
              <w:rPr>
                <w:rFonts w:hint="default" w:ascii="Times New Roman" w:hAnsi="Times New Roman" w:eastAsia="方正仿宋_GBK" w:cs="Times New Roman"/>
                <w:bCs/>
                <w:color w:val="auto"/>
                <w:sz w:val="28"/>
                <w:szCs w:val="28"/>
                <w:highlight w:val="none"/>
                <w:lang w:eastAsia="zh-CN"/>
              </w:rPr>
            </w:pPr>
            <w:r>
              <w:rPr>
                <w:rFonts w:hint="default" w:ascii="Times New Roman" w:hAnsi="Times New Roman" w:eastAsia="方正仿宋_GBK" w:cs="Times New Roman"/>
                <w:bCs/>
                <w:color w:val="auto"/>
                <w:sz w:val="28"/>
                <w:szCs w:val="28"/>
                <w:highlight w:val="none"/>
                <w:lang w:eastAsia="zh-CN"/>
              </w:rPr>
              <w:t>工作进度计划合理，</w:t>
            </w:r>
            <w:r>
              <w:rPr>
                <w:rFonts w:hint="default" w:ascii="Times New Roman" w:hAnsi="Times New Roman" w:eastAsia="方正仿宋_GBK" w:cs="Times New Roman"/>
                <w:bCs/>
                <w:color w:val="auto"/>
                <w:sz w:val="28"/>
                <w:szCs w:val="28"/>
                <w:highlight w:val="none"/>
                <w:lang w:val="en-US" w:eastAsia="zh-CN"/>
              </w:rPr>
              <w:t>对检测时间以及出具报告的时间进行合理安排得</w:t>
            </w:r>
            <w:r>
              <w:rPr>
                <w:rFonts w:hint="default" w:ascii="Times New Roman" w:hAnsi="Times New Roman" w:eastAsia="方正仿宋_GBK" w:cs="Times New Roman"/>
                <w:bCs/>
                <w:color w:val="auto"/>
                <w:sz w:val="28"/>
                <w:szCs w:val="28"/>
                <w:highlight w:val="none"/>
              </w:rPr>
              <w:t>0-</w:t>
            </w:r>
            <w:r>
              <w:rPr>
                <w:rFonts w:hint="eastAsia" w:eastAsia="方正仿宋_GBK" w:cs="Times New Roman"/>
                <w:bCs/>
                <w:color w:val="auto"/>
                <w:sz w:val="28"/>
                <w:szCs w:val="28"/>
                <w:highlight w:val="none"/>
                <w:lang w:val="en-US" w:eastAsia="zh-CN"/>
              </w:rPr>
              <w:t>4</w:t>
            </w:r>
            <w:r>
              <w:rPr>
                <w:rFonts w:hint="default" w:ascii="Times New Roman" w:hAnsi="Times New Roman" w:eastAsia="方正仿宋_GBK" w:cs="Times New Roman"/>
                <w:bCs/>
                <w:color w:val="auto"/>
                <w:sz w:val="28"/>
                <w:szCs w:val="28"/>
                <w:highlight w:val="none"/>
              </w:rPr>
              <w:t>分</w:t>
            </w:r>
            <w:r>
              <w:rPr>
                <w:rFonts w:hint="default" w:ascii="Times New Roman" w:hAnsi="Times New Roman" w:eastAsia="方正仿宋_GBK" w:cs="Times New Roman"/>
                <w:bCs/>
                <w:color w:val="auto"/>
                <w:sz w:val="28"/>
                <w:szCs w:val="28"/>
                <w:highlight w:val="none"/>
                <w:lang w:eastAsia="zh-CN"/>
              </w:rPr>
              <w:t>。</w:t>
            </w:r>
          </w:p>
        </w:tc>
        <w:tc>
          <w:tcPr>
            <w:tcW w:w="1257"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color w:val="auto"/>
                <w:kern w:val="0"/>
                <w:sz w:val="28"/>
                <w:szCs w:val="28"/>
              </w:rPr>
            </w:pPr>
            <w:r>
              <w:rPr>
                <w:rFonts w:hint="eastAsia" w:eastAsia="方正仿宋_GBK" w:cs="Times New Roman"/>
                <w:bCs/>
                <w:color w:val="auto"/>
                <w:sz w:val="28"/>
                <w:szCs w:val="28"/>
                <w:lang w:val="en-US" w:eastAsia="zh-CN"/>
              </w:rPr>
              <w:t>4</w:t>
            </w:r>
            <w:r>
              <w:rPr>
                <w:rFonts w:hint="default" w:ascii="Times New Roman" w:hAnsi="Times New Roman" w:eastAsia="方正仿宋_GBK" w:cs="Times New Roman"/>
                <w:bCs/>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36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420"/>
              <w:textAlignment w:val="auto"/>
              <w:outlineLvl w:val="9"/>
              <w:rPr>
                <w:rFonts w:hint="default" w:ascii="Times New Roman" w:hAnsi="Times New Roman" w:eastAsia="方正仿宋_GBK" w:cs="Times New Roman"/>
                <w:bCs/>
                <w:color w:val="auto"/>
                <w:sz w:val="28"/>
                <w:szCs w:val="28"/>
              </w:rPr>
            </w:pPr>
          </w:p>
        </w:tc>
        <w:tc>
          <w:tcPr>
            <w:tcW w:w="110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color w:val="auto"/>
                <w:sz w:val="28"/>
                <w:szCs w:val="28"/>
              </w:rPr>
            </w:pP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color w:val="auto"/>
                <w:kern w:val="0"/>
                <w:sz w:val="28"/>
                <w:szCs w:val="28"/>
                <w:lang w:eastAsia="zh-CN"/>
              </w:rPr>
            </w:pPr>
            <w:r>
              <w:rPr>
                <w:rFonts w:hint="default" w:ascii="Times New Roman" w:hAnsi="Times New Roman" w:eastAsia="方正仿宋_GBK" w:cs="Times New Roman"/>
                <w:bCs/>
                <w:color w:val="auto"/>
                <w:kern w:val="0"/>
                <w:sz w:val="28"/>
                <w:szCs w:val="28"/>
                <w:lang w:eastAsia="zh-CN"/>
              </w:rPr>
              <w:t>服务</w:t>
            </w:r>
            <w:r>
              <w:rPr>
                <w:rFonts w:hint="default" w:ascii="Times New Roman" w:hAnsi="Times New Roman" w:eastAsia="方正仿宋_GBK" w:cs="Times New Roman"/>
                <w:bCs/>
                <w:color w:val="auto"/>
                <w:kern w:val="0"/>
                <w:sz w:val="28"/>
                <w:szCs w:val="28"/>
              </w:rPr>
              <w:t>质量保证措施</w:t>
            </w:r>
          </w:p>
        </w:tc>
        <w:tc>
          <w:tcPr>
            <w:tcW w:w="4711" w:type="dxa"/>
            <w:tcBorders>
              <w:left w:val="single" w:color="auto" w:sz="4" w:space="0"/>
              <w:bottom w:val="single" w:color="auto" w:sz="4" w:space="0"/>
              <w:right w:val="single" w:color="auto" w:sz="4" w:space="0"/>
            </w:tcBorders>
            <w:vAlign w:val="center"/>
          </w:tcPr>
          <w:p>
            <w:pPr>
              <w:keepNext w:val="0"/>
              <w:keepLines w:val="0"/>
              <w:pageBreakBefore w:val="0"/>
              <w:widowControl/>
              <w:numPr>
                <w:ilvl w:val="-1"/>
                <w:numId w:val="0"/>
              </w:numPr>
              <w:kinsoku/>
              <w:wordWrap/>
              <w:overflowPunct/>
              <w:topLinePunct w:val="0"/>
              <w:bidi w:val="0"/>
              <w:spacing w:line="400" w:lineRule="exact"/>
              <w:ind w:firstLine="560" w:firstLineChars="200"/>
              <w:jc w:val="both"/>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lang w:val="en-US" w:eastAsia="zh-CN"/>
              </w:rPr>
              <w:t>1.</w:t>
            </w:r>
            <w:r>
              <w:rPr>
                <w:rFonts w:hint="default" w:ascii="Times New Roman" w:hAnsi="Times New Roman" w:eastAsia="方正仿宋_GBK" w:cs="Times New Roman"/>
                <w:bCs/>
                <w:color w:val="auto"/>
                <w:sz w:val="28"/>
                <w:szCs w:val="28"/>
              </w:rPr>
              <w:t>根据消防设施检测项目特性，拟定保障检测质量的管控措施</w:t>
            </w:r>
            <w:r>
              <w:rPr>
                <w:rFonts w:hint="default" w:ascii="Times New Roman" w:hAnsi="Times New Roman" w:eastAsia="方正仿宋_GBK" w:cs="Times New Roman"/>
                <w:bCs/>
                <w:color w:val="auto"/>
                <w:sz w:val="28"/>
                <w:szCs w:val="28"/>
                <w:lang w:eastAsia="zh-CN"/>
              </w:rPr>
              <w:t>（包括但不限于现场安全管理措施和工器具管理要求）</w:t>
            </w:r>
            <w:r>
              <w:rPr>
                <w:rFonts w:hint="default" w:ascii="Times New Roman" w:hAnsi="Times New Roman" w:eastAsia="方正仿宋_GBK" w:cs="Times New Roman"/>
                <w:bCs/>
                <w:color w:val="auto"/>
                <w:sz w:val="28"/>
                <w:szCs w:val="28"/>
              </w:rPr>
              <w:t>，确保检测质量</w:t>
            </w:r>
            <w:r>
              <w:rPr>
                <w:rFonts w:hint="default" w:ascii="Times New Roman" w:hAnsi="Times New Roman" w:eastAsia="方正仿宋_GBK" w:cs="Times New Roman"/>
                <w:bCs/>
                <w:color w:val="auto"/>
                <w:sz w:val="28"/>
                <w:szCs w:val="28"/>
                <w:lang w:val="en-US" w:eastAsia="zh-CN"/>
              </w:rPr>
              <w:t>得0-2分</w:t>
            </w:r>
            <w:r>
              <w:rPr>
                <w:rFonts w:hint="default" w:ascii="Times New Roman" w:hAnsi="Times New Roman" w:eastAsia="方正仿宋_GBK" w:cs="Times New Roman"/>
                <w:bCs/>
                <w:color w:val="auto"/>
                <w:sz w:val="28"/>
                <w:szCs w:val="28"/>
              </w:rPr>
              <w:t>；</w:t>
            </w:r>
          </w:p>
          <w:p>
            <w:pPr>
              <w:keepNext w:val="0"/>
              <w:keepLines w:val="0"/>
              <w:pageBreakBefore w:val="0"/>
              <w:widowControl/>
              <w:kinsoku/>
              <w:wordWrap/>
              <w:overflowPunct/>
              <w:topLinePunct w:val="0"/>
              <w:bidi w:val="0"/>
              <w:spacing w:line="400" w:lineRule="exact"/>
              <w:ind w:firstLine="560" w:firstLineChars="200"/>
              <w:jc w:val="both"/>
              <w:textAlignment w:val="auto"/>
              <w:outlineLvl w:val="9"/>
              <w:rPr>
                <w:rFonts w:hint="default" w:ascii="Times New Roman" w:hAnsi="Times New Roman" w:eastAsia="方正仿宋_GBK" w:cs="Times New Roman"/>
                <w:bCs/>
                <w:color w:val="auto"/>
                <w:sz w:val="28"/>
                <w:szCs w:val="28"/>
                <w:lang w:eastAsia="zh-CN"/>
              </w:rPr>
            </w:pPr>
            <w:r>
              <w:rPr>
                <w:rFonts w:hint="default" w:ascii="Times New Roman" w:hAnsi="Times New Roman" w:eastAsia="方正仿宋_GBK" w:cs="Times New Roman"/>
                <w:bCs/>
                <w:color w:val="auto"/>
                <w:sz w:val="28"/>
                <w:szCs w:val="28"/>
                <w:lang w:val="en-US" w:eastAsia="zh-CN"/>
              </w:rPr>
              <w:t>2.</w:t>
            </w:r>
            <w:r>
              <w:rPr>
                <w:rFonts w:hint="default" w:ascii="Times New Roman" w:hAnsi="Times New Roman" w:eastAsia="方正仿宋_GBK" w:cs="Times New Roman"/>
                <w:bCs/>
                <w:color w:val="auto"/>
                <w:sz w:val="28"/>
                <w:szCs w:val="28"/>
              </w:rPr>
              <w:t>根据检测过程中可能出现的异常情况，拟定预防</w:t>
            </w:r>
            <w:r>
              <w:rPr>
                <w:rFonts w:hint="default" w:ascii="Times New Roman" w:hAnsi="Times New Roman" w:eastAsia="方正仿宋_GBK" w:cs="Times New Roman"/>
                <w:bCs/>
                <w:color w:val="auto"/>
                <w:sz w:val="28"/>
                <w:szCs w:val="28"/>
                <w:lang w:val="en-US" w:eastAsia="zh-CN"/>
              </w:rPr>
              <w:t>及应急</w:t>
            </w:r>
            <w:r>
              <w:rPr>
                <w:rFonts w:hint="default" w:ascii="Times New Roman" w:hAnsi="Times New Roman" w:eastAsia="方正仿宋_GBK" w:cs="Times New Roman"/>
                <w:bCs/>
                <w:color w:val="auto"/>
                <w:sz w:val="28"/>
                <w:szCs w:val="28"/>
              </w:rPr>
              <w:t>处理措施</w:t>
            </w:r>
            <w:r>
              <w:rPr>
                <w:rFonts w:hint="default" w:ascii="Times New Roman" w:hAnsi="Times New Roman" w:eastAsia="方正仿宋_GBK" w:cs="Times New Roman"/>
                <w:bCs/>
                <w:color w:val="auto"/>
                <w:sz w:val="28"/>
                <w:szCs w:val="28"/>
                <w:lang w:val="en-US" w:eastAsia="zh-CN"/>
              </w:rPr>
              <w:t>得0-</w:t>
            </w:r>
            <w:r>
              <w:rPr>
                <w:rFonts w:hint="eastAsia" w:eastAsia="方正仿宋_GBK" w:cs="Times New Roman"/>
                <w:bCs/>
                <w:color w:val="auto"/>
                <w:sz w:val="28"/>
                <w:szCs w:val="28"/>
                <w:lang w:val="en-US" w:eastAsia="zh-CN"/>
              </w:rPr>
              <w:t>2</w:t>
            </w:r>
            <w:r>
              <w:rPr>
                <w:rFonts w:hint="default" w:ascii="Times New Roman" w:hAnsi="Times New Roman" w:eastAsia="方正仿宋_GBK" w:cs="Times New Roman"/>
                <w:bCs/>
                <w:color w:val="auto"/>
                <w:sz w:val="28"/>
                <w:szCs w:val="28"/>
                <w:lang w:val="en-US" w:eastAsia="zh-CN"/>
              </w:rPr>
              <w:t>分。</w:t>
            </w:r>
          </w:p>
        </w:tc>
        <w:tc>
          <w:tcPr>
            <w:tcW w:w="1257"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color w:val="auto"/>
                <w:kern w:val="0"/>
                <w:sz w:val="28"/>
                <w:szCs w:val="28"/>
              </w:rPr>
            </w:pPr>
            <w:r>
              <w:rPr>
                <w:rFonts w:hint="eastAsia" w:eastAsia="方正仿宋_GBK" w:cs="Times New Roman"/>
                <w:bCs/>
                <w:color w:val="auto"/>
                <w:kern w:val="0"/>
                <w:sz w:val="28"/>
                <w:szCs w:val="28"/>
                <w:lang w:val="en-US" w:eastAsia="zh-CN"/>
              </w:rPr>
              <w:t>4</w:t>
            </w:r>
            <w:r>
              <w:rPr>
                <w:rFonts w:hint="default" w:ascii="Times New Roman" w:hAnsi="Times New Roman" w:eastAsia="方正仿宋_GBK" w:cs="Times New Roman"/>
                <w:bCs/>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467" w:type="dxa"/>
            <w:gridSpan w:val="2"/>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sz w:val="28"/>
                <w:szCs w:val="28"/>
              </w:rPr>
              <w:t>评标程序</w:t>
            </w:r>
          </w:p>
        </w:tc>
        <w:tc>
          <w:tcPr>
            <w:tcW w:w="7281" w:type="dxa"/>
            <w:gridSpan w:val="3"/>
            <w:vAlign w:val="top"/>
          </w:tcPr>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1.评分分值计算保留小数点后两位，第三位四舍五入。比选响应人最终得分=技术部分得分+经济部分得分+商务部分得分。</w:t>
            </w:r>
          </w:p>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2.按照比选文件的规定对所有比选响应文件进行初步评审，只有通过初步评审的比选响应文件才能进行后续评审。</w:t>
            </w:r>
          </w:p>
          <w:p>
            <w:pPr>
              <w:keepNext w:val="0"/>
              <w:keepLines w:val="0"/>
              <w:pageBreakBefore w:val="0"/>
              <w:kinsoku/>
              <w:wordWrap/>
              <w:overflowPunct/>
              <w:topLinePunct w:val="0"/>
              <w:bidi w:val="0"/>
              <w:spacing w:line="400" w:lineRule="exact"/>
              <w:ind w:firstLine="0" w:firstLineChars="0"/>
              <w:jc w:val="center"/>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3.按比选办法进行评审，得分最高的比选响应人中选。</w:t>
            </w:r>
          </w:p>
        </w:tc>
      </w:tr>
    </w:tbl>
    <w:p>
      <w:pPr>
        <w:ind w:firstLine="0" w:firstLineChars="0"/>
        <w:jc w:val="center"/>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color w:val="auto"/>
          <w:sz w:val="28"/>
          <w:szCs w:val="28"/>
        </w:rPr>
        <w:sectPr>
          <w:pgSz w:w="11906" w:h="16838"/>
          <w:pgMar w:top="1440" w:right="1800" w:bottom="1440" w:left="1800" w:header="851" w:footer="992" w:gutter="0"/>
          <w:cols w:space="425" w:num="1"/>
          <w:docGrid w:type="lines" w:linePitch="312" w:charSpace="0"/>
        </w:sectPr>
      </w:pPr>
    </w:p>
    <w:p>
      <w:pPr>
        <w:pStyle w:val="3"/>
        <w:rPr>
          <w:rFonts w:hint="eastAsia" w:eastAsia="黑体"/>
          <w:b w:val="0"/>
          <w:bCs/>
          <w:color w:val="auto"/>
          <w:lang w:val="en-US" w:eastAsia="zh-CN"/>
        </w:rPr>
      </w:pPr>
      <w:bookmarkStart w:id="400" w:name="_Toc28060"/>
      <w:bookmarkStart w:id="401" w:name="_Toc19520"/>
      <w:bookmarkStart w:id="402" w:name="_Toc19193"/>
      <w:r>
        <w:rPr>
          <w:rFonts w:hint="eastAsia"/>
          <w:b w:val="0"/>
          <w:bCs/>
          <w:color w:val="auto"/>
          <w:lang w:eastAsia="zh-CN"/>
        </w:rPr>
        <w:t>第四章</w:t>
      </w:r>
      <w:r>
        <w:rPr>
          <w:rFonts w:hint="eastAsia"/>
          <w:b w:val="0"/>
          <w:bCs/>
          <w:color w:val="auto"/>
          <w:lang w:val="en-US" w:eastAsia="zh-CN"/>
        </w:rPr>
        <w:t xml:space="preserve"> 附件</w:t>
      </w:r>
      <w:bookmarkEnd w:id="400"/>
      <w:bookmarkEnd w:id="401"/>
      <w:bookmarkEnd w:id="402"/>
    </w:p>
    <w:p>
      <w:pPr>
        <w:keepNext w:val="0"/>
        <w:keepLines w:val="0"/>
        <w:pageBreakBefore w:val="0"/>
        <w:widowControl w:val="0"/>
        <w:kinsoku/>
        <w:wordWrap/>
        <w:overflowPunct/>
        <w:topLinePunct w:val="0"/>
        <w:bidi w:val="0"/>
        <w:snapToGrid w:val="0"/>
        <w:spacing w:line="440" w:lineRule="exact"/>
        <w:ind w:left="0" w:leftChars="0" w:firstLine="0" w:firstLineChars="0"/>
        <w:textAlignment w:val="auto"/>
        <w:outlineLvl w:val="9"/>
        <w:rPr>
          <w:rFonts w:ascii="仿宋" w:hAnsi="仿宋" w:eastAsia="仿宋"/>
          <w:color w:val="auto"/>
          <w:sz w:val="28"/>
          <w:szCs w:val="28"/>
        </w:rPr>
      </w:pPr>
      <w:r>
        <w:rPr>
          <w:rFonts w:hint="eastAsia" w:ascii="仿宋" w:hAnsi="仿宋"/>
          <w:color w:val="auto"/>
          <w:sz w:val="28"/>
          <w:szCs w:val="28"/>
        </w:rPr>
        <w:t>附件1</w:t>
      </w:r>
    </w:p>
    <w:p>
      <w:pPr>
        <w:keepNext w:val="0"/>
        <w:keepLines w:val="0"/>
        <w:pageBreakBefore w:val="0"/>
        <w:widowControl w:val="0"/>
        <w:kinsoku/>
        <w:wordWrap/>
        <w:overflowPunct/>
        <w:topLinePunct w:val="0"/>
        <w:bidi w:val="0"/>
        <w:spacing w:line="440" w:lineRule="exact"/>
        <w:ind w:left="0" w:leftChars="0" w:firstLine="0" w:firstLineChars="0"/>
        <w:jc w:val="center"/>
        <w:textAlignment w:val="auto"/>
        <w:outlineLvl w:val="9"/>
        <w:rPr>
          <w:rFonts w:hint="eastAsia" w:ascii="黑体" w:hAnsi="黑体" w:eastAsia="黑体" w:cs="黑体"/>
          <w:b w:val="0"/>
          <w:bCs/>
          <w:color w:val="auto"/>
          <w:sz w:val="32"/>
          <w:szCs w:val="32"/>
        </w:rPr>
      </w:pPr>
      <w:bookmarkStart w:id="403" w:name="_Toc7604"/>
      <w:bookmarkStart w:id="404" w:name="_Toc31683"/>
      <w:bookmarkStart w:id="405" w:name="_Toc29923"/>
      <w:bookmarkStart w:id="406" w:name="_Toc9201"/>
      <w:bookmarkStart w:id="407" w:name="_Toc26357"/>
      <w:bookmarkStart w:id="408" w:name="_Toc4798"/>
      <w:r>
        <w:rPr>
          <w:rFonts w:hint="eastAsia" w:ascii="黑体" w:hAnsi="黑体" w:eastAsia="黑体" w:cs="黑体"/>
          <w:b w:val="0"/>
          <w:bCs/>
          <w:color w:val="auto"/>
          <w:sz w:val="32"/>
          <w:szCs w:val="32"/>
        </w:rPr>
        <w:t>报价函</w:t>
      </w:r>
      <w:bookmarkEnd w:id="403"/>
      <w:bookmarkEnd w:id="404"/>
      <w:bookmarkEnd w:id="405"/>
      <w:bookmarkEnd w:id="406"/>
      <w:bookmarkEnd w:id="407"/>
      <w:bookmarkEnd w:id="408"/>
    </w:p>
    <w:p>
      <w:pPr>
        <w:keepNext w:val="0"/>
        <w:keepLines w:val="0"/>
        <w:pageBreakBefore w:val="0"/>
        <w:widowControl w:val="0"/>
        <w:kinsoku/>
        <w:wordWrap/>
        <w:overflowPunct/>
        <w:topLinePunct w:val="0"/>
        <w:bidi w:val="0"/>
        <w:snapToGrid/>
        <w:spacing w:line="500" w:lineRule="exact"/>
        <w:ind w:left="0" w:leftChars="0" w:firstLine="0" w:firstLineChars="0"/>
        <w:jc w:val="left"/>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重庆</w:t>
      </w:r>
      <w:r>
        <w:rPr>
          <w:rFonts w:hint="default" w:ascii="Times New Roman" w:hAnsi="Times New Roman" w:eastAsia="方正仿宋_GBK" w:cs="Times New Roman"/>
          <w:color w:val="auto"/>
          <w:sz w:val="28"/>
          <w:szCs w:val="28"/>
          <w:lang w:eastAsia="zh-CN"/>
        </w:rPr>
        <w:t>江北国际机场有限公司</w:t>
      </w:r>
      <w:r>
        <w:rPr>
          <w:rFonts w:hint="default" w:ascii="Times New Roman" w:hAnsi="Times New Roman" w:eastAsia="方正仿宋_GBK" w:cs="Times New Roman"/>
          <w:color w:val="auto"/>
          <w:sz w:val="28"/>
          <w:szCs w:val="28"/>
        </w:rPr>
        <w:t>：</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500" w:lineRule="exact"/>
        <w:ind w:firstLine="560" w:firstLineChars="200"/>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1．我方已仔细研究了</w:t>
      </w:r>
      <w:r>
        <w:rPr>
          <w:rFonts w:hint="default" w:ascii="Times New Roman" w:hAnsi="Times New Roman" w:eastAsia="方正仿宋_GBK" w:cs="Times New Roman"/>
          <w:color w:val="auto"/>
          <w:sz w:val="28"/>
          <w:szCs w:val="28"/>
          <w:u w:val="single"/>
          <w:lang w:eastAsia="zh-CN"/>
        </w:rPr>
        <w:t>重庆机场</w:t>
      </w:r>
      <w:r>
        <w:rPr>
          <w:rFonts w:hint="default" w:ascii="Times New Roman" w:hAnsi="Times New Roman" w:eastAsia="方正仿宋_GBK" w:cs="Times New Roman"/>
          <w:color w:val="auto"/>
          <w:sz w:val="28"/>
          <w:szCs w:val="28"/>
          <w:u w:val="single"/>
        </w:rPr>
        <w:t>消防设施年度检测项目</w:t>
      </w:r>
      <w:r>
        <w:rPr>
          <w:rFonts w:hint="default" w:ascii="Times New Roman" w:hAnsi="Times New Roman" w:eastAsia="方正仿宋_GBK" w:cs="Times New Roman"/>
          <w:color w:val="auto"/>
          <w:sz w:val="28"/>
          <w:szCs w:val="28"/>
        </w:rPr>
        <w:t>比选文件</w:t>
      </w:r>
      <w:r>
        <w:rPr>
          <w:rFonts w:hint="default" w:ascii="Times New Roman" w:hAnsi="Times New Roman" w:eastAsia="方正仿宋_GBK" w:cs="Times New Roman"/>
          <w:color w:val="auto"/>
          <w:sz w:val="28"/>
          <w:szCs w:val="28"/>
          <w:lang w:eastAsia="zh-CN"/>
        </w:rPr>
        <w:t>（含附件）</w:t>
      </w:r>
      <w:r>
        <w:rPr>
          <w:rFonts w:hint="default" w:ascii="Times New Roman" w:hAnsi="Times New Roman" w:eastAsia="方正仿宋_GBK" w:cs="Times New Roman"/>
          <w:color w:val="auto"/>
          <w:sz w:val="28"/>
          <w:szCs w:val="28"/>
        </w:rPr>
        <w:t>的全部内容，</w:t>
      </w:r>
      <w:r>
        <w:rPr>
          <w:rFonts w:hint="default" w:ascii="Times New Roman" w:hAnsi="Times New Roman" w:eastAsia="方正仿宋_GBK" w:cs="Times New Roman"/>
          <w:color w:val="auto"/>
          <w:sz w:val="28"/>
          <w:szCs w:val="28"/>
          <w:lang w:eastAsia="zh-CN"/>
        </w:rPr>
        <w:t>对比选文件的相关要求充分理解并认同，</w:t>
      </w:r>
      <w:r>
        <w:rPr>
          <w:rFonts w:hint="default" w:ascii="Times New Roman" w:hAnsi="Times New Roman" w:eastAsia="方正仿宋_GBK" w:cs="Times New Roman"/>
          <w:color w:val="auto"/>
          <w:sz w:val="28"/>
          <w:szCs w:val="28"/>
        </w:rPr>
        <w:t>愿意以人民币</w:t>
      </w:r>
      <w:r>
        <w:rPr>
          <w:rFonts w:hint="default" w:ascii="Times New Roman" w:hAnsi="Times New Roman" w:eastAsia="方正仿宋_GBK" w:cs="Times New Roman"/>
          <w:color w:val="auto"/>
          <w:sz w:val="28"/>
          <w:szCs w:val="28"/>
          <w:u w:val="single"/>
        </w:rPr>
        <w:t>（大写）          元（¥</w:t>
      </w:r>
      <w:r>
        <w:rPr>
          <w:rFonts w:hint="default" w:ascii="Times New Roman" w:hAnsi="Times New Roman" w:eastAsia="方正仿宋_GBK" w:cs="Times New Roman"/>
          <w:color w:val="auto"/>
          <w:sz w:val="28"/>
          <w:szCs w:val="28"/>
          <w:u w:val="single"/>
        </w:rPr>
        <w:tab/>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single"/>
        </w:rPr>
        <w:t>）</w:t>
      </w:r>
      <w:r>
        <w:rPr>
          <w:rFonts w:hint="default" w:ascii="Times New Roman" w:hAnsi="Times New Roman" w:eastAsia="方正仿宋_GBK" w:cs="Times New Roman"/>
          <w:color w:val="auto"/>
          <w:sz w:val="28"/>
          <w:szCs w:val="28"/>
        </w:rPr>
        <w:t>不含增值税的总报价</w:t>
      </w:r>
      <w:r>
        <w:rPr>
          <w:rFonts w:hint="default" w:ascii="Times New Roman" w:hAnsi="Times New Roman" w:eastAsia="方正仿宋_GBK" w:cs="Times New Roman"/>
          <w:color w:val="auto"/>
          <w:sz w:val="28"/>
          <w:szCs w:val="28"/>
          <w:lang w:eastAsia="zh-CN"/>
        </w:rPr>
        <w:t>（此为</w:t>
      </w:r>
      <w:r>
        <w:rPr>
          <w:rFonts w:hint="eastAsia" w:eastAsia="方正仿宋_GBK" w:cs="Times New Roman"/>
          <w:color w:val="auto"/>
          <w:sz w:val="28"/>
          <w:szCs w:val="28"/>
          <w:lang w:eastAsia="zh-CN"/>
        </w:rPr>
        <w:t>四</w:t>
      </w:r>
      <w:r>
        <w:rPr>
          <w:rFonts w:hint="default" w:ascii="Times New Roman" w:hAnsi="Times New Roman" w:eastAsia="方正仿宋_GBK" w:cs="Times New Roman"/>
          <w:color w:val="auto"/>
          <w:sz w:val="28"/>
          <w:szCs w:val="28"/>
          <w:lang w:eastAsia="zh-CN"/>
        </w:rPr>
        <w:t>个部分合计报价，其中第一部分不含</w:t>
      </w:r>
      <w:r>
        <w:rPr>
          <w:rFonts w:hint="default" w:ascii="Times New Roman" w:hAnsi="Times New Roman" w:eastAsia="方正仿宋_GBK" w:cs="Times New Roman"/>
          <w:color w:val="auto"/>
          <w:sz w:val="28"/>
          <w:szCs w:val="28"/>
        </w:rPr>
        <w:t>增值税</w:t>
      </w:r>
      <w:r>
        <w:rPr>
          <w:rFonts w:hint="default" w:ascii="Times New Roman" w:hAnsi="Times New Roman" w:eastAsia="方正仿宋_GBK" w:cs="Times New Roman"/>
          <w:color w:val="auto"/>
          <w:sz w:val="28"/>
          <w:szCs w:val="28"/>
          <w:lang w:eastAsia="zh-CN"/>
        </w:rPr>
        <w:t>报价</w:t>
      </w:r>
      <w:r>
        <w:rPr>
          <w:rFonts w:hint="default" w:ascii="Times New Roman" w:hAnsi="Times New Roman" w:eastAsia="方正仿宋_GBK" w:cs="Times New Roman"/>
          <w:color w:val="auto"/>
          <w:sz w:val="28"/>
          <w:szCs w:val="28"/>
          <w:u w:val="single"/>
        </w:rPr>
        <w:t>¥</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none"/>
          <w:lang w:val="en-US" w:eastAsia="zh-CN"/>
        </w:rPr>
        <w:t>第</w:t>
      </w:r>
      <w:r>
        <w:rPr>
          <w:rFonts w:hint="default" w:ascii="Times New Roman" w:hAnsi="Times New Roman" w:eastAsia="方正仿宋_GBK" w:cs="Times New Roman"/>
          <w:color w:val="auto"/>
          <w:sz w:val="28"/>
          <w:szCs w:val="28"/>
          <w:u w:val="none"/>
          <w:lang w:eastAsia="zh-CN"/>
        </w:rPr>
        <w:t>二</w:t>
      </w:r>
      <w:r>
        <w:rPr>
          <w:rFonts w:hint="default" w:ascii="Times New Roman" w:hAnsi="Times New Roman" w:eastAsia="方正仿宋_GBK" w:cs="Times New Roman"/>
          <w:color w:val="auto"/>
          <w:sz w:val="28"/>
          <w:szCs w:val="28"/>
          <w:lang w:eastAsia="zh-CN"/>
        </w:rPr>
        <w:t>部分不含</w:t>
      </w:r>
      <w:r>
        <w:rPr>
          <w:rFonts w:hint="default" w:ascii="Times New Roman" w:hAnsi="Times New Roman" w:eastAsia="方正仿宋_GBK" w:cs="Times New Roman"/>
          <w:color w:val="auto"/>
          <w:sz w:val="28"/>
          <w:szCs w:val="28"/>
        </w:rPr>
        <w:t>增值税</w:t>
      </w:r>
      <w:r>
        <w:rPr>
          <w:rFonts w:hint="default" w:ascii="Times New Roman" w:hAnsi="Times New Roman" w:eastAsia="方正仿宋_GBK" w:cs="Times New Roman"/>
          <w:color w:val="auto"/>
          <w:sz w:val="28"/>
          <w:szCs w:val="28"/>
          <w:lang w:eastAsia="zh-CN"/>
        </w:rPr>
        <w:t>报价</w:t>
      </w:r>
      <w:r>
        <w:rPr>
          <w:rFonts w:hint="default" w:ascii="Times New Roman" w:hAnsi="Times New Roman" w:eastAsia="方正仿宋_GBK" w:cs="Times New Roman"/>
          <w:color w:val="auto"/>
          <w:sz w:val="28"/>
          <w:szCs w:val="28"/>
          <w:u w:val="single"/>
        </w:rPr>
        <w:t>¥</w:t>
      </w:r>
      <w:r>
        <w:rPr>
          <w:rFonts w:hint="default" w:ascii="Times New Roman" w:hAnsi="Times New Roman" w:eastAsia="方正仿宋_GBK" w:cs="Times New Roman"/>
          <w:color w:val="auto"/>
          <w:sz w:val="28"/>
          <w:szCs w:val="28"/>
          <w:u w:val="single"/>
          <w:lang w:val="en-US" w:eastAsia="zh-CN"/>
        </w:rPr>
        <w:t xml:space="preserve">  </w:t>
      </w:r>
      <w:r>
        <w:rPr>
          <w:rFonts w:hint="eastAsia" w:eastAsia="方正仿宋_GBK" w:cs="Times New Roman"/>
          <w:color w:val="auto"/>
          <w:sz w:val="28"/>
          <w:szCs w:val="28"/>
          <w:u w:val="single"/>
          <w:lang w:val="en-US" w:eastAsia="zh-CN"/>
        </w:rPr>
        <w:t>，</w:t>
      </w:r>
      <w:r>
        <w:rPr>
          <w:rFonts w:hint="default" w:ascii="Times New Roman" w:hAnsi="Times New Roman" w:eastAsia="方正仿宋_GBK" w:cs="Times New Roman"/>
          <w:color w:val="auto"/>
          <w:sz w:val="28"/>
          <w:szCs w:val="28"/>
          <w:u w:val="none"/>
          <w:lang w:val="en-US" w:eastAsia="zh-CN"/>
        </w:rPr>
        <w:t>第</w:t>
      </w:r>
      <w:r>
        <w:rPr>
          <w:rFonts w:hint="eastAsia" w:eastAsia="方正仿宋_GBK" w:cs="Times New Roman"/>
          <w:color w:val="auto"/>
          <w:sz w:val="28"/>
          <w:szCs w:val="28"/>
          <w:u w:val="none"/>
          <w:lang w:eastAsia="zh-CN"/>
        </w:rPr>
        <w:t>三</w:t>
      </w:r>
      <w:r>
        <w:rPr>
          <w:rFonts w:hint="default" w:ascii="Times New Roman" w:hAnsi="Times New Roman" w:eastAsia="方正仿宋_GBK" w:cs="Times New Roman"/>
          <w:color w:val="auto"/>
          <w:sz w:val="28"/>
          <w:szCs w:val="28"/>
          <w:lang w:eastAsia="zh-CN"/>
        </w:rPr>
        <w:t>部分不含</w:t>
      </w:r>
      <w:r>
        <w:rPr>
          <w:rFonts w:hint="default" w:ascii="Times New Roman" w:hAnsi="Times New Roman" w:eastAsia="方正仿宋_GBK" w:cs="Times New Roman"/>
          <w:color w:val="auto"/>
          <w:sz w:val="28"/>
          <w:szCs w:val="28"/>
        </w:rPr>
        <w:t>增值税</w:t>
      </w:r>
      <w:r>
        <w:rPr>
          <w:rFonts w:hint="default" w:ascii="Times New Roman" w:hAnsi="Times New Roman" w:eastAsia="方正仿宋_GBK" w:cs="Times New Roman"/>
          <w:color w:val="auto"/>
          <w:sz w:val="28"/>
          <w:szCs w:val="28"/>
          <w:lang w:eastAsia="zh-CN"/>
        </w:rPr>
        <w:t>报价</w:t>
      </w:r>
      <w:r>
        <w:rPr>
          <w:rFonts w:hint="default" w:ascii="Times New Roman" w:hAnsi="Times New Roman" w:eastAsia="方正仿宋_GBK" w:cs="Times New Roman"/>
          <w:color w:val="auto"/>
          <w:sz w:val="28"/>
          <w:szCs w:val="28"/>
          <w:u w:val="single"/>
        </w:rPr>
        <w:t>¥</w:t>
      </w:r>
      <w:r>
        <w:rPr>
          <w:rFonts w:hint="default" w:ascii="Times New Roman" w:hAnsi="Times New Roman" w:eastAsia="方正仿宋_GBK" w:cs="Times New Roman"/>
          <w:color w:val="auto"/>
          <w:sz w:val="28"/>
          <w:szCs w:val="28"/>
          <w:u w:val="single"/>
          <w:lang w:val="en-US" w:eastAsia="zh-CN"/>
        </w:rPr>
        <w:t xml:space="preserve">  </w:t>
      </w:r>
      <w:r>
        <w:rPr>
          <w:rFonts w:hint="eastAsia" w:eastAsia="方正仿宋_GBK" w:cs="Times New Roman"/>
          <w:color w:val="auto"/>
          <w:sz w:val="28"/>
          <w:szCs w:val="28"/>
          <w:u w:val="single"/>
          <w:lang w:val="en-US" w:eastAsia="zh-CN"/>
        </w:rPr>
        <w:t>，</w:t>
      </w:r>
      <w:r>
        <w:rPr>
          <w:rFonts w:hint="default" w:ascii="Times New Roman" w:hAnsi="Times New Roman" w:eastAsia="方正仿宋_GBK" w:cs="Times New Roman"/>
          <w:color w:val="auto"/>
          <w:sz w:val="28"/>
          <w:szCs w:val="28"/>
          <w:u w:val="none"/>
          <w:lang w:val="en-US" w:eastAsia="zh-CN"/>
        </w:rPr>
        <w:t>第</w:t>
      </w:r>
      <w:r>
        <w:rPr>
          <w:rFonts w:hint="eastAsia" w:eastAsia="方正仿宋_GBK" w:cs="Times New Roman"/>
          <w:color w:val="auto"/>
          <w:sz w:val="28"/>
          <w:szCs w:val="28"/>
          <w:u w:val="none"/>
          <w:lang w:eastAsia="zh-CN"/>
        </w:rPr>
        <w:t>四</w:t>
      </w:r>
      <w:r>
        <w:rPr>
          <w:rFonts w:hint="default" w:ascii="Times New Roman" w:hAnsi="Times New Roman" w:eastAsia="方正仿宋_GBK" w:cs="Times New Roman"/>
          <w:color w:val="auto"/>
          <w:sz w:val="28"/>
          <w:szCs w:val="28"/>
          <w:lang w:eastAsia="zh-CN"/>
        </w:rPr>
        <w:t>部分不含</w:t>
      </w:r>
      <w:r>
        <w:rPr>
          <w:rFonts w:hint="default" w:ascii="Times New Roman" w:hAnsi="Times New Roman" w:eastAsia="方正仿宋_GBK" w:cs="Times New Roman"/>
          <w:color w:val="auto"/>
          <w:sz w:val="28"/>
          <w:szCs w:val="28"/>
        </w:rPr>
        <w:t>增值税</w:t>
      </w:r>
      <w:r>
        <w:rPr>
          <w:rFonts w:hint="default" w:ascii="Times New Roman" w:hAnsi="Times New Roman" w:eastAsia="方正仿宋_GBK" w:cs="Times New Roman"/>
          <w:color w:val="auto"/>
          <w:sz w:val="28"/>
          <w:szCs w:val="28"/>
          <w:lang w:eastAsia="zh-CN"/>
        </w:rPr>
        <w:t>报价</w:t>
      </w:r>
      <w:r>
        <w:rPr>
          <w:rFonts w:hint="default" w:ascii="Times New Roman" w:hAnsi="Times New Roman" w:eastAsia="方正仿宋_GBK" w:cs="Times New Roman"/>
          <w:color w:val="auto"/>
          <w:sz w:val="28"/>
          <w:szCs w:val="28"/>
          <w:u w:val="single"/>
        </w:rPr>
        <w:t>¥</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none"/>
          <w:lang w:val="en-US" w:eastAsia="zh-CN"/>
        </w:rPr>
        <w:t>。</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，增值税率</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，工期</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u w:val="single"/>
        </w:rPr>
        <w:tab/>
      </w:r>
      <w:r>
        <w:rPr>
          <w:rFonts w:hint="default" w:ascii="Times New Roman" w:hAnsi="Times New Roman" w:eastAsia="方正仿宋_GBK" w:cs="Times New Roman"/>
          <w:color w:val="auto"/>
          <w:sz w:val="28"/>
          <w:szCs w:val="28"/>
        </w:rPr>
        <w:t>日历天，按合同约定实施和完成承包项目的全部工作。</w:t>
      </w:r>
    </w:p>
    <w:p>
      <w:pPr>
        <w:keepNext w:val="0"/>
        <w:keepLines w:val="0"/>
        <w:pageBreakBefore w:val="0"/>
        <w:widowControl w:val="0"/>
        <w:kinsoku/>
        <w:wordWrap/>
        <w:overflowPunct/>
        <w:topLinePunct w:val="0"/>
        <w:autoSpaceDE w:val="0"/>
        <w:autoSpaceDN w:val="0"/>
        <w:bidi w:val="0"/>
        <w:adjustRightInd w:val="0"/>
        <w:snapToGrid/>
        <w:spacing w:line="500" w:lineRule="exact"/>
        <w:ind w:right="-20"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2．我方承诺：</w:t>
      </w:r>
    </w:p>
    <w:p>
      <w:pPr>
        <w:keepNext w:val="0"/>
        <w:keepLines w:val="0"/>
        <w:pageBreakBefore w:val="0"/>
        <w:widowControl w:val="0"/>
        <w:kinsoku/>
        <w:wordWrap/>
        <w:overflowPunct/>
        <w:topLinePunct w:val="0"/>
        <w:autoSpaceDE w:val="0"/>
        <w:autoSpaceDN w:val="0"/>
        <w:bidi w:val="0"/>
        <w:adjustRightInd w:val="0"/>
        <w:snapToGrid/>
        <w:spacing w:line="500" w:lineRule="exact"/>
        <w:ind w:right="-8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仿宋" w:cs="Times New Roman"/>
          <w:color w:val="auto"/>
          <w:sz w:val="28"/>
          <w:szCs w:val="28"/>
        </w:rPr>
        <w:t>在比选有效期90天内不修改、撤销比选响应文件。</w:t>
      </w:r>
    </w:p>
    <w:p>
      <w:pPr>
        <w:keepNext w:val="0"/>
        <w:keepLines w:val="0"/>
        <w:pageBreakBefore w:val="0"/>
        <w:widowControl w:val="0"/>
        <w:kinsoku/>
        <w:wordWrap/>
        <w:overflowPunct/>
        <w:topLinePunct w:val="0"/>
        <w:autoSpaceDE w:val="0"/>
        <w:autoSpaceDN w:val="0"/>
        <w:bidi w:val="0"/>
        <w:adjustRightInd w:val="0"/>
        <w:snapToGrid/>
        <w:spacing w:line="500" w:lineRule="exact"/>
        <w:ind w:right="-80"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val="0"/>
        <w:kinsoku/>
        <w:wordWrap/>
        <w:overflowPunct/>
        <w:topLinePunct w:val="0"/>
        <w:autoSpaceDE w:val="0"/>
        <w:autoSpaceDN w:val="0"/>
        <w:bidi w:val="0"/>
        <w:adjustRightInd w:val="0"/>
        <w:snapToGrid/>
        <w:spacing w:line="500" w:lineRule="exact"/>
        <w:ind w:right="-80"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（3）不存在联合体投标，不转包、分包。</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3．如我方成交：</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4．我方在此声明，所递交的比选文件及有关资料内容完整、真实和准确。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5.检测过程中涉及到的所有消防设施设备的操作（操作、恢复）均由我方负责，因我方原因造成的损失（包括但不限于甲乙双方及第三方人身及财产损失）由我方负全责。</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rPr>
        <w:t>．除非达</w:t>
      </w:r>
      <w:r>
        <w:rPr>
          <w:rFonts w:hint="default" w:ascii="Times New Roman" w:hAnsi="Times New Roman" w:eastAsia="方正仿宋_GBK" w:cs="Times New Roman"/>
          <w:color w:val="auto"/>
          <w:sz w:val="28"/>
          <w:szCs w:val="28"/>
          <w:lang w:eastAsia="zh-CN"/>
        </w:rPr>
        <w:t>成</w:t>
      </w:r>
      <w:r>
        <w:rPr>
          <w:rFonts w:hint="default" w:ascii="Times New Roman" w:hAnsi="Times New Roman" w:eastAsia="方正仿宋_GBK" w:cs="Times New Roman"/>
          <w:color w:val="auto"/>
          <w:sz w:val="28"/>
          <w:szCs w:val="28"/>
        </w:rPr>
        <w:t>另外协议并生效，你方的成交通知书和本比选文件</w:t>
      </w:r>
      <w:r>
        <w:rPr>
          <w:rFonts w:hint="default" w:ascii="Times New Roman" w:hAnsi="Times New Roman" w:eastAsia="方正仿宋_GBK" w:cs="Times New Roman"/>
          <w:color w:val="auto"/>
          <w:sz w:val="28"/>
          <w:szCs w:val="28"/>
          <w:lang w:eastAsia="zh-CN"/>
        </w:rPr>
        <w:t>（含附件）</w:t>
      </w:r>
      <w:r>
        <w:rPr>
          <w:rFonts w:hint="default" w:ascii="Times New Roman" w:hAnsi="Times New Roman" w:eastAsia="方正仿宋_GBK" w:cs="Times New Roman"/>
          <w:color w:val="auto"/>
          <w:sz w:val="28"/>
          <w:szCs w:val="28"/>
        </w:rPr>
        <w:t>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比选</w:t>
      </w:r>
      <w:r>
        <w:rPr>
          <w:rFonts w:hint="eastAsia" w:eastAsia="方正仿宋_GBK" w:cs="Times New Roman"/>
          <w:color w:val="auto"/>
          <w:sz w:val="28"/>
          <w:szCs w:val="28"/>
          <w:lang w:eastAsia="zh-CN"/>
        </w:rPr>
        <w:t>响应人</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u w:val="single"/>
        </w:rPr>
        <w:t xml:space="preserve">                     （盖单位公章）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default" w:ascii="Times New Roman" w:hAnsi="Times New Roman" w:eastAsia="方正仿宋_GBK" w:cs="Times New Roman"/>
          <w:color w:val="auto"/>
          <w:sz w:val="28"/>
          <w:szCs w:val="28"/>
          <w:u w:val="single"/>
        </w:rPr>
      </w:pPr>
      <w:r>
        <w:rPr>
          <w:rFonts w:hint="default" w:ascii="Times New Roman" w:hAnsi="Times New Roman" w:eastAsia="方正仿宋_GBK" w:cs="Times New Roman"/>
          <w:color w:val="auto"/>
          <w:sz w:val="28"/>
          <w:szCs w:val="28"/>
        </w:rPr>
        <w:t>法定代表人或其委托代理人</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u w:val="single"/>
        </w:rPr>
        <w:tab/>
      </w:r>
      <w:r>
        <w:rPr>
          <w:rFonts w:hint="default" w:ascii="Times New Roman" w:hAnsi="Times New Roman" w:eastAsia="方正仿宋_GBK" w:cs="Times New Roman"/>
          <w:color w:val="auto"/>
          <w:sz w:val="28"/>
          <w:szCs w:val="28"/>
          <w:u w:val="single"/>
        </w:rPr>
        <w:t xml:space="preserve">（签字）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地址：</w:t>
      </w:r>
      <w:r>
        <w:rPr>
          <w:rFonts w:hint="default" w:ascii="Times New Roman" w:hAnsi="Times New Roman" w:eastAsia="方正仿宋_GBK" w:cs="Times New Roman"/>
          <w:color w:val="auto"/>
          <w:sz w:val="28"/>
          <w:szCs w:val="28"/>
          <w:u w:val="single"/>
        </w:rPr>
        <w:tab/>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电话：</w:t>
      </w:r>
      <w:r>
        <w:rPr>
          <w:rFonts w:hint="default" w:ascii="Times New Roman" w:hAnsi="Times New Roman" w:eastAsia="方正仿宋_GBK" w:cs="Times New Roman"/>
          <w:color w:val="auto"/>
          <w:sz w:val="28"/>
          <w:szCs w:val="28"/>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default" w:ascii="Times New Roman" w:hAnsi="Times New Roman" w:eastAsia="方正仿宋_GBK" w:cs="Times New Roman"/>
          <w:color w:val="auto"/>
          <w:sz w:val="28"/>
          <w:szCs w:val="28"/>
          <w:u w:val="single"/>
        </w:rPr>
      </w:pPr>
      <w:r>
        <w:rPr>
          <w:rFonts w:hint="default" w:ascii="Times New Roman" w:hAnsi="Times New Roman" w:eastAsia="方正仿宋_GBK" w:cs="Times New Roman"/>
          <w:color w:val="auto"/>
          <w:sz w:val="28"/>
          <w:szCs w:val="28"/>
        </w:rPr>
        <w:t>传真：</w:t>
      </w:r>
      <w:r>
        <w:rPr>
          <w:rFonts w:hint="default" w:ascii="Times New Roman" w:hAnsi="Times New Roman" w:eastAsia="方正仿宋_GBK" w:cs="Times New Roman"/>
          <w:color w:val="auto"/>
          <w:sz w:val="28"/>
          <w:szCs w:val="28"/>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firstLine="560" w:firstLineChars="200"/>
        <w:jc w:val="left"/>
        <w:textAlignment w:val="auto"/>
        <w:outlineLvl w:val="9"/>
        <w:rPr>
          <w:rFonts w:hint="default" w:ascii="Times New Roman" w:hAnsi="Times New Roman" w:eastAsia="方正仿宋_GBK" w:cs="Times New Roman"/>
          <w:color w:val="auto"/>
          <w:sz w:val="28"/>
          <w:szCs w:val="28"/>
          <w:u w:val="single"/>
        </w:rPr>
      </w:pPr>
      <w:r>
        <w:rPr>
          <w:rFonts w:hint="default" w:ascii="Times New Roman" w:hAnsi="Times New Roman" w:eastAsia="方正仿宋_GBK" w:cs="Times New Roman"/>
          <w:color w:val="auto"/>
          <w:sz w:val="28"/>
          <w:szCs w:val="28"/>
        </w:rPr>
        <w:t>邮政编码：</w:t>
      </w:r>
      <w:r>
        <w:rPr>
          <w:rFonts w:hint="default" w:ascii="Times New Roman" w:hAnsi="Times New Roman" w:eastAsia="方正仿宋_GBK" w:cs="Times New Roman"/>
          <w:color w:val="auto"/>
          <w:sz w:val="28"/>
          <w:szCs w:val="28"/>
          <w:u w:val="single"/>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00" w:lineRule="exact"/>
        <w:ind w:firstLine="560" w:firstLineChars="200"/>
        <w:jc w:val="right"/>
        <w:textAlignment w:val="auto"/>
        <w:outlineLvl w:val="9"/>
        <w:rPr>
          <w:rFonts w:hint="default" w:ascii="Times New Roman" w:hAnsi="Times New Roman" w:eastAsia="方正仿宋_GBK" w:cs="Times New Roman"/>
          <w:color w:val="auto"/>
          <w:sz w:val="28"/>
          <w:szCs w:val="28"/>
        </w:rPr>
        <w:sectPr>
          <w:pgSz w:w="11906" w:h="16838"/>
          <w:pgMar w:top="1440" w:right="1800" w:bottom="1440" w:left="1800" w:header="851" w:footer="992" w:gutter="0"/>
          <w:cols w:space="425" w:num="1"/>
          <w:docGrid w:type="lines" w:linePitch="312" w:charSpace="0"/>
        </w:sectPr>
      </w:pPr>
      <w:r>
        <w:rPr>
          <w:rFonts w:hint="default" w:ascii="Times New Roman" w:hAnsi="Times New Roman" w:eastAsia="方正仿宋_GBK" w:cs="Times New Roman"/>
          <w:color w:val="auto"/>
          <w:sz w:val="28"/>
          <w:szCs w:val="28"/>
        </w:rPr>
        <w:t>年      月      日</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textAlignment w:val="auto"/>
        <w:rPr>
          <w:rFonts w:hint="eastAsia" w:ascii="仿宋" w:hAnsi="仿宋" w:eastAsia="仿宋"/>
          <w:color w:val="auto"/>
          <w:sz w:val="28"/>
          <w:szCs w:val="28"/>
          <w:lang w:val="en-US" w:eastAsia="zh-CN"/>
        </w:rPr>
      </w:pPr>
      <w:r>
        <w:rPr>
          <w:rFonts w:hint="eastAsia" w:ascii="仿宋" w:hAnsi="仿宋"/>
          <w:color w:val="auto"/>
          <w:sz w:val="28"/>
          <w:szCs w:val="28"/>
          <w:lang w:eastAsia="zh-CN"/>
        </w:rPr>
        <w:t>附件</w:t>
      </w:r>
      <w:r>
        <w:rPr>
          <w:rFonts w:hint="eastAsia" w:ascii="仿宋" w:hAnsi="仿宋"/>
          <w:color w:val="auto"/>
          <w:sz w:val="28"/>
          <w:szCs w:val="28"/>
          <w:lang w:val="en-US" w:eastAsia="zh-CN"/>
        </w:rPr>
        <w:t>2</w:t>
      </w: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textAlignment w:val="auto"/>
        <w:outlineLvl w:val="0"/>
        <w:rPr>
          <w:rFonts w:hint="eastAsia" w:ascii="黑体" w:hAnsi="黑体" w:eastAsia="黑体" w:cs="黑体"/>
          <w:b w:val="0"/>
          <w:bCs w:val="0"/>
          <w:color w:val="auto"/>
          <w:highlight w:val="none"/>
          <w:lang w:val="en-US" w:eastAsia="zh-CN"/>
        </w:rPr>
      </w:pPr>
      <w:bookmarkStart w:id="409" w:name="_Toc8962"/>
      <w:bookmarkStart w:id="410" w:name="_Toc8989"/>
      <w:r>
        <w:rPr>
          <w:rFonts w:hint="eastAsia" w:ascii="黑体" w:hAnsi="黑体" w:eastAsia="黑体" w:cs="黑体"/>
          <w:b w:val="0"/>
          <w:bCs w:val="0"/>
          <w:color w:val="auto"/>
          <w:highlight w:val="none"/>
          <w:lang w:val="en-US" w:eastAsia="zh-CN"/>
        </w:rPr>
        <w:t>分项报价表（第一部分）</w:t>
      </w:r>
      <w:bookmarkEnd w:id="409"/>
      <w:bookmarkEnd w:id="410"/>
    </w:p>
    <w:tbl>
      <w:tblPr>
        <w:tblStyle w:val="17"/>
        <w:tblW w:w="80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3"/>
        <w:gridCol w:w="2526"/>
        <w:gridCol w:w="1911"/>
        <w:gridCol w:w="2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firstLine="0" w:firstLineChars="0"/>
              <w:jc w:val="center"/>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序号</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firstLine="0" w:firstLineChars="0"/>
              <w:jc w:val="center"/>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建（构）筑名称</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firstLine="0" w:firstLineChars="0"/>
              <w:jc w:val="center"/>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建筑面积(㎡）</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firstLine="0" w:firstLineChars="0"/>
              <w:jc w:val="center"/>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4"/>
                <w:szCs w:val="24"/>
                <w:lang w:eastAsia="zh-CN"/>
              </w:rPr>
              <w:t>不含税报价（单位：元）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1</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ITC大楼</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15480</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2</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信息公司原办公楼</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1160</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3</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职工一食堂</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5213</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4</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商务楼（A栋和地下车库）</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40886</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5</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商务楼B栋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27983</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6</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综合物资仓库(公区综合楼)</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10450</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7</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九食堂</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1300</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8</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幸福佳苑B区1栋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7111.46</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9</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幸福佳苑B区2栋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7111.46</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10</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幸福佳苑B区3栋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7111.46</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11</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幸福佳苑B区4栋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7111.46</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12</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幸福佳苑B区食堂</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3114</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13</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边检大楼</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4957.7</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14</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机场集团新办公楼</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26237</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15</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会议中心</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4379.45</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16</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机场体育中心</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4555</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合计</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textAlignment w:val="auto"/>
        <w:outlineLvl w:val="0"/>
        <w:rPr>
          <w:rFonts w:hint="eastAsia" w:ascii="黑体" w:hAnsi="黑体" w:eastAsia="黑体" w:cs="黑体"/>
          <w:b w:val="0"/>
          <w:bCs w:val="0"/>
          <w:color w:val="auto"/>
          <w:highlight w:val="none"/>
          <w:lang w:val="en-US" w:eastAsia="zh-CN"/>
        </w:rPr>
        <w:sectPr>
          <w:pgSz w:w="11906" w:h="16838"/>
          <w:pgMar w:top="1134" w:right="1134" w:bottom="1134" w:left="1134" w:header="851" w:footer="992" w:gutter="0"/>
          <w:cols w:space="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textAlignment w:val="auto"/>
        <w:outlineLvl w:val="0"/>
        <w:rPr>
          <w:rFonts w:hint="default" w:ascii="黑体" w:hAnsi="黑体" w:eastAsia="黑体" w:cs="黑体"/>
          <w:b w:val="0"/>
          <w:bCs w:val="0"/>
          <w:color w:val="auto"/>
          <w:highlight w:val="none"/>
          <w:lang w:val="en-US" w:eastAsia="zh-CN"/>
        </w:rPr>
      </w:pPr>
      <w:r>
        <w:rPr>
          <w:rFonts w:hint="eastAsia" w:ascii="黑体" w:hAnsi="黑体" w:eastAsia="黑体" w:cs="黑体"/>
          <w:b w:val="0"/>
          <w:bCs w:val="0"/>
          <w:color w:val="auto"/>
          <w:highlight w:val="none"/>
          <w:lang w:val="en-US" w:eastAsia="zh-CN"/>
        </w:rPr>
        <w:t>分项报价表（第二部分）</w:t>
      </w:r>
    </w:p>
    <w:tbl>
      <w:tblPr>
        <w:tblStyle w:val="17"/>
        <w:tblW w:w="81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9"/>
        <w:gridCol w:w="2769"/>
        <w:gridCol w:w="1950"/>
        <w:gridCol w:w="2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firstLine="0" w:firstLineChars="0"/>
              <w:jc w:val="center"/>
              <w:textAlignment w:val="auto"/>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color w:val="auto"/>
                <w:sz w:val="28"/>
                <w:szCs w:val="28"/>
              </w:rPr>
              <w:t>序号</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firstLine="0" w:firstLineChars="0"/>
              <w:jc w:val="center"/>
              <w:textAlignment w:val="auto"/>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color w:val="auto"/>
                <w:sz w:val="28"/>
                <w:szCs w:val="28"/>
              </w:rPr>
              <w:t>建（构）筑名称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firstLine="0" w:firstLineChars="0"/>
              <w:jc w:val="center"/>
              <w:textAlignment w:val="auto"/>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color w:val="auto"/>
                <w:sz w:val="28"/>
                <w:szCs w:val="28"/>
                <w:lang w:val="en-US" w:eastAsia="zh-CN"/>
              </w:rPr>
              <w:t>建筑面积(㎡）</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firstLine="0" w:firstLineChars="0"/>
              <w:jc w:val="center"/>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4"/>
                <w:szCs w:val="24"/>
                <w:lang w:eastAsia="zh-CN"/>
              </w:rPr>
              <w:t>不含税报价（单位：元）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一号能源中心（动力能源处办)</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10414.89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110KV变电站主控楼</w:t>
            </w:r>
          </w:p>
        </w:tc>
        <w:tc>
          <w:tcPr>
            <w:tcW w:w="19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1203.41</w:t>
            </w:r>
          </w:p>
        </w:tc>
        <w:tc>
          <w:tcPr>
            <w:tcW w:w="253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110kV变电站办公楼</w:t>
            </w:r>
          </w:p>
        </w:tc>
        <w:tc>
          <w:tcPr>
            <w:tcW w:w="19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p>
        </w:tc>
        <w:tc>
          <w:tcPr>
            <w:tcW w:w="2533"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2号（齐心）110kV变电站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1900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3号（楚田）110kV变电站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1500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西区3号开闭站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430.52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西区1号开闭站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1252.4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西区动力中心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535.58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第三污水处理站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2772.44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rPr>
            </w:pPr>
            <w:r>
              <w:rPr>
                <w:rFonts w:hint="default" w:ascii="Times New Roman" w:hAnsi="Times New Roman" w:eastAsia="方正仿宋_GBK" w:cs="Times New Roman"/>
                <w:i w:val="0"/>
                <w:iCs w:val="0"/>
                <w:color w:val="auto"/>
                <w:kern w:val="0"/>
                <w:sz w:val="28"/>
                <w:szCs w:val="28"/>
                <w:highlight w:val="none"/>
                <w:u w:val="none"/>
                <w:lang w:val="en-US" w:eastAsia="zh-CN" w:bidi="ar"/>
              </w:rPr>
              <w:t>10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西区天然气阀室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rPr>
            </w:pPr>
            <w:r>
              <w:rPr>
                <w:rFonts w:hint="default" w:ascii="Times New Roman" w:hAnsi="Times New Roman" w:eastAsia="方正仿宋_GBK" w:cs="Times New Roman"/>
                <w:i w:val="0"/>
                <w:iCs w:val="0"/>
                <w:color w:val="auto"/>
                <w:kern w:val="0"/>
                <w:sz w:val="28"/>
                <w:szCs w:val="28"/>
                <w:highlight w:val="none"/>
                <w:u w:val="none"/>
                <w:lang w:val="en-US" w:eastAsia="zh-CN" w:bidi="ar"/>
              </w:rPr>
              <w:t>11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五号坪充电站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1000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5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合计</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textAlignment w:val="auto"/>
        <w:outlineLvl w:val="0"/>
        <w:rPr>
          <w:rFonts w:hint="eastAsia" w:ascii="黑体" w:hAnsi="黑体" w:eastAsia="黑体" w:cs="黑体"/>
          <w:b w:val="0"/>
          <w:bCs w:val="0"/>
          <w:color w:val="auto"/>
          <w:highlight w:val="none"/>
          <w:lang w:val="en-US" w:eastAsia="zh-CN"/>
        </w:rPr>
        <w:sectPr>
          <w:pgSz w:w="11906" w:h="16838"/>
          <w:pgMar w:top="1134" w:right="1134" w:bottom="1134" w:left="1134" w:header="851" w:footer="992" w:gutter="0"/>
          <w:cols w:space="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textAlignment w:val="auto"/>
        <w:outlineLvl w:val="0"/>
        <w:rPr>
          <w:rFonts w:hint="default" w:ascii="黑体" w:hAnsi="黑体" w:eastAsia="黑体" w:cs="黑体"/>
          <w:b w:val="0"/>
          <w:bCs w:val="0"/>
          <w:color w:val="auto"/>
          <w:highlight w:val="none"/>
          <w:lang w:val="en-US" w:eastAsia="zh-CN"/>
        </w:rPr>
      </w:pPr>
      <w:r>
        <w:rPr>
          <w:rFonts w:hint="eastAsia" w:ascii="黑体" w:hAnsi="黑体" w:eastAsia="黑体" w:cs="黑体"/>
          <w:b w:val="0"/>
          <w:bCs w:val="0"/>
          <w:color w:val="auto"/>
          <w:highlight w:val="none"/>
          <w:lang w:val="en-US" w:eastAsia="zh-CN"/>
        </w:rPr>
        <w:t>分项报价表（第三部分）</w:t>
      </w:r>
    </w:p>
    <w:tbl>
      <w:tblPr>
        <w:tblStyle w:val="17"/>
        <w:tblW w:w="84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1"/>
        <w:gridCol w:w="2933"/>
        <w:gridCol w:w="2043"/>
        <w:gridCol w:w="2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firstLine="0" w:firstLineChars="0"/>
              <w:jc w:val="center"/>
              <w:textAlignment w:val="auto"/>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color w:val="auto"/>
                <w:sz w:val="28"/>
                <w:szCs w:val="28"/>
              </w:rPr>
              <w:t>序号</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firstLine="0" w:firstLineChars="0"/>
              <w:jc w:val="center"/>
              <w:textAlignment w:val="auto"/>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color w:val="auto"/>
                <w:sz w:val="28"/>
                <w:szCs w:val="28"/>
              </w:rPr>
              <w:t>建（构）筑名称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firstLine="0" w:firstLineChars="0"/>
              <w:jc w:val="center"/>
              <w:textAlignment w:val="auto"/>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color w:val="auto"/>
                <w:sz w:val="28"/>
                <w:szCs w:val="28"/>
                <w:lang w:val="en-US" w:eastAsia="zh-CN"/>
              </w:rPr>
              <w:t>建筑面积(㎡）</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firstLine="0" w:firstLineChars="0"/>
              <w:jc w:val="center"/>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4"/>
                <w:szCs w:val="24"/>
                <w:lang w:eastAsia="zh-CN"/>
              </w:rPr>
              <w:t>不含税报价（单位：元）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东区安检、医救办公楼</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10623</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东区安检宿舍楼</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12007</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江北公司办公楼</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8652.6</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国检大楼</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5000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海关大楼</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5000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飞行区航务管理部办公楼（飞航楼）</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6904</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1号灯光站</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3065</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2号灯光站</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2225</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3号灯光站</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1429</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4号灯光站</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1286</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消防监护部、综合执法办公楼</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7462</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02L航向台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18</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02L下滑台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18</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02R航向台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6</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02R下滑台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18</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20L航向台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18</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20L下滑台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18</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20R航向台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18</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20R下滑台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18</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20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03航向台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18</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21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03下滑台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18</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22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21航向台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18</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23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21下滑台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18</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24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南近台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18</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25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北外指点标台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8</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26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北中指点标台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8</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27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统景导航台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241</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28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长生导航台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162</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29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sz w:val="28"/>
                <w:szCs w:val="28"/>
                <w:highlight w:val="none"/>
                <w:u w:val="none"/>
                <w:lang w:eastAsia="zh-CN"/>
              </w:rPr>
              <w:t>西区武警用房（厨房和燃气热水间可燃气体探测报警系统）</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color w:val="auto"/>
                <w:sz w:val="28"/>
                <w:szCs w:val="28"/>
                <w:lang w:val="en-US" w:eastAsia="zh-CN"/>
              </w:rPr>
              <w:t>400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color w:val="auto"/>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合计</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color w:val="auto"/>
                <w:sz w:val="28"/>
                <w:szCs w:val="28"/>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textAlignment w:val="auto"/>
        <w:outlineLvl w:val="0"/>
        <w:rPr>
          <w:rFonts w:hint="eastAsia" w:ascii="黑体" w:hAnsi="黑体" w:eastAsia="黑体" w:cs="黑体"/>
          <w:b w:val="0"/>
          <w:bCs w:val="0"/>
          <w:color w:val="auto"/>
          <w:highlight w:val="none"/>
          <w:lang w:val="en-US" w:eastAsia="zh-CN"/>
        </w:rPr>
        <w:sectPr>
          <w:pgSz w:w="11906" w:h="16838"/>
          <w:pgMar w:top="1134" w:right="1134" w:bottom="1134" w:left="1134" w:header="851" w:footer="992" w:gutter="0"/>
          <w:cols w:space="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textAlignment w:val="auto"/>
        <w:outlineLvl w:val="0"/>
        <w:rPr>
          <w:rFonts w:hint="default" w:ascii="黑体" w:hAnsi="黑体" w:eastAsia="黑体" w:cs="黑体"/>
          <w:b w:val="0"/>
          <w:bCs w:val="0"/>
          <w:color w:val="auto"/>
          <w:highlight w:val="none"/>
          <w:lang w:val="en-US" w:eastAsia="zh-CN"/>
        </w:rPr>
      </w:pPr>
      <w:r>
        <w:rPr>
          <w:rFonts w:hint="eastAsia" w:ascii="黑体" w:hAnsi="黑体" w:eastAsia="黑体" w:cs="黑体"/>
          <w:b w:val="0"/>
          <w:bCs w:val="0"/>
          <w:color w:val="auto"/>
          <w:highlight w:val="none"/>
          <w:lang w:val="en-US" w:eastAsia="zh-CN"/>
        </w:rPr>
        <w:t>分项报价表</w:t>
      </w:r>
      <w:r>
        <w:rPr>
          <w:rFonts w:hint="default" w:ascii="黑体" w:hAnsi="黑体" w:eastAsia="黑体" w:cs="黑体"/>
          <w:b w:val="0"/>
          <w:bCs w:val="0"/>
          <w:color w:val="auto"/>
          <w:highlight w:val="none"/>
          <w:lang w:val="en-US" w:eastAsia="zh-CN"/>
        </w:rPr>
        <w:t>（第四部分）</w:t>
      </w:r>
    </w:p>
    <w:tbl>
      <w:tblPr>
        <w:tblStyle w:val="17"/>
        <w:tblW w:w="83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2802"/>
        <w:gridCol w:w="2024"/>
        <w:gridCol w:w="2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firstLine="0" w:firstLineChars="0"/>
              <w:jc w:val="center"/>
              <w:textAlignment w:val="auto"/>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color w:val="auto"/>
                <w:sz w:val="28"/>
                <w:szCs w:val="28"/>
              </w:rPr>
              <w:t>序号</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firstLine="0" w:firstLineChars="0"/>
              <w:jc w:val="center"/>
              <w:textAlignment w:val="auto"/>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color w:val="auto"/>
                <w:sz w:val="28"/>
                <w:szCs w:val="28"/>
              </w:rPr>
              <w:t>建（构）筑名称</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firstLine="0" w:firstLineChars="0"/>
              <w:jc w:val="center"/>
              <w:textAlignment w:val="auto"/>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color w:val="auto"/>
                <w:sz w:val="28"/>
                <w:szCs w:val="28"/>
                <w:lang w:val="en-US" w:eastAsia="zh-CN"/>
              </w:rPr>
              <w:t>建筑面积(㎡）</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firstLine="0" w:firstLineChars="0"/>
              <w:jc w:val="center"/>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4"/>
                <w:szCs w:val="24"/>
                <w:lang w:eastAsia="zh-CN"/>
              </w:rPr>
              <w:t>不含税报价（单位：元）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物流园区综合楼</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17980</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北区1号货站</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26498</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北区2号货站</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26498</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北区3号货站</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26498</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北区消防水泵房</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127</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北区车辆检修库</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778</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北区1号货代库</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lang w:val="en-US"/>
              </w:rPr>
            </w:pPr>
            <w:r>
              <w:rPr>
                <w:rFonts w:hint="default" w:ascii="Times New Roman" w:hAnsi="Times New Roman" w:eastAsia="方正仿宋_GBK" w:cs="Times New Roman"/>
                <w:i w:val="0"/>
                <w:iCs w:val="0"/>
                <w:color w:val="auto"/>
                <w:kern w:val="0"/>
                <w:sz w:val="28"/>
                <w:szCs w:val="28"/>
                <w:highlight w:val="none"/>
                <w:u w:val="none"/>
                <w:lang w:val="en-US" w:eastAsia="zh-CN" w:bidi="ar"/>
              </w:rPr>
              <w:t>4456</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北区2号货代库</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5338</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北区3号货代库</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lang w:val="en-US"/>
              </w:rPr>
            </w:pPr>
            <w:r>
              <w:rPr>
                <w:rFonts w:hint="default" w:ascii="Times New Roman" w:hAnsi="Times New Roman" w:eastAsia="方正仿宋_GBK" w:cs="Times New Roman"/>
                <w:i w:val="0"/>
                <w:iCs w:val="0"/>
                <w:color w:val="auto"/>
                <w:kern w:val="0"/>
                <w:sz w:val="28"/>
                <w:szCs w:val="28"/>
                <w:highlight w:val="none"/>
                <w:u w:val="none"/>
                <w:lang w:val="en-US" w:eastAsia="zh-CN" w:bidi="ar"/>
              </w:rPr>
              <w:t>4456</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北区4号货代库</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5338</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北区5号货代库</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5338</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12</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北区6号货代库</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5338</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13</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北区7号货代库</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5338</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14</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北区8号货代库</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5338</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15</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国际2号货站</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33249</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16</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国际3号货站</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21798</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17</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国际危险品库</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859</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18</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国际货运综合楼（含海关指定监管场地、宿舍、营业厅）</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i w:val="0"/>
                <w:iCs w:val="0"/>
                <w:color w:val="auto"/>
                <w:kern w:val="0"/>
                <w:sz w:val="28"/>
                <w:szCs w:val="28"/>
                <w:highlight w:val="none"/>
                <w:u w:val="none"/>
                <w:lang w:val="en-US" w:eastAsia="zh-CN" w:bidi="ar"/>
              </w:rPr>
              <w:t>15489</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19</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国际货站消防水泵房</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392</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20</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国际叉车充电棚</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1335</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21</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北区特运库</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669</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68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合计</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top"/>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bl>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auto"/>
          <w:sz w:val="22"/>
          <w:szCs w:val="22"/>
          <w:lang w:val="en-US" w:eastAsia="zh-CN"/>
        </w:rPr>
        <w:sectPr>
          <w:pgSz w:w="11906" w:h="16838"/>
          <w:pgMar w:top="1134" w:right="1134" w:bottom="1134" w:left="1134" w:header="851" w:footer="992" w:gutter="0"/>
          <w:cols w:space="0" w:num="1"/>
          <w:rtlGutter w:val="0"/>
          <w:docGrid w:type="lines" w:linePitch="312" w:charSpace="0"/>
        </w:sectPr>
      </w:pPr>
    </w:p>
    <w:p>
      <w:pPr>
        <w:snapToGrid w:val="0"/>
        <w:spacing w:line="360" w:lineRule="auto"/>
        <w:ind w:left="0" w:leftChars="0" w:firstLine="0" w:firstLineChars="0"/>
        <w:rPr>
          <w:rFonts w:hint="eastAsia" w:ascii="仿宋" w:hAnsi="仿宋" w:eastAsia="仿宋"/>
          <w:color w:val="auto"/>
          <w:sz w:val="28"/>
          <w:szCs w:val="28"/>
          <w:lang w:eastAsia="zh-CN"/>
        </w:rPr>
      </w:pPr>
      <w:r>
        <w:rPr>
          <w:rFonts w:hint="eastAsia" w:ascii="仿宋" w:hAnsi="仿宋"/>
          <w:color w:val="auto"/>
          <w:sz w:val="28"/>
          <w:szCs w:val="28"/>
        </w:rPr>
        <w:t>附件</w:t>
      </w:r>
      <w:r>
        <w:rPr>
          <w:rFonts w:hint="eastAsia" w:ascii="仿宋" w:hAnsi="仿宋"/>
          <w:color w:val="auto"/>
          <w:sz w:val="28"/>
          <w:szCs w:val="28"/>
          <w:lang w:val="en-US" w:eastAsia="zh-CN"/>
        </w:rPr>
        <w:t>3</w:t>
      </w: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textAlignment w:val="auto"/>
        <w:outlineLvl w:val="0"/>
        <w:rPr>
          <w:rFonts w:hint="eastAsia" w:ascii="黑体" w:hAnsi="黑体" w:eastAsia="黑体" w:cs="黑体"/>
          <w:b w:val="0"/>
          <w:bCs w:val="0"/>
          <w:color w:val="auto"/>
          <w:highlight w:val="none"/>
          <w:lang w:val="en-US" w:eastAsia="zh-CN"/>
        </w:rPr>
      </w:pPr>
      <w:bookmarkStart w:id="411" w:name="_Toc31112"/>
      <w:bookmarkStart w:id="412" w:name="_Toc21677"/>
      <w:bookmarkStart w:id="413" w:name="_Toc31204"/>
      <w:bookmarkStart w:id="414" w:name="_Toc29805"/>
      <w:bookmarkStart w:id="415" w:name="_Toc22471"/>
      <w:bookmarkStart w:id="416" w:name="_Toc26047"/>
      <w:r>
        <w:rPr>
          <w:rFonts w:hint="eastAsia" w:ascii="黑体" w:hAnsi="黑体" w:eastAsia="黑体" w:cs="黑体"/>
          <w:b w:val="0"/>
          <w:bCs w:val="0"/>
          <w:color w:val="auto"/>
          <w:highlight w:val="none"/>
          <w:lang w:val="en-US" w:eastAsia="zh-CN"/>
        </w:rPr>
        <w:t>法定代表人身份证明</w:t>
      </w:r>
      <w:bookmarkEnd w:id="411"/>
      <w:bookmarkEnd w:id="412"/>
      <w:bookmarkEnd w:id="413"/>
      <w:bookmarkEnd w:id="414"/>
      <w:bookmarkEnd w:id="415"/>
      <w:bookmarkEnd w:id="416"/>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比选</w:t>
      </w:r>
      <w:r>
        <w:rPr>
          <w:rFonts w:hint="eastAsia" w:ascii="仿宋" w:hAnsi="仿宋"/>
          <w:color w:val="auto"/>
          <w:kern w:val="0"/>
          <w:sz w:val="28"/>
          <w:szCs w:val="28"/>
          <w:lang w:eastAsia="zh-CN"/>
        </w:rPr>
        <w:t>响应</w:t>
      </w:r>
      <w:r>
        <w:rPr>
          <w:rFonts w:hint="eastAsia" w:ascii="仿宋" w:hAnsi="仿宋"/>
          <w:color w:val="auto"/>
          <w:kern w:val="0"/>
          <w:sz w:val="28"/>
          <w:szCs w:val="28"/>
        </w:rPr>
        <w:t>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地    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成立时间：</w:t>
      </w:r>
      <w:r>
        <w:rPr>
          <w:rFonts w:ascii="仿宋" w:hAnsi="仿宋" w:eastAsia="仿宋"/>
          <w:color w:val="auto"/>
          <w:kern w:val="0"/>
          <w:sz w:val="28"/>
          <w:szCs w:val="28"/>
          <w:u w:val="single"/>
        </w:rPr>
        <w:tab/>
      </w:r>
      <w:r>
        <w:rPr>
          <w:rFonts w:hint="eastAsia" w:ascii="仿宋" w:hAnsi="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color w:val="auto"/>
          <w:spacing w:val="-1"/>
          <w:kern w:val="0"/>
          <w:sz w:val="28"/>
          <w:szCs w:val="28"/>
        </w:rPr>
        <w:t>月</w:t>
      </w:r>
      <w:r>
        <w:rPr>
          <w:rFonts w:hint="eastAsia" w:ascii="仿宋" w:hAnsi="仿宋"/>
          <w:color w:val="auto"/>
          <w:spacing w:val="-1"/>
          <w:kern w:val="0"/>
          <w:sz w:val="28"/>
          <w:szCs w:val="28"/>
          <w:u w:val="single"/>
          <w:lang w:val="en-US" w:eastAsia="zh-CN"/>
        </w:rPr>
        <w:t xml:space="preserve">   </w:t>
      </w:r>
      <w:r>
        <w:rPr>
          <w:rFonts w:hint="eastAsia" w:ascii="仿宋" w:hAnsi="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姓名：</w:t>
      </w:r>
      <w:r>
        <w:rPr>
          <w:rFonts w:ascii="仿宋" w:hAnsi="仿宋" w:eastAsia="仿宋"/>
          <w:color w:val="auto"/>
          <w:kern w:val="0"/>
          <w:sz w:val="28"/>
          <w:szCs w:val="28"/>
          <w:u w:val="single"/>
        </w:rPr>
        <w:tab/>
      </w:r>
      <w:r>
        <w:rPr>
          <w:rFonts w:hint="eastAsia" w:ascii="仿宋" w:hAnsi="仿宋"/>
          <w:color w:val="auto"/>
          <w:kern w:val="0"/>
          <w:sz w:val="28"/>
          <w:szCs w:val="28"/>
        </w:rPr>
        <w:t>性别</w:t>
      </w:r>
      <w:r>
        <w:rPr>
          <w:rFonts w:hint="eastAsia" w:ascii="仿宋" w:hAnsi="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color w:val="auto"/>
          <w:spacing w:val="-1"/>
          <w:kern w:val="0"/>
          <w:sz w:val="28"/>
          <w:szCs w:val="28"/>
        </w:rPr>
        <w:t>年</w:t>
      </w:r>
      <w:r>
        <w:rPr>
          <w:rFonts w:hint="eastAsia" w:ascii="仿宋" w:hAnsi="仿宋"/>
          <w:color w:val="auto"/>
          <w:kern w:val="0"/>
          <w:sz w:val="28"/>
          <w:szCs w:val="28"/>
        </w:rPr>
        <w:t>龄：</w:t>
      </w:r>
      <w:r>
        <w:rPr>
          <w:rFonts w:ascii="仿宋" w:hAnsi="仿宋" w:eastAsia="仿宋"/>
          <w:color w:val="auto"/>
          <w:kern w:val="0"/>
          <w:sz w:val="28"/>
          <w:szCs w:val="28"/>
          <w:u w:val="single"/>
        </w:rPr>
        <w:tab/>
      </w:r>
      <w:r>
        <w:rPr>
          <w:rFonts w:hint="eastAsia" w:ascii="仿宋" w:hAnsi="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系</w:t>
      </w:r>
      <w:r>
        <w:rPr>
          <w:rFonts w:ascii="仿宋" w:hAnsi="仿宋" w:eastAsia="仿宋"/>
          <w:color w:val="auto"/>
          <w:kern w:val="0"/>
          <w:sz w:val="28"/>
          <w:szCs w:val="28"/>
          <w:u w:val="single"/>
        </w:rPr>
        <w:tab/>
      </w:r>
      <w:r>
        <w:rPr>
          <w:rFonts w:hint="eastAsia" w:ascii="仿宋" w:hAnsi="仿宋"/>
          <w:color w:val="auto"/>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color w:val="auto"/>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color w:val="auto"/>
          <w:kern w:val="0"/>
          <w:sz w:val="28"/>
          <w:szCs w:val="28"/>
        </w:rPr>
        <w:t>比选</w:t>
      </w:r>
      <w:r>
        <w:rPr>
          <w:rFonts w:hint="eastAsia" w:ascii="仿宋" w:hAnsi="仿宋"/>
          <w:color w:val="auto"/>
          <w:kern w:val="0"/>
          <w:sz w:val="28"/>
          <w:szCs w:val="28"/>
          <w:lang w:eastAsia="zh-CN"/>
        </w:rPr>
        <w:t>响应</w:t>
      </w:r>
      <w:r>
        <w:rPr>
          <w:rFonts w:hint="eastAsia" w:ascii="仿宋" w:hAnsi="仿宋"/>
          <w:color w:val="auto"/>
          <w:spacing w:val="-1"/>
          <w:kern w:val="0"/>
          <w:sz w:val="28"/>
          <w:szCs w:val="28"/>
        </w:rPr>
        <w:t>人</w:t>
      </w:r>
      <w:r>
        <w:rPr>
          <w:rFonts w:hint="eastAsia" w:ascii="仿宋" w:hAnsi="仿宋"/>
          <w:color w:val="auto"/>
          <w:kern w:val="0"/>
          <w:sz w:val="28"/>
          <w:szCs w:val="28"/>
        </w:rPr>
        <w:t>：</w:t>
      </w:r>
      <w:r>
        <w:rPr>
          <w:rFonts w:ascii="仿宋" w:hAnsi="仿宋" w:eastAsia="仿宋"/>
          <w:color w:val="auto"/>
          <w:kern w:val="0"/>
          <w:sz w:val="28"/>
          <w:szCs w:val="28"/>
          <w:u w:val="single"/>
        </w:rPr>
        <w:tab/>
      </w:r>
      <w:r>
        <w:rPr>
          <w:rFonts w:hint="eastAsia" w:ascii="仿宋" w:hAnsi="仿宋"/>
          <w:color w:val="auto"/>
          <w:spacing w:val="-1"/>
          <w:kern w:val="0"/>
          <w:sz w:val="28"/>
          <w:szCs w:val="28"/>
        </w:rPr>
        <w:t>（</w:t>
      </w:r>
      <w:r>
        <w:rPr>
          <w:rFonts w:hint="eastAsia" w:ascii="仿宋" w:hAnsi="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color w:val="auto"/>
          <w:spacing w:val="-1"/>
          <w:kern w:val="0"/>
          <w:sz w:val="28"/>
          <w:szCs w:val="28"/>
        </w:rPr>
        <w:t>年</w:t>
      </w:r>
      <w:r>
        <w:rPr>
          <w:rFonts w:hint="eastAsia" w:ascii="仿宋" w:hAnsi="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hint="eastAsia" w:ascii="仿宋" w:hAnsi="仿宋"/>
          <w:b/>
          <w:bCs/>
          <w:color w:val="auto"/>
          <w:kern w:val="0"/>
          <w:sz w:val="28"/>
          <w:szCs w:val="28"/>
        </w:rPr>
        <w:sectPr>
          <w:pgSz w:w="11906" w:h="16838"/>
          <w:pgMar w:top="1440" w:right="1800" w:bottom="1440" w:left="1800" w:header="851" w:footer="992" w:gutter="0"/>
          <w:cols w:space="425" w:num="1"/>
          <w:docGrid w:type="lines" w:linePitch="312" w:charSpace="0"/>
        </w:sectPr>
      </w:pPr>
      <w:r>
        <w:rPr>
          <w:rFonts w:hint="eastAsia" w:ascii="仿宋" w:hAnsi="仿宋"/>
          <w:b/>
          <w:bCs/>
          <w:color w:val="auto"/>
          <w:kern w:val="0"/>
          <w:sz w:val="28"/>
          <w:szCs w:val="28"/>
        </w:rPr>
        <w:t>附法定代表人身份证复印件</w:t>
      </w:r>
    </w:p>
    <w:p>
      <w:pPr>
        <w:widowControl/>
        <w:ind w:left="0" w:leftChars="0" w:firstLine="0" w:firstLineChars="0"/>
        <w:jc w:val="left"/>
        <w:rPr>
          <w:rFonts w:hint="eastAsia" w:ascii="仿宋" w:hAnsi="仿宋" w:eastAsia="仿宋"/>
          <w:color w:val="auto"/>
          <w:sz w:val="28"/>
          <w:szCs w:val="28"/>
          <w:lang w:eastAsia="zh-CN"/>
        </w:rPr>
      </w:pPr>
      <w:r>
        <w:rPr>
          <w:rFonts w:hint="eastAsia" w:ascii="仿宋" w:hAnsi="仿宋"/>
          <w:color w:val="auto"/>
          <w:sz w:val="28"/>
          <w:szCs w:val="28"/>
        </w:rPr>
        <w:t>附件</w:t>
      </w:r>
      <w:r>
        <w:rPr>
          <w:rFonts w:hint="eastAsia" w:ascii="仿宋" w:hAnsi="仿宋"/>
          <w:color w:val="auto"/>
          <w:sz w:val="28"/>
          <w:szCs w:val="28"/>
          <w:lang w:val="en-US" w:eastAsia="zh-CN"/>
        </w:rPr>
        <w:t>4</w:t>
      </w:r>
    </w:p>
    <w:p>
      <w:pPr>
        <w:spacing w:before="120"/>
        <w:jc w:val="center"/>
        <w:rPr>
          <w:rFonts w:hint="eastAsia" w:ascii="仿宋" w:hAnsi="仿宋" w:eastAsia="仿宋" w:cs="仿宋"/>
          <w:b/>
          <w:color w:val="auto"/>
          <w:sz w:val="28"/>
          <w:szCs w:val="28"/>
        </w:rPr>
      </w:pPr>
      <w:bookmarkStart w:id="417" w:name="_Toc1294"/>
      <w:bookmarkStart w:id="418" w:name="_Toc5295"/>
      <w:bookmarkStart w:id="419" w:name="_Toc29811"/>
      <w:bookmarkStart w:id="420" w:name="_Toc24078"/>
      <w:bookmarkStart w:id="421" w:name="_Toc17960"/>
      <w:bookmarkStart w:id="422" w:name="_Toc28518"/>
      <w:r>
        <w:rPr>
          <w:rFonts w:hint="eastAsia" w:ascii="仿宋" w:hAnsi="仿宋" w:eastAsia="仿宋" w:cs="仿宋"/>
          <w:b/>
          <w:color w:val="auto"/>
          <w:sz w:val="28"/>
          <w:szCs w:val="28"/>
        </w:rPr>
        <w:t>法定代表人授权委托书</w:t>
      </w:r>
    </w:p>
    <w:p>
      <w:pPr>
        <w:spacing w:before="12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（适用于有委托代理人的情况）</w:t>
      </w:r>
    </w:p>
    <w:p>
      <w:pPr>
        <w:spacing w:before="120"/>
        <w:ind w:firstLine="480"/>
        <w:rPr>
          <w:rFonts w:hint="eastAsia" w:ascii="仿宋" w:hAnsi="仿宋" w:eastAsia="仿宋" w:cs="仿宋"/>
          <w:color w:val="auto"/>
        </w:rPr>
      </w:pPr>
    </w:p>
    <w:p>
      <w:pPr>
        <w:topLinePunct/>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委托期限：________。</w:t>
      </w: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代理人无转委托权。</w:t>
      </w:r>
    </w:p>
    <w:p>
      <w:pPr>
        <w:spacing w:before="120" w:line="440" w:lineRule="exact"/>
        <w:rPr>
          <w:rFonts w:hint="eastAsia" w:ascii="仿宋" w:hAnsi="仿宋" w:eastAsia="仿宋" w:cs="仿宋"/>
          <w:color w:val="auto"/>
          <w:kern w:val="0"/>
          <w:sz w:val="28"/>
          <w:szCs w:val="28"/>
        </w:rPr>
      </w:pP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color w:val="auto"/>
          <w:kern w:val="0"/>
          <w:sz w:val="28"/>
          <w:szCs w:val="28"/>
        </w:rPr>
      </w:pPr>
    </w:p>
    <w:p>
      <w:pPr>
        <w:spacing w:before="120" w:line="440" w:lineRule="exact"/>
        <w:ind w:firstLine="3589" w:firstLineChars="1282"/>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比选响应人：（单位鲜公章）</w:t>
      </w:r>
    </w:p>
    <w:p>
      <w:pPr>
        <w:spacing w:before="120" w:line="440" w:lineRule="exact"/>
        <w:ind w:firstLine="3586" w:firstLineChars="1281"/>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法定代表人：（签字）</w:t>
      </w:r>
    </w:p>
    <w:p>
      <w:pPr>
        <w:spacing w:before="120" w:line="440" w:lineRule="exact"/>
        <w:ind w:firstLine="3589" w:firstLineChars="1282"/>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身份证号码：</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委托代理人：（签字）</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身份证号码：</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________年____月____日</w:t>
      </w:r>
    </w:p>
    <w:p>
      <w:pPr>
        <w:spacing w:line="460" w:lineRule="exact"/>
        <w:rPr>
          <w:rFonts w:hint="eastAsia" w:ascii="仿宋" w:hAnsi="仿宋" w:eastAsia="仿宋" w:cs="仿宋"/>
          <w:color w:val="auto"/>
        </w:rPr>
      </w:pPr>
    </w:p>
    <w:p>
      <w:pPr>
        <w:widowControl/>
        <w:snapToGrid w:val="0"/>
        <w:spacing w:line="460" w:lineRule="exact"/>
        <w:jc w:val="left"/>
        <w:rPr>
          <w:rFonts w:hint="eastAsia" w:ascii="仿宋" w:hAnsi="仿宋" w:eastAsia="仿宋" w:cs="仿宋"/>
          <w:b/>
          <w:bCs/>
          <w:color w:val="auto"/>
          <w:sz w:val="28"/>
          <w:szCs w:val="28"/>
        </w:rPr>
      </w:pPr>
    </w:p>
    <w:p>
      <w:pPr>
        <w:widowControl/>
        <w:snapToGrid w:val="0"/>
        <w:spacing w:line="460" w:lineRule="exact"/>
        <w:jc w:val="left"/>
        <w:rPr>
          <w:rFonts w:hint="eastAsia" w:ascii="仿宋" w:hAnsi="仿宋" w:eastAsia="仿宋" w:cs="仿宋"/>
          <w:b/>
          <w:bCs/>
          <w:color w:val="auto"/>
          <w:sz w:val="28"/>
          <w:szCs w:val="28"/>
        </w:rPr>
      </w:pPr>
    </w:p>
    <w:p>
      <w:pPr>
        <w:widowControl/>
        <w:snapToGrid w:val="0"/>
        <w:spacing w:line="460" w:lineRule="exact"/>
        <w:jc w:val="left"/>
        <w:rPr>
          <w:rFonts w:hint="eastAsia" w:ascii="仿宋" w:hAnsi="仿宋" w:eastAsia="仿宋" w:cs="仿宋"/>
          <w:b/>
          <w:bCs/>
          <w:color w:val="auto"/>
          <w:sz w:val="28"/>
          <w:szCs w:val="28"/>
        </w:rPr>
      </w:pPr>
    </w:p>
    <w:p>
      <w:pPr>
        <w:widowControl/>
        <w:snapToGrid w:val="0"/>
        <w:spacing w:line="460" w:lineRule="exact"/>
        <w:ind w:left="0" w:leftChars="0" w:firstLine="0" w:firstLineChars="0"/>
        <w:jc w:val="left"/>
        <w:rPr>
          <w:rFonts w:ascii="仿宋" w:hAnsi="仿宋" w:eastAsia="仿宋"/>
          <w:color w:val="auto"/>
          <w:sz w:val="28"/>
          <w:szCs w:val="28"/>
        </w:rPr>
      </w:pPr>
      <w:r>
        <w:rPr>
          <w:rFonts w:hint="eastAsia" w:ascii="仿宋" w:hAnsi="仿宋" w:eastAsia="仿宋" w:cs="仿宋"/>
          <w:b/>
          <w:bCs/>
          <w:color w:val="auto"/>
          <w:sz w:val="28"/>
          <w:szCs w:val="28"/>
        </w:rPr>
        <w:t>附委托代理人身份证复印件</w:t>
      </w:r>
      <w:bookmarkEnd w:id="417"/>
      <w:bookmarkEnd w:id="418"/>
      <w:bookmarkEnd w:id="419"/>
      <w:bookmarkEnd w:id="420"/>
      <w:bookmarkEnd w:id="421"/>
      <w:bookmarkEnd w:id="422"/>
    </w:p>
    <w:p>
      <w:pPr>
        <w:widowControl/>
        <w:jc w:val="left"/>
        <w:rPr>
          <w:rFonts w:ascii="仿宋" w:hAnsi="仿宋" w:eastAsia="仿宋"/>
          <w:color w:val="auto"/>
          <w:sz w:val="28"/>
          <w:szCs w:val="28"/>
        </w:rPr>
      </w:pPr>
    </w:p>
    <w:p>
      <w:pPr>
        <w:widowControl/>
        <w:jc w:val="left"/>
        <w:rPr>
          <w:rFonts w:ascii="仿宋" w:hAnsi="仿宋" w:eastAsia="仿宋"/>
          <w:color w:val="auto"/>
          <w:sz w:val="28"/>
          <w:szCs w:val="28"/>
        </w:rPr>
        <w:sectPr>
          <w:footerReference r:id="rId6" w:type="default"/>
          <w:pgSz w:w="11906" w:h="16838"/>
          <w:pgMar w:top="1440" w:right="1800" w:bottom="1440" w:left="1800" w:header="851" w:footer="992" w:gutter="0"/>
          <w:cols w:space="425" w:num="1"/>
          <w:docGrid w:type="lines" w:linePitch="312" w:charSpace="0"/>
        </w:sectPr>
      </w:pPr>
    </w:p>
    <w:p>
      <w:pPr>
        <w:widowControl/>
        <w:ind w:left="0" w:leftChars="0" w:firstLine="0" w:firstLineChars="0"/>
        <w:jc w:val="left"/>
        <w:rPr>
          <w:rFonts w:hint="eastAsia" w:ascii="仿宋" w:hAnsi="仿宋" w:eastAsia="仿宋"/>
          <w:color w:val="auto"/>
          <w:sz w:val="28"/>
          <w:szCs w:val="28"/>
          <w:lang w:eastAsia="zh-CN"/>
        </w:rPr>
      </w:pPr>
      <w:r>
        <w:rPr>
          <w:rFonts w:hint="eastAsia" w:ascii="仿宋" w:hAnsi="仿宋"/>
          <w:color w:val="auto"/>
          <w:sz w:val="28"/>
          <w:szCs w:val="28"/>
        </w:rPr>
        <w:t>附件</w:t>
      </w:r>
      <w:r>
        <w:rPr>
          <w:rFonts w:hint="eastAsia" w:ascii="仿宋" w:hAnsi="仿宋"/>
          <w:color w:val="auto"/>
          <w:sz w:val="28"/>
          <w:szCs w:val="28"/>
          <w:lang w:val="en-US" w:eastAsia="zh-CN"/>
        </w:rPr>
        <w:t>5</w:t>
      </w:r>
    </w:p>
    <w:p>
      <w:pPr>
        <w:spacing w:line="360" w:lineRule="auto"/>
        <w:jc w:val="center"/>
        <w:rPr>
          <w:rFonts w:ascii="仿宋" w:hAnsi="仿宋" w:eastAsia="仿宋"/>
          <w:b/>
          <w:color w:val="auto"/>
          <w:sz w:val="28"/>
          <w:szCs w:val="28"/>
        </w:rPr>
      </w:pPr>
    </w:p>
    <w:p>
      <w:pPr>
        <w:jc w:val="center"/>
        <w:rPr>
          <w:rFonts w:ascii="仿宋" w:hAnsi="仿宋" w:eastAsia="仿宋"/>
          <w:b/>
          <w:color w:val="auto"/>
          <w:sz w:val="44"/>
        </w:rPr>
      </w:pPr>
      <w:bookmarkStart w:id="423" w:name="_Toc5691"/>
      <w:bookmarkStart w:id="424" w:name="_Toc23556"/>
      <w:bookmarkStart w:id="425" w:name="_Toc29663"/>
      <w:bookmarkStart w:id="426" w:name="_Toc28796"/>
      <w:bookmarkStart w:id="427" w:name="_Toc25445"/>
      <w:bookmarkStart w:id="428" w:name="_Toc30542"/>
      <w:r>
        <w:rPr>
          <w:rFonts w:ascii="仿宋" w:hAnsi="仿宋"/>
          <w:b/>
          <w:color w:val="auto"/>
          <w:sz w:val="44"/>
        </w:rPr>
        <w:t>_____________________________</w:t>
      </w:r>
      <w:bookmarkEnd w:id="423"/>
      <w:bookmarkEnd w:id="424"/>
      <w:bookmarkEnd w:id="425"/>
      <w:bookmarkEnd w:id="426"/>
      <w:bookmarkEnd w:id="427"/>
      <w:bookmarkEnd w:id="428"/>
    </w:p>
    <w:p>
      <w:pPr>
        <w:rPr>
          <w:rFonts w:ascii="仿宋" w:hAnsi="仿宋" w:eastAsia="仿宋"/>
          <w:b/>
          <w:color w:val="auto"/>
          <w:sz w:val="44"/>
        </w:rPr>
      </w:pPr>
    </w:p>
    <w:p>
      <w:pPr>
        <w:pStyle w:val="4"/>
        <w:jc w:val="center"/>
        <w:rPr>
          <w:rFonts w:hint="eastAsia"/>
          <w:color w:val="auto"/>
          <w:sz w:val="56"/>
          <w:szCs w:val="72"/>
        </w:rPr>
      </w:pPr>
      <w:bookmarkStart w:id="429" w:name="_Toc15901"/>
      <w:bookmarkStart w:id="430" w:name="_Toc26603"/>
      <w:bookmarkStart w:id="431" w:name="_Toc9370"/>
      <w:bookmarkStart w:id="432" w:name="_Toc32501"/>
      <w:bookmarkStart w:id="433" w:name="_Toc862"/>
      <w:bookmarkStart w:id="434" w:name="_Toc27964"/>
      <w:r>
        <w:rPr>
          <w:rFonts w:hint="eastAsia"/>
          <w:color w:val="auto"/>
          <w:sz w:val="56"/>
          <w:szCs w:val="72"/>
          <w:lang w:eastAsia="zh-CN"/>
        </w:rPr>
        <w:t>重庆机场</w:t>
      </w:r>
      <w:r>
        <w:rPr>
          <w:rFonts w:hint="eastAsia"/>
          <w:color w:val="auto"/>
          <w:sz w:val="56"/>
          <w:szCs w:val="72"/>
        </w:rPr>
        <w:t>建筑消防设施检测项目</w:t>
      </w:r>
      <w:bookmarkEnd w:id="429"/>
      <w:bookmarkEnd w:id="430"/>
      <w:bookmarkEnd w:id="431"/>
      <w:bookmarkEnd w:id="432"/>
      <w:bookmarkEnd w:id="433"/>
      <w:bookmarkEnd w:id="434"/>
    </w:p>
    <w:p>
      <w:pPr>
        <w:jc w:val="center"/>
        <w:rPr>
          <w:rFonts w:ascii="仿宋" w:hAnsi="仿宋" w:eastAsia="仿宋"/>
          <w:b/>
          <w:color w:val="auto"/>
          <w:sz w:val="72"/>
          <w:szCs w:val="72"/>
        </w:rPr>
      </w:pPr>
      <w:r>
        <w:rPr>
          <w:rFonts w:ascii="仿宋" w:hAnsi="仿宋" w:eastAsia="仿宋"/>
          <w:b/>
          <w:color w:val="auto"/>
          <w:sz w:val="52"/>
        </w:rPr>
        <w:br w:type="textWrapping"/>
      </w:r>
      <w:bookmarkStart w:id="435" w:name="_Toc32577"/>
      <w:bookmarkStart w:id="436" w:name="_Toc4337"/>
      <w:bookmarkStart w:id="437" w:name="_Toc3353"/>
      <w:bookmarkStart w:id="438" w:name="_Toc12089"/>
      <w:bookmarkStart w:id="439" w:name="_Toc23024"/>
      <w:bookmarkStart w:id="440" w:name="_Toc28671"/>
      <w:r>
        <w:rPr>
          <w:rStyle w:val="42"/>
          <w:rFonts w:hint="eastAsia"/>
          <w:color w:val="auto"/>
          <w:sz w:val="72"/>
          <w:szCs w:val="72"/>
        </w:rPr>
        <w:t>合 同 书</w:t>
      </w:r>
      <w:bookmarkEnd w:id="435"/>
      <w:bookmarkEnd w:id="436"/>
      <w:bookmarkEnd w:id="437"/>
      <w:bookmarkEnd w:id="438"/>
      <w:bookmarkEnd w:id="439"/>
      <w:bookmarkEnd w:id="440"/>
    </w:p>
    <w:p>
      <w:pPr>
        <w:jc w:val="center"/>
        <w:rPr>
          <w:rFonts w:ascii="仿宋" w:hAnsi="仿宋" w:eastAsia="仿宋"/>
          <w:b/>
          <w:color w:val="auto"/>
          <w:sz w:val="44"/>
        </w:rPr>
      </w:pPr>
      <w:bookmarkStart w:id="441" w:name="_Toc15255"/>
      <w:bookmarkStart w:id="442" w:name="_Toc17194"/>
      <w:bookmarkStart w:id="443" w:name="_Toc900"/>
      <w:bookmarkStart w:id="444" w:name="_Toc10152"/>
      <w:bookmarkStart w:id="445" w:name="_Toc12659"/>
      <w:bookmarkStart w:id="446" w:name="_Toc27162"/>
      <w:r>
        <w:rPr>
          <w:rFonts w:ascii="仿宋" w:hAnsi="仿宋"/>
          <w:b/>
          <w:color w:val="auto"/>
          <w:sz w:val="44"/>
        </w:rPr>
        <w:t>____________________________</w:t>
      </w:r>
      <w:bookmarkEnd w:id="441"/>
      <w:bookmarkEnd w:id="442"/>
      <w:bookmarkEnd w:id="443"/>
      <w:bookmarkEnd w:id="444"/>
      <w:bookmarkEnd w:id="445"/>
      <w:bookmarkEnd w:id="446"/>
    </w:p>
    <w:p>
      <w:pPr>
        <w:jc w:val="center"/>
        <w:rPr>
          <w:rFonts w:ascii="仿宋" w:hAnsi="仿宋" w:eastAsia="仿宋"/>
          <w:b/>
          <w:color w:val="auto"/>
          <w:sz w:val="44"/>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rPr>
          <w:color w:val="auto"/>
          <w:sz w:val="44"/>
          <w:szCs w:val="44"/>
        </w:rPr>
      </w:pPr>
      <w:bookmarkStart w:id="447" w:name="_Toc1507"/>
      <w:bookmarkStart w:id="448" w:name="_Toc15356"/>
      <w:bookmarkStart w:id="449" w:name="_Toc4773"/>
      <w:bookmarkStart w:id="450" w:name="_Toc7921"/>
      <w:bookmarkStart w:id="451" w:name="_Toc31069"/>
      <w:bookmarkStart w:id="452" w:name="_Toc1616"/>
      <w:r>
        <w:rPr>
          <w:rFonts w:hint="eastAsia"/>
          <w:color w:val="auto"/>
          <w:sz w:val="44"/>
          <w:szCs w:val="44"/>
        </w:rPr>
        <w:t>委托方：</w:t>
      </w:r>
      <w:bookmarkEnd w:id="447"/>
      <w:bookmarkEnd w:id="448"/>
      <w:bookmarkEnd w:id="449"/>
      <w:bookmarkEnd w:id="450"/>
      <w:bookmarkEnd w:id="451"/>
      <w:bookmarkEnd w:id="452"/>
    </w:p>
    <w:p>
      <w:pPr>
        <w:rPr>
          <w:color w:val="auto"/>
          <w:sz w:val="44"/>
          <w:szCs w:val="44"/>
        </w:rPr>
      </w:pPr>
    </w:p>
    <w:p>
      <w:pPr>
        <w:rPr>
          <w:color w:val="auto"/>
          <w:sz w:val="44"/>
          <w:szCs w:val="44"/>
        </w:rPr>
      </w:pPr>
      <w:bookmarkStart w:id="453" w:name="_Toc15492"/>
      <w:bookmarkStart w:id="454" w:name="_Toc21397"/>
      <w:bookmarkStart w:id="455" w:name="_Toc18911"/>
      <w:bookmarkStart w:id="456" w:name="_Toc28197"/>
      <w:bookmarkStart w:id="457" w:name="_Toc29948"/>
      <w:bookmarkStart w:id="458" w:name="_Toc27252"/>
      <w:r>
        <w:rPr>
          <w:rFonts w:hint="eastAsia"/>
          <w:color w:val="auto"/>
          <w:sz w:val="44"/>
          <w:szCs w:val="44"/>
        </w:rPr>
        <w:t>受托方：</w:t>
      </w:r>
      <w:bookmarkEnd w:id="453"/>
      <w:bookmarkEnd w:id="454"/>
      <w:bookmarkEnd w:id="455"/>
      <w:bookmarkEnd w:id="456"/>
      <w:bookmarkEnd w:id="457"/>
      <w:bookmarkEnd w:id="458"/>
    </w:p>
    <w:p>
      <w:pPr>
        <w:spacing w:line="360" w:lineRule="auto"/>
        <w:jc w:val="center"/>
        <w:rPr>
          <w:rFonts w:ascii="仿宋" w:hAnsi="仿宋" w:eastAsia="仿宋"/>
          <w:color w:val="auto"/>
          <w:sz w:val="28"/>
          <w:szCs w:val="28"/>
        </w:rPr>
        <w:sectPr>
          <w:pgSz w:w="11906" w:h="16838"/>
          <w:pgMar w:top="1440" w:right="1800" w:bottom="1440" w:left="1800" w:header="851" w:footer="992" w:gutter="0"/>
          <w:cols w:space="425" w:num="1"/>
          <w:docGrid w:type="lines" w:linePitch="312" w:charSpace="0"/>
        </w:sectPr>
      </w:pPr>
    </w:p>
    <w:p>
      <w:pPr>
        <w:ind w:left="0" w:leftChars="0" w:firstLine="0" w:firstLineChars="0"/>
        <w:jc w:val="center"/>
        <w:rPr>
          <w:rFonts w:hint="eastAsia" w:ascii="方正小标宋_GBK" w:hAnsi="方正小标宋_GBK" w:eastAsia="方正小标宋_GBK" w:cs="方正小标宋_GBK"/>
          <w:color w:val="auto"/>
          <w:sz w:val="44"/>
          <w:szCs w:val="44"/>
        </w:rPr>
      </w:pPr>
      <w:bookmarkStart w:id="459" w:name="_Toc684"/>
      <w:bookmarkStart w:id="460" w:name="_Toc11453"/>
      <w:bookmarkStart w:id="461" w:name="_Toc3030"/>
      <w:bookmarkStart w:id="462" w:name="_Toc24002"/>
      <w:bookmarkStart w:id="463" w:name="_Toc3922"/>
      <w:bookmarkStart w:id="464" w:name="_Toc24816"/>
      <w:r>
        <w:rPr>
          <w:rFonts w:hint="eastAsia" w:ascii="方正小标宋_GBK" w:hAnsi="方正小标宋_GBK" w:eastAsia="方正小标宋_GBK" w:cs="方正小标宋_GBK"/>
          <w:color w:val="auto"/>
          <w:sz w:val="44"/>
          <w:szCs w:val="44"/>
        </w:rPr>
        <w:t>建筑自动消防设施检测合同</w:t>
      </w:r>
      <w:bookmarkEnd w:id="459"/>
      <w:bookmarkEnd w:id="460"/>
      <w:bookmarkEnd w:id="461"/>
      <w:bookmarkEnd w:id="462"/>
      <w:bookmarkEnd w:id="463"/>
      <w:bookmarkEnd w:id="464"/>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委托方名称：                     （以下称甲方）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 xml:space="preserve">地    址：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邮    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联 系 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电    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传    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开户银行：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帐    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受托方名称：                     （以下称乙方）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 xml:space="preserve">地    址：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邮    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联 系 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电    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传    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开户银行：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帐    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甲乙双方根据《</w:t>
      </w:r>
      <w:r>
        <w:rPr>
          <w:rFonts w:hint="default" w:ascii="Times New Roman" w:hAnsi="Times New Roman" w:eastAsia="方正仿宋_GBK" w:cs="Times New Roman"/>
          <w:color w:val="auto"/>
          <w:sz w:val="28"/>
          <w:szCs w:val="28"/>
          <w:lang w:eastAsia="zh-CN"/>
        </w:rPr>
        <w:t>民法典</w:t>
      </w:r>
      <w:r>
        <w:rPr>
          <w:rFonts w:hint="default" w:ascii="Times New Roman" w:hAnsi="Times New Roman" w:eastAsia="方正仿宋_GBK" w:cs="Times New Roman"/>
          <w:color w:val="auto"/>
          <w:sz w:val="28"/>
          <w:szCs w:val="28"/>
        </w:rPr>
        <w:t>》、《中华人民共和国消防法》、《重庆市消防条例》及相关法律法规、技术标准的规定，本着友好合作、协商一致的原则，甲方委托乙方就目前的</w:t>
      </w:r>
      <w:r>
        <w:rPr>
          <w:rFonts w:hint="default" w:ascii="Times New Roman" w:hAnsi="Times New Roman" w:eastAsia="方正仿宋_GBK" w:cs="Times New Roman"/>
          <w:color w:val="auto"/>
          <w:sz w:val="28"/>
          <w:szCs w:val="28"/>
          <w:u w:val="single"/>
          <w:lang w:eastAsia="zh-CN"/>
        </w:rPr>
        <w:t>重庆机场</w:t>
      </w:r>
      <w:r>
        <w:rPr>
          <w:rFonts w:hint="default" w:ascii="Times New Roman" w:hAnsi="Times New Roman" w:eastAsia="方正仿宋_GBK" w:cs="Times New Roman"/>
          <w:color w:val="auto"/>
          <w:sz w:val="28"/>
          <w:szCs w:val="28"/>
          <w:u w:val="single"/>
        </w:rPr>
        <w:t>自动消防设施年度检测项目</w:t>
      </w:r>
      <w:r>
        <w:rPr>
          <w:rFonts w:hint="default" w:ascii="Times New Roman" w:hAnsi="Times New Roman" w:eastAsia="方正仿宋_GBK" w:cs="Times New Roman"/>
          <w:color w:val="auto"/>
          <w:sz w:val="28"/>
          <w:szCs w:val="28"/>
          <w:u w:val="single"/>
          <w:lang w:eastAsia="zh-CN"/>
        </w:rPr>
        <w:t>第一部分</w:t>
      </w:r>
      <w:r>
        <w:rPr>
          <w:rFonts w:hint="default" w:ascii="Times New Roman" w:hAnsi="Times New Roman" w:eastAsia="方正仿宋_GBK" w:cs="Times New Roman"/>
          <w:color w:val="auto"/>
          <w:sz w:val="28"/>
          <w:szCs w:val="28"/>
          <w:u w:val="single"/>
          <w:lang w:val="en-US" w:eastAsia="zh-CN"/>
        </w:rPr>
        <w:t>/第二部分/第</w:t>
      </w:r>
      <w:r>
        <w:rPr>
          <w:rFonts w:hint="eastAsia" w:eastAsia="方正仿宋_GBK" w:cs="Times New Roman"/>
          <w:color w:val="auto"/>
          <w:sz w:val="28"/>
          <w:szCs w:val="28"/>
          <w:u w:val="single"/>
          <w:lang w:val="en-US" w:eastAsia="zh-CN"/>
        </w:rPr>
        <w:t>三</w:t>
      </w:r>
      <w:r>
        <w:rPr>
          <w:rFonts w:hint="default" w:ascii="Times New Roman" w:hAnsi="Times New Roman" w:eastAsia="方正仿宋_GBK" w:cs="Times New Roman"/>
          <w:color w:val="auto"/>
          <w:sz w:val="28"/>
          <w:szCs w:val="28"/>
          <w:u w:val="single"/>
          <w:lang w:val="en-US" w:eastAsia="zh-CN"/>
        </w:rPr>
        <w:t>部分/第</w:t>
      </w:r>
      <w:r>
        <w:rPr>
          <w:rFonts w:hint="eastAsia" w:eastAsia="方正仿宋_GBK" w:cs="Times New Roman"/>
          <w:color w:val="auto"/>
          <w:sz w:val="28"/>
          <w:szCs w:val="28"/>
          <w:u w:val="single"/>
          <w:lang w:val="en-US" w:eastAsia="zh-CN"/>
        </w:rPr>
        <w:t>四</w:t>
      </w:r>
      <w:r>
        <w:rPr>
          <w:rFonts w:hint="default" w:ascii="Times New Roman" w:hAnsi="Times New Roman" w:eastAsia="方正仿宋_GBK" w:cs="Times New Roman"/>
          <w:color w:val="auto"/>
          <w:sz w:val="28"/>
          <w:szCs w:val="28"/>
          <w:u w:val="single"/>
          <w:lang w:val="en-US" w:eastAsia="zh-CN"/>
        </w:rPr>
        <w:t>部分</w:t>
      </w:r>
      <w:r>
        <w:rPr>
          <w:rFonts w:hint="default" w:ascii="Times New Roman" w:hAnsi="Times New Roman" w:eastAsia="方正仿宋_GBK" w:cs="Times New Roman"/>
          <w:color w:val="auto"/>
          <w:sz w:val="28"/>
          <w:szCs w:val="28"/>
        </w:rPr>
        <w:t>进行技术检测，形成合同内容如下：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一、检测的内容和要求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楷体" w:hAnsi="楷体" w:eastAsia="楷体" w:cs="楷体"/>
          <w:b w:val="0"/>
          <w:bCs/>
          <w:color w:val="auto"/>
          <w:sz w:val="28"/>
          <w:szCs w:val="28"/>
        </w:rPr>
      </w:pPr>
      <w:bookmarkStart w:id="465" w:name="_Toc12308"/>
      <w:bookmarkStart w:id="466" w:name="_Toc22666"/>
      <w:bookmarkStart w:id="467" w:name="_Toc22614"/>
      <w:bookmarkStart w:id="468" w:name="_Toc22939"/>
      <w:bookmarkStart w:id="469" w:name="_Toc10397"/>
      <w:bookmarkStart w:id="470" w:name="_Toc24243"/>
      <w:r>
        <w:rPr>
          <w:rFonts w:hint="eastAsia" w:ascii="楷体" w:hAnsi="楷体" w:eastAsia="楷体" w:cs="楷体"/>
          <w:b w:val="0"/>
          <w:bCs/>
          <w:color w:val="auto"/>
          <w:sz w:val="28"/>
          <w:szCs w:val="28"/>
        </w:rPr>
        <w:t>1.1 项目概况</w:t>
      </w:r>
      <w:bookmarkEnd w:id="465"/>
      <w:bookmarkEnd w:id="466"/>
      <w:bookmarkEnd w:id="467"/>
      <w:bookmarkEnd w:id="468"/>
      <w:bookmarkEnd w:id="469"/>
      <w:bookmarkEnd w:id="47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本项目系</w:t>
      </w:r>
      <w:r>
        <w:rPr>
          <w:rFonts w:hint="default" w:ascii="Times New Roman" w:hAnsi="Times New Roman" w:eastAsia="方正仿宋_GBK" w:cs="Times New Roman"/>
          <w:color w:val="auto"/>
          <w:sz w:val="28"/>
          <w:szCs w:val="28"/>
          <w:u w:val="single"/>
          <w:lang w:eastAsia="zh-CN"/>
        </w:rPr>
        <w:t>重庆机场</w:t>
      </w:r>
      <w:r>
        <w:rPr>
          <w:rFonts w:hint="default" w:ascii="Times New Roman" w:hAnsi="Times New Roman" w:eastAsia="方正仿宋_GBK" w:cs="Times New Roman"/>
          <w:color w:val="auto"/>
          <w:sz w:val="28"/>
          <w:szCs w:val="28"/>
          <w:u w:val="single"/>
        </w:rPr>
        <w:t>自动消防设施年度检测项目</w:t>
      </w:r>
      <w:r>
        <w:rPr>
          <w:rFonts w:hint="default" w:ascii="Times New Roman" w:hAnsi="Times New Roman" w:eastAsia="方正仿宋_GBK" w:cs="Times New Roman"/>
          <w:color w:val="auto"/>
          <w:sz w:val="28"/>
          <w:szCs w:val="28"/>
          <w:u w:val="single"/>
          <w:lang w:eastAsia="zh-CN"/>
        </w:rPr>
        <w:t>第一部分</w:t>
      </w:r>
      <w:r>
        <w:rPr>
          <w:rFonts w:hint="default" w:ascii="Times New Roman" w:hAnsi="Times New Roman" w:eastAsia="方正仿宋_GBK" w:cs="Times New Roman"/>
          <w:color w:val="auto"/>
          <w:sz w:val="28"/>
          <w:szCs w:val="28"/>
          <w:u w:val="single"/>
          <w:lang w:val="en-US" w:eastAsia="zh-CN"/>
        </w:rPr>
        <w:t>/第二部分/第</w:t>
      </w:r>
      <w:r>
        <w:rPr>
          <w:rFonts w:hint="eastAsia" w:eastAsia="方正仿宋_GBK" w:cs="Times New Roman"/>
          <w:color w:val="auto"/>
          <w:sz w:val="28"/>
          <w:szCs w:val="28"/>
          <w:u w:val="single"/>
          <w:lang w:val="en-US" w:eastAsia="zh-CN"/>
        </w:rPr>
        <w:t>三</w:t>
      </w:r>
      <w:r>
        <w:rPr>
          <w:rFonts w:hint="default" w:ascii="Times New Roman" w:hAnsi="Times New Roman" w:eastAsia="方正仿宋_GBK" w:cs="Times New Roman"/>
          <w:color w:val="auto"/>
          <w:sz w:val="28"/>
          <w:szCs w:val="28"/>
          <w:u w:val="single"/>
          <w:lang w:val="en-US" w:eastAsia="zh-CN"/>
        </w:rPr>
        <w:t>部分/第</w:t>
      </w:r>
      <w:r>
        <w:rPr>
          <w:rFonts w:hint="eastAsia" w:eastAsia="方正仿宋_GBK" w:cs="Times New Roman"/>
          <w:color w:val="auto"/>
          <w:sz w:val="28"/>
          <w:szCs w:val="28"/>
          <w:u w:val="single"/>
          <w:lang w:val="en-US" w:eastAsia="zh-CN"/>
        </w:rPr>
        <w:t>四</w:t>
      </w:r>
      <w:r>
        <w:rPr>
          <w:rFonts w:hint="default" w:ascii="Times New Roman" w:hAnsi="Times New Roman" w:eastAsia="方正仿宋_GBK" w:cs="Times New Roman"/>
          <w:color w:val="auto"/>
          <w:sz w:val="28"/>
          <w:szCs w:val="28"/>
          <w:u w:val="single"/>
          <w:lang w:val="en-US" w:eastAsia="zh-CN"/>
        </w:rPr>
        <w:t>部分</w:t>
      </w:r>
      <w:r>
        <w:rPr>
          <w:rFonts w:hint="default" w:ascii="Times New Roman" w:hAnsi="Times New Roman" w:eastAsia="方正仿宋_GBK" w:cs="Times New Roman"/>
          <w:color w:val="auto"/>
          <w:sz w:val="28"/>
          <w:szCs w:val="28"/>
        </w:rPr>
        <w:t>，涉及建（构）筑物面积约</w:t>
      </w:r>
      <w:r>
        <w:rPr>
          <w:rFonts w:hint="default" w:ascii="Times New Roman" w:hAnsi="Times New Roman" w:eastAsia="方正仿宋_GBK" w:cs="Times New Roman"/>
          <w:color w:val="auto"/>
          <w:sz w:val="28"/>
          <w:szCs w:val="28"/>
          <w:u w:val="single"/>
          <w:lang w:val="en-US" w:eastAsia="zh-CN"/>
        </w:rPr>
        <w:t>6.5万平方米/20.8万平方米</w:t>
      </w:r>
      <w:r>
        <w:rPr>
          <w:rFonts w:hint="default" w:ascii="Times New Roman" w:hAnsi="Times New Roman" w:eastAsia="方正仿宋_GBK"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楷体" w:hAnsi="楷体" w:eastAsia="楷体" w:cs="楷体"/>
          <w:b w:val="0"/>
          <w:bCs/>
          <w:color w:val="auto"/>
          <w:sz w:val="28"/>
          <w:szCs w:val="28"/>
        </w:rPr>
      </w:pPr>
      <w:bookmarkStart w:id="471" w:name="_Toc29979"/>
      <w:bookmarkStart w:id="472" w:name="_Toc8604"/>
      <w:bookmarkStart w:id="473" w:name="_Toc196"/>
      <w:bookmarkStart w:id="474" w:name="_Toc31249"/>
      <w:bookmarkStart w:id="475" w:name="_Toc25314"/>
      <w:bookmarkStart w:id="476" w:name="_Toc31365"/>
      <w:r>
        <w:rPr>
          <w:rFonts w:hint="eastAsia" w:ascii="楷体" w:hAnsi="楷体" w:eastAsia="楷体" w:cs="楷体"/>
          <w:b w:val="0"/>
          <w:bCs/>
          <w:color w:val="auto"/>
          <w:sz w:val="28"/>
          <w:szCs w:val="28"/>
        </w:rPr>
        <w:t>1.2 消防设施年度检测具体范围</w:t>
      </w:r>
      <w:bookmarkEnd w:id="471"/>
      <w:bookmarkEnd w:id="472"/>
      <w:bookmarkEnd w:id="473"/>
      <w:bookmarkEnd w:id="474"/>
      <w:bookmarkEnd w:id="475"/>
      <w:bookmarkEnd w:id="476"/>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黑体" w:hAnsi="黑体" w:eastAsia="黑体" w:cs="黑体"/>
          <w:b w:val="0"/>
          <w:bCs/>
          <w:color w:val="auto"/>
          <w:sz w:val="28"/>
          <w:szCs w:val="28"/>
          <w:lang w:eastAsia="zh-CN"/>
        </w:rPr>
      </w:pPr>
      <w:bookmarkStart w:id="477" w:name="_Toc4630"/>
      <w:bookmarkStart w:id="478" w:name="_Toc20711"/>
      <w:r>
        <w:rPr>
          <w:rFonts w:hint="eastAsia" w:ascii="黑体" w:hAnsi="黑体" w:eastAsia="黑体" w:cs="黑体"/>
          <w:b w:val="0"/>
          <w:bCs/>
          <w:color w:val="auto"/>
          <w:sz w:val="28"/>
          <w:szCs w:val="28"/>
          <w:lang w:eastAsia="zh-CN"/>
        </w:rPr>
        <w:t>第一部分检测范围</w:t>
      </w:r>
      <w:bookmarkEnd w:id="477"/>
      <w:bookmarkEnd w:id="478"/>
    </w:p>
    <w:tbl>
      <w:tblPr>
        <w:tblStyle w:val="17"/>
        <w:tblW w:w="82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3"/>
        <w:gridCol w:w="2526"/>
        <w:gridCol w:w="2349"/>
        <w:gridCol w:w="2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建（构）筑名称</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地址</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建筑面积(㎡）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ITC大楼</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机场东一路15号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15480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2</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信息公司原办公楼</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航娇路6号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3</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职工一食堂</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机场东一路10号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4</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商务楼（A栋和地下车库）</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机场东一路18号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40886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5</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商务楼B栋</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机场东一路18号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27983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6</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综合物资仓库(公区综合楼)</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机场东路28号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10450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7</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九食堂</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机场西二路</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8</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幸福佳苑B区1栋</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启航路32号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7111.46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9</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幸福佳苑B区2栋</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启航路32号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7111.46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10</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幸福佳苑B区3栋</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启航路32号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7111.46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11</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幸福佳苑B区4栋</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启航路32号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7111.46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12</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幸福佳苑B区食堂</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启航路32号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13</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边检大楼</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机场东二路5号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4957.7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14</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机场集团新办公楼</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机场东二路19号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26237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15</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会议中心</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机场东二路19号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4379.45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16</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机场体育中心</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航宾大道39号</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4555</w:t>
            </w:r>
          </w:p>
        </w:tc>
      </w:tr>
    </w:tbl>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黑体" w:hAnsi="黑体" w:eastAsia="黑体" w:cs="黑体"/>
          <w:b w:val="0"/>
          <w:bCs/>
          <w:color w:val="auto"/>
          <w:sz w:val="28"/>
          <w:szCs w:val="28"/>
          <w:lang w:eastAsia="zh-CN"/>
        </w:rPr>
        <w:sectPr>
          <w:pgSz w:w="11906" w:h="16838"/>
          <w:pgMar w:top="1440" w:right="1800" w:bottom="1440" w:left="1800" w:header="851" w:footer="992" w:gutter="0"/>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default"/>
          <w:color w:val="auto"/>
          <w:lang w:val="en-US" w:eastAsia="zh-CN"/>
        </w:rPr>
      </w:pPr>
      <w:r>
        <w:rPr>
          <w:rFonts w:hint="eastAsia" w:ascii="黑体" w:hAnsi="黑体" w:eastAsia="黑体" w:cs="黑体"/>
          <w:b w:val="0"/>
          <w:bCs/>
          <w:color w:val="auto"/>
          <w:sz w:val="28"/>
          <w:szCs w:val="28"/>
          <w:lang w:eastAsia="zh-CN"/>
        </w:rPr>
        <w:t>第二部分检测范围</w:t>
      </w:r>
    </w:p>
    <w:tbl>
      <w:tblPr>
        <w:tblStyle w:val="17"/>
        <w:tblW w:w="82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3"/>
        <w:gridCol w:w="2853"/>
        <w:gridCol w:w="2334"/>
        <w:gridCol w:w="1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outlineLvl w:val="9"/>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黑体" w:cs="Times New Roman"/>
                <w:color w:val="auto"/>
                <w:sz w:val="28"/>
                <w:szCs w:val="28"/>
              </w:rPr>
              <w:t>序号</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center"/>
              <w:textAlignment w:val="auto"/>
              <w:outlineLvl w:val="9"/>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黑体" w:cs="Times New Roman"/>
                <w:color w:val="auto"/>
                <w:sz w:val="28"/>
                <w:szCs w:val="28"/>
              </w:rPr>
              <w:t>建（构）筑名称</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outlineLvl w:val="9"/>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黑体" w:cs="Times New Roman"/>
                <w:color w:val="auto"/>
                <w:sz w:val="28"/>
                <w:szCs w:val="28"/>
                <w:lang w:val="en-US" w:eastAsia="zh-CN"/>
              </w:rPr>
              <w:t>地址</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center"/>
              <w:textAlignment w:val="auto"/>
              <w:outlineLvl w:val="9"/>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黑体" w:cs="Times New Roman"/>
                <w:color w:val="auto"/>
                <w:sz w:val="28"/>
                <w:szCs w:val="28"/>
                <w:lang w:val="en-US" w:eastAsia="zh-CN"/>
              </w:rPr>
              <w:t>建筑面积(㎡）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0"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一号能源中心（动力能源处办)</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机场东路30号</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10414.89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110KV变电站主控楼</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航宾大道38号</w:t>
            </w:r>
          </w:p>
        </w:tc>
        <w:tc>
          <w:tcPr>
            <w:tcW w:w="19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1203.41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110kV变电站办公楼</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航宾大道38号</w:t>
            </w:r>
          </w:p>
        </w:tc>
        <w:tc>
          <w:tcPr>
            <w:tcW w:w="19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2号（齐心）110kV变电站</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机场东二路26号</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3号（楚田）110kV变电站</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机场北二路16号</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西区3号开闭站</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机场西路11号（老集团办公楼旁）</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430.52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西区1号开闭站</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锦航路8号（综合口岸办对面）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1252.4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9"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西区动力中心</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航安路1号</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535.58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第三污水处理站</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机场东3路</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2772.44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rPr>
            </w:pPr>
            <w:r>
              <w:rPr>
                <w:rFonts w:hint="eastAsia" w:ascii="仿宋" w:hAnsi="仿宋" w:eastAsia="仿宋" w:cs="仿宋"/>
                <w:i w:val="0"/>
                <w:iCs w:val="0"/>
                <w:color w:val="auto"/>
                <w:kern w:val="0"/>
                <w:sz w:val="28"/>
                <w:szCs w:val="28"/>
                <w:highlight w:val="none"/>
                <w:u w:val="none"/>
                <w:lang w:val="en-US" w:eastAsia="zh-CN" w:bidi="ar"/>
              </w:rPr>
              <w:t>10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西区天然气阀室</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双凤支路45号</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i w:val="0"/>
                <w:iCs w:val="0"/>
                <w:color w:val="auto"/>
                <w:sz w:val="28"/>
                <w:szCs w:val="28"/>
                <w:highlight w:val="none"/>
                <w:u w:val="none"/>
                <w:lang w:val="en-US"/>
              </w:rPr>
            </w:pPr>
            <w:r>
              <w:rPr>
                <w:rFonts w:hint="eastAsia" w:ascii="仿宋" w:hAnsi="仿宋" w:eastAsia="仿宋" w:cs="仿宋"/>
                <w:i w:val="0"/>
                <w:iCs w:val="0"/>
                <w:color w:val="auto"/>
                <w:kern w:val="0"/>
                <w:sz w:val="28"/>
                <w:szCs w:val="28"/>
                <w:highlight w:val="none"/>
                <w:u w:val="none"/>
                <w:lang w:val="en-US" w:eastAsia="zh-CN" w:bidi="ar"/>
              </w:rPr>
              <w:t>11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五号坪充电站</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机坪北货运区</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1000</w:t>
            </w:r>
          </w:p>
        </w:tc>
      </w:tr>
    </w:tbl>
    <w:p>
      <w:pPr>
        <w:rPr>
          <w:rFonts w:hint="eastAsia"/>
          <w:color w:val="auto"/>
          <w:sz w:val="28"/>
          <w:szCs w:val="28"/>
          <w:lang w:eastAsia="zh-CN"/>
        </w:rPr>
      </w:pPr>
    </w:p>
    <w:p>
      <w:pPr>
        <w:pStyle w:val="2"/>
        <w:rPr>
          <w:rFonts w:hint="eastAsia"/>
          <w:color w:val="auto"/>
          <w:lang w:eastAsia="zh-CN"/>
        </w:rPr>
        <w:sectPr>
          <w:pgSz w:w="11906" w:h="16838"/>
          <w:pgMar w:top="1440" w:right="1800" w:bottom="1440" w:left="1800" w:header="851" w:footer="992" w:gutter="0"/>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default"/>
          <w:color w:val="auto"/>
          <w:lang w:val="en-US" w:eastAsia="zh-CN"/>
        </w:rPr>
      </w:pPr>
      <w:r>
        <w:rPr>
          <w:rFonts w:hint="eastAsia" w:ascii="黑体" w:hAnsi="黑体" w:eastAsia="黑体" w:cs="黑体"/>
          <w:b w:val="0"/>
          <w:bCs/>
          <w:color w:val="auto"/>
          <w:sz w:val="28"/>
          <w:szCs w:val="28"/>
          <w:lang w:eastAsia="zh-CN"/>
        </w:rPr>
        <w:t>第三部分检测范围</w:t>
      </w:r>
    </w:p>
    <w:tbl>
      <w:tblPr>
        <w:tblStyle w:val="17"/>
        <w:tblW w:w="8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1"/>
        <w:gridCol w:w="2933"/>
        <w:gridCol w:w="2235"/>
        <w:gridCol w:w="2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outlineLvl w:val="9"/>
              <w:rPr>
                <w:rFonts w:hint="eastAsia" w:ascii="仿宋" w:hAnsi="仿宋" w:eastAsia="仿宋" w:cs="仿宋"/>
                <w:i w:val="0"/>
                <w:iCs w:val="0"/>
                <w:color w:val="auto"/>
                <w:sz w:val="28"/>
                <w:szCs w:val="28"/>
                <w:highlight w:val="none"/>
                <w:u w:val="none"/>
              </w:rPr>
            </w:pPr>
            <w:r>
              <w:rPr>
                <w:rFonts w:hint="eastAsia" w:ascii="黑体" w:hAnsi="黑体" w:eastAsia="黑体" w:cs="黑体"/>
                <w:color w:val="auto"/>
                <w:sz w:val="28"/>
                <w:szCs w:val="28"/>
              </w:rPr>
              <w:t>序号</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center"/>
              <w:textAlignment w:val="auto"/>
              <w:outlineLvl w:val="9"/>
              <w:rPr>
                <w:rFonts w:hint="eastAsia" w:ascii="仿宋" w:hAnsi="仿宋" w:eastAsia="仿宋" w:cs="仿宋"/>
                <w:i w:val="0"/>
                <w:iCs w:val="0"/>
                <w:color w:val="auto"/>
                <w:sz w:val="28"/>
                <w:szCs w:val="28"/>
                <w:highlight w:val="none"/>
                <w:u w:val="none"/>
              </w:rPr>
            </w:pPr>
            <w:r>
              <w:rPr>
                <w:rFonts w:hint="eastAsia" w:ascii="黑体" w:hAnsi="黑体" w:eastAsia="黑体" w:cs="黑体"/>
                <w:color w:val="auto"/>
                <w:sz w:val="28"/>
                <w:szCs w:val="28"/>
              </w:rPr>
              <w:t>建（构）筑名称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outlineLvl w:val="9"/>
              <w:rPr>
                <w:rFonts w:hint="eastAsia" w:ascii="仿宋" w:hAnsi="仿宋" w:eastAsia="仿宋" w:cs="仿宋"/>
                <w:i w:val="0"/>
                <w:iCs w:val="0"/>
                <w:color w:val="auto"/>
                <w:sz w:val="28"/>
                <w:szCs w:val="28"/>
                <w:highlight w:val="none"/>
                <w:u w:val="none"/>
              </w:rPr>
            </w:pPr>
            <w:r>
              <w:rPr>
                <w:rFonts w:hint="eastAsia" w:ascii="黑体" w:hAnsi="黑体" w:eastAsia="黑体" w:cs="黑体"/>
                <w:color w:val="auto"/>
                <w:sz w:val="28"/>
                <w:szCs w:val="28"/>
                <w:lang w:val="en-US" w:eastAsia="zh-CN"/>
              </w:rPr>
              <w:t>地址</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center"/>
              <w:textAlignment w:val="auto"/>
              <w:outlineLvl w:val="9"/>
              <w:rPr>
                <w:rFonts w:hint="eastAsia" w:ascii="仿宋" w:hAnsi="仿宋" w:eastAsia="仿宋" w:cs="仿宋"/>
                <w:i w:val="0"/>
                <w:iCs w:val="0"/>
                <w:color w:val="auto"/>
                <w:sz w:val="28"/>
                <w:szCs w:val="28"/>
                <w:highlight w:val="none"/>
                <w:u w:val="none"/>
              </w:rPr>
            </w:pPr>
            <w:r>
              <w:rPr>
                <w:rFonts w:hint="eastAsia" w:ascii="黑体" w:hAnsi="黑体" w:eastAsia="黑体" w:cs="黑体"/>
                <w:color w:val="auto"/>
                <w:sz w:val="28"/>
                <w:szCs w:val="28"/>
                <w:lang w:val="en-US" w:eastAsia="zh-CN"/>
              </w:rPr>
              <w:t>建筑面积(㎡）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东区安检、医救办公楼</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翔安路16号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10623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东区安检宿舍楼</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翔安路16号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江北公司办公楼</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机场西路26号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8652.6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国检大楼</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机场东二路9号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海关大楼</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机场东二路7号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飞行区</w:t>
            </w:r>
            <w:r>
              <w:rPr>
                <w:rFonts w:hint="eastAsia" w:ascii="仿宋" w:hAnsi="仿宋" w:cs="仿宋"/>
                <w:i w:val="0"/>
                <w:iCs w:val="0"/>
                <w:color w:val="auto"/>
                <w:kern w:val="0"/>
                <w:sz w:val="28"/>
                <w:szCs w:val="28"/>
                <w:highlight w:val="none"/>
                <w:u w:val="none"/>
                <w:lang w:val="en-US" w:eastAsia="zh-CN" w:bidi="ar"/>
              </w:rPr>
              <w:t>航务</w:t>
            </w:r>
            <w:r>
              <w:rPr>
                <w:rFonts w:hint="eastAsia" w:ascii="仿宋" w:hAnsi="仿宋" w:eastAsia="仿宋" w:cs="仿宋"/>
                <w:i w:val="0"/>
                <w:iCs w:val="0"/>
                <w:color w:val="auto"/>
                <w:kern w:val="0"/>
                <w:sz w:val="28"/>
                <w:szCs w:val="28"/>
                <w:highlight w:val="none"/>
                <w:u w:val="none"/>
                <w:lang w:val="en-US" w:eastAsia="zh-CN" w:bidi="ar"/>
              </w:rPr>
              <w:t>管理部办公楼（</w:t>
            </w:r>
            <w:r>
              <w:rPr>
                <w:rFonts w:hint="eastAsia" w:ascii="仿宋" w:hAnsi="仿宋" w:cs="仿宋"/>
                <w:i w:val="0"/>
                <w:iCs w:val="0"/>
                <w:color w:val="auto"/>
                <w:kern w:val="0"/>
                <w:sz w:val="28"/>
                <w:szCs w:val="28"/>
                <w:highlight w:val="none"/>
                <w:u w:val="none"/>
                <w:lang w:val="en-US" w:eastAsia="zh-CN" w:bidi="ar"/>
              </w:rPr>
              <w:t>飞航</w:t>
            </w:r>
            <w:r>
              <w:rPr>
                <w:rFonts w:hint="eastAsia" w:ascii="仿宋" w:hAnsi="仿宋" w:eastAsia="仿宋" w:cs="仿宋"/>
                <w:i w:val="0"/>
                <w:iCs w:val="0"/>
                <w:color w:val="auto"/>
                <w:kern w:val="0"/>
                <w:sz w:val="28"/>
                <w:szCs w:val="28"/>
                <w:highlight w:val="none"/>
                <w:u w:val="none"/>
                <w:lang w:val="en-US" w:eastAsia="zh-CN" w:bidi="ar"/>
              </w:rPr>
              <w:t>楼）</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机场东路17号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6904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1号灯光站</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航宾大道37号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2号灯光站</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飞行区内</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3号灯光站</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飞行区内</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4号灯光站</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飞行区内</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cs="仿宋"/>
                <w:i w:val="0"/>
                <w:iCs w:val="0"/>
                <w:color w:val="auto"/>
                <w:kern w:val="0"/>
                <w:sz w:val="28"/>
                <w:szCs w:val="28"/>
                <w:highlight w:val="none"/>
                <w:u w:val="none"/>
                <w:lang w:val="en-US" w:eastAsia="zh-CN" w:bidi="ar"/>
              </w:rPr>
              <w:t>消防监护部、综合执法</w:t>
            </w:r>
            <w:r>
              <w:rPr>
                <w:rFonts w:hint="eastAsia" w:ascii="仿宋" w:hAnsi="仿宋" w:eastAsia="仿宋" w:cs="仿宋"/>
                <w:i w:val="0"/>
                <w:iCs w:val="0"/>
                <w:color w:val="auto"/>
                <w:kern w:val="0"/>
                <w:sz w:val="28"/>
                <w:szCs w:val="28"/>
                <w:highlight w:val="none"/>
                <w:u w:val="none"/>
                <w:lang w:val="en-US" w:eastAsia="zh-CN" w:bidi="ar"/>
              </w:rPr>
              <w:t>办公楼</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机场东路15号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02L航向台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跑道02L侧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02L下滑台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跑道02L侧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02R航向台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跑道02R侧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02R下滑台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跑道02R侧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20L航向台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跑道20L侧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20L下滑台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跑道20L侧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20R航向台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跑道20R侧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20R下滑台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跑道20R侧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03航向台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跑道03北端</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03下滑台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跑道03西侧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21航向台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跑道21南端</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21下滑台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跑道21西侧</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南近台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跑道02L南端</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北外指点标台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渝北区木耳镇举人坝村</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北中指点标台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渝北区双凤办事处新华村</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统景导航台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渝北区统景镇御临村二社</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长生导航台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南岸区长生镇石桥铺街107号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sz w:val="28"/>
                <w:szCs w:val="28"/>
                <w:highlight w:val="none"/>
                <w:u w:val="none"/>
                <w:lang w:eastAsia="zh-CN"/>
              </w:rPr>
              <w:t>西区武警用房（厨房和燃气热水间可燃气体探测报警系统）</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航惠路21号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cs="仿宋"/>
                <w:color w:val="auto"/>
                <w:sz w:val="28"/>
                <w:szCs w:val="28"/>
                <w:lang w:val="en-US" w:eastAsia="zh-CN"/>
              </w:rPr>
              <w:t>400</w:t>
            </w:r>
          </w:p>
        </w:tc>
      </w:tr>
    </w:tbl>
    <w:p>
      <w:pPr>
        <w:rPr>
          <w:rFonts w:hint="eastAsia"/>
          <w:color w:val="auto"/>
          <w:lang w:eastAsia="zh-CN"/>
        </w:rPr>
      </w:pP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黑体" w:hAnsi="黑体" w:eastAsia="黑体" w:cs="黑体"/>
          <w:b w:val="0"/>
          <w:bCs/>
          <w:color w:val="auto"/>
          <w:sz w:val="28"/>
          <w:szCs w:val="28"/>
          <w:lang w:eastAsia="zh-CN"/>
        </w:rPr>
        <w:sectPr>
          <w:pgSz w:w="11906" w:h="16838"/>
          <w:pgMar w:top="1383" w:right="1689" w:bottom="1383" w:left="1689" w:header="851" w:footer="992" w:gutter="0"/>
          <w:cols w:space="0" w:num="1"/>
          <w:rtlGutter w:val="0"/>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default"/>
          <w:color w:val="auto"/>
          <w:lang w:val="en-US" w:eastAsia="zh-CN"/>
        </w:rPr>
      </w:pPr>
      <w:r>
        <w:rPr>
          <w:rFonts w:hint="eastAsia" w:ascii="黑体" w:hAnsi="黑体" w:eastAsia="黑体" w:cs="黑体"/>
          <w:b w:val="0"/>
          <w:bCs/>
          <w:color w:val="auto"/>
          <w:sz w:val="28"/>
          <w:szCs w:val="28"/>
          <w:lang w:eastAsia="zh-CN"/>
        </w:rPr>
        <w:t>第四部分检测范围</w:t>
      </w:r>
    </w:p>
    <w:tbl>
      <w:tblPr>
        <w:tblStyle w:val="17"/>
        <w:tblW w:w="83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2883"/>
        <w:gridCol w:w="2330"/>
        <w:gridCol w:w="1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80" w:lineRule="exact"/>
              <w:ind w:firstLine="0" w:firstLineChars="0"/>
              <w:jc w:val="center"/>
              <w:textAlignment w:val="auto"/>
              <w:outlineLvl w:val="9"/>
              <w:rPr>
                <w:rFonts w:hint="eastAsia" w:ascii="仿宋" w:hAnsi="仿宋" w:eastAsia="仿宋" w:cs="仿宋"/>
                <w:i w:val="0"/>
                <w:iCs w:val="0"/>
                <w:color w:val="auto"/>
                <w:sz w:val="28"/>
                <w:szCs w:val="28"/>
                <w:highlight w:val="none"/>
                <w:u w:val="none"/>
              </w:rPr>
            </w:pPr>
            <w:r>
              <w:rPr>
                <w:rFonts w:hint="default" w:ascii="Times New Roman" w:hAnsi="Times New Roman" w:eastAsia="黑体" w:cs="Times New Roman"/>
                <w:color w:val="auto"/>
                <w:sz w:val="28"/>
                <w:szCs w:val="28"/>
              </w:rPr>
              <w:t>序号</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line="480" w:lineRule="exact"/>
              <w:ind w:left="0" w:leftChars="0" w:firstLine="0" w:firstLineChars="0"/>
              <w:jc w:val="center"/>
              <w:textAlignment w:val="auto"/>
              <w:outlineLvl w:val="9"/>
              <w:rPr>
                <w:rFonts w:hint="eastAsia" w:ascii="仿宋" w:hAnsi="仿宋" w:eastAsia="仿宋" w:cs="仿宋"/>
                <w:i w:val="0"/>
                <w:iCs w:val="0"/>
                <w:color w:val="auto"/>
                <w:sz w:val="28"/>
                <w:szCs w:val="28"/>
                <w:highlight w:val="none"/>
                <w:u w:val="none"/>
              </w:rPr>
            </w:pPr>
            <w:r>
              <w:rPr>
                <w:rFonts w:hint="default" w:ascii="Times New Roman" w:hAnsi="Times New Roman" w:eastAsia="黑体" w:cs="Times New Roman"/>
                <w:color w:val="auto"/>
                <w:sz w:val="28"/>
                <w:szCs w:val="28"/>
              </w:rPr>
              <w:t>建（构）筑名称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Lines="0" w:afterLines="0" w:line="480" w:lineRule="exact"/>
              <w:ind w:firstLine="0" w:firstLineChars="0"/>
              <w:jc w:val="center"/>
              <w:textAlignment w:val="auto"/>
              <w:outlineLvl w:val="9"/>
              <w:rPr>
                <w:rFonts w:hint="eastAsia" w:ascii="仿宋" w:hAnsi="仿宋" w:eastAsia="仿宋" w:cs="仿宋"/>
                <w:i w:val="0"/>
                <w:iCs w:val="0"/>
                <w:color w:val="auto"/>
                <w:sz w:val="28"/>
                <w:szCs w:val="28"/>
                <w:highlight w:val="none"/>
                <w:u w:val="none"/>
              </w:rPr>
            </w:pPr>
            <w:r>
              <w:rPr>
                <w:rFonts w:hint="default" w:ascii="Times New Roman" w:hAnsi="Times New Roman" w:eastAsia="黑体" w:cs="Times New Roman"/>
                <w:color w:val="auto"/>
                <w:sz w:val="28"/>
                <w:szCs w:val="28"/>
                <w:lang w:val="en-US" w:eastAsia="zh-CN"/>
              </w:rPr>
              <w:t>地址</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Lines="0" w:afterLines="0" w:line="480" w:lineRule="exact"/>
              <w:ind w:left="0" w:leftChars="0" w:firstLine="0" w:firstLineChars="0"/>
              <w:jc w:val="center"/>
              <w:textAlignment w:val="auto"/>
              <w:outlineLvl w:val="9"/>
              <w:rPr>
                <w:rFonts w:hint="eastAsia" w:ascii="仿宋" w:hAnsi="仿宋" w:eastAsia="仿宋" w:cs="仿宋"/>
                <w:i w:val="0"/>
                <w:iCs w:val="0"/>
                <w:color w:val="auto"/>
                <w:sz w:val="28"/>
                <w:szCs w:val="28"/>
                <w:highlight w:val="none"/>
                <w:u w:val="none"/>
              </w:rPr>
            </w:pPr>
            <w:r>
              <w:rPr>
                <w:rFonts w:hint="default" w:ascii="Times New Roman" w:hAnsi="Times New Roman" w:eastAsia="黑体" w:cs="Times New Roman"/>
                <w:color w:val="auto"/>
                <w:sz w:val="28"/>
                <w:szCs w:val="28"/>
                <w:lang w:val="en-US" w:eastAsia="zh-CN"/>
              </w:rPr>
              <w:t>建筑面积(㎡）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物流园区综合楼</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机场北一路5号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17980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北区1号货站</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机场北一路6号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北区2号货站</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机场北一路8号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4</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北区3号货站</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机场北一路10号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北区消防水泵房</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机场北一路10号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6</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北区车辆检修库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机场北一路16号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7</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北区1号货代库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机场北一路4号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sz w:val="28"/>
                <w:szCs w:val="28"/>
                <w:highlight w:val="none"/>
                <w:u w:val="none"/>
                <w:lang w:val="en-US"/>
              </w:rPr>
            </w:pPr>
            <w:r>
              <w:rPr>
                <w:rFonts w:hint="eastAsia" w:ascii="仿宋" w:hAnsi="仿宋" w:eastAsia="仿宋" w:cs="仿宋"/>
                <w:i w:val="0"/>
                <w:iCs w:val="0"/>
                <w:color w:val="auto"/>
                <w:kern w:val="0"/>
                <w:sz w:val="28"/>
                <w:szCs w:val="28"/>
                <w:highlight w:val="none"/>
                <w:u w:val="none"/>
                <w:lang w:val="en-US" w:eastAsia="zh-CN" w:bidi="ar"/>
              </w:rPr>
              <w:t>4456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8</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北区2号货代库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机场北一路4号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9</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北区3号货代库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机场北一路4号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sz w:val="28"/>
                <w:szCs w:val="28"/>
                <w:highlight w:val="none"/>
                <w:u w:val="none"/>
                <w:lang w:val="en-US"/>
              </w:rPr>
            </w:pPr>
            <w:r>
              <w:rPr>
                <w:rFonts w:hint="eastAsia" w:ascii="仿宋" w:hAnsi="仿宋" w:eastAsia="仿宋" w:cs="仿宋"/>
                <w:i w:val="0"/>
                <w:iCs w:val="0"/>
                <w:color w:val="auto"/>
                <w:kern w:val="0"/>
                <w:sz w:val="28"/>
                <w:szCs w:val="28"/>
                <w:highlight w:val="none"/>
                <w:u w:val="none"/>
                <w:lang w:val="en-US" w:eastAsia="zh-CN" w:bidi="ar"/>
              </w:rPr>
              <w:t>4456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10</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北区4号货代库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机场北一路4号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11</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北区5号货代库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机场北二路25号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12</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北区6号货代库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机场北二路25号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13</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北区7号货代库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机场北二路25号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14</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北区8号货代库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机场北二路25号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15</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国际2号货站</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机场北二路24号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33249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16</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国际3号货站</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机场北二路22号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21798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17</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国际危险品库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机场北二路24号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18</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国际货运综合楼（含海关指定监管场地、宿舍、营业厅）</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机场北二路18号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15489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19</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国际货站消防水泵房</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国际3号货站旁</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20</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国际叉车充电棚</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国际3号货站旁</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21</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北区特运库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北区3号货站</w:t>
            </w:r>
            <w:r>
              <w:rPr>
                <w:rFonts w:hint="eastAsia" w:ascii="仿宋" w:hAnsi="仿宋" w:cs="仿宋"/>
                <w:i w:val="0"/>
                <w:iCs w:val="0"/>
                <w:color w:val="auto"/>
                <w:kern w:val="0"/>
                <w:sz w:val="28"/>
                <w:szCs w:val="28"/>
                <w:highlight w:val="none"/>
                <w:u w:val="none"/>
                <w:lang w:val="en-US" w:eastAsia="zh-CN" w:bidi="ar"/>
              </w:rPr>
              <w:t>旁</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80" w:lineRule="exact"/>
              <w:ind w:left="0" w:leftChars="0"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合</w:t>
            </w:r>
            <w:r>
              <w:rPr>
                <w:rFonts w:hint="eastAsia" w:ascii="仿宋" w:hAnsi="仿宋" w:cs="仿宋"/>
                <w:i w:val="0"/>
                <w:iCs w:val="0"/>
                <w:color w:val="auto"/>
                <w:sz w:val="28"/>
                <w:szCs w:val="28"/>
                <w:highlight w:val="none"/>
                <w:u w:val="none"/>
                <w:lang w:eastAsia="zh-CN"/>
              </w:rPr>
              <w:t>计</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top"/>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cs="仿宋"/>
                <w:i w:val="0"/>
                <w:iCs w:val="0"/>
                <w:color w:val="auto"/>
                <w:kern w:val="0"/>
                <w:sz w:val="28"/>
                <w:szCs w:val="28"/>
                <w:highlight w:val="none"/>
                <w:u w:val="none"/>
                <w:lang w:val="en-US" w:eastAsia="zh-CN" w:bidi="ar"/>
              </w:rPr>
              <w:t>213110</w:t>
            </w:r>
          </w:p>
        </w:tc>
      </w:tr>
    </w:tbl>
    <w:p>
      <w:pPr>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b w:val="0"/>
          <w:bCs/>
          <w:color w:val="auto"/>
          <w:sz w:val="28"/>
          <w:szCs w:val="28"/>
        </w:rPr>
      </w:pPr>
      <w:bookmarkStart w:id="479" w:name="_Toc290"/>
      <w:bookmarkStart w:id="480" w:name="_Toc28031"/>
      <w:bookmarkStart w:id="481" w:name="_Toc27378"/>
      <w:bookmarkStart w:id="482" w:name="_Toc210"/>
      <w:bookmarkStart w:id="483" w:name="_Toc14254"/>
      <w:bookmarkStart w:id="484" w:name="_Toc30207"/>
      <w:r>
        <w:rPr>
          <w:rFonts w:hint="eastAsia" w:ascii="楷体" w:hAnsi="楷体" w:eastAsia="楷体" w:cs="楷体"/>
          <w:b w:val="0"/>
          <w:bCs/>
          <w:color w:val="auto"/>
          <w:sz w:val="28"/>
          <w:szCs w:val="28"/>
        </w:rPr>
        <w:t>1.3 消防年度检测服务内容</w:t>
      </w:r>
      <w:bookmarkEnd w:id="479"/>
      <w:bookmarkEnd w:id="480"/>
      <w:bookmarkEnd w:id="481"/>
      <w:bookmarkEnd w:id="482"/>
      <w:bookmarkEnd w:id="483"/>
      <w:bookmarkEnd w:id="484"/>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服务范围中所列建筑的全部自动消防设施（包括但不限于：消防供配电设施、火灾自动报警及联动控制系统、图形显示系统装置、火灾应急广播、消防通讯、水灭火系统、气体灭火系统、厨房灭火装置、防排烟系统、防火卷帘与防火门、消防电梯、应急照明与疏散指示标志、电气火灾监控系统、消防电源监控系统、消防</w:t>
      </w:r>
      <w:r>
        <w:rPr>
          <w:rFonts w:hint="eastAsia" w:eastAsia="方正仿宋_GBK" w:cs="Times New Roman"/>
          <w:color w:val="auto"/>
          <w:sz w:val="28"/>
          <w:szCs w:val="28"/>
          <w:lang w:val="en-US" w:eastAsia="zh-CN"/>
        </w:rPr>
        <w:t>设备</w:t>
      </w:r>
      <w:r>
        <w:rPr>
          <w:rFonts w:hint="eastAsia" w:ascii="Times New Roman" w:hAnsi="Times New Roman" w:eastAsia="方正仿宋_GBK" w:cs="Times New Roman"/>
          <w:color w:val="auto"/>
          <w:sz w:val="28"/>
          <w:szCs w:val="28"/>
          <w:lang w:val="en-US" w:eastAsia="zh-CN"/>
        </w:rPr>
        <w:t>应急电源</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可燃气体探测系统、灭火器等）的检测任务全部委托给服务商，服务商按照国家、行业相关技术标准规定的内容、程序、要求，参照《建筑消防设施检测技术规程》（DB 50/T 24-2011）进行检测，并出具具有法律效力的检测报告（一式两份）。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b w:val="0"/>
          <w:bCs/>
          <w:color w:val="auto"/>
          <w:sz w:val="28"/>
          <w:szCs w:val="28"/>
        </w:rPr>
      </w:pPr>
      <w:bookmarkStart w:id="485" w:name="_Toc27747"/>
      <w:bookmarkStart w:id="486" w:name="_Toc23643"/>
      <w:bookmarkStart w:id="487" w:name="_Toc16222"/>
      <w:bookmarkStart w:id="488" w:name="_Toc32633"/>
      <w:bookmarkStart w:id="489" w:name="_Toc27410"/>
      <w:bookmarkStart w:id="490" w:name="_Toc1595"/>
      <w:r>
        <w:rPr>
          <w:rFonts w:hint="eastAsia" w:ascii="楷体" w:hAnsi="楷体" w:eastAsia="楷体" w:cs="楷体"/>
          <w:b w:val="0"/>
          <w:bCs/>
          <w:color w:val="auto"/>
          <w:sz w:val="28"/>
          <w:szCs w:val="28"/>
        </w:rPr>
        <w:t>1.4 主要检测依据</w:t>
      </w:r>
      <w:bookmarkEnd w:id="485"/>
      <w:bookmarkEnd w:id="486"/>
      <w:bookmarkEnd w:id="487"/>
      <w:bookmarkEnd w:id="488"/>
      <w:bookmarkEnd w:id="489"/>
      <w:bookmarkEnd w:id="490"/>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《中华人民共和国消防法》</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《重庆市消防条例》</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《建筑消防设施的维护管理》（GB 25201-2010）</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《社会消防技术服务管理规定》（中华人民共和国应急管理部令</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第7号）</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二、合同价款和支付方式</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2.1 该项目检测金额为不含税</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lang w:val="en-US" w:eastAsia="zh-CN"/>
        </w:rPr>
        <w:t>元，（大写</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lang w:val="en-US" w:eastAsia="zh-CN"/>
        </w:rPr>
        <w:t>），含税</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lang w:val="en-US" w:eastAsia="zh-CN"/>
        </w:rPr>
        <w:t>元，（大写</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lang w:val="en-US" w:eastAsia="zh-CN"/>
        </w:rPr>
        <w:t>），税率为</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zh-CN" w:eastAsia="zh-CN"/>
        </w:rPr>
      </w:pPr>
      <w:r>
        <w:rPr>
          <w:rFonts w:hint="eastAsia" w:ascii="Times New Roman" w:hAnsi="Times New Roman" w:eastAsia="方正仿宋_GBK" w:cs="Times New Roman"/>
          <w:color w:val="auto"/>
          <w:sz w:val="28"/>
          <w:szCs w:val="28"/>
          <w:lang w:val="en-US" w:eastAsia="zh-CN"/>
        </w:rPr>
        <w:t xml:space="preserve">2.2 </w:t>
      </w:r>
      <w:r>
        <w:rPr>
          <w:rFonts w:hint="eastAsia" w:ascii="Times New Roman" w:hAnsi="Times New Roman" w:eastAsia="方正仿宋_GBK" w:cs="Times New Roman"/>
          <w:color w:val="auto"/>
          <w:sz w:val="28"/>
          <w:szCs w:val="28"/>
          <w:lang w:val="zh-CN" w:eastAsia="zh-CN"/>
        </w:rPr>
        <w:t>接收到乙方按照本合同第四条出具的</w:t>
      </w:r>
      <w:r>
        <w:rPr>
          <w:rFonts w:hint="eastAsia" w:ascii="Times New Roman" w:hAnsi="Times New Roman" w:eastAsia="方正仿宋_GBK" w:cs="Times New Roman"/>
          <w:color w:val="auto"/>
          <w:sz w:val="28"/>
          <w:szCs w:val="28"/>
          <w:lang w:val="en-US" w:eastAsia="zh-CN"/>
        </w:rPr>
        <w:t>《建筑消防设施质量检测报告》和提交相关材料</w:t>
      </w:r>
      <w:r>
        <w:rPr>
          <w:rFonts w:hint="eastAsia" w:ascii="Times New Roman" w:hAnsi="Times New Roman" w:eastAsia="方正仿宋_GBK" w:cs="Times New Roman"/>
          <w:color w:val="auto"/>
          <w:sz w:val="28"/>
          <w:szCs w:val="28"/>
          <w:lang w:val="zh-CN" w:eastAsia="zh-CN"/>
        </w:rPr>
        <w:t>并经确认且乙方提供增值税专用发票后，甲方在</w:t>
      </w:r>
      <w:r>
        <w:rPr>
          <w:rFonts w:hint="eastAsia" w:ascii="Times New Roman" w:hAnsi="Times New Roman" w:eastAsia="方正仿宋_GBK" w:cs="Times New Roman"/>
          <w:color w:val="auto"/>
          <w:sz w:val="28"/>
          <w:szCs w:val="28"/>
          <w:lang w:val="en-US" w:eastAsia="zh-CN"/>
        </w:rPr>
        <w:t>30个工作日内</w:t>
      </w:r>
      <w:r>
        <w:rPr>
          <w:rFonts w:hint="eastAsia" w:ascii="Times New Roman" w:hAnsi="Times New Roman" w:eastAsia="方正仿宋_GBK" w:cs="Times New Roman"/>
          <w:color w:val="auto"/>
          <w:sz w:val="28"/>
          <w:szCs w:val="28"/>
          <w:lang w:val="zh-CN" w:eastAsia="zh-CN"/>
        </w:rPr>
        <w:t>支付</w:t>
      </w:r>
      <w:r>
        <w:rPr>
          <w:rFonts w:hint="eastAsia" w:ascii="Times New Roman" w:hAnsi="Times New Roman" w:eastAsia="方正仿宋_GBK" w:cs="Times New Roman"/>
          <w:color w:val="auto"/>
          <w:sz w:val="28"/>
          <w:szCs w:val="28"/>
          <w:lang w:val="en-US" w:eastAsia="zh-CN"/>
        </w:rPr>
        <w:t>全部款项</w:t>
      </w:r>
      <w:r>
        <w:rPr>
          <w:rFonts w:hint="eastAsia" w:ascii="Times New Roman" w:hAnsi="Times New Roman" w:eastAsia="方正仿宋_GBK" w:cs="Times New Roman"/>
          <w:color w:val="auto"/>
          <w:sz w:val="28"/>
          <w:szCs w:val="28"/>
          <w:lang w:val="zh-CN" w:eastAsia="zh-CN"/>
        </w:rPr>
        <w:t>。</w:t>
      </w:r>
      <w:r>
        <w:rPr>
          <w:rFonts w:hint="eastAsia" w:ascii="Times New Roman" w:hAnsi="Times New Roman" w:eastAsia="方正仿宋_GBK" w:cs="Times New Roman"/>
          <w:color w:val="auto"/>
          <w:sz w:val="28"/>
          <w:szCs w:val="28"/>
          <w:lang w:val="en-US" w:eastAsia="zh-CN"/>
        </w:rPr>
        <w:t>如税率发生国家法规调整，折算为不含税价后以新适用税率结算。</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三、履约保证金</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GB" w:eastAsia="zh-CN"/>
        </w:rPr>
        <w:t>开户行：建设银行重庆渝北机场支行</w:t>
      </w:r>
      <w:r>
        <w:rPr>
          <w:rFonts w:hint="eastAsia" w:eastAsia="方正仿宋_GBK" w:cs="Times New Roman"/>
          <w:color w:val="auto"/>
          <w:sz w:val="28"/>
          <w:szCs w:val="28"/>
          <w:lang w:val="en-GB" w:eastAsia="zh-CN"/>
        </w:rPr>
        <w:t>。</w:t>
      </w:r>
      <w:r>
        <w:rPr>
          <w:rFonts w:hint="eastAsia" w:ascii="Times New Roman" w:hAnsi="Times New Roman" w:eastAsia="方正仿宋_GBK" w:cs="Times New Roman"/>
          <w:color w:val="auto"/>
          <w:sz w:val="28"/>
          <w:szCs w:val="28"/>
          <w:lang w:val="en-GB" w:eastAsia="zh-CN"/>
        </w:rPr>
        <w:t>账号：50001083800050000447</w:t>
      </w:r>
      <w:r>
        <w:rPr>
          <w:rFonts w:hint="eastAsia" w:eastAsia="方正仿宋_GBK" w:cs="Times New Roman"/>
          <w:color w:val="auto"/>
          <w:sz w:val="28"/>
          <w:szCs w:val="28"/>
          <w:lang w:val="en-GB" w:eastAsia="zh-CN"/>
        </w:rPr>
        <w:t>（第一部分）</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GB" w:eastAsia="zh-CN"/>
        </w:rPr>
        <w:t>50001083800050000447</w:t>
      </w:r>
      <w:r>
        <w:rPr>
          <w:rFonts w:hint="eastAsia" w:eastAsia="方正仿宋_GBK" w:cs="Times New Roman"/>
          <w:color w:val="auto"/>
          <w:sz w:val="28"/>
          <w:szCs w:val="28"/>
          <w:lang w:val="en-GB" w:eastAsia="zh-CN"/>
        </w:rPr>
        <w:t>（第二部分）</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50050108380000000060</w:t>
      </w:r>
      <w:r>
        <w:rPr>
          <w:rFonts w:hint="eastAsia" w:eastAsia="方正仿宋_GBK" w:cs="Times New Roman"/>
          <w:color w:val="auto"/>
          <w:sz w:val="28"/>
          <w:szCs w:val="28"/>
          <w:lang w:val="en-US" w:eastAsia="zh-CN"/>
        </w:rPr>
        <w:t>（第三部分）/</w:t>
      </w:r>
      <w:r>
        <w:rPr>
          <w:rFonts w:hint="eastAsia" w:ascii="Times New Roman" w:hAnsi="Times New Roman" w:eastAsia="方正仿宋_GBK" w:cs="Times New Roman"/>
          <w:color w:val="auto"/>
          <w:sz w:val="28"/>
          <w:szCs w:val="28"/>
          <w:lang w:val="en-US" w:eastAsia="zh-CN"/>
        </w:rPr>
        <w:t>50001083800050201417</w:t>
      </w:r>
      <w:r>
        <w:rPr>
          <w:rFonts w:hint="eastAsia" w:eastAsia="方正仿宋_GBK" w:cs="Times New Roman"/>
          <w:color w:val="auto"/>
          <w:sz w:val="28"/>
          <w:szCs w:val="28"/>
          <w:lang w:val="en-US" w:eastAsia="zh-CN"/>
        </w:rPr>
        <w:t>（第四部分），</w:t>
      </w:r>
      <w:r>
        <w:rPr>
          <w:rFonts w:hint="eastAsia" w:ascii="Times New Roman" w:hAnsi="Times New Roman" w:eastAsia="方正仿宋_GBK" w:cs="Times New Roman"/>
          <w:color w:val="auto"/>
          <w:sz w:val="28"/>
          <w:szCs w:val="28"/>
          <w:lang w:val="en-US" w:eastAsia="zh-CN"/>
        </w:rPr>
        <w:t>履约保证金为合同不含税总价款的10%，成交人应在</w:t>
      </w:r>
      <w:r>
        <w:rPr>
          <w:rFonts w:hint="eastAsia" w:ascii="仿宋" w:hAnsi="仿宋" w:eastAsia="仿宋" w:cs="仿宋"/>
          <w:color w:val="auto"/>
          <w:sz w:val="28"/>
          <w:szCs w:val="28"/>
        </w:rPr>
        <w:t>收到成交通知书1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日内且在合同签订前</w:t>
      </w:r>
      <w:r>
        <w:rPr>
          <w:rFonts w:hint="eastAsia" w:ascii="Times New Roman" w:hAnsi="Times New Roman" w:eastAsia="方正仿宋_GBK" w:cs="Times New Roman"/>
          <w:color w:val="auto"/>
          <w:sz w:val="28"/>
          <w:szCs w:val="28"/>
          <w:lang w:val="en-US" w:eastAsia="zh-CN"/>
        </w:rPr>
        <w:t>自行交纳并前往甲方财务部门换取交纳保证金收据。合同履行完毕，若成交方在本合同有效期内完全履行本合同条款，服从甲方监管，无违规事件、无劳资纠纷等问题，并妥善处理好善后各项事宜，乙方向甲方提出退款申请后，甲方在30个工作日内将履约保证金无息全额返还乙方。若出现上述情况或其它违约情况，甲方有权根据实际情况扣除该履约保证金。合同履行期间，乙方应在甲方扣除履约保证金后的5个工作日内通过转账补交履约保证金。</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四、检测完成后由乙方出具检测报告和提交相关材料（均须A4纸装订成册，形式与正版书籍一致，不得采用活页、抽杆夹等）</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4.1 检测期间，乙方应于每周二12</w:t>
      </w:r>
      <w:r>
        <w:rPr>
          <w:rFonts w:hint="eastAsia" w:eastAsia="方正仿宋_GBK" w:cs="Times New Roman"/>
          <w:color w:val="auto"/>
          <w:sz w:val="28"/>
          <w:szCs w:val="28"/>
          <w:lang w:val="en-US" w:eastAsia="zh-CN"/>
        </w:rPr>
        <w:t>：00</w:t>
      </w:r>
      <w:r>
        <w:rPr>
          <w:rFonts w:hint="eastAsia" w:ascii="Times New Roman" w:hAnsi="Times New Roman" w:eastAsia="方正仿宋_GBK" w:cs="Times New Roman"/>
          <w:color w:val="auto"/>
          <w:sz w:val="28"/>
          <w:szCs w:val="28"/>
          <w:lang w:val="en-US" w:eastAsia="zh-CN"/>
        </w:rPr>
        <w:t>时前将上周的检测情况报甲方监管部门。</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4.2 乙方应在202</w:t>
      </w:r>
      <w:r>
        <w:rPr>
          <w:rFonts w:hint="eastAsia" w:eastAsia="方正仿宋_GBK" w:cs="Times New Roman"/>
          <w:color w:val="auto"/>
          <w:sz w:val="28"/>
          <w:szCs w:val="28"/>
          <w:lang w:val="en-US" w:eastAsia="zh-CN"/>
        </w:rPr>
        <w:t>4</w:t>
      </w:r>
      <w:r>
        <w:rPr>
          <w:rFonts w:hint="eastAsia" w:ascii="Times New Roman" w:hAnsi="Times New Roman" w:eastAsia="方正仿宋_GBK" w:cs="Times New Roman"/>
          <w:color w:val="auto"/>
          <w:sz w:val="28"/>
          <w:szCs w:val="28"/>
          <w:lang w:val="en-US" w:eastAsia="zh-CN"/>
        </w:rPr>
        <w:t>年  月  日9:00前完成相关服务内容并将纸质《建筑消防设施质量检测报告》交至甲方。每个建筑单独出一份报告，若一个消防控制室辐射若干栋建筑，则将涉及的建筑出一份报告。</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4.3 提交相关材料：乙方单独出具一份消防设施状况总体分析报告，分析当前存在的共性问题、严重缺陷项及改进建议。</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五、甲乙双方权利与责任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b w:val="0"/>
          <w:bCs/>
          <w:color w:val="auto"/>
          <w:sz w:val="28"/>
          <w:szCs w:val="28"/>
        </w:rPr>
      </w:pPr>
      <w:bookmarkStart w:id="491" w:name="_Toc10445"/>
      <w:bookmarkStart w:id="492" w:name="_Toc29940"/>
      <w:bookmarkStart w:id="493" w:name="_Toc22908"/>
      <w:bookmarkStart w:id="494" w:name="_Toc2737"/>
      <w:bookmarkStart w:id="495" w:name="_Toc11662"/>
      <w:bookmarkStart w:id="496" w:name="_Toc21144"/>
      <w:r>
        <w:rPr>
          <w:rFonts w:hint="eastAsia" w:ascii="楷体" w:hAnsi="楷体" w:eastAsia="楷体" w:cs="楷体"/>
          <w:b w:val="0"/>
          <w:bCs/>
          <w:color w:val="auto"/>
          <w:sz w:val="28"/>
          <w:szCs w:val="28"/>
        </w:rPr>
        <w:t>5.1 甲方权责</w:t>
      </w:r>
      <w:bookmarkEnd w:id="491"/>
      <w:bookmarkEnd w:id="492"/>
      <w:bookmarkEnd w:id="493"/>
      <w:bookmarkEnd w:id="494"/>
      <w:bookmarkEnd w:id="495"/>
      <w:bookmarkEnd w:id="496"/>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5.1.1 甲方有权核查乙方检测机构的检测资质和现场检测人员的执业资格证书。</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5.1.2 甲方有权调整检测计划，但调整内容必须告知乙方。</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5.1.3 甲方需在检测时配合乙方严格按照相关要求开展检测工作并提供必要的支持。</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5.1.4 甲方需保证委托检测的项目具备通电、通水、设备能正常运行等基本检测条件。</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5.1.5 甲方有权制止乙方危及甲方运营及设备安全的行为。</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5.1.6 甲方需按照本合同规定的支付方式及金额向乙方支付检测费用。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b w:val="0"/>
          <w:bCs/>
          <w:color w:val="auto"/>
          <w:sz w:val="28"/>
          <w:szCs w:val="28"/>
        </w:rPr>
      </w:pPr>
      <w:bookmarkStart w:id="497" w:name="_Toc540"/>
      <w:bookmarkStart w:id="498" w:name="_Toc28460"/>
      <w:bookmarkStart w:id="499" w:name="_Toc27783"/>
      <w:bookmarkStart w:id="500" w:name="_Toc15393"/>
      <w:bookmarkStart w:id="501" w:name="_Toc24719"/>
      <w:bookmarkStart w:id="502" w:name="_Toc16070"/>
      <w:r>
        <w:rPr>
          <w:rFonts w:hint="eastAsia" w:ascii="楷体" w:hAnsi="楷体" w:eastAsia="楷体" w:cs="楷体"/>
          <w:b w:val="0"/>
          <w:bCs/>
          <w:color w:val="auto"/>
          <w:sz w:val="28"/>
          <w:szCs w:val="28"/>
        </w:rPr>
        <w:t>5.2 乙方权责</w:t>
      </w:r>
      <w:bookmarkEnd w:id="497"/>
      <w:bookmarkEnd w:id="498"/>
      <w:bookmarkEnd w:id="499"/>
      <w:bookmarkEnd w:id="500"/>
      <w:bookmarkEnd w:id="501"/>
      <w:bookmarkEnd w:id="502"/>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5.2.1 乙方应具备消防设施检测的相应资质、资格，依照法律法规、技术标准和执业准则，开展消防设施检测技术服务活动，执业人员检测时应当认真如实填写检测记录。对检测质量负责。</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5.2.2 乙方应组建项目组，明确项目组人员，包括：项目组应包括1名项目负责人，6名及以上消防设施操作员。项目负责人应具有一级《注册消防工程师》资格，项目实施过程中不得更换项目负责人；消防设施操作员应具有中级及以上《建（构）筑物消防员》或《消防设施操作员》资格，参加高空作业的人员还须取得高处作业证，未经甲方同意乙方不得擅自更换项目组成员。</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5.2.3 乙方应实地勘察建筑的消防设施设备情况（种类、数量、位置等），结合甲方提供的现有资料，按建筑拟定具体的检测方案，报甲方同意后方可实施。由于相关部分建筑建设时间久远，存在消防竣工图纸、资料不齐的情况，乙方应通过现场实地勘察、询问了解等多种方式解决，不得以此为由对相关建筑的消防设施漏检测、不检测或出具与实际不符的检测报告。</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5.2.4 乙方应严格按照国家、行业有关规范、标准相关规定，参照《建筑消防设施质量检测技术规程》（DB 50/T 24-2011）进行检测。除甲方提出的不需要乙方操作的设施设备外，检测过程中的所有设施设备操作（含恢复）全部由乙方负责，因乙方原因造成的损失由乙方负全责。</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5.2.5 乙方在提供检测服务时，除甲方允许外，均应在办公、经营、运行结束后进行，并在甲方保证提供实施检测服务条件的前提下进行，应严格遵守甲方有关的规章制度。</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5.2.6 乙方检测工作结束后负责做好相关设施设备的恢复工作（确需甲方才能恢复的除外），甲方复核完毕后方可离场。</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5.2.7 乙方应根据检测需求配备专业检测工（器）具以及通讯工具（见附件），为其检测人员配备必要的劳动保护和安全防护用品（如安全帽、安全带、工作服、手套、围挡及其它相关的防护用品），不得以作业难度、行业惯例等原因减少检测项目、内容或降低检测质量。</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5.2.8 乙方应及时向甲方出具真实、规范、有效的检测报告，并由经办人、项目负责人和技术负责人签名，并加盖检测机构印章，并对检测结果负责。</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5.2.9 乙方不得以任何形式转包、分包本项目。</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5.2.10 乙方应自行负责在现场检测期间的检测人员安全。</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5.2.11 甲方向乙方支付产生的费用前，乙方须向甲方提供增值税专用发票，甲方实际支付金额=不含税金额+增值税税额。如税率发生国家法规调整，折算为不含税价后以新适用税率结算。</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六、安全责任</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乙方应履行并自行承担检测项目实施过程中的安全责任，采取一切必要的防护措施避免安全事故和人身伤亡事故发生。对于检测过程中因乙方原因发生的所有安全事故，对甲乙方及对第三方造成的人身伤害、财产损失及相关的法律责任及经济责任概由乙方承担。乙方在没有妥善处置完事故所有后续事宜前，甲方有权暂停支付本合同款项，待处理完毕后再支付给乙方。给甲方造成损失的，直接在合同款项中予以扣除，不足部分甲方有权通过法律渠道继续向乙方进行追索。</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七 其他约定</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7.1 合同中甲方和乙方之间的各种款项往来以现金方式支付或以电汇方式汇入对方指定的开户银行账号，双方的开户银行账号以本合同为准。如有变更，变更方应以书面形式通知对方并加盖公章。</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7.2 乙方的检测报告与甲方签字确认的检测记录不相符合的，乙方应承担违约责任并处合同价10%的违约金。</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7.3 双方按合同履行义务，任何一方违约，由违约方承担由此给守约方造成的经济损失。</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7.4 因乙方原因导致检测结果出现误差，其责任由乙方承担，并赔偿由此造成的甲方损失。</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7.5 乙方不按合同规定履行义务，在检测中弄虚作假或严重不负责任的，或转包、分包消防设施检测技术服务项目的，甲方有权解除检测合同，并不需要支付乙方任何费用，乙方应承担违约责任并赔偿由此造成的经济损失。</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7.6乙方开展检测工作时需项目人员全部到场，每栋建筑每次检测前均应在甲方处签到，甲方允许人数减少的情形除外（甲方工作人员在签到册上备注）。未达到5.2.2条要求的，乙方应向甲方支付违约金，标准为普通检测人员每次每少1人500元，项目负责人每次1000元。违约金由甲方从履约保证金中扣除，不足的从应付合同价款中扣除。乙方开展检测前应对现场进行充分踏勘，备足检测所需要的工器具，确保检测工作的顺利开展，因检测工器具配备不齐而影响工作开展的，每次扣违约金500元，也由甲方从履约保证金中扣除，不足的从应付合同价款中扣除。</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八、合同的变更和解除</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8.1 除非遇到不可抗力因素，导致本合同不能履行，未经甲乙双方一致书面同意，任何单方无权变更合同的内容。</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8.2 对本合同的任何修改或补充，只有在双方授权的代表签字后生效，并成为本合同不可分割的组成部分，与本合同具有同等法律效力。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8.3 如本合同任何一方违反合同，另一方应及时向违约方发出书面纠正通知，违约方应于收到书面纠正通知之日起30日内纠正违约行为，否则守约方有权解除合同并无须赔偿违约方由此所造成的相关损失，同时可要求违约方赔偿守约方相关损失。</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8.4 本合同任何一方破产、解散，本合同自动终止，由此所造成的相关损失概由该方承担。</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8.5 除非合同目的无法实现，否则在合同存续的情况下，违约方承担相应的违约责任后仍应继续履行本合同。</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九、不可抗力</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9.1 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9.2 受不可抗力影响的一方，应尽一切努力减轻和克服不可抗力的影响，并在不可抗力事件后，继续履行合同职责。</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9.3 在不可抗力的影响下，受阻方可暂时停止执行合同的受阻部分。当不可抗力事件确实导致本合同继续执行，将甲乙双方确认后可以就解除合同及其他未尽事宜进行协商处理。</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9.4 对因不可抗力造成的损失，双方互不承担责任。但受不可抗力影响的一方未能按照9.1之约定及时通知另一方，加重或扩大了另一方损失的除外。</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十、通知</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bookmarkStart w:id="503" w:name="_Toc25260"/>
      <w:bookmarkStart w:id="504" w:name="_Toc13430"/>
      <w:bookmarkStart w:id="505" w:name="_Toc21853"/>
      <w:bookmarkStart w:id="506" w:name="_Toc10983"/>
      <w:bookmarkStart w:id="507" w:name="_Toc21665"/>
      <w:bookmarkStart w:id="508" w:name="_Toc32365"/>
      <w:r>
        <w:rPr>
          <w:rFonts w:hint="eastAsia" w:ascii="Times New Roman" w:hAnsi="Times New Roman" w:eastAsia="方正仿宋_GBK" w:cs="Times New Roman"/>
          <w:color w:val="auto"/>
          <w:sz w:val="28"/>
          <w:szCs w:val="28"/>
          <w:lang w:val="en-US" w:eastAsia="zh-CN"/>
        </w:rPr>
        <w:t>10.1 本合同中任何通知必须为书面形式。</w:t>
      </w:r>
      <w:bookmarkEnd w:id="503"/>
      <w:bookmarkEnd w:id="504"/>
      <w:bookmarkEnd w:id="505"/>
      <w:bookmarkEnd w:id="506"/>
      <w:bookmarkEnd w:id="507"/>
      <w:bookmarkEnd w:id="508"/>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bookmarkStart w:id="509" w:name="_Toc27970"/>
      <w:bookmarkStart w:id="510" w:name="_Toc27652"/>
      <w:bookmarkStart w:id="511" w:name="_Toc24906"/>
      <w:bookmarkStart w:id="512" w:name="_Toc20226"/>
      <w:bookmarkStart w:id="513" w:name="_Toc17488"/>
      <w:bookmarkStart w:id="514" w:name="_Toc5980"/>
      <w:r>
        <w:rPr>
          <w:rFonts w:hint="eastAsia" w:ascii="Times New Roman" w:hAnsi="Times New Roman" w:eastAsia="方正仿宋_GBK" w:cs="Times New Roman"/>
          <w:color w:val="auto"/>
          <w:sz w:val="28"/>
          <w:szCs w:val="28"/>
          <w:lang w:val="en-US" w:eastAsia="zh-CN"/>
        </w:rPr>
        <w:t>10.2 以传真、电报通知的必须同时以挂号及特快专递再行通知。</w:t>
      </w:r>
      <w:bookmarkEnd w:id="509"/>
      <w:bookmarkEnd w:id="510"/>
      <w:bookmarkEnd w:id="511"/>
      <w:bookmarkEnd w:id="512"/>
      <w:bookmarkEnd w:id="513"/>
      <w:bookmarkEnd w:id="514"/>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十一、争议解决和适用法律</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11.1 与本合同有关的或因执行本合同所产生之争议，应由双方友好协商解决，不能解决时，任何一方均可向甲方住所地人民法院提起诉讼。</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11.2 争议处理期间除正在审理的部分以外，双方应继续执行合同的其余部分。</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11.3 本合同的订立、效力、解释、履行及争议的解决适用中华人民共和国的法律、法规。</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十二、其他</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12.1 比选文件及其附件，比选响应人递交的响应文件是合同的必要组成部分。</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12.2 本合同未尽事宜，应由甲、乙双方协商后以书面形式补充，加盖甲、乙双方公司印章并经双方授权代表签字后生效。</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12.3 本合同一式六份，甲方执四份，乙方执二份，具有同等法律效力。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12.4 本合同自甲、乙双方加盖公司印章，并经双方授权代表签字后生效。</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12.</w:t>
      </w:r>
      <w:r>
        <w:rPr>
          <w:rFonts w:hint="eastAsia" w:eastAsia="方正仿宋_GBK" w:cs="Times New Roman"/>
          <w:color w:val="auto"/>
          <w:sz w:val="28"/>
          <w:szCs w:val="28"/>
          <w:lang w:val="en-US" w:eastAsia="zh-CN"/>
        </w:rPr>
        <w:t>5</w:t>
      </w:r>
      <w:r>
        <w:rPr>
          <w:rFonts w:hint="eastAsia" w:ascii="Times New Roman" w:hAnsi="Times New Roman" w:eastAsia="方正仿宋_GBK" w:cs="Times New Roman"/>
          <w:color w:val="auto"/>
          <w:sz w:val="28"/>
          <w:szCs w:val="28"/>
          <w:lang w:val="en-US" w:eastAsia="zh-CN"/>
        </w:rPr>
        <w:t xml:space="preserve"> 本合同履行完后自动终止。</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p>
    <w:p>
      <w:pPr>
        <w:pStyle w:val="8"/>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bookmarkStart w:id="515" w:name="_Toc23113"/>
      <w:bookmarkStart w:id="516" w:name="_Toc21334"/>
      <w:r>
        <w:rPr>
          <w:rFonts w:hint="eastAsia" w:ascii="Times New Roman" w:hAnsi="Times New Roman" w:eastAsia="方正仿宋_GBK" w:cs="Times New Roman"/>
          <w:color w:val="auto"/>
          <w:sz w:val="28"/>
          <w:szCs w:val="28"/>
          <w:lang w:val="en-US" w:eastAsia="zh-CN"/>
        </w:rPr>
        <w:t xml:space="preserve">甲方：                         </w:t>
      </w:r>
    </w:p>
    <w:bookmarkEnd w:id="515"/>
    <w:bookmarkEnd w:id="516"/>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bookmarkStart w:id="517" w:name="_Toc27915"/>
      <w:bookmarkStart w:id="518" w:name="_Toc558"/>
      <w:r>
        <w:rPr>
          <w:rFonts w:hint="eastAsia" w:ascii="Times New Roman" w:hAnsi="Times New Roman" w:eastAsia="方正仿宋_GBK" w:cs="Times New Roman"/>
          <w:color w:val="auto"/>
          <w:sz w:val="28"/>
          <w:szCs w:val="28"/>
          <w:lang w:val="en-US" w:eastAsia="zh-CN"/>
        </w:rPr>
        <w:t xml:space="preserve">法定代表人或授权代表（签字）：   </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 xml:space="preserve">乙方：                               </w:t>
      </w:r>
      <w:bookmarkEnd w:id="517"/>
      <w:bookmarkEnd w:id="518"/>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 xml:space="preserve">法定代表人或授权代表（签字）：   </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9"/>
        <w:rPr>
          <w:rFonts w:hint="eastAsia" w:ascii="Times New Roman" w:hAnsi="Times New Roman" w:eastAsia="方正仿宋_GBK" w:cs="Times New Roman"/>
          <w:color w:val="auto"/>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3920" w:firstLineChars="140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val="0"/>
          <w:bCs w:val="0"/>
          <w:color w:val="auto"/>
          <w:sz w:val="28"/>
          <w:szCs w:val="28"/>
        </w:rPr>
        <w:t>签订日期:</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3920" w:firstLineChars="14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签订地点：重庆江北国际机场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color w:val="auto"/>
          <w:sz w:val="28"/>
          <w:szCs w:val="28"/>
        </w:rPr>
        <w:sectPr>
          <w:pgSz w:w="11906" w:h="16838"/>
          <w:pgMar w:top="1383" w:right="1689" w:bottom="1383" w:left="1689" w:header="851" w:footer="992" w:gutter="0"/>
          <w:cols w:space="0" w:num="1"/>
          <w:rtlGutter w:val="0"/>
          <w:docGrid w:type="lines" w:linePitch="312" w:charSpace="0"/>
        </w:sectPr>
      </w:pPr>
    </w:p>
    <w:p>
      <w:pPr>
        <w:spacing w:line="360" w:lineRule="exact"/>
        <w:ind w:left="0" w:leftChars="0" w:firstLine="0" w:firstLineChars="0"/>
        <w:jc w:val="left"/>
        <w:rPr>
          <w:rFonts w:hint="eastAsia" w:ascii="仿宋" w:hAnsi="仿宋" w:eastAsia="仿宋" w:cs="仿宋"/>
          <w:color w:val="auto"/>
          <w:sz w:val="32"/>
          <w:szCs w:val="32"/>
          <w:lang w:val="en-US" w:eastAsia="zh-CN"/>
        </w:rPr>
      </w:pPr>
      <w:bookmarkStart w:id="519" w:name="_Toc24638"/>
      <w:bookmarkStart w:id="520" w:name="_Toc1040"/>
      <w:bookmarkStart w:id="521" w:name="_Toc16360"/>
      <w:bookmarkStart w:id="522" w:name="_Toc22061"/>
      <w:bookmarkStart w:id="523" w:name="_Toc18410"/>
      <w:bookmarkStart w:id="524" w:name="_Toc31826"/>
      <w:r>
        <w:rPr>
          <w:rFonts w:hint="eastAsia" w:ascii="仿宋" w:hAnsi="仿宋" w:eastAsia="仿宋" w:cs="仿宋"/>
          <w:color w:val="auto"/>
          <w:sz w:val="32"/>
          <w:szCs w:val="32"/>
        </w:rPr>
        <w:t>附件</w:t>
      </w:r>
      <w:bookmarkEnd w:id="519"/>
      <w:bookmarkEnd w:id="520"/>
      <w:bookmarkEnd w:id="521"/>
      <w:bookmarkEnd w:id="522"/>
      <w:bookmarkEnd w:id="523"/>
      <w:bookmarkEnd w:id="524"/>
      <w:r>
        <w:rPr>
          <w:rFonts w:hint="eastAsia" w:ascii="仿宋" w:hAnsi="仿宋" w:cs="仿宋"/>
          <w:color w:val="auto"/>
          <w:sz w:val="32"/>
          <w:szCs w:val="32"/>
          <w:lang w:val="en-US" w:eastAsia="zh-CN"/>
        </w:rPr>
        <w:t>1</w:t>
      </w:r>
    </w:p>
    <w:p>
      <w:pPr>
        <w:ind w:left="0" w:leftChars="0" w:firstLine="0" w:firstLineChars="0"/>
        <w:jc w:val="center"/>
        <w:rPr>
          <w:rFonts w:hint="eastAsia" w:ascii="方正小标宋_GBK" w:hAnsi="方正小标宋_GBK" w:eastAsia="方正小标宋_GBK" w:cs="方正小标宋_GBK"/>
          <w:b w:val="0"/>
          <w:bCs w:val="0"/>
          <w:color w:val="auto"/>
          <w:sz w:val="30"/>
          <w:szCs w:val="30"/>
        </w:rPr>
      </w:pPr>
      <w:bookmarkStart w:id="525" w:name="_Toc8613"/>
      <w:bookmarkStart w:id="526" w:name="_Toc14213"/>
      <w:bookmarkStart w:id="527" w:name="_Toc7337"/>
      <w:bookmarkStart w:id="528" w:name="_Toc24089"/>
      <w:bookmarkStart w:id="529" w:name="_Toc19379"/>
      <w:bookmarkStart w:id="530" w:name="_Toc25266"/>
      <w:r>
        <w:rPr>
          <w:rFonts w:hint="eastAsia" w:ascii="方正小标宋_GBK" w:hAnsi="方正小标宋_GBK" w:eastAsia="方正小标宋_GBK" w:cs="方正小标宋_GBK"/>
          <w:b w:val="0"/>
          <w:bCs w:val="0"/>
          <w:color w:val="auto"/>
          <w:sz w:val="30"/>
          <w:szCs w:val="30"/>
        </w:rPr>
        <w:t>消防设施维护保养检测设备配备要求</w:t>
      </w:r>
      <w:bookmarkEnd w:id="525"/>
      <w:bookmarkEnd w:id="526"/>
      <w:bookmarkEnd w:id="527"/>
      <w:bookmarkEnd w:id="528"/>
      <w:bookmarkEnd w:id="529"/>
      <w:bookmarkEnd w:id="530"/>
    </w:p>
    <w:tbl>
      <w:tblPr>
        <w:tblStyle w:val="17"/>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982"/>
        <w:gridCol w:w="734"/>
        <w:gridCol w:w="720"/>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b/>
                <w:bCs/>
                <w:color w:val="auto"/>
                <w:sz w:val="22"/>
                <w:szCs w:val="20"/>
                <w:u w:val="none"/>
              </w:rPr>
            </w:pPr>
            <w:r>
              <w:rPr>
                <w:rFonts w:hint="default" w:ascii="Times New Roman" w:hAnsi="Times New Roman" w:eastAsia="方正仿宋_GBK" w:cs="Times New Roman"/>
                <w:b/>
                <w:bCs/>
                <w:color w:val="auto"/>
                <w:sz w:val="22"/>
                <w:szCs w:val="20"/>
                <w:u w:val="none"/>
              </w:rPr>
              <w:t>序号</w:t>
            </w:r>
          </w:p>
        </w:tc>
        <w:tc>
          <w:tcPr>
            <w:tcW w:w="2982" w:type="dxa"/>
            <w:vAlign w:val="center"/>
          </w:tcPr>
          <w:p>
            <w:pPr>
              <w:snapToGrid w:val="0"/>
              <w:spacing w:line="240" w:lineRule="atLeast"/>
              <w:jc w:val="center"/>
              <w:rPr>
                <w:rFonts w:hint="default" w:ascii="Times New Roman" w:hAnsi="Times New Roman" w:eastAsia="方正仿宋_GBK" w:cs="Times New Roman"/>
                <w:b/>
                <w:bCs/>
                <w:color w:val="auto"/>
                <w:sz w:val="22"/>
                <w:szCs w:val="20"/>
                <w:u w:val="none"/>
              </w:rPr>
            </w:pPr>
            <w:r>
              <w:rPr>
                <w:rFonts w:hint="default" w:ascii="Times New Roman" w:hAnsi="Times New Roman" w:eastAsia="方正仿宋_GBK" w:cs="Times New Roman"/>
                <w:b/>
                <w:bCs/>
                <w:color w:val="auto"/>
                <w:sz w:val="22"/>
                <w:szCs w:val="20"/>
                <w:u w:val="none"/>
              </w:rPr>
              <w:t>设备名称</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b/>
                <w:bCs/>
                <w:color w:val="auto"/>
                <w:sz w:val="22"/>
                <w:szCs w:val="20"/>
                <w:u w:val="none"/>
              </w:rPr>
            </w:pPr>
            <w:r>
              <w:rPr>
                <w:rFonts w:hint="default" w:ascii="Times New Roman" w:hAnsi="Times New Roman" w:eastAsia="方正仿宋_GBK" w:cs="Times New Roman"/>
                <w:b/>
                <w:bCs/>
                <w:color w:val="auto"/>
                <w:sz w:val="22"/>
                <w:szCs w:val="20"/>
                <w:u w:val="none"/>
              </w:rPr>
              <w:t>单位</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b/>
                <w:bCs/>
                <w:color w:val="auto"/>
                <w:sz w:val="22"/>
                <w:szCs w:val="20"/>
                <w:u w:val="none"/>
              </w:rPr>
            </w:pPr>
            <w:r>
              <w:rPr>
                <w:rFonts w:hint="default" w:ascii="Times New Roman" w:hAnsi="Times New Roman" w:eastAsia="方正仿宋_GBK" w:cs="Times New Roman"/>
                <w:b/>
                <w:bCs/>
                <w:color w:val="auto"/>
                <w:sz w:val="22"/>
                <w:szCs w:val="20"/>
                <w:u w:val="none"/>
              </w:rPr>
              <w:t>数量</w:t>
            </w:r>
          </w:p>
        </w:tc>
        <w:tc>
          <w:tcPr>
            <w:tcW w:w="5225" w:type="dxa"/>
            <w:vAlign w:val="center"/>
          </w:tcPr>
          <w:p>
            <w:pPr>
              <w:spacing w:line="0" w:lineRule="atLeast"/>
              <w:jc w:val="center"/>
              <w:rPr>
                <w:rFonts w:hint="default" w:ascii="Times New Roman" w:hAnsi="Times New Roman" w:eastAsia="方正仿宋_GBK" w:cs="Times New Roman"/>
                <w:b/>
                <w:bCs/>
                <w:color w:val="auto"/>
                <w:sz w:val="22"/>
                <w:szCs w:val="20"/>
                <w:u w:val="none"/>
              </w:rPr>
            </w:pPr>
            <w:r>
              <w:rPr>
                <w:rFonts w:hint="default" w:ascii="Times New Roman" w:hAnsi="Times New Roman" w:eastAsia="方正仿宋_GBK" w:cs="Times New Roman"/>
                <w:b/>
                <w:bCs/>
                <w:color w:val="auto"/>
                <w:sz w:val="22"/>
                <w:szCs w:val="20"/>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1</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秒表</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4</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量程不小于15min；精度0.1s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卷尺</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4</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量程不小于30m；精度1mm。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3</w:t>
            </w:r>
          </w:p>
        </w:tc>
        <w:tc>
          <w:tcPr>
            <w:tcW w:w="2982" w:type="dxa"/>
            <w:vAlign w:val="center"/>
          </w:tcPr>
          <w:p>
            <w:pPr>
              <w:pStyle w:val="13"/>
              <w:spacing w:line="240" w:lineRule="atLeast"/>
              <w:ind w:left="0" w:leftChars="0" w:firstLine="0" w:firstLineChars="0"/>
              <w:rPr>
                <w:rFonts w:hint="default" w:ascii="Times New Roman" w:hAnsi="Times New Roman" w:eastAsia="方正仿宋_GBK" w:cs="Times New Roman"/>
                <w:color w:val="auto"/>
                <w:sz w:val="20"/>
                <w:szCs w:val="20"/>
                <w:u w:val="none"/>
              </w:rPr>
            </w:pPr>
            <w:r>
              <w:rPr>
                <w:rFonts w:hint="default" w:ascii="Times New Roman" w:hAnsi="Times New Roman" w:eastAsia="方正仿宋_GBK" w:cs="Times New Roman"/>
                <w:color w:val="auto"/>
                <w:sz w:val="20"/>
                <w:szCs w:val="20"/>
                <w:u w:val="none"/>
              </w:rPr>
              <w:t>游标卡尺</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4</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量程不小于150mm；精度：0.02mm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4</w:t>
            </w:r>
          </w:p>
        </w:tc>
        <w:tc>
          <w:tcPr>
            <w:tcW w:w="2982" w:type="dxa"/>
            <w:vAlign w:val="center"/>
          </w:tcPr>
          <w:p>
            <w:pPr>
              <w:pStyle w:val="13"/>
              <w:spacing w:line="240" w:lineRule="atLeast"/>
              <w:ind w:left="0" w:leftChars="0" w:firstLine="0" w:firstLineChars="0"/>
              <w:rPr>
                <w:rFonts w:hint="default" w:ascii="Times New Roman" w:hAnsi="Times New Roman" w:eastAsia="方正仿宋_GBK" w:cs="Times New Roman"/>
                <w:color w:val="auto"/>
                <w:sz w:val="20"/>
                <w:szCs w:val="20"/>
                <w:u w:val="none"/>
              </w:rPr>
            </w:pPr>
            <w:r>
              <w:rPr>
                <w:rFonts w:hint="default" w:ascii="Times New Roman" w:hAnsi="Times New Roman" w:eastAsia="方正仿宋_GBK" w:cs="Times New Roman"/>
                <w:color w:val="auto"/>
                <w:sz w:val="20"/>
                <w:szCs w:val="20"/>
                <w:u w:val="none"/>
              </w:rPr>
              <w:t>钢直尺</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4</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量程不小于50cm；精度：1mm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5</w:t>
            </w:r>
          </w:p>
        </w:tc>
        <w:tc>
          <w:tcPr>
            <w:tcW w:w="2982" w:type="dxa"/>
            <w:vAlign w:val="center"/>
          </w:tcPr>
          <w:p>
            <w:pPr>
              <w:pStyle w:val="13"/>
              <w:spacing w:line="240" w:lineRule="atLeast"/>
              <w:ind w:left="0" w:leftChars="0" w:firstLine="0" w:firstLineChars="0"/>
              <w:rPr>
                <w:rFonts w:hint="default" w:ascii="Times New Roman" w:hAnsi="Times New Roman" w:eastAsia="方正仿宋_GBK" w:cs="Times New Roman"/>
                <w:color w:val="auto"/>
                <w:sz w:val="20"/>
                <w:szCs w:val="20"/>
                <w:u w:val="none"/>
              </w:rPr>
            </w:pPr>
            <w:r>
              <w:rPr>
                <w:rFonts w:hint="default" w:ascii="Times New Roman" w:hAnsi="Times New Roman" w:eastAsia="方正仿宋_GBK" w:cs="Times New Roman"/>
                <w:color w:val="auto"/>
                <w:sz w:val="20"/>
                <w:szCs w:val="20"/>
                <w:u w:val="none"/>
              </w:rPr>
              <w:t>直角尺</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4</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主要用于对消防软管卷盘的检查。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6</w:t>
            </w:r>
          </w:p>
        </w:tc>
        <w:tc>
          <w:tcPr>
            <w:tcW w:w="2982" w:type="dxa"/>
            <w:vAlign w:val="center"/>
          </w:tcPr>
          <w:p>
            <w:pPr>
              <w:pStyle w:val="13"/>
              <w:spacing w:line="240" w:lineRule="atLeast"/>
              <w:ind w:left="0" w:leftChars="0" w:firstLine="0" w:firstLineChars="0"/>
              <w:rPr>
                <w:rFonts w:hint="default" w:ascii="Times New Roman" w:hAnsi="Times New Roman" w:eastAsia="方正仿宋_GBK" w:cs="Times New Roman"/>
                <w:color w:val="auto"/>
                <w:sz w:val="20"/>
                <w:szCs w:val="20"/>
                <w:u w:val="none"/>
              </w:rPr>
            </w:pPr>
            <w:r>
              <w:rPr>
                <w:rFonts w:hint="default" w:ascii="Times New Roman" w:hAnsi="Times New Roman" w:eastAsia="方正仿宋_GBK" w:cs="Times New Roman"/>
                <w:color w:val="auto"/>
                <w:sz w:val="20"/>
                <w:szCs w:val="20"/>
                <w:u w:val="none"/>
              </w:rPr>
              <w:t>电子称</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1</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量程不小于30kg。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7</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测力计</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量程：50N～500N；精度：±0.5%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8</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强光手电</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pStyle w:val="13"/>
              <w:spacing w:line="240" w:lineRule="atLeast"/>
              <w:ind w:firstLine="0" w:firstLineChars="0"/>
              <w:rPr>
                <w:rFonts w:hint="default" w:ascii="Times New Roman" w:hAnsi="Times New Roman" w:eastAsia="方正仿宋_GBK" w:cs="Times New Roman"/>
                <w:color w:val="auto"/>
                <w:sz w:val="20"/>
                <w:szCs w:val="20"/>
                <w:u w:val="none"/>
              </w:rPr>
            </w:pPr>
            <w:r>
              <w:rPr>
                <w:rFonts w:hint="default" w:ascii="Times New Roman" w:hAnsi="Times New Roman" w:eastAsia="方正仿宋_GBK" w:cs="Times New Roman"/>
                <w:color w:val="auto"/>
                <w:sz w:val="20"/>
                <w:szCs w:val="20"/>
                <w:u w:val="none"/>
              </w:rPr>
              <w:t>6</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警用充电式，LED冷光源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9</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数字激光测距仪</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4</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测量不小于50m；精度：3mm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10</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数字照度计</w:t>
            </w:r>
          </w:p>
        </w:tc>
        <w:tc>
          <w:tcPr>
            <w:tcW w:w="734" w:type="dxa"/>
            <w:tcBorders>
              <w:bottom w:val="single" w:color="auto" w:sz="4" w:space="0"/>
            </w:tcBorders>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tcBorders>
              <w:bottom w:val="single" w:color="auto" w:sz="4" w:space="0"/>
            </w:tcBorders>
            <w:vAlign w:val="center"/>
          </w:tcPr>
          <w:p>
            <w:pPr>
              <w:pStyle w:val="13"/>
              <w:spacing w:line="240" w:lineRule="atLeast"/>
              <w:ind w:firstLine="0" w:firstLineChars="0"/>
              <w:rPr>
                <w:rFonts w:hint="default" w:ascii="Times New Roman" w:hAnsi="Times New Roman" w:eastAsia="方正仿宋_GBK" w:cs="Times New Roman"/>
                <w:color w:val="auto"/>
                <w:sz w:val="20"/>
                <w:szCs w:val="20"/>
                <w:u w:val="none"/>
              </w:rPr>
            </w:pPr>
            <w:r>
              <w:rPr>
                <w:rFonts w:hint="default" w:ascii="Times New Roman" w:hAnsi="Times New Roman" w:eastAsia="方正仿宋_GBK" w:cs="Times New Roman"/>
                <w:color w:val="auto"/>
                <w:sz w:val="20"/>
                <w:szCs w:val="20"/>
                <w:u w:val="none"/>
              </w:rPr>
              <w:t>4</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量程不小于2000lx；精度±5%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11</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数字声级计</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tcBorders>
              <w:top w:val="nil"/>
            </w:tcBorders>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4</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量程：30dB-130dB，精度±1.5dB。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12</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数字风速计</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4</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量程：0m/s～45m/s；精度：±3%，。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13</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数字微压计</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量程：0 Pa ～3000Pa，精度：±3%，具有清零功能，并配有检测软管。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14</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数字温湿度计</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环境温湿度检测。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15</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超声波流量计</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测量管径: 0mm</w:t>
            </w:r>
            <w:r>
              <w:rPr>
                <w:rFonts w:hint="default" w:ascii="Times New Roman" w:hAnsi="Times New Roman" w:eastAsia="方正仿宋_GBK" w:cs="Times New Roman"/>
                <w:color w:val="auto"/>
                <w:sz w:val="22"/>
                <w:szCs w:val="20"/>
                <w:u w:val="none"/>
              </w:rPr>
              <w:softHyphen/>
            </w:r>
            <w:r>
              <w:rPr>
                <w:rFonts w:hint="default" w:ascii="Times New Roman" w:hAnsi="Times New Roman" w:eastAsia="方正仿宋_GBK" w:cs="Times New Roman"/>
                <w:color w:val="auto"/>
                <w:sz w:val="22"/>
                <w:szCs w:val="20"/>
                <w:u w:val="none"/>
              </w:rPr>
              <w:t>～300mm；精度：±1%。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16</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数字坡度仪</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1</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量程：0°～±90°；精度±0.1°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17</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垂直度测定仪</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量程: 0mm</w:t>
            </w:r>
            <w:r>
              <w:rPr>
                <w:rFonts w:hint="default" w:ascii="Times New Roman" w:hAnsi="Times New Roman" w:eastAsia="方正仿宋_GBK" w:cs="Times New Roman"/>
                <w:color w:val="auto"/>
                <w:sz w:val="22"/>
                <w:szCs w:val="20"/>
                <w:u w:val="none"/>
              </w:rPr>
              <w:softHyphen/>
            </w:r>
            <w:r>
              <w:rPr>
                <w:rFonts w:hint="default" w:ascii="Times New Roman" w:hAnsi="Times New Roman" w:eastAsia="方正仿宋_GBK" w:cs="Times New Roman"/>
                <w:color w:val="auto"/>
                <w:sz w:val="22"/>
                <w:szCs w:val="20"/>
                <w:u w:val="none"/>
              </w:rPr>
              <w:t>～500mm；精度：±0.2µm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18</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消火栓测压接头</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套</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4</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压力表量程：0 MPa ～1.6MPa；精度1.6级。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19</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喷水末端试水接头</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套</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4</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压力表量程：0 MPa ～0.6MPa；精度1.6级。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20</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防爆静电电压表</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1</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量程:0 KV～30KV；精度：±10%。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21</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接地电阻测量仪</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3</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量程：0Ω～1000Ω；精度：±2%。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22</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绝缘电阻测量仪</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3</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量程：1 MΩ～2000MΩ；精度：±2%。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23</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数字万用表</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4</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可测量交直流电压、电流、电阻、电容等。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24</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感烟探测器功能试验器</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4</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检测杆高度不小于2.5m，加配聚烟罩，内置电源线，连续工作时间不低于2h。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25</w:t>
            </w:r>
          </w:p>
        </w:tc>
        <w:tc>
          <w:tcPr>
            <w:tcW w:w="298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感温探测器功能试验器</w:t>
            </w:r>
          </w:p>
        </w:tc>
        <w:tc>
          <w:tcPr>
            <w:tcW w:w="73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4</w:t>
            </w:r>
          </w:p>
        </w:tc>
        <w:tc>
          <w:tcPr>
            <w:tcW w:w="5225" w:type="dxa"/>
            <w:vAlign w:val="center"/>
          </w:tcPr>
          <w:p>
            <w:pPr>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检测杆高度不小于2.5m，内置电源线，连续工作时间不低于2h。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26</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线型光束感烟探测器滤光片</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套</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1</w:t>
            </w:r>
          </w:p>
        </w:tc>
        <w:tc>
          <w:tcPr>
            <w:tcW w:w="5225" w:type="dxa"/>
            <w:vAlign w:val="center"/>
          </w:tcPr>
          <w:p>
            <w:pPr>
              <w:pStyle w:val="13"/>
              <w:spacing w:line="240" w:lineRule="atLeast"/>
              <w:ind w:left="0" w:leftChars="0" w:firstLine="0" w:firstLineChars="0"/>
              <w:jc w:val="both"/>
              <w:rPr>
                <w:rFonts w:hint="default" w:ascii="Times New Roman" w:hAnsi="Times New Roman" w:eastAsia="方正仿宋_GBK" w:cs="Times New Roman"/>
                <w:color w:val="auto"/>
                <w:sz w:val="20"/>
                <w:szCs w:val="20"/>
                <w:u w:val="none"/>
              </w:rPr>
            </w:pPr>
            <w:r>
              <w:rPr>
                <w:rFonts w:hint="default" w:ascii="Times New Roman" w:hAnsi="Times New Roman" w:eastAsia="方正仿宋_GBK" w:cs="Times New Roman"/>
                <w:color w:val="auto"/>
                <w:sz w:val="20"/>
                <w:szCs w:val="20"/>
                <w:u w:val="none"/>
              </w:rPr>
              <w:t>减光值分别为0.4dB和10.0dB各一片；具备手持功能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27</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火焰探测器功能试验器</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套</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1</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红外线波长大于等于850nm，紫外线波长 小于等于280nm。检测杆高度不小于2.5m。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28</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漏电电流检测仪</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量程:0A～2A，精度：0.1mA。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29</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超声波泄漏检测仪</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1</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用于可燃气体、液体泄漏检测。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750" w:type="dxa"/>
            <w:vAlign w:val="center"/>
          </w:tcPr>
          <w:p>
            <w:pPr>
              <w:pStyle w:val="13"/>
              <w:spacing w:line="240" w:lineRule="atLeast"/>
              <w:ind w:firstLine="0" w:firstLineChars="0"/>
              <w:rPr>
                <w:rFonts w:hint="default" w:ascii="Times New Roman" w:hAnsi="Times New Roman" w:eastAsia="方正仿宋_GBK" w:cs="Times New Roman"/>
                <w:color w:val="auto"/>
                <w:sz w:val="20"/>
                <w:szCs w:val="20"/>
                <w:u w:val="none"/>
              </w:rPr>
            </w:pPr>
            <w:r>
              <w:rPr>
                <w:rFonts w:hint="default" w:ascii="Times New Roman" w:hAnsi="Times New Roman" w:eastAsia="方正仿宋_GBK" w:cs="Times New Roman"/>
                <w:color w:val="auto"/>
                <w:sz w:val="20"/>
                <w:szCs w:val="20"/>
                <w:u w:val="none"/>
              </w:rPr>
              <w:t>30</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便携式可燃气体检测仪</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w:t>
            </w:r>
          </w:p>
        </w:tc>
        <w:tc>
          <w:tcPr>
            <w:tcW w:w="5225" w:type="dxa"/>
            <w:vAlign w:val="center"/>
          </w:tcPr>
          <w:p>
            <w:pPr>
              <w:spacing w:line="0" w:lineRule="atLeast"/>
              <w:ind w:left="0" w:leftChars="0" w:firstLine="0" w:firstLineChars="0"/>
              <w:rPr>
                <w:rFonts w:hint="default" w:ascii="Times New Roman" w:hAnsi="Times New Roman" w:eastAsia="方正仿宋_GBK" w:cs="Times New Roman"/>
                <w:i/>
                <w:color w:val="auto"/>
                <w:sz w:val="22"/>
                <w:szCs w:val="20"/>
                <w:u w:val="none"/>
              </w:rPr>
            </w:pPr>
            <w:r>
              <w:rPr>
                <w:rFonts w:hint="default" w:ascii="Times New Roman" w:hAnsi="Times New Roman" w:eastAsia="方正仿宋_GBK" w:cs="Times New Roman"/>
                <w:color w:val="auto"/>
                <w:sz w:val="22"/>
                <w:szCs w:val="20"/>
                <w:u w:val="none"/>
              </w:rPr>
              <w:t>可检测一氧化碳、氢气、氨气、液化石油气、甲烷等可燃气体浓度。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750" w:type="dxa"/>
            <w:vAlign w:val="center"/>
          </w:tcPr>
          <w:p>
            <w:pPr>
              <w:pStyle w:val="13"/>
              <w:spacing w:line="240" w:lineRule="atLeast"/>
              <w:ind w:firstLine="0" w:firstLineChars="0"/>
              <w:rPr>
                <w:rFonts w:hint="default" w:ascii="Times New Roman" w:hAnsi="Times New Roman" w:eastAsia="方正仿宋_GBK" w:cs="Times New Roman"/>
                <w:color w:val="auto"/>
                <w:sz w:val="20"/>
                <w:szCs w:val="20"/>
                <w:u w:val="none"/>
              </w:rPr>
            </w:pPr>
            <w:r>
              <w:rPr>
                <w:rFonts w:hint="default" w:ascii="Times New Roman" w:hAnsi="Times New Roman" w:eastAsia="方正仿宋_GBK" w:cs="Times New Roman"/>
                <w:color w:val="auto"/>
                <w:sz w:val="20"/>
                <w:szCs w:val="20"/>
                <w:u w:val="none"/>
              </w:rPr>
              <w:t>31</w:t>
            </w:r>
          </w:p>
        </w:tc>
        <w:tc>
          <w:tcPr>
            <w:tcW w:w="2982" w:type="dxa"/>
            <w:vAlign w:val="center"/>
          </w:tcPr>
          <w:p>
            <w:pPr>
              <w:snapToGrid w:val="0"/>
              <w:spacing w:line="240" w:lineRule="atLeast"/>
              <w:ind w:left="0" w:leftChars="0"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数字压力表</w:t>
            </w:r>
          </w:p>
        </w:tc>
        <w:tc>
          <w:tcPr>
            <w:tcW w:w="734"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个</w:t>
            </w:r>
          </w:p>
        </w:tc>
        <w:tc>
          <w:tcPr>
            <w:tcW w:w="720" w:type="dxa"/>
            <w:vAlign w:val="center"/>
          </w:tcPr>
          <w:p>
            <w:pPr>
              <w:snapToGrid w:val="0"/>
              <w:spacing w:line="240" w:lineRule="atLeast"/>
              <w:ind w:firstLine="0" w:firstLineChars="0"/>
              <w:jc w:val="center"/>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2</w:t>
            </w:r>
          </w:p>
        </w:tc>
        <w:tc>
          <w:tcPr>
            <w:tcW w:w="5225" w:type="dxa"/>
            <w:vAlign w:val="center"/>
          </w:tcPr>
          <w:p>
            <w:pPr>
              <w:spacing w:line="0" w:lineRule="atLeast"/>
              <w:ind w:left="0" w:leftChars="0" w:firstLine="0" w:firstLineChars="0"/>
              <w:rPr>
                <w:rFonts w:hint="default" w:ascii="Times New Roman" w:hAnsi="Times New Roman" w:eastAsia="方正仿宋_GBK" w:cs="Times New Roman"/>
                <w:color w:val="auto"/>
                <w:sz w:val="22"/>
                <w:szCs w:val="20"/>
                <w:u w:val="none"/>
              </w:rPr>
            </w:pPr>
            <w:r>
              <w:rPr>
                <w:rFonts w:hint="default" w:ascii="Times New Roman" w:hAnsi="Times New Roman" w:eastAsia="方正仿宋_GBK" w:cs="Times New Roman"/>
                <w:color w:val="auto"/>
                <w:sz w:val="22"/>
                <w:szCs w:val="20"/>
                <w:u w:val="none"/>
              </w:rPr>
              <w:t>量程：0 MPa ～20MPa；精度0.4级；具有清零功能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0411" w:type="dxa"/>
            <w:gridSpan w:val="5"/>
            <w:vAlign w:val="center"/>
          </w:tcPr>
          <w:p>
            <w:pPr>
              <w:snapToGrid w:val="0"/>
              <w:spacing w:line="240" w:lineRule="atLeast"/>
              <w:ind w:firstLine="0" w:firstLineChars="0"/>
              <w:rPr>
                <w:rFonts w:hint="default" w:ascii="Times New Roman" w:hAnsi="Times New Roman" w:eastAsia="方正仿宋_GBK" w:cs="Times New Roman"/>
                <w:color w:val="auto"/>
                <w:sz w:val="22"/>
                <w:szCs w:val="20"/>
                <w:u w:val="none"/>
                <w:lang w:val="en-US" w:eastAsia="zh-CN"/>
              </w:rPr>
            </w:pPr>
            <w:r>
              <w:rPr>
                <w:rFonts w:hint="default" w:ascii="Times New Roman" w:hAnsi="Times New Roman" w:eastAsia="方正仿宋_GBK" w:cs="Times New Roman"/>
                <w:color w:val="auto"/>
                <w:sz w:val="22"/>
                <w:szCs w:val="20"/>
                <w:u w:val="none"/>
              </w:rPr>
              <w:t>注：其他</w:t>
            </w:r>
            <w:r>
              <w:rPr>
                <w:rFonts w:hint="default" w:ascii="Times New Roman" w:hAnsi="Times New Roman" w:eastAsia="方正仿宋_GBK" w:cs="Times New Roman"/>
                <w:color w:val="auto"/>
                <w:sz w:val="22"/>
                <w:szCs w:val="20"/>
                <w:u w:val="none"/>
                <w:lang w:eastAsia="zh-CN"/>
              </w:rPr>
              <w:t>未列明的而检测工作中需要的工器具</w:t>
            </w:r>
            <w:r>
              <w:rPr>
                <w:rFonts w:hint="default" w:ascii="Times New Roman" w:hAnsi="Times New Roman" w:eastAsia="方正仿宋_GBK" w:cs="Times New Roman"/>
                <w:color w:val="auto"/>
                <w:sz w:val="22"/>
                <w:szCs w:val="20"/>
                <w:u w:val="none"/>
              </w:rPr>
              <w:t>按</w:t>
            </w:r>
            <w:r>
              <w:rPr>
                <w:rFonts w:hint="default" w:ascii="Times New Roman" w:hAnsi="Times New Roman" w:eastAsia="方正仿宋_GBK" w:cs="Times New Roman"/>
                <w:color w:val="auto"/>
                <w:sz w:val="22"/>
                <w:szCs w:val="20"/>
                <w:u w:val="none"/>
                <w:lang w:eastAsia="zh-CN"/>
              </w:rPr>
              <w:t>现场的</w:t>
            </w:r>
            <w:r>
              <w:rPr>
                <w:rFonts w:hint="default" w:ascii="Times New Roman" w:hAnsi="Times New Roman" w:eastAsia="方正仿宋_GBK" w:cs="Times New Roman"/>
                <w:color w:val="auto"/>
                <w:sz w:val="22"/>
                <w:szCs w:val="20"/>
                <w:u w:val="none"/>
              </w:rPr>
              <w:t>实际需要配备。</w:t>
            </w:r>
          </w:p>
        </w:tc>
      </w:tr>
    </w:tbl>
    <w:p>
      <w:pPr>
        <w:rPr>
          <w:rFonts w:ascii="仿宋" w:hAnsi="仿宋" w:eastAsia="仿宋"/>
          <w:b/>
          <w:color w:val="auto"/>
          <w:sz w:val="28"/>
          <w:szCs w:val="28"/>
        </w:rPr>
        <w:sectPr>
          <w:pgSz w:w="11906" w:h="16838"/>
          <w:pgMar w:top="680" w:right="1746" w:bottom="680" w:left="1746" w:header="851" w:footer="992" w:gutter="0"/>
          <w:cols w:space="0" w:num="1"/>
          <w:rtlGutter w:val="0"/>
          <w:docGrid w:type="lines" w:linePitch="315" w:charSpace="0"/>
        </w:sectPr>
      </w:pPr>
    </w:p>
    <w:p>
      <w:pPr>
        <w:pStyle w:val="8"/>
        <w:spacing w:after="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 xml:space="preserve">2 </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消防设备应急电源（EPS）检测表</w:t>
      </w:r>
    </w:p>
    <w:tbl>
      <w:tblPr>
        <w:tblStyle w:val="17"/>
        <w:tblW w:w="137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30"/>
        <w:gridCol w:w="7969"/>
        <w:gridCol w:w="2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检测项目</w:t>
            </w:r>
          </w:p>
        </w:tc>
        <w:tc>
          <w:tcPr>
            <w:tcW w:w="7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检测内容</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检测情况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检查EPS的通风口有无被堵塞</w:t>
            </w:r>
          </w:p>
        </w:tc>
        <w:tc>
          <w:tcPr>
            <w:tcW w:w="7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外观检测、工作状态</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检查所有的指示灯状态是否正常应和LCD显示的状态一致</w:t>
            </w:r>
          </w:p>
        </w:tc>
        <w:tc>
          <w:tcPr>
            <w:tcW w:w="7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外观检测、工作状态</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听EPS工作时候的声音是否有异常的变化，看外观有无凹凸</w:t>
            </w:r>
          </w:p>
        </w:tc>
        <w:tc>
          <w:tcPr>
            <w:tcW w:w="7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外观检测、工作状态</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设备安装场地检查</w:t>
            </w:r>
          </w:p>
        </w:tc>
        <w:tc>
          <w:tcPr>
            <w:tcW w:w="7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场地照明及通风是否良好，EPS主机及配套蓄电池安装场地环境温度，安装场地内是否有火源或易燃易爆品，安装场地室内是否有防潮措施，安装场地室内是否干净，EPS的安装位置点是否靠窗户太近，是否有防雨淋、水浸、日晒措施。</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设备外观清洁检查</w:t>
            </w:r>
          </w:p>
        </w:tc>
        <w:tc>
          <w:tcPr>
            <w:tcW w:w="7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EPS主机外观的清洁维护保养，勿沾染灰尘，确保机器寿命，EPS配套电池应定期清洁保养，勿沾染灰尘，清洁时用干软布轻拭。</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EPS主机设备维护</w:t>
            </w:r>
          </w:p>
        </w:tc>
        <w:tc>
          <w:tcPr>
            <w:tcW w:w="7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EPS显示控制屏显示是否正常，空开、信号指示灯是否完好，显示模块显示与运行情况是否一致，EPS导线是否老化，老化的应及时更换，散热风扇是否正常，变压器是否过热。</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EPS配套蓄电池组的维护</w:t>
            </w:r>
          </w:p>
        </w:tc>
        <w:tc>
          <w:tcPr>
            <w:tcW w:w="7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蓄电池外部是否干燥、清洁；蓄电池外观是否完好，有无壳变形和渗漏，电池连接端子及连接线有无松动、腐蚀、过热变色现象，极柱、安全阀周围是否有酸雾逸出主机设备及电池巡检模块运行是否正常，电压、电流监视是否正常，有无报警。</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市电输入端维护</w:t>
            </w:r>
          </w:p>
        </w:tc>
        <w:tc>
          <w:tcPr>
            <w:tcW w:w="7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检测市电电压是否异常（标准：220V±10%）</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 =    V  I1=      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E-N =    V  I1=      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F-N =    V  I1=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输出端维护</w:t>
            </w:r>
          </w:p>
        </w:tc>
        <w:tc>
          <w:tcPr>
            <w:tcW w:w="7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记录输出电压、电流（市电正常工作时：220V±10%；电池工作时：220V±1%）</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 =    V  I1=      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E-N =    V  I1=      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F-N =    V  I1=      A</w:t>
            </w:r>
          </w:p>
        </w:tc>
      </w:tr>
    </w:tbl>
    <w:p>
      <w:pPr>
        <w:rPr>
          <w:color w:val="auto"/>
        </w:rPr>
        <w:sectPr>
          <w:pgSz w:w="16838" w:h="11906" w:orient="landscape"/>
          <w:pgMar w:top="283" w:right="680" w:bottom="283" w:left="680" w:header="851" w:footer="992" w:gutter="0"/>
          <w:cols w:space="0" w:num="1"/>
          <w:rtlGutter w:val="0"/>
          <w:docGrid w:type="lines" w:linePitch="315" w:charSpace="0"/>
        </w:sectPr>
      </w:pPr>
    </w:p>
    <w:p>
      <w:pPr>
        <w:snapToGrid w:val="0"/>
        <w:spacing w:line="4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w:t>
      </w:r>
      <w:r>
        <w:rPr>
          <w:rFonts w:hint="eastAsia" w:ascii="仿宋" w:hAnsi="仿宋" w:cs="仿宋"/>
          <w:b/>
          <w:bCs/>
          <w:color w:val="auto"/>
          <w:sz w:val="28"/>
          <w:szCs w:val="28"/>
          <w:lang w:val="en-US" w:eastAsia="zh-CN"/>
        </w:rPr>
        <w:t>3</w:t>
      </w:r>
      <w:r>
        <w:rPr>
          <w:rFonts w:hint="eastAsia" w:ascii="仿宋" w:hAnsi="仿宋" w:eastAsia="仿宋" w:cs="仿宋"/>
          <w:b/>
          <w:bCs/>
          <w:color w:val="auto"/>
          <w:sz w:val="28"/>
          <w:szCs w:val="28"/>
        </w:rPr>
        <w:t>：</w:t>
      </w:r>
    </w:p>
    <w:p>
      <w:pPr>
        <w:snapToGrid w:val="0"/>
        <w:spacing w:line="360" w:lineRule="auto"/>
        <w:ind w:firstLine="640" w:firstLineChars="200"/>
        <w:jc w:val="center"/>
        <w:rPr>
          <w:rFonts w:hint="eastAsia" w:ascii="方正小标宋_GBK" w:hAnsi="方正仿宋_GBK" w:eastAsia="方正小标宋_GBK" w:cs="方正仿宋_GBK"/>
          <w:color w:val="auto"/>
          <w:sz w:val="32"/>
          <w:szCs w:val="32"/>
        </w:rPr>
      </w:pPr>
      <w:r>
        <w:rPr>
          <w:rFonts w:hint="eastAsia" w:ascii="方正小标宋_GBK" w:hAnsi="方正仿宋_GBK" w:eastAsia="方正小标宋_GBK" w:cs="方正仿宋_GBK"/>
          <w:color w:val="auto"/>
          <w:sz w:val="32"/>
          <w:szCs w:val="32"/>
        </w:rPr>
        <w:t>采购廉洁协议书</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为加强采购（物资/服务）活动中的廉政建设，规范、约束双方行动，防止违法违纪和不廉洁问题发生，营造良好营商环境，促进公平公正，维护双方合法权益，经协商一致，达成本廉洁协议。</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一、甲方从业人员义务</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1.不得违规接受和索取乙方任何形式的礼品礼金、有价证劵。</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2.不得违规接受乙方请吃以及其它可能影响公正执行公务的宴请。</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3.不得违规接受乙方安排的旅游、健身和娱乐活动。</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4.不得以咨询费、劳务费等名义向乙方索要合同以外的各种费用或通过披露甲方应当保密的信息和材料与乙方进行利益交换。</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5.不得在乙方报销应当由甲方单位和个人承担的费用。</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6.不得利用乙方或乙方人员的车辆、设备等器具供个人私用。</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7.不得在采购活动、合同签订以及验改、付款等合同执行等环节为谋求私利，明示或暗示索取合同之外的任何费用。</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8.不得自己或介绍亲属及其它利益关系人在乙方从业、兼职、入股。</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9.不得为谋私利，请托乙方提供其它形式的帮助。</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二、乙方从业人员义务</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1.不准以任何形式对甲方从业人员送、赠礼品礼金和有价证劵。</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2.不得违规邀约甲方从业人员请吃。</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3.不得违规安排甲方从业人员开展旅游、健身和娱乐活动。</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4.不得以咨询费、劳务费等名义向甲方从业人员支付合同以外的各种费用或向甲方从业人员打听、索要应当保密的信息和材料。</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5.不得报销应当由甲方从业人员个人承担的费用。</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6.不得提供车辆、设备等器具供甲方从业人员私用。</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7.不得在采购活动、合同签订以及验收、付款等合同执行等环节向甲方从业人员支付合同之外的任何费用。</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8.不得安排甲方从业人员的亲属及其它利益关系人在乙方从业、兼职、入股。</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9.不得违规为甲方从业人员的请托提供其它形式的帮助。</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三、违约责任</w:t>
      </w:r>
    </w:p>
    <w:p>
      <w:pPr>
        <w:snapToGrid w:val="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在项目实施过程中，甲方从业人员如违反本协议，视情节轻重，甲方给予相应的党纪、政务处分或组织处理，涉嫌犯罪的移送司法机关处置。乙方发现甲方从业人员违反本协议的，应保留证据，及时向甲方有关部门举报。</w:t>
      </w:r>
    </w:p>
    <w:p>
      <w:pPr>
        <w:snapToGrid w:val="0"/>
        <w:ind w:firstLine="600" w:firstLineChars="200"/>
        <w:rPr>
          <w:rFonts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在项目实施过程中，乙方从业人员违反本协议的，甲方视情节轻重，有权采取取消相应资格、扣罚经济合同履约保证金、解除经济合同、列入甲方供应商黑名单限制进入等方式予以处理，涉嫌犯罪的移送司法机关处置。</w:t>
      </w:r>
    </w:p>
    <w:tbl>
      <w:tblPr>
        <w:tblStyle w:val="17"/>
        <w:tblpPr w:leftFromText="180" w:rightFromText="180" w:vertAnchor="text" w:horzAnchor="page" w:tblpX="1286" w:tblpY="1468"/>
        <w:tblOverlap w:val="never"/>
        <w:tblW w:w="10100" w:type="dxa"/>
        <w:tblInd w:w="0" w:type="dxa"/>
        <w:tblLayout w:type="fixed"/>
        <w:tblCellMar>
          <w:top w:w="0" w:type="dxa"/>
          <w:left w:w="108" w:type="dxa"/>
          <w:bottom w:w="0" w:type="dxa"/>
          <w:right w:w="108" w:type="dxa"/>
        </w:tblCellMar>
      </w:tblPr>
      <w:tblGrid>
        <w:gridCol w:w="4875"/>
        <w:gridCol w:w="240"/>
        <w:gridCol w:w="4985"/>
      </w:tblGrid>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甲方：</w:t>
            </w:r>
          </w:p>
        </w:tc>
        <w:tc>
          <w:tcPr>
            <w:tcW w:w="240" w:type="dxa"/>
            <w:noWrap w:val="0"/>
            <w:vAlign w:val="top"/>
          </w:tcPr>
          <w:p>
            <w:pPr>
              <w:spacing w:line="360" w:lineRule="auto"/>
              <w:ind w:firstLine="600" w:firstLineChars="200"/>
              <w:rPr>
                <w:rFonts w:ascii="方正仿宋_GBK" w:hAnsi="方正仿宋_GBK" w:eastAsia="方正仿宋_GBK" w:cs="方正仿宋_GBK"/>
                <w:color w:val="auto"/>
                <w:sz w:val="30"/>
                <w:szCs w:val="30"/>
              </w:rPr>
            </w:pPr>
          </w:p>
        </w:tc>
        <w:tc>
          <w:tcPr>
            <w:tcW w:w="4985" w:type="dxa"/>
            <w:noWrap w:val="0"/>
            <w:vAlign w:val="top"/>
          </w:tcPr>
          <w:p>
            <w:pPr>
              <w:spacing w:line="360" w:lineRule="auto"/>
              <w:rPr>
                <w:rFonts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乙方：</w:t>
            </w:r>
          </w:p>
        </w:tc>
      </w:tr>
      <w:tr>
        <w:tblPrEx>
          <w:tblCellMar>
            <w:top w:w="0" w:type="dxa"/>
            <w:left w:w="108" w:type="dxa"/>
            <w:bottom w:w="0" w:type="dxa"/>
            <w:right w:w="108" w:type="dxa"/>
          </w:tblCellMar>
        </w:tblPrEx>
        <w:trPr>
          <w:trHeight w:val="386" w:hRule="atLeast"/>
        </w:trPr>
        <w:tc>
          <w:tcPr>
            <w:tcW w:w="4875" w:type="dxa"/>
            <w:noWrap w:val="0"/>
            <w:vAlign w:val="top"/>
          </w:tcPr>
          <w:p>
            <w:pPr>
              <w:spacing w:line="360" w:lineRule="auto"/>
              <w:rPr>
                <w:rFonts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（盖章）</w:t>
            </w:r>
          </w:p>
        </w:tc>
        <w:tc>
          <w:tcPr>
            <w:tcW w:w="240" w:type="dxa"/>
            <w:noWrap w:val="0"/>
            <w:vAlign w:val="top"/>
          </w:tcPr>
          <w:p>
            <w:pPr>
              <w:spacing w:line="360" w:lineRule="auto"/>
              <w:ind w:firstLine="600" w:firstLineChars="200"/>
              <w:rPr>
                <w:rFonts w:ascii="方正仿宋_GBK" w:hAnsi="方正仿宋_GBK" w:eastAsia="方正仿宋_GBK" w:cs="方正仿宋_GBK"/>
                <w:color w:val="auto"/>
                <w:sz w:val="30"/>
                <w:szCs w:val="30"/>
              </w:rPr>
            </w:pPr>
          </w:p>
        </w:tc>
        <w:tc>
          <w:tcPr>
            <w:tcW w:w="4985" w:type="dxa"/>
            <w:noWrap w:val="0"/>
            <w:vAlign w:val="top"/>
          </w:tcPr>
          <w:p>
            <w:pPr>
              <w:spacing w:line="360" w:lineRule="auto"/>
              <w:rPr>
                <w:rFonts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（盖章）</w:t>
            </w:r>
          </w:p>
        </w:tc>
      </w:tr>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法定代表人（或委托代理人）：            （签字）</w:t>
            </w:r>
          </w:p>
        </w:tc>
        <w:tc>
          <w:tcPr>
            <w:tcW w:w="240" w:type="dxa"/>
            <w:noWrap w:val="0"/>
            <w:vAlign w:val="top"/>
          </w:tcPr>
          <w:p>
            <w:pPr>
              <w:spacing w:line="360" w:lineRule="auto"/>
              <w:ind w:firstLine="600" w:firstLineChars="200"/>
              <w:rPr>
                <w:rFonts w:ascii="方正仿宋_GBK" w:hAnsi="方正仿宋_GBK" w:eastAsia="方正仿宋_GBK" w:cs="方正仿宋_GBK"/>
                <w:color w:val="auto"/>
                <w:sz w:val="30"/>
                <w:szCs w:val="30"/>
              </w:rPr>
            </w:pPr>
          </w:p>
        </w:tc>
        <w:tc>
          <w:tcPr>
            <w:tcW w:w="4985" w:type="dxa"/>
            <w:noWrap w:val="0"/>
            <w:vAlign w:val="top"/>
          </w:tcPr>
          <w:p>
            <w:pPr>
              <w:spacing w:line="360" w:lineRule="auto"/>
              <w:rPr>
                <w:rFonts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法定代表人（或委托代理人）：  （签字）</w:t>
            </w:r>
          </w:p>
        </w:tc>
      </w:tr>
    </w:tbl>
    <w:p>
      <w:pPr>
        <w:snapToGrid w:val="0"/>
        <w:spacing w:line="360" w:lineRule="auto"/>
        <w:rPr>
          <w:rFonts w:ascii="方正仿宋_GBK" w:hAnsi="方正仿宋_GBK" w:eastAsia="方正仿宋_GBK" w:cs="方正仿宋_GBK"/>
          <w:color w:val="auto"/>
          <w:sz w:val="30"/>
          <w:szCs w:val="30"/>
        </w:rPr>
      </w:pPr>
    </w:p>
    <w:p>
      <w:pPr>
        <w:snapToGrid w:val="0"/>
        <w:spacing w:line="360" w:lineRule="auto"/>
        <w:rPr>
          <w:rFonts w:ascii="方正仿宋_GBK" w:hAnsi="方正仿宋_GBK" w:eastAsia="方正仿宋_GBK" w:cs="方正仿宋_GBK"/>
          <w:color w:val="auto"/>
          <w:sz w:val="30"/>
          <w:szCs w:val="30"/>
        </w:rPr>
      </w:pPr>
    </w:p>
    <w:p>
      <w:pPr>
        <w:snapToGrid w:val="0"/>
        <w:spacing w:line="360" w:lineRule="auto"/>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年   月   日                           年   月   日</w:t>
      </w:r>
    </w:p>
    <w:p>
      <w:pPr>
        <w:pStyle w:val="8"/>
        <w:rPr>
          <w:color w:val="auto"/>
        </w:rPr>
      </w:pPr>
    </w:p>
    <w:p>
      <w:pPr>
        <w:pStyle w:val="8"/>
        <w:rPr>
          <w:color w:val="auto"/>
        </w:rPr>
      </w:pPr>
    </w:p>
    <w:p>
      <w:pPr>
        <w:rPr>
          <w:color w:val="auto"/>
        </w:rPr>
      </w:pPr>
    </w:p>
    <w:sectPr>
      <w:pgSz w:w="11906" w:h="16838"/>
      <w:pgMar w:top="680" w:right="1701" w:bottom="680" w:left="1701" w:header="851" w:footer="992" w:gutter="0"/>
      <w:cols w:space="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24</w:t>
    </w:r>
    <w:r>
      <w:rPr>
        <w:rFonts w:ascii="Times New Roman" w:hAnsi="Times New Roman"/>
        <w:sz w:val="21"/>
        <w:szCs w:val="21"/>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12</w:t>
    </w:r>
    <w:r>
      <w:rPr>
        <w:lang w:val="zh-CN"/>
      </w:rPr>
      <w:fldChar w:fldCharType="end"/>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4N2ZjZjYyMjhmNjc0ZmI4OGQyNGMyNGUzMGU4MDgifQ=="/>
  </w:docVars>
  <w:rsids>
    <w:rsidRoot w:val="00172A27"/>
    <w:rsid w:val="0000445C"/>
    <w:rsid w:val="00005333"/>
    <w:rsid w:val="00006788"/>
    <w:rsid w:val="00017283"/>
    <w:rsid w:val="0002289E"/>
    <w:rsid w:val="00025B39"/>
    <w:rsid w:val="000265C7"/>
    <w:rsid w:val="000323D5"/>
    <w:rsid w:val="00035345"/>
    <w:rsid w:val="000371A2"/>
    <w:rsid w:val="000372A5"/>
    <w:rsid w:val="00040DF4"/>
    <w:rsid w:val="00044FC7"/>
    <w:rsid w:val="00047493"/>
    <w:rsid w:val="00050D62"/>
    <w:rsid w:val="0005249A"/>
    <w:rsid w:val="0005588C"/>
    <w:rsid w:val="00056869"/>
    <w:rsid w:val="000631F6"/>
    <w:rsid w:val="00064297"/>
    <w:rsid w:val="00073A28"/>
    <w:rsid w:val="00073CA8"/>
    <w:rsid w:val="000740F0"/>
    <w:rsid w:val="00076511"/>
    <w:rsid w:val="00077933"/>
    <w:rsid w:val="00077E56"/>
    <w:rsid w:val="000825D0"/>
    <w:rsid w:val="0009161C"/>
    <w:rsid w:val="00095E20"/>
    <w:rsid w:val="000A3B23"/>
    <w:rsid w:val="000B11DA"/>
    <w:rsid w:val="000B32B5"/>
    <w:rsid w:val="000B4109"/>
    <w:rsid w:val="000B6CE1"/>
    <w:rsid w:val="000B753E"/>
    <w:rsid w:val="000C02DD"/>
    <w:rsid w:val="000C3B77"/>
    <w:rsid w:val="000C7CDF"/>
    <w:rsid w:val="000D30DE"/>
    <w:rsid w:val="000E033A"/>
    <w:rsid w:val="000E0EC0"/>
    <w:rsid w:val="000E5E1E"/>
    <w:rsid w:val="000E5FB7"/>
    <w:rsid w:val="000F3310"/>
    <w:rsid w:val="000F397C"/>
    <w:rsid w:val="000F3E91"/>
    <w:rsid w:val="000F6E47"/>
    <w:rsid w:val="001022F9"/>
    <w:rsid w:val="00103882"/>
    <w:rsid w:val="00106A88"/>
    <w:rsid w:val="00106E21"/>
    <w:rsid w:val="001122C6"/>
    <w:rsid w:val="0012085C"/>
    <w:rsid w:val="00120F46"/>
    <w:rsid w:val="00122CEF"/>
    <w:rsid w:val="00123CA0"/>
    <w:rsid w:val="0012517A"/>
    <w:rsid w:val="00127926"/>
    <w:rsid w:val="0013184B"/>
    <w:rsid w:val="00132515"/>
    <w:rsid w:val="00133344"/>
    <w:rsid w:val="001341B6"/>
    <w:rsid w:val="0013498A"/>
    <w:rsid w:val="001441CC"/>
    <w:rsid w:val="001505AE"/>
    <w:rsid w:val="00150869"/>
    <w:rsid w:val="001529BF"/>
    <w:rsid w:val="00153DE0"/>
    <w:rsid w:val="001559E7"/>
    <w:rsid w:val="00162CF3"/>
    <w:rsid w:val="00163E7C"/>
    <w:rsid w:val="001642FB"/>
    <w:rsid w:val="0017264F"/>
    <w:rsid w:val="0017484E"/>
    <w:rsid w:val="00174A22"/>
    <w:rsid w:val="0017604D"/>
    <w:rsid w:val="00180D31"/>
    <w:rsid w:val="00181249"/>
    <w:rsid w:val="00181C94"/>
    <w:rsid w:val="00182F1E"/>
    <w:rsid w:val="001849E2"/>
    <w:rsid w:val="001861C5"/>
    <w:rsid w:val="0018716E"/>
    <w:rsid w:val="00187C93"/>
    <w:rsid w:val="0019019A"/>
    <w:rsid w:val="00191A78"/>
    <w:rsid w:val="001929EF"/>
    <w:rsid w:val="00194019"/>
    <w:rsid w:val="00194D42"/>
    <w:rsid w:val="001958CE"/>
    <w:rsid w:val="00196FD2"/>
    <w:rsid w:val="001A34B6"/>
    <w:rsid w:val="001A6A26"/>
    <w:rsid w:val="001A6CD0"/>
    <w:rsid w:val="001A7B28"/>
    <w:rsid w:val="001C4071"/>
    <w:rsid w:val="001C452E"/>
    <w:rsid w:val="001C4551"/>
    <w:rsid w:val="001D0060"/>
    <w:rsid w:val="001E0DD3"/>
    <w:rsid w:val="001E2CC7"/>
    <w:rsid w:val="001E3399"/>
    <w:rsid w:val="001F1D9E"/>
    <w:rsid w:val="001F2E0C"/>
    <w:rsid w:val="001F52E9"/>
    <w:rsid w:val="001F7A50"/>
    <w:rsid w:val="00202EEA"/>
    <w:rsid w:val="002111D0"/>
    <w:rsid w:val="00211701"/>
    <w:rsid w:val="00211792"/>
    <w:rsid w:val="0021478C"/>
    <w:rsid w:val="00214854"/>
    <w:rsid w:val="00220D14"/>
    <w:rsid w:val="00223328"/>
    <w:rsid w:val="00224DEB"/>
    <w:rsid w:val="002277EA"/>
    <w:rsid w:val="002362BD"/>
    <w:rsid w:val="002369A5"/>
    <w:rsid w:val="002421E8"/>
    <w:rsid w:val="00261EA6"/>
    <w:rsid w:val="00263118"/>
    <w:rsid w:val="00264544"/>
    <w:rsid w:val="0026473C"/>
    <w:rsid w:val="00264F6F"/>
    <w:rsid w:val="0026716A"/>
    <w:rsid w:val="00274F9D"/>
    <w:rsid w:val="002837E8"/>
    <w:rsid w:val="00287E0A"/>
    <w:rsid w:val="00297D7A"/>
    <w:rsid w:val="002A16B8"/>
    <w:rsid w:val="002A340E"/>
    <w:rsid w:val="002A7AF6"/>
    <w:rsid w:val="002B09AB"/>
    <w:rsid w:val="002B262B"/>
    <w:rsid w:val="002B5855"/>
    <w:rsid w:val="002B75E8"/>
    <w:rsid w:val="002C4500"/>
    <w:rsid w:val="002D070A"/>
    <w:rsid w:val="002D19A2"/>
    <w:rsid w:val="002D46C0"/>
    <w:rsid w:val="002D6F8E"/>
    <w:rsid w:val="002E0CE4"/>
    <w:rsid w:val="002E5FDE"/>
    <w:rsid w:val="002F6E00"/>
    <w:rsid w:val="002F7CA1"/>
    <w:rsid w:val="002F7F31"/>
    <w:rsid w:val="00300C2A"/>
    <w:rsid w:val="00305802"/>
    <w:rsid w:val="00305C71"/>
    <w:rsid w:val="00306DDC"/>
    <w:rsid w:val="0031470A"/>
    <w:rsid w:val="00317034"/>
    <w:rsid w:val="00323315"/>
    <w:rsid w:val="003249EB"/>
    <w:rsid w:val="00326945"/>
    <w:rsid w:val="00332BF8"/>
    <w:rsid w:val="00333793"/>
    <w:rsid w:val="00333BD0"/>
    <w:rsid w:val="00341E66"/>
    <w:rsid w:val="0034414C"/>
    <w:rsid w:val="0034710B"/>
    <w:rsid w:val="00347BDE"/>
    <w:rsid w:val="00351066"/>
    <w:rsid w:val="003534A4"/>
    <w:rsid w:val="003577D0"/>
    <w:rsid w:val="00357C50"/>
    <w:rsid w:val="00360249"/>
    <w:rsid w:val="00360C68"/>
    <w:rsid w:val="003640EA"/>
    <w:rsid w:val="00370602"/>
    <w:rsid w:val="003723A5"/>
    <w:rsid w:val="00375C48"/>
    <w:rsid w:val="00380AB8"/>
    <w:rsid w:val="003840CF"/>
    <w:rsid w:val="00385F81"/>
    <w:rsid w:val="0039158A"/>
    <w:rsid w:val="0039415B"/>
    <w:rsid w:val="00396376"/>
    <w:rsid w:val="003A2048"/>
    <w:rsid w:val="003A228A"/>
    <w:rsid w:val="003A2974"/>
    <w:rsid w:val="003A4373"/>
    <w:rsid w:val="003A4C69"/>
    <w:rsid w:val="003B10D1"/>
    <w:rsid w:val="003B79B9"/>
    <w:rsid w:val="003C0ACE"/>
    <w:rsid w:val="003C7185"/>
    <w:rsid w:val="003D2F64"/>
    <w:rsid w:val="003D58CA"/>
    <w:rsid w:val="003D6803"/>
    <w:rsid w:val="003E074E"/>
    <w:rsid w:val="003E2676"/>
    <w:rsid w:val="003E2AE2"/>
    <w:rsid w:val="003E3F5F"/>
    <w:rsid w:val="003E6996"/>
    <w:rsid w:val="003F167C"/>
    <w:rsid w:val="003F3CFE"/>
    <w:rsid w:val="003F78CE"/>
    <w:rsid w:val="0040366F"/>
    <w:rsid w:val="004052C2"/>
    <w:rsid w:val="00413E38"/>
    <w:rsid w:val="004145CC"/>
    <w:rsid w:val="00420115"/>
    <w:rsid w:val="00421315"/>
    <w:rsid w:val="00422256"/>
    <w:rsid w:val="00422C70"/>
    <w:rsid w:val="00425623"/>
    <w:rsid w:val="00425B77"/>
    <w:rsid w:val="004267BC"/>
    <w:rsid w:val="0042735B"/>
    <w:rsid w:val="00436E31"/>
    <w:rsid w:val="00437B7A"/>
    <w:rsid w:val="00441244"/>
    <w:rsid w:val="00452541"/>
    <w:rsid w:val="00453F3C"/>
    <w:rsid w:val="00455958"/>
    <w:rsid w:val="00455CFC"/>
    <w:rsid w:val="00462DC1"/>
    <w:rsid w:val="00464990"/>
    <w:rsid w:val="004655F4"/>
    <w:rsid w:val="00467F45"/>
    <w:rsid w:val="00485F00"/>
    <w:rsid w:val="004905EF"/>
    <w:rsid w:val="00490CF8"/>
    <w:rsid w:val="00493AD9"/>
    <w:rsid w:val="0049584A"/>
    <w:rsid w:val="004A06D9"/>
    <w:rsid w:val="004A0C85"/>
    <w:rsid w:val="004A1C1D"/>
    <w:rsid w:val="004A29B3"/>
    <w:rsid w:val="004A743B"/>
    <w:rsid w:val="004B146A"/>
    <w:rsid w:val="004B2E5E"/>
    <w:rsid w:val="004B30A2"/>
    <w:rsid w:val="004B3DF7"/>
    <w:rsid w:val="004B6311"/>
    <w:rsid w:val="004B7D2E"/>
    <w:rsid w:val="004C0973"/>
    <w:rsid w:val="004C27B3"/>
    <w:rsid w:val="004C7BC4"/>
    <w:rsid w:val="004D050B"/>
    <w:rsid w:val="004D202E"/>
    <w:rsid w:val="004D69EA"/>
    <w:rsid w:val="004D79C1"/>
    <w:rsid w:val="004E45E3"/>
    <w:rsid w:val="004E69AC"/>
    <w:rsid w:val="004F018F"/>
    <w:rsid w:val="004F1755"/>
    <w:rsid w:val="004F2FAB"/>
    <w:rsid w:val="004F307F"/>
    <w:rsid w:val="004F3384"/>
    <w:rsid w:val="004F4296"/>
    <w:rsid w:val="0052266E"/>
    <w:rsid w:val="00525E12"/>
    <w:rsid w:val="0052627E"/>
    <w:rsid w:val="00530BE5"/>
    <w:rsid w:val="00533348"/>
    <w:rsid w:val="00543A6E"/>
    <w:rsid w:val="00545308"/>
    <w:rsid w:val="00550BF1"/>
    <w:rsid w:val="005600A9"/>
    <w:rsid w:val="00566B84"/>
    <w:rsid w:val="00566ECB"/>
    <w:rsid w:val="005705B2"/>
    <w:rsid w:val="005766B4"/>
    <w:rsid w:val="0058393D"/>
    <w:rsid w:val="00584163"/>
    <w:rsid w:val="005863EB"/>
    <w:rsid w:val="005877DA"/>
    <w:rsid w:val="00591811"/>
    <w:rsid w:val="005B2C03"/>
    <w:rsid w:val="005B3105"/>
    <w:rsid w:val="005B5E40"/>
    <w:rsid w:val="005B613E"/>
    <w:rsid w:val="005B623B"/>
    <w:rsid w:val="005B6DF6"/>
    <w:rsid w:val="005B72F8"/>
    <w:rsid w:val="005B7B89"/>
    <w:rsid w:val="005C1539"/>
    <w:rsid w:val="005C1A11"/>
    <w:rsid w:val="005C4CBA"/>
    <w:rsid w:val="005C57EA"/>
    <w:rsid w:val="005D030C"/>
    <w:rsid w:val="005D1BAE"/>
    <w:rsid w:val="005D7B54"/>
    <w:rsid w:val="005E467A"/>
    <w:rsid w:val="005E5819"/>
    <w:rsid w:val="005F4A5B"/>
    <w:rsid w:val="00610FBA"/>
    <w:rsid w:val="00611129"/>
    <w:rsid w:val="00611601"/>
    <w:rsid w:val="006132E8"/>
    <w:rsid w:val="00613A22"/>
    <w:rsid w:val="00622C32"/>
    <w:rsid w:val="00626931"/>
    <w:rsid w:val="00627C32"/>
    <w:rsid w:val="006331B5"/>
    <w:rsid w:val="00634C0F"/>
    <w:rsid w:val="0063615D"/>
    <w:rsid w:val="00636E1B"/>
    <w:rsid w:val="006448B9"/>
    <w:rsid w:val="00645BA8"/>
    <w:rsid w:val="00646264"/>
    <w:rsid w:val="0064646F"/>
    <w:rsid w:val="00653540"/>
    <w:rsid w:val="00655FFE"/>
    <w:rsid w:val="0065708B"/>
    <w:rsid w:val="006603E9"/>
    <w:rsid w:val="00662914"/>
    <w:rsid w:val="00663C23"/>
    <w:rsid w:val="0066539F"/>
    <w:rsid w:val="0066710E"/>
    <w:rsid w:val="006700E0"/>
    <w:rsid w:val="00671FE3"/>
    <w:rsid w:val="0067214B"/>
    <w:rsid w:val="00674ECD"/>
    <w:rsid w:val="00676E0F"/>
    <w:rsid w:val="00677C64"/>
    <w:rsid w:val="00682712"/>
    <w:rsid w:val="00687AB2"/>
    <w:rsid w:val="00693C5F"/>
    <w:rsid w:val="00693F09"/>
    <w:rsid w:val="00694CA2"/>
    <w:rsid w:val="00694E61"/>
    <w:rsid w:val="006960D3"/>
    <w:rsid w:val="006960D6"/>
    <w:rsid w:val="006975C8"/>
    <w:rsid w:val="0069768F"/>
    <w:rsid w:val="006B12E1"/>
    <w:rsid w:val="006B78A8"/>
    <w:rsid w:val="006C075E"/>
    <w:rsid w:val="006C0F55"/>
    <w:rsid w:val="006C33B0"/>
    <w:rsid w:val="006C732A"/>
    <w:rsid w:val="006D3EDB"/>
    <w:rsid w:val="006D44C5"/>
    <w:rsid w:val="006D495E"/>
    <w:rsid w:val="006E01D2"/>
    <w:rsid w:val="006E0BFC"/>
    <w:rsid w:val="006E3E8A"/>
    <w:rsid w:val="006E45A4"/>
    <w:rsid w:val="006E67B2"/>
    <w:rsid w:val="006E7700"/>
    <w:rsid w:val="006E7EC8"/>
    <w:rsid w:val="006F0D23"/>
    <w:rsid w:val="006F4BF8"/>
    <w:rsid w:val="006F7FCA"/>
    <w:rsid w:val="007005A1"/>
    <w:rsid w:val="00700F29"/>
    <w:rsid w:val="00701961"/>
    <w:rsid w:val="0070395B"/>
    <w:rsid w:val="00705EC7"/>
    <w:rsid w:val="00710571"/>
    <w:rsid w:val="00710CDA"/>
    <w:rsid w:val="007118BA"/>
    <w:rsid w:val="00712303"/>
    <w:rsid w:val="0071654B"/>
    <w:rsid w:val="00722EF1"/>
    <w:rsid w:val="00725D4B"/>
    <w:rsid w:val="0073588C"/>
    <w:rsid w:val="0074053C"/>
    <w:rsid w:val="00746F3F"/>
    <w:rsid w:val="007540E5"/>
    <w:rsid w:val="007544BD"/>
    <w:rsid w:val="00755812"/>
    <w:rsid w:val="0075686F"/>
    <w:rsid w:val="0076301C"/>
    <w:rsid w:val="00764B1C"/>
    <w:rsid w:val="00765F6F"/>
    <w:rsid w:val="0077011C"/>
    <w:rsid w:val="007703AC"/>
    <w:rsid w:val="00770E0D"/>
    <w:rsid w:val="0077529D"/>
    <w:rsid w:val="00777C29"/>
    <w:rsid w:val="00780692"/>
    <w:rsid w:val="0078149A"/>
    <w:rsid w:val="00781940"/>
    <w:rsid w:val="00783017"/>
    <w:rsid w:val="007872F8"/>
    <w:rsid w:val="00790155"/>
    <w:rsid w:val="00794351"/>
    <w:rsid w:val="00795033"/>
    <w:rsid w:val="007950D5"/>
    <w:rsid w:val="007A0614"/>
    <w:rsid w:val="007A0F85"/>
    <w:rsid w:val="007A23F4"/>
    <w:rsid w:val="007A25BA"/>
    <w:rsid w:val="007A4514"/>
    <w:rsid w:val="007A5331"/>
    <w:rsid w:val="007B21E1"/>
    <w:rsid w:val="007B3A7E"/>
    <w:rsid w:val="007B6C34"/>
    <w:rsid w:val="007D2EE3"/>
    <w:rsid w:val="007D3D6C"/>
    <w:rsid w:val="007D6BF9"/>
    <w:rsid w:val="007D76EF"/>
    <w:rsid w:val="007E19FA"/>
    <w:rsid w:val="007E1A5C"/>
    <w:rsid w:val="007E1E0D"/>
    <w:rsid w:val="007E2674"/>
    <w:rsid w:val="007E4029"/>
    <w:rsid w:val="007F0083"/>
    <w:rsid w:val="00802039"/>
    <w:rsid w:val="0080304B"/>
    <w:rsid w:val="008137A3"/>
    <w:rsid w:val="0081544B"/>
    <w:rsid w:val="00820273"/>
    <w:rsid w:val="00821399"/>
    <w:rsid w:val="00822089"/>
    <w:rsid w:val="0082215F"/>
    <w:rsid w:val="0082620B"/>
    <w:rsid w:val="00832210"/>
    <w:rsid w:val="00833172"/>
    <w:rsid w:val="008379F3"/>
    <w:rsid w:val="00844675"/>
    <w:rsid w:val="00847A71"/>
    <w:rsid w:val="00853996"/>
    <w:rsid w:val="008572E0"/>
    <w:rsid w:val="008602A9"/>
    <w:rsid w:val="00864002"/>
    <w:rsid w:val="008651CE"/>
    <w:rsid w:val="00870796"/>
    <w:rsid w:val="008708A2"/>
    <w:rsid w:val="00870956"/>
    <w:rsid w:val="008760AC"/>
    <w:rsid w:val="008800A8"/>
    <w:rsid w:val="0088129C"/>
    <w:rsid w:val="0088296B"/>
    <w:rsid w:val="008833D5"/>
    <w:rsid w:val="00883E00"/>
    <w:rsid w:val="008856D3"/>
    <w:rsid w:val="00886137"/>
    <w:rsid w:val="008905DE"/>
    <w:rsid w:val="008958A2"/>
    <w:rsid w:val="008A0078"/>
    <w:rsid w:val="008A6D3D"/>
    <w:rsid w:val="008A7343"/>
    <w:rsid w:val="008B425F"/>
    <w:rsid w:val="008B5D37"/>
    <w:rsid w:val="008B7770"/>
    <w:rsid w:val="008C2B7F"/>
    <w:rsid w:val="008C5EA9"/>
    <w:rsid w:val="008C74BC"/>
    <w:rsid w:val="008D1734"/>
    <w:rsid w:val="008D5DF7"/>
    <w:rsid w:val="008E2C9F"/>
    <w:rsid w:val="008E5D92"/>
    <w:rsid w:val="008F0370"/>
    <w:rsid w:val="008F08BB"/>
    <w:rsid w:val="008F472E"/>
    <w:rsid w:val="008F4B05"/>
    <w:rsid w:val="008F6B00"/>
    <w:rsid w:val="0090377E"/>
    <w:rsid w:val="00904136"/>
    <w:rsid w:val="00906174"/>
    <w:rsid w:val="009132F6"/>
    <w:rsid w:val="00913B67"/>
    <w:rsid w:val="00923CFE"/>
    <w:rsid w:val="009325DE"/>
    <w:rsid w:val="00934718"/>
    <w:rsid w:val="009365A4"/>
    <w:rsid w:val="00942CCC"/>
    <w:rsid w:val="00947A87"/>
    <w:rsid w:val="00950F64"/>
    <w:rsid w:val="0095429E"/>
    <w:rsid w:val="00957E7A"/>
    <w:rsid w:val="0096421C"/>
    <w:rsid w:val="00970512"/>
    <w:rsid w:val="00970D8F"/>
    <w:rsid w:val="009851E5"/>
    <w:rsid w:val="009864E0"/>
    <w:rsid w:val="009865AA"/>
    <w:rsid w:val="00990664"/>
    <w:rsid w:val="00990CE0"/>
    <w:rsid w:val="00991F8B"/>
    <w:rsid w:val="00992185"/>
    <w:rsid w:val="00993377"/>
    <w:rsid w:val="009A21C8"/>
    <w:rsid w:val="009B30A2"/>
    <w:rsid w:val="009B4B99"/>
    <w:rsid w:val="009C1103"/>
    <w:rsid w:val="009C4832"/>
    <w:rsid w:val="009C6EAA"/>
    <w:rsid w:val="009D00D9"/>
    <w:rsid w:val="009D1F92"/>
    <w:rsid w:val="009D5971"/>
    <w:rsid w:val="009E193A"/>
    <w:rsid w:val="009E5607"/>
    <w:rsid w:val="009F1A57"/>
    <w:rsid w:val="009F3971"/>
    <w:rsid w:val="009F4283"/>
    <w:rsid w:val="00A0003B"/>
    <w:rsid w:val="00A00D47"/>
    <w:rsid w:val="00A07708"/>
    <w:rsid w:val="00A12488"/>
    <w:rsid w:val="00A16E37"/>
    <w:rsid w:val="00A2163F"/>
    <w:rsid w:val="00A279E1"/>
    <w:rsid w:val="00A36519"/>
    <w:rsid w:val="00A37E29"/>
    <w:rsid w:val="00A460BC"/>
    <w:rsid w:val="00A51639"/>
    <w:rsid w:val="00A525A3"/>
    <w:rsid w:val="00A57F4E"/>
    <w:rsid w:val="00A609F0"/>
    <w:rsid w:val="00A64B28"/>
    <w:rsid w:val="00A667F7"/>
    <w:rsid w:val="00A6743C"/>
    <w:rsid w:val="00A70F36"/>
    <w:rsid w:val="00A73E6F"/>
    <w:rsid w:val="00A74F64"/>
    <w:rsid w:val="00A90980"/>
    <w:rsid w:val="00A91D34"/>
    <w:rsid w:val="00A9211E"/>
    <w:rsid w:val="00A92910"/>
    <w:rsid w:val="00A97739"/>
    <w:rsid w:val="00AA2CA7"/>
    <w:rsid w:val="00AA357A"/>
    <w:rsid w:val="00AA3DFD"/>
    <w:rsid w:val="00AA4AD9"/>
    <w:rsid w:val="00AA7541"/>
    <w:rsid w:val="00AB5A7D"/>
    <w:rsid w:val="00AB6380"/>
    <w:rsid w:val="00AD0062"/>
    <w:rsid w:val="00AD1B3B"/>
    <w:rsid w:val="00AD3C9F"/>
    <w:rsid w:val="00AD4354"/>
    <w:rsid w:val="00AE1E61"/>
    <w:rsid w:val="00AF1739"/>
    <w:rsid w:val="00AF6F3E"/>
    <w:rsid w:val="00B21F1F"/>
    <w:rsid w:val="00B21F4C"/>
    <w:rsid w:val="00B22AD5"/>
    <w:rsid w:val="00B23001"/>
    <w:rsid w:val="00B27562"/>
    <w:rsid w:val="00B27AB7"/>
    <w:rsid w:val="00B3115C"/>
    <w:rsid w:val="00B34A57"/>
    <w:rsid w:val="00B36620"/>
    <w:rsid w:val="00B40159"/>
    <w:rsid w:val="00B425B1"/>
    <w:rsid w:val="00B44196"/>
    <w:rsid w:val="00B46264"/>
    <w:rsid w:val="00B56C59"/>
    <w:rsid w:val="00B6078F"/>
    <w:rsid w:val="00B85A1B"/>
    <w:rsid w:val="00B85F80"/>
    <w:rsid w:val="00B86EE4"/>
    <w:rsid w:val="00B965D8"/>
    <w:rsid w:val="00BA0571"/>
    <w:rsid w:val="00BA081E"/>
    <w:rsid w:val="00BA0B7B"/>
    <w:rsid w:val="00BA1401"/>
    <w:rsid w:val="00BA1D26"/>
    <w:rsid w:val="00BB07FB"/>
    <w:rsid w:val="00BB0CC3"/>
    <w:rsid w:val="00BB63C8"/>
    <w:rsid w:val="00BB7B3F"/>
    <w:rsid w:val="00BC4195"/>
    <w:rsid w:val="00BC5276"/>
    <w:rsid w:val="00BD7FC1"/>
    <w:rsid w:val="00BE1ACE"/>
    <w:rsid w:val="00BE4BB6"/>
    <w:rsid w:val="00BE5814"/>
    <w:rsid w:val="00BE6096"/>
    <w:rsid w:val="00BE7315"/>
    <w:rsid w:val="00BF3B8E"/>
    <w:rsid w:val="00BF4431"/>
    <w:rsid w:val="00BF544F"/>
    <w:rsid w:val="00BF6AAC"/>
    <w:rsid w:val="00C0487F"/>
    <w:rsid w:val="00C062CB"/>
    <w:rsid w:val="00C140BF"/>
    <w:rsid w:val="00C17437"/>
    <w:rsid w:val="00C17579"/>
    <w:rsid w:val="00C240C0"/>
    <w:rsid w:val="00C24787"/>
    <w:rsid w:val="00C25DD0"/>
    <w:rsid w:val="00C303CE"/>
    <w:rsid w:val="00C36C02"/>
    <w:rsid w:val="00C3798E"/>
    <w:rsid w:val="00C4369F"/>
    <w:rsid w:val="00C43B58"/>
    <w:rsid w:val="00C445AF"/>
    <w:rsid w:val="00C44F6F"/>
    <w:rsid w:val="00C636E6"/>
    <w:rsid w:val="00C6512E"/>
    <w:rsid w:val="00C745A1"/>
    <w:rsid w:val="00C7596B"/>
    <w:rsid w:val="00C77EB9"/>
    <w:rsid w:val="00C80242"/>
    <w:rsid w:val="00C81455"/>
    <w:rsid w:val="00C826C9"/>
    <w:rsid w:val="00C9189F"/>
    <w:rsid w:val="00C93570"/>
    <w:rsid w:val="00CA3689"/>
    <w:rsid w:val="00CB458F"/>
    <w:rsid w:val="00CB7B2D"/>
    <w:rsid w:val="00CC0664"/>
    <w:rsid w:val="00CC119D"/>
    <w:rsid w:val="00CC2C5D"/>
    <w:rsid w:val="00CC41F2"/>
    <w:rsid w:val="00CC53D5"/>
    <w:rsid w:val="00CC690E"/>
    <w:rsid w:val="00CC784E"/>
    <w:rsid w:val="00CD4033"/>
    <w:rsid w:val="00CE2062"/>
    <w:rsid w:val="00CE4DD6"/>
    <w:rsid w:val="00CF1858"/>
    <w:rsid w:val="00CF5BF8"/>
    <w:rsid w:val="00CF7A22"/>
    <w:rsid w:val="00D125EB"/>
    <w:rsid w:val="00D1328E"/>
    <w:rsid w:val="00D149F1"/>
    <w:rsid w:val="00D16215"/>
    <w:rsid w:val="00D177E0"/>
    <w:rsid w:val="00D24DBF"/>
    <w:rsid w:val="00D250B8"/>
    <w:rsid w:val="00D27020"/>
    <w:rsid w:val="00D37E34"/>
    <w:rsid w:val="00D4140B"/>
    <w:rsid w:val="00D45135"/>
    <w:rsid w:val="00D47F13"/>
    <w:rsid w:val="00D47F5C"/>
    <w:rsid w:val="00D616A4"/>
    <w:rsid w:val="00D63B4A"/>
    <w:rsid w:val="00D64587"/>
    <w:rsid w:val="00D66438"/>
    <w:rsid w:val="00D71AB7"/>
    <w:rsid w:val="00D75600"/>
    <w:rsid w:val="00D80CA9"/>
    <w:rsid w:val="00D81D56"/>
    <w:rsid w:val="00D81DC5"/>
    <w:rsid w:val="00D83800"/>
    <w:rsid w:val="00D84BE1"/>
    <w:rsid w:val="00D85A5B"/>
    <w:rsid w:val="00D86386"/>
    <w:rsid w:val="00D87C9B"/>
    <w:rsid w:val="00D900C6"/>
    <w:rsid w:val="00D965B9"/>
    <w:rsid w:val="00DA3013"/>
    <w:rsid w:val="00DA359B"/>
    <w:rsid w:val="00DA7DC9"/>
    <w:rsid w:val="00DB73DB"/>
    <w:rsid w:val="00DC1498"/>
    <w:rsid w:val="00DD4D82"/>
    <w:rsid w:val="00DD5D01"/>
    <w:rsid w:val="00DD6002"/>
    <w:rsid w:val="00DF0117"/>
    <w:rsid w:val="00DF1632"/>
    <w:rsid w:val="00DF208A"/>
    <w:rsid w:val="00DF4D3F"/>
    <w:rsid w:val="00DF50C2"/>
    <w:rsid w:val="00DF642B"/>
    <w:rsid w:val="00E00C68"/>
    <w:rsid w:val="00E039E8"/>
    <w:rsid w:val="00E06B96"/>
    <w:rsid w:val="00E14889"/>
    <w:rsid w:val="00E15149"/>
    <w:rsid w:val="00E16198"/>
    <w:rsid w:val="00E20738"/>
    <w:rsid w:val="00E259EA"/>
    <w:rsid w:val="00E303F3"/>
    <w:rsid w:val="00E31F84"/>
    <w:rsid w:val="00E35970"/>
    <w:rsid w:val="00E41BC1"/>
    <w:rsid w:val="00E45276"/>
    <w:rsid w:val="00E516B3"/>
    <w:rsid w:val="00E53586"/>
    <w:rsid w:val="00E53C27"/>
    <w:rsid w:val="00E55FD9"/>
    <w:rsid w:val="00E608CC"/>
    <w:rsid w:val="00E668F4"/>
    <w:rsid w:val="00E7086E"/>
    <w:rsid w:val="00E70952"/>
    <w:rsid w:val="00E738A8"/>
    <w:rsid w:val="00E76761"/>
    <w:rsid w:val="00E77B0B"/>
    <w:rsid w:val="00E827D8"/>
    <w:rsid w:val="00E8758A"/>
    <w:rsid w:val="00E8794D"/>
    <w:rsid w:val="00E90678"/>
    <w:rsid w:val="00E91556"/>
    <w:rsid w:val="00E91BAF"/>
    <w:rsid w:val="00E9439B"/>
    <w:rsid w:val="00E94D9E"/>
    <w:rsid w:val="00E9594A"/>
    <w:rsid w:val="00E95D7C"/>
    <w:rsid w:val="00E96BE1"/>
    <w:rsid w:val="00E97864"/>
    <w:rsid w:val="00E97E97"/>
    <w:rsid w:val="00EA0514"/>
    <w:rsid w:val="00EA2272"/>
    <w:rsid w:val="00EA7326"/>
    <w:rsid w:val="00EB0F23"/>
    <w:rsid w:val="00EB1A6C"/>
    <w:rsid w:val="00EB2BB9"/>
    <w:rsid w:val="00EC134F"/>
    <w:rsid w:val="00EC2797"/>
    <w:rsid w:val="00EC5C17"/>
    <w:rsid w:val="00ED28EE"/>
    <w:rsid w:val="00ED3513"/>
    <w:rsid w:val="00ED41C7"/>
    <w:rsid w:val="00ED5A44"/>
    <w:rsid w:val="00ED72B8"/>
    <w:rsid w:val="00EE0A11"/>
    <w:rsid w:val="00EF526E"/>
    <w:rsid w:val="00F01300"/>
    <w:rsid w:val="00F02E67"/>
    <w:rsid w:val="00F119CF"/>
    <w:rsid w:val="00F1365F"/>
    <w:rsid w:val="00F14A5D"/>
    <w:rsid w:val="00F23290"/>
    <w:rsid w:val="00F23D92"/>
    <w:rsid w:val="00F25E04"/>
    <w:rsid w:val="00F27629"/>
    <w:rsid w:val="00F3071F"/>
    <w:rsid w:val="00F3207E"/>
    <w:rsid w:val="00F33397"/>
    <w:rsid w:val="00F33FB2"/>
    <w:rsid w:val="00F479F7"/>
    <w:rsid w:val="00F5221B"/>
    <w:rsid w:val="00F534C5"/>
    <w:rsid w:val="00F56C05"/>
    <w:rsid w:val="00F57A11"/>
    <w:rsid w:val="00F62AC2"/>
    <w:rsid w:val="00F62E33"/>
    <w:rsid w:val="00F67802"/>
    <w:rsid w:val="00F70CF8"/>
    <w:rsid w:val="00F74A15"/>
    <w:rsid w:val="00F75C32"/>
    <w:rsid w:val="00F77994"/>
    <w:rsid w:val="00F80371"/>
    <w:rsid w:val="00F8042D"/>
    <w:rsid w:val="00F85181"/>
    <w:rsid w:val="00F953DB"/>
    <w:rsid w:val="00F95C3E"/>
    <w:rsid w:val="00F9677C"/>
    <w:rsid w:val="00F972E5"/>
    <w:rsid w:val="00FA17E2"/>
    <w:rsid w:val="00FA6D92"/>
    <w:rsid w:val="00FB2DCD"/>
    <w:rsid w:val="00FC7C9F"/>
    <w:rsid w:val="00FD3CD1"/>
    <w:rsid w:val="00FE3F33"/>
    <w:rsid w:val="00FE5EBD"/>
    <w:rsid w:val="00FF1C7D"/>
    <w:rsid w:val="00FF33D5"/>
    <w:rsid w:val="00FF3C99"/>
    <w:rsid w:val="00FF6912"/>
    <w:rsid w:val="01650EB4"/>
    <w:rsid w:val="018B04C1"/>
    <w:rsid w:val="01AB22D5"/>
    <w:rsid w:val="02CB1D7E"/>
    <w:rsid w:val="03931A99"/>
    <w:rsid w:val="04384EF5"/>
    <w:rsid w:val="047D3703"/>
    <w:rsid w:val="048C56C5"/>
    <w:rsid w:val="049B658C"/>
    <w:rsid w:val="05500FEC"/>
    <w:rsid w:val="05C7348F"/>
    <w:rsid w:val="061821E4"/>
    <w:rsid w:val="06385C32"/>
    <w:rsid w:val="065500EA"/>
    <w:rsid w:val="06D66FA5"/>
    <w:rsid w:val="071356BF"/>
    <w:rsid w:val="072C5ABC"/>
    <w:rsid w:val="088842EC"/>
    <w:rsid w:val="08D66705"/>
    <w:rsid w:val="09723691"/>
    <w:rsid w:val="09C53E52"/>
    <w:rsid w:val="0ABC116A"/>
    <w:rsid w:val="0B1E365C"/>
    <w:rsid w:val="0C32608A"/>
    <w:rsid w:val="0C3A5C13"/>
    <w:rsid w:val="0C453F5F"/>
    <w:rsid w:val="0CCF1C74"/>
    <w:rsid w:val="0CD332F0"/>
    <w:rsid w:val="0D133538"/>
    <w:rsid w:val="0D885713"/>
    <w:rsid w:val="0D91386C"/>
    <w:rsid w:val="0DDA1CAF"/>
    <w:rsid w:val="0E910936"/>
    <w:rsid w:val="0EA36123"/>
    <w:rsid w:val="0EC17B86"/>
    <w:rsid w:val="0F682C2E"/>
    <w:rsid w:val="0FB37B12"/>
    <w:rsid w:val="10BF630F"/>
    <w:rsid w:val="113B6549"/>
    <w:rsid w:val="116F3E3C"/>
    <w:rsid w:val="129A3715"/>
    <w:rsid w:val="12BA549E"/>
    <w:rsid w:val="13D7643C"/>
    <w:rsid w:val="13E842F4"/>
    <w:rsid w:val="14481286"/>
    <w:rsid w:val="1583049C"/>
    <w:rsid w:val="16170C3D"/>
    <w:rsid w:val="17D16FDF"/>
    <w:rsid w:val="18130288"/>
    <w:rsid w:val="189E0F7D"/>
    <w:rsid w:val="18BA08F3"/>
    <w:rsid w:val="18D44FFC"/>
    <w:rsid w:val="18EC63C4"/>
    <w:rsid w:val="18FE652B"/>
    <w:rsid w:val="19113942"/>
    <w:rsid w:val="192A37C4"/>
    <w:rsid w:val="19422183"/>
    <w:rsid w:val="19C708E5"/>
    <w:rsid w:val="1A1E03C6"/>
    <w:rsid w:val="1AD05C9B"/>
    <w:rsid w:val="1B586997"/>
    <w:rsid w:val="1B6F43A2"/>
    <w:rsid w:val="1B9F171F"/>
    <w:rsid w:val="1C2D7A40"/>
    <w:rsid w:val="1C322AE2"/>
    <w:rsid w:val="1C9963AD"/>
    <w:rsid w:val="1CDD7CFA"/>
    <w:rsid w:val="1D2C2CAF"/>
    <w:rsid w:val="1D345965"/>
    <w:rsid w:val="1D8762C7"/>
    <w:rsid w:val="1DA479DA"/>
    <w:rsid w:val="1EF330E0"/>
    <w:rsid w:val="1F056B05"/>
    <w:rsid w:val="1FE475F5"/>
    <w:rsid w:val="2010231C"/>
    <w:rsid w:val="20B97234"/>
    <w:rsid w:val="20D82604"/>
    <w:rsid w:val="21BF097F"/>
    <w:rsid w:val="21EC6E38"/>
    <w:rsid w:val="22173E42"/>
    <w:rsid w:val="222F2E64"/>
    <w:rsid w:val="22E17485"/>
    <w:rsid w:val="23FA516E"/>
    <w:rsid w:val="24BB12BE"/>
    <w:rsid w:val="24BB193F"/>
    <w:rsid w:val="24DF666D"/>
    <w:rsid w:val="25414991"/>
    <w:rsid w:val="25FC4A9F"/>
    <w:rsid w:val="25FC6916"/>
    <w:rsid w:val="261A3FFF"/>
    <w:rsid w:val="26571014"/>
    <w:rsid w:val="26A21AFC"/>
    <w:rsid w:val="26D76ED5"/>
    <w:rsid w:val="27481516"/>
    <w:rsid w:val="27FF7397"/>
    <w:rsid w:val="287C2734"/>
    <w:rsid w:val="29771557"/>
    <w:rsid w:val="298D7DB3"/>
    <w:rsid w:val="2A9415AE"/>
    <w:rsid w:val="2A947451"/>
    <w:rsid w:val="2AF83376"/>
    <w:rsid w:val="2B024EA2"/>
    <w:rsid w:val="2C7A36C1"/>
    <w:rsid w:val="2CE1142E"/>
    <w:rsid w:val="2D26043B"/>
    <w:rsid w:val="2D357DD3"/>
    <w:rsid w:val="2D5D27AE"/>
    <w:rsid w:val="2D7B7FD4"/>
    <w:rsid w:val="2D9A3C66"/>
    <w:rsid w:val="2DB210A9"/>
    <w:rsid w:val="2E0216FF"/>
    <w:rsid w:val="2E140D07"/>
    <w:rsid w:val="2E3F104D"/>
    <w:rsid w:val="2E903170"/>
    <w:rsid w:val="2F231311"/>
    <w:rsid w:val="30C166C3"/>
    <w:rsid w:val="30D85C55"/>
    <w:rsid w:val="31281E31"/>
    <w:rsid w:val="31620BCB"/>
    <w:rsid w:val="318A24B9"/>
    <w:rsid w:val="31B824D5"/>
    <w:rsid w:val="31B850A6"/>
    <w:rsid w:val="31F4566E"/>
    <w:rsid w:val="31F81FDE"/>
    <w:rsid w:val="31FB25EB"/>
    <w:rsid w:val="32251AA5"/>
    <w:rsid w:val="323C5F13"/>
    <w:rsid w:val="326327A0"/>
    <w:rsid w:val="3297660D"/>
    <w:rsid w:val="32B728F7"/>
    <w:rsid w:val="33307D8F"/>
    <w:rsid w:val="33544207"/>
    <w:rsid w:val="33881629"/>
    <w:rsid w:val="339252E3"/>
    <w:rsid w:val="33BC5F53"/>
    <w:rsid w:val="344E774A"/>
    <w:rsid w:val="34D80120"/>
    <w:rsid w:val="35345E16"/>
    <w:rsid w:val="356B07C5"/>
    <w:rsid w:val="35864E1A"/>
    <w:rsid w:val="35E136C1"/>
    <w:rsid w:val="35F51FA9"/>
    <w:rsid w:val="362B7A8B"/>
    <w:rsid w:val="36B42179"/>
    <w:rsid w:val="36E74A17"/>
    <w:rsid w:val="37767304"/>
    <w:rsid w:val="378800EE"/>
    <w:rsid w:val="37FF0D3E"/>
    <w:rsid w:val="38107FC7"/>
    <w:rsid w:val="385C2E16"/>
    <w:rsid w:val="398E6013"/>
    <w:rsid w:val="3A327278"/>
    <w:rsid w:val="3A6F1A0F"/>
    <w:rsid w:val="3AC65B13"/>
    <w:rsid w:val="3BB75FBA"/>
    <w:rsid w:val="3C0161AE"/>
    <w:rsid w:val="3C1041A8"/>
    <w:rsid w:val="3C5336FD"/>
    <w:rsid w:val="3C7C1466"/>
    <w:rsid w:val="3C7F17E2"/>
    <w:rsid w:val="3CE55B0C"/>
    <w:rsid w:val="3D0218EA"/>
    <w:rsid w:val="3D3336A3"/>
    <w:rsid w:val="3D37763F"/>
    <w:rsid w:val="3D691FE3"/>
    <w:rsid w:val="3DF818C7"/>
    <w:rsid w:val="3E0E24E7"/>
    <w:rsid w:val="3F27452A"/>
    <w:rsid w:val="3F2E6AE9"/>
    <w:rsid w:val="3FC05505"/>
    <w:rsid w:val="40131C66"/>
    <w:rsid w:val="40395B9D"/>
    <w:rsid w:val="40873CF1"/>
    <w:rsid w:val="40A63A35"/>
    <w:rsid w:val="40EB763E"/>
    <w:rsid w:val="40F6204B"/>
    <w:rsid w:val="416F1F00"/>
    <w:rsid w:val="41BD6C67"/>
    <w:rsid w:val="420A4F28"/>
    <w:rsid w:val="424347BE"/>
    <w:rsid w:val="42931BD2"/>
    <w:rsid w:val="42A87384"/>
    <w:rsid w:val="440B0807"/>
    <w:rsid w:val="441D3EA3"/>
    <w:rsid w:val="443A7C7F"/>
    <w:rsid w:val="446620A0"/>
    <w:rsid w:val="44FE6965"/>
    <w:rsid w:val="45B759A0"/>
    <w:rsid w:val="45F519BB"/>
    <w:rsid w:val="46C061D5"/>
    <w:rsid w:val="47642770"/>
    <w:rsid w:val="47D04314"/>
    <w:rsid w:val="47EF5A2E"/>
    <w:rsid w:val="485C6197"/>
    <w:rsid w:val="48A12688"/>
    <w:rsid w:val="48B21A1A"/>
    <w:rsid w:val="4985708D"/>
    <w:rsid w:val="49A60641"/>
    <w:rsid w:val="4A8C5641"/>
    <w:rsid w:val="4ACB6A52"/>
    <w:rsid w:val="4AFE0C3A"/>
    <w:rsid w:val="4B676658"/>
    <w:rsid w:val="4C2928E2"/>
    <w:rsid w:val="4C952593"/>
    <w:rsid w:val="4C9C27E2"/>
    <w:rsid w:val="4CB928E9"/>
    <w:rsid w:val="4D516AD6"/>
    <w:rsid w:val="4DA30E74"/>
    <w:rsid w:val="4DA40E56"/>
    <w:rsid w:val="4DEC3A8D"/>
    <w:rsid w:val="4E003A68"/>
    <w:rsid w:val="4E360E96"/>
    <w:rsid w:val="4E4D5B12"/>
    <w:rsid w:val="4E7B131A"/>
    <w:rsid w:val="4E7F37B1"/>
    <w:rsid w:val="4F840831"/>
    <w:rsid w:val="51667B20"/>
    <w:rsid w:val="52D74340"/>
    <w:rsid w:val="532D556C"/>
    <w:rsid w:val="53471F74"/>
    <w:rsid w:val="53582508"/>
    <w:rsid w:val="537E514C"/>
    <w:rsid w:val="53C94B63"/>
    <w:rsid w:val="53FF4981"/>
    <w:rsid w:val="544D1A54"/>
    <w:rsid w:val="5463135D"/>
    <w:rsid w:val="54790874"/>
    <w:rsid w:val="549110F6"/>
    <w:rsid w:val="551861DB"/>
    <w:rsid w:val="55522594"/>
    <w:rsid w:val="557D1E19"/>
    <w:rsid w:val="5586653E"/>
    <w:rsid w:val="558972C1"/>
    <w:rsid w:val="55A24D2E"/>
    <w:rsid w:val="56164989"/>
    <w:rsid w:val="564955D0"/>
    <w:rsid w:val="56593E40"/>
    <w:rsid w:val="565D389C"/>
    <w:rsid w:val="56FB75D4"/>
    <w:rsid w:val="57537017"/>
    <w:rsid w:val="577328A6"/>
    <w:rsid w:val="57EA528D"/>
    <w:rsid w:val="57F962A3"/>
    <w:rsid w:val="580B71B6"/>
    <w:rsid w:val="58945340"/>
    <w:rsid w:val="58C11713"/>
    <w:rsid w:val="59B017C9"/>
    <w:rsid w:val="59DC40D4"/>
    <w:rsid w:val="5A3F6B22"/>
    <w:rsid w:val="5B65165A"/>
    <w:rsid w:val="5BA06C6C"/>
    <w:rsid w:val="5BDC7F0B"/>
    <w:rsid w:val="5C6A7A91"/>
    <w:rsid w:val="5CD13725"/>
    <w:rsid w:val="5CF666D8"/>
    <w:rsid w:val="5D401B88"/>
    <w:rsid w:val="5D451832"/>
    <w:rsid w:val="5DE2172D"/>
    <w:rsid w:val="5E045A09"/>
    <w:rsid w:val="5E1349EC"/>
    <w:rsid w:val="5E242597"/>
    <w:rsid w:val="5E300AD8"/>
    <w:rsid w:val="5E4F58E2"/>
    <w:rsid w:val="5E6E2757"/>
    <w:rsid w:val="5E9B47BC"/>
    <w:rsid w:val="5E9C3BF3"/>
    <w:rsid w:val="5EAB0DB4"/>
    <w:rsid w:val="5F002D8F"/>
    <w:rsid w:val="5FED1575"/>
    <w:rsid w:val="601D7FA3"/>
    <w:rsid w:val="60537BC5"/>
    <w:rsid w:val="60F45653"/>
    <w:rsid w:val="610754F6"/>
    <w:rsid w:val="611F39D3"/>
    <w:rsid w:val="61A41615"/>
    <w:rsid w:val="61D26A8D"/>
    <w:rsid w:val="61F82906"/>
    <w:rsid w:val="62266476"/>
    <w:rsid w:val="62295F94"/>
    <w:rsid w:val="625173FB"/>
    <w:rsid w:val="627E03EC"/>
    <w:rsid w:val="62EA7037"/>
    <w:rsid w:val="63D41C4F"/>
    <w:rsid w:val="6403707C"/>
    <w:rsid w:val="64F92C07"/>
    <w:rsid w:val="653974A6"/>
    <w:rsid w:val="657F0584"/>
    <w:rsid w:val="65AF3066"/>
    <w:rsid w:val="665D07DE"/>
    <w:rsid w:val="668043F9"/>
    <w:rsid w:val="668B6F2C"/>
    <w:rsid w:val="67035A40"/>
    <w:rsid w:val="67117796"/>
    <w:rsid w:val="67922BDF"/>
    <w:rsid w:val="682F1513"/>
    <w:rsid w:val="6841637E"/>
    <w:rsid w:val="68B42BBD"/>
    <w:rsid w:val="68BE1BB1"/>
    <w:rsid w:val="68BF0FBB"/>
    <w:rsid w:val="691E74BE"/>
    <w:rsid w:val="69ED65C5"/>
    <w:rsid w:val="6A406108"/>
    <w:rsid w:val="6AAE72B6"/>
    <w:rsid w:val="6BA0098E"/>
    <w:rsid w:val="6BA677F8"/>
    <w:rsid w:val="6C9909F4"/>
    <w:rsid w:val="6D02592E"/>
    <w:rsid w:val="6D8147A8"/>
    <w:rsid w:val="6E7E172D"/>
    <w:rsid w:val="6F14454E"/>
    <w:rsid w:val="6FFAB1B3"/>
    <w:rsid w:val="70483158"/>
    <w:rsid w:val="70C56132"/>
    <w:rsid w:val="71E4682F"/>
    <w:rsid w:val="722574E0"/>
    <w:rsid w:val="73857109"/>
    <w:rsid w:val="741943BC"/>
    <w:rsid w:val="74496EAA"/>
    <w:rsid w:val="74665D39"/>
    <w:rsid w:val="74947439"/>
    <w:rsid w:val="750721AE"/>
    <w:rsid w:val="754C29EA"/>
    <w:rsid w:val="760F78C9"/>
    <w:rsid w:val="762E4D22"/>
    <w:rsid w:val="76386919"/>
    <w:rsid w:val="770C00C5"/>
    <w:rsid w:val="77150EC8"/>
    <w:rsid w:val="77322632"/>
    <w:rsid w:val="77A563E8"/>
    <w:rsid w:val="77B461C9"/>
    <w:rsid w:val="78090067"/>
    <w:rsid w:val="780D1837"/>
    <w:rsid w:val="783F0099"/>
    <w:rsid w:val="794065B5"/>
    <w:rsid w:val="7A0D5B59"/>
    <w:rsid w:val="7B280106"/>
    <w:rsid w:val="7B5C5F22"/>
    <w:rsid w:val="7B5E2CEE"/>
    <w:rsid w:val="7BAC3C6D"/>
    <w:rsid w:val="7C344414"/>
    <w:rsid w:val="7C5D2674"/>
    <w:rsid w:val="7C93496C"/>
    <w:rsid w:val="7CE76BA6"/>
    <w:rsid w:val="7DDE198E"/>
    <w:rsid w:val="7DEB4FB9"/>
    <w:rsid w:val="7DED5E95"/>
    <w:rsid w:val="7DF62C51"/>
    <w:rsid w:val="7E35413A"/>
    <w:rsid w:val="7E364DF8"/>
    <w:rsid w:val="7ECE6642"/>
    <w:rsid w:val="7EDC6E53"/>
    <w:rsid w:val="7EE72972"/>
    <w:rsid w:val="7EF649F8"/>
    <w:rsid w:val="7F2B20AC"/>
    <w:rsid w:val="7FF258E2"/>
    <w:rsid w:val="CE7BCD64"/>
    <w:rsid w:val="FBDBE194"/>
    <w:rsid w:val="FEBFA40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1044" w:firstLineChars="200"/>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36"/>
    <w:qFormat/>
    <w:locked/>
    <w:uiPriority w:val="0"/>
    <w:pPr>
      <w:keepNext/>
      <w:ind w:firstLine="0" w:firstLineChars="0"/>
      <w:jc w:val="center"/>
      <w:outlineLvl w:val="0"/>
    </w:pPr>
    <w:rPr>
      <w:rFonts w:ascii="Times New Roman" w:hAnsi="Times New Roman" w:eastAsia="黑体"/>
      <w:b/>
      <w:sz w:val="32"/>
      <w:szCs w:val="20"/>
    </w:rPr>
  </w:style>
  <w:style w:type="paragraph" w:styleId="4">
    <w:name w:val="heading 2"/>
    <w:basedOn w:val="1"/>
    <w:next w:val="1"/>
    <w:link w:val="42"/>
    <w:qFormat/>
    <w:locked/>
    <w:uiPriority w:val="0"/>
    <w:pPr>
      <w:keepNext/>
      <w:keepLines/>
      <w:spacing w:before="20" w:beforeLines="0" w:after="20" w:afterLines="0" w:line="240" w:lineRule="auto"/>
      <w:ind w:firstLine="0" w:firstLineChars="0"/>
      <w:jc w:val="both"/>
      <w:outlineLvl w:val="1"/>
    </w:pPr>
    <w:rPr>
      <w:rFonts w:ascii="Arial" w:hAnsi="Arial" w:eastAsia="黑体"/>
      <w:bCs/>
      <w:kern w:val="0"/>
      <w:sz w:val="28"/>
      <w:szCs w:val="32"/>
    </w:rPr>
  </w:style>
  <w:style w:type="paragraph" w:styleId="5">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ody Text"/>
    <w:basedOn w:val="1"/>
    <w:next w:val="1"/>
    <w:qFormat/>
    <w:uiPriority w:val="0"/>
    <w:pPr>
      <w:spacing w:after="120"/>
    </w:pPr>
    <w:rPr>
      <w:rFonts w:ascii="Times New Roman" w:hAnsi="Times New Roman" w:eastAsia="宋体" w:cs="Times New Roman"/>
    </w:rPr>
  </w:style>
  <w:style w:type="paragraph" w:styleId="9">
    <w:name w:val="Body Text Indent"/>
    <w:basedOn w:val="1"/>
    <w:link w:val="35"/>
    <w:qFormat/>
    <w:uiPriority w:val="0"/>
    <w:pPr>
      <w:spacing w:line="360" w:lineRule="auto"/>
      <w:ind w:firstLine="480" w:firstLineChars="200"/>
    </w:pPr>
  </w:style>
  <w:style w:type="paragraph" w:styleId="10">
    <w:name w:val="Date"/>
    <w:basedOn w:val="1"/>
    <w:next w:val="1"/>
    <w:link w:val="39"/>
    <w:semiHidden/>
    <w:unhideWhenUsed/>
    <w:qFormat/>
    <w:uiPriority w:val="99"/>
    <w:pPr>
      <w:ind w:left="100" w:leftChars="2500"/>
    </w:pPr>
  </w:style>
  <w:style w:type="paragraph" w:styleId="11">
    <w:name w:val="Balloon Text"/>
    <w:basedOn w:val="1"/>
    <w:link w:val="33"/>
    <w:unhideWhenUsed/>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qFormat/>
    <w:uiPriority w:val="99"/>
    <w:rPr>
      <w:rFonts w:ascii="Calibri" w:hAnsi="Calibri"/>
      <w:b/>
      <w:szCs w:val="20"/>
    </w:rPr>
  </w:style>
  <w:style w:type="paragraph" w:styleId="15">
    <w:name w:val="HTML Preformatted"/>
    <w:basedOn w:val="1"/>
    <w:link w:val="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locked/>
    <w:uiPriority w:val="0"/>
    <w:rPr>
      <w:b/>
      <w:bCs/>
    </w:rPr>
  </w:style>
  <w:style w:type="character" w:styleId="21">
    <w:name w:val="page number"/>
    <w:basedOn w:val="19"/>
    <w:qFormat/>
    <w:uiPriority w:val="0"/>
  </w:style>
  <w:style w:type="character" w:styleId="22">
    <w:name w:val="FollowedHyperlink"/>
    <w:basedOn w:val="19"/>
    <w:unhideWhenUsed/>
    <w:qFormat/>
    <w:uiPriority w:val="99"/>
    <w:rPr>
      <w:color w:val="800080" w:themeColor="followedHyperlink"/>
      <w:u w:val="single"/>
      <w14:textFill>
        <w14:solidFill>
          <w14:schemeClr w14:val="folHlink"/>
        </w14:solidFill>
      </w14:textFill>
    </w:rPr>
  </w:style>
  <w:style w:type="character" w:styleId="23">
    <w:name w:val="Emphasis"/>
    <w:basedOn w:val="19"/>
    <w:qFormat/>
    <w:locked/>
    <w:uiPriority w:val="0"/>
    <w:rPr>
      <w:color w:val="F73131"/>
    </w:rPr>
  </w:style>
  <w:style w:type="character" w:styleId="24">
    <w:name w:val="Hyperlink"/>
    <w:basedOn w:val="19"/>
    <w:unhideWhenUsed/>
    <w:qFormat/>
    <w:uiPriority w:val="99"/>
    <w:rPr>
      <w:color w:val="0000FF"/>
      <w:u w:val="single"/>
    </w:rPr>
  </w:style>
  <w:style w:type="character" w:styleId="25">
    <w:name w:val="HTML Cite"/>
    <w:basedOn w:val="19"/>
    <w:semiHidden/>
    <w:unhideWhenUsed/>
    <w:qFormat/>
    <w:uiPriority w:val="99"/>
    <w:rPr>
      <w:color w:val="008000"/>
    </w:rPr>
  </w:style>
  <w:style w:type="character" w:customStyle="1" w:styleId="26">
    <w:name w:val="页眉 Char"/>
    <w:link w:val="13"/>
    <w:semiHidden/>
    <w:qFormat/>
    <w:locked/>
    <w:uiPriority w:val="99"/>
    <w:rPr>
      <w:rFonts w:cs="Times New Roman"/>
      <w:sz w:val="18"/>
      <w:szCs w:val="18"/>
    </w:rPr>
  </w:style>
  <w:style w:type="character" w:customStyle="1" w:styleId="27">
    <w:name w:val="页脚 Char"/>
    <w:link w:val="12"/>
    <w:qFormat/>
    <w:locked/>
    <w:uiPriority w:val="99"/>
    <w:rPr>
      <w:rFonts w:cs="Times New Roman"/>
      <w:sz w:val="18"/>
      <w:szCs w:val="18"/>
    </w:rPr>
  </w:style>
  <w:style w:type="paragraph" w:customStyle="1" w:styleId="28">
    <w:name w:val="列出段落1"/>
    <w:basedOn w:val="1"/>
    <w:qFormat/>
    <w:uiPriority w:val="34"/>
    <w:pPr>
      <w:ind w:firstLine="420" w:firstLineChars="200"/>
    </w:pPr>
  </w:style>
  <w:style w:type="character" w:customStyle="1" w:styleId="29">
    <w:name w:val="f14w1"/>
    <w:qFormat/>
    <w:uiPriority w:val="0"/>
    <w:rPr>
      <w:b/>
      <w:bCs/>
      <w:color w:val="002569"/>
      <w:sz w:val="21"/>
      <w:szCs w:val="21"/>
    </w:rPr>
  </w:style>
  <w:style w:type="paragraph" w:customStyle="1" w:styleId="30">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31">
    <w:name w:val="列出段落11"/>
    <w:basedOn w:val="1"/>
    <w:qFormat/>
    <w:uiPriority w:val="0"/>
    <w:pPr>
      <w:ind w:firstLine="420" w:firstLineChars="200"/>
    </w:pPr>
  </w:style>
  <w:style w:type="paragraph" w:customStyle="1" w:styleId="32">
    <w:name w:val="列出段落2"/>
    <w:basedOn w:val="1"/>
    <w:qFormat/>
    <w:uiPriority w:val="0"/>
    <w:pPr>
      <w:ind w:firstLine="420" w:firstLineChars="200"/>
    </w:pPr>
    <w:rPr>
      <w:rFonts w:ascii="Calibri" w:hAnsi="Calibri"/>
      <w:szCs w:val="22"/>
    </w:rPr>
  </w:style>
  <w:style w:type="character" w:customStyle="1" w:styleId="33">
    <w:name w:val="批注框文本 Char"/>
    <w:link w:val="11"/>
    <w:semiHidden/>
    <w:qFormat/>
    <w:uiPriority w:val="99"/>
    <w:rPr>
      <w:rFonts w:ascii="Times New Roman" w:hAnsi="Times New Roman"/>
      <w:kern w:val="2"/>
      <w:sz w:val="18"/>
      <w:szCs w:val="18"/>
    </w:rPr>
  </w:style>
  <w:style w:type="paragraph" w:customStyle="1" w:styleId="34">
    <w:name w:val="Char"/>
    <w:basedOn w:val="1"/>
    <w:qFormat/>
    <w:uiPriority w:val="0"/>
    <w:pPr>
      <w:spacing w:line="240" w:lineRule="atLeast"/>
      <w:ind w:left="420" w:firstLine="420"/>
    </w:pPr>
    <w:rPr>
      <w:kern w:val="0"/>
      <w:szCs w:val="21"/>
    </w:rPr>
  </w:style>
  <w:style w:type="character" w:customStyle="1" w:styleId="35">
    <w:name w:val="正文文本缩进 Char"/>
    <w:basedOn w:val="19"/>
    <w:link w:val="9"/>
    <w:qFormat/>
    <w:uiPriority w:val="0"/>
    <w:rPr>
      <w:rFonts w:ascii="Times New Roman" w:hAnsi="Times New Roman"/>
      <w:kern w:val="2"/>
      <w:sz w:val="21"/>
      <w:szCs w:val="24"/>
    </w:rPr>
  </w:style>
  <w:style w:type="character" w:customStyle="1" w:styleId="36">
    <w:name w:val="标题 1 Char"/>
    <w:basedOn w:val="19"/>
    <w:link w:val="3"/>
    <w:qFormat/>
    <w:uiPriority w:val="0"/>
    <w:rPr>
      <w:rFonts w:ascii="Times New Roman" w:hAnsi="Times New Roman" w:eastAsia="黑体"/>
      <w:b/>
      <w:kern w:val="2"/>
      <w:sz w:val="32"/>
    </w:rPr>
  </w:style>
  <w:style w:type="character" w:customStyle="1" w:styleId="37">
    <w:name w:val="HTML 预设格式 Char"/>
    <w:basedOn w:val="19"/>
    <w:link w:val="15"/>
    <w:qFormat/>
    <w:uiPriority w:val="0"/>
    <w:rPr>
      <w:rFonts w:ascii="黑体" w:hAnsi="Courier New" w:eastAsia="黑体" w:cs="Courier New"/>
      <w:color w:val="000000"/>
    </w:rPr>
  </w:style>
  <w:style w:type="paragraph" w:styleId="38">
    <w:name w:val="List Paragraph"/>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character" w:customStyle="1" w:styleId="39">
    <w:name w:val="日期 Char"/>
    <w:basedOn w:val="19"/>
    <w:link w:val="10"/>
    <w:semiHidden/>
    <w:qFormat/>
    <w:uiPriority w:val="99"/>
    <w:rPr>
      <w:kern w:val="2"/>
      <w:sz w:val="21"/>
      <w:szCs w:val="24"/>
    </w:rPr>
  </w:style>
  <w:style w:type="paragraph" w:customStyle="1" w:styleId="40">
    <w:name w:val="Default"/>
    <w:unhideWhenUsed/>
    <w:qFormat/>
    <w:uiPriority w:val="99"/>
    <w:pPr>
      <w:widowControl w:val="0"/>
      <w:autoSpaceDE w:val="0"/>
      <w:autoSpaceDN w:val="0"/>
      <w:adjustRightInd w:val="0"/>
      <w:spacing w:beforeLines="0" w:afterLines="0"/>
    </w:pPr>
    <w:rPr>
      <w:rFonts w:hint="eastAsia" w:ascii="微软雅黑" w:hAnsi="微软雅黑" w:eastAsia="微软雅黑" w:cs="Times New Roman"/>
      <w:color w:val="000000"/>
      <w:sz w:val="24"/>
    </w:rPr>
  </w:style>
  <w:style w:type="character" w:customStyle="1" w:styleId="41">
    <w:name w:val="标题 2 字符"/>
    <w:qFormat/>
    <w:uiPriority w:val="0"/>
    <w:rPr>
      <w:rFonts w:ascii="Arial" w:hAnsi="Arial" w:eastAsia="黑体" w:cs="Times New Roman"/>
      <w:b/>
      <w:bCs/>
      <w:sz w:val="24"/>
      <w:szCs w:val="32"/>
    </w:rPr>
  </w:style>
  <w:style w:type="character" w:customStyle="1" w:styleId="42">
    <w:name w:val="标题 2 Char"/>
    <w:link w:val="4"/>
    <w:qFormat/>
    <w:uiPriority w:val="0"/>
    <w:rPr>
      <w:rFonts w:ascii="Arial" w:hAnsi="Arial" w:eastAsia="黑体"/>
      <w:bCs/>
      <w:kern w:val="0"/>
      <w:sz w:val="28"/>
      <w:szCs w:val="32"/>
    </w:rPr>
  </w:style>
  <w:style w:type="paragraph" w:customStyle="1" w:styleId="43">
    <w:name w:val="WPSOffice手动目录 1"/>
    <w:qFormat/>
    <w:uiPriority w:val="0"/>
    <w:pPr>
      <w:ind w:leftChars="0"/>
    </w:pPr>
    <w:rPr>
      <w:rFonts w:ascii="Calibri" w:hAnsi="Calibri" w:eastAsia="宋体" w:cs="Times New Roman"/>
      <w:sz w:val="20"/>
      <w:szCs w:val="20"/>
    </w:rPr>
  </w:style>
  <w:style w:type="paragraph" w:customStyle="1" w:styleId="44">
    <w:name w:val="WPSOffice手动目录 2"/>
    <w:qFormat/>
    <w:uiPriority w:val="0"/>
    <w:pPr>
      <w:ind w:leftChars="200"/>
    </w:pPr>
    <w:rPr>
      <w:rFonts w:ascii="Calibri" w:hAnsi="Calibri" w:eastAsia="宋体" w:cs="Times New Roman"/>
      <w:sz w:val="20"/>
      <w:szCs w:val="20"/>
    </w:rPr>
  </w:style>
  <w:style w:type="character" w:customStyle="1" w:styleId="45">
    <w:name w:val="c-icon28"/>
    <w:basedOn w:val="19"/>
    <w:qFormat/>
    <w:uiPriority w:val="0"/>
  </w:style>
  <w:style w:type="character" w:customStyle="1" w:styleId="46">
    <w:name w:val="hover24"/>
    <w:basedOn w:val="19"/>
    <w:qFormat/>
    <w:uiPriority w:val="0"/>
    <w:rPr>
      <w:color w:val="315EFB"/>
    </w:rPr>
  </w:style>
  <w:style w:type="character" w:customStyle="1" w:styleId="47">
    <w:name w:val="hover25"/>
    <w:basedOn w:val="19"/>
    <w:qFormat/>
    <w:uiPriority w:val="0"/>
  </w:style>
  <w:style w:type="paragraph" w:customStyle="1" w:styleId="48">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49">
    <w:name w:val="WPSOffice手动目录 3"/>
    <w:qFormat/>
    <w:uiPriority w:val="0"/>
    <w:pPr>
      <w:ind w:leftChars="400"/>
    </w:pPr>
    <w:rPr>
      <w:rFonts w:ascii="Calibri" w:hAnsi="Calibri" w:eastAsia="宋体" w:cs="Times New Roman"/>
      <w:sz w:val="20"/>
      <w:szCs w:val="20"/>
    </w:rPr>
  </w:style>
  <w:style w:type="character" w:customStyle="1" w:styleId="50">
    <w:name w:val="first-child"/>
    <w:basedOn w:val="19"/>
    <w:qFormat/>
    <w:uiPriority w:val="0"/>
  </w:style>
  <w:style w:type="character" w:customStyle="1" w:styleId="51">
    <w:name w:val="layui-layer-tabnow"/>
    <w:basedOn w:val="19"/>
    <w:qFormat/>
    <w:uiPriority w:val="0"/>
    <w:rPr>
      <w:bdr w:val="single" w:color="CCCCCC" w:sz="6" w:space="0"/>
      <w:shd w:val="clear" w:fill="FFFFFF"/>
    </w:rPr>
  </w:style>
  <w:style w:type="character" w:customStyle="1" w:styleId="52">
    <w:name w:val="font11"/>
    <w:basedOn w:val="19"/>
    <w:qFormat/>
    <w:uiPriority w:val="0"/>
    <w:rPr>
      <w:rFonts w:hint="eastAsia" w:ascii="黑体" w:hAnsi="宋体" w:eastAsia="黑体" w:cs="黑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44</Pages>
  <Words>19068</Words>
  <Characters>21450</Characters>
  <Lines>101</Lines>
  <Paragraphs>28</Paragraphs>
  <TotalTime>2</TotalTime>
  <ScaleCrop>false</ScaleCrop>
  <LinksUpToDate>false</LinksUpToDate>
  <CharactersWithSpaces>21995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2019-09-06T14:28:00Z</dcterms:created>
  <dc:creator>李凯01</dc:creator>
  <cp:lastModifiedBy>覃师</cp:lastModifiedBy>
  <cp:lastPrinted>2024-09-23T13:03:00Z</cp:lastPrinted>
  <dcterms:modified xsi:type="dcterms:W3CDTF">2024-09-30T05:08:44Z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23DB9B126F4D44C5A85DD02DFA88AD5F</vt:lpwstr>
  </property>
</Properties>
</file>