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jc w:val="center"/>
        <w:rPr>
          <w:rFonts w:ascii="仿宋" w:hAnsi="仿宋" w:eastAsia="仿宋"/>
          <w:b/>
          <w:color w:val="000000"/>
          <w:sz w:val="52"/>
          <w:szCs w:val="52"/>
        </w:rPr>
      </w:pP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rPr>
        <w:t>对外发布区网站云防护及</w:t>
      </w: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rPr>
        <w:t>TCP安全防护项目比选采购文件</w:t>
      </w:r>
    </w:p>
    <w:p>
      <w:pPr>
        <w:autoSpaceDE w:val="0"/>
        <w:autoSpaceDN w:val="0"/>
        <w:adjustRightInd w:val="0"/>
        <w:spacing w:line="360" w:lineRule="auto"/>
        <w:jc w:val="center"/>
        <w:rPr>
          <w:rFonts w:ascii="仿宋_GB2312" w:hAnsi="仿宋" w:eastAsia="仿宋_GB2312" w:cs="宋体"/>
          <w:b/>
          <w:bCs/>
          <w:color w:val="000000"/>
          <w:sz w:val="36"/>
          <w:szCs w:val="36"/>
          <w:lang w:val="zh-CN"/>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编号：</w:t>
      </w:r>
      <w:r>
        <w:rPr>
          <w:rFonts w:ascii="仿宋_GB2312" w:hAnsi="仿宋" w:eastAsia="仿宋_GB2312" w:cs="宋体"/>
          <w:b/>
          <w:bCs/>
          <w:color w:val="000000"/>
          <w:sz w:val="36"/>
          <w:szCs w:val="36"/>
          <w:lang w:val="zh-CN"/>
        </w:rPr>
        <w:t xml:space="preserve">服务-101-2024-0025 </w:t>
      </w:r>
    </w:p>
    <w:p>
      <w:pPr>
        <w:jc w:val="center"/>
        <w:rPr>
          <w:rFonts w:ascii="仿宋" w:hAnsi="仿宋" w:eastAsia="仿宋"/>
          <w:b/>
          <w:color w:val="000000"/>
          <w:sz w:val="32"/>
        </w:rPr>
      </w:pPr>
    </w:p>
    <w:p>
      <w:pPr>
        <w:jc w:val="center"/>
        <w:rPr>
          <w:rFonts w:ascii="仿宋" w:hAnsi="仿宋" w:eastAsia="仿宋"/>
          <w:b/>
          <w:color w:val="000000"/>
          <w:sz w:val="52"/>
        </w:rPr>
      </w:pPr>
    </w:p>
    <w:p>
      <w:pPr>
        <w:jc w:val="center"/>
        <w:rPr>
          <w:rFonts w:ascii="仿宋" w:hAnsi="仿宋" w:eastAsia="仿宋"/>
          <w:b/>
          <w:color w:val="000000"/>
          <w:sz w:val="52"/>
        </w:rPr>
      </w:pP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重庆机场集团有限公司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采购办公室（代章）</w:t>
      </w:r>
    </w:p>
    <w:p>
      <w:pPr>
        <w:rPr>
          <w:rFonts w:ascii="仿宋" w:hAnsi="仿宋" w:eastAsia="仿宋"/>
          <w:b/>
          <w:color w:val="000000"/>
          <w:sz w:val="32"/>
          <w:szCs w:val="32"/>
        </w:rPr>
      </w:pP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二〇二四年六月</w:t>
      </w:r>
    </w:p>
    <w:p>
      <w:pPr>
        <w:pStyle w:val="2"/>
      </w:pP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2"/>
      </w:pPr>
    </w:p>
    <w:p/>
    <w:p>
      <w:pPr>
        <w:pStyle w:val="2"/>
      </w:pPr>
    </w:p>
    <w:p/>
    <w:p>
      <w:pPr>
        <w:pStyle w:val="2"/>
      </w:pPr>
    </w:p>
    <w:p/>
    <w:p>
      <w:pPr>
        <w:pStyle w:val="2"/>
      </w:pPr>
    </w:p>
    <w:p/>
    <w:p>
      <w:pPr>
        <w:pStyle w:val="2"/>
      </w:pPr>
    </w:p>
    <w:p/>
    <w:p>
      <w:pPr>
        <w:pStyle w:val="2"/>
      </w:pPr>
    </w:p>
    <w:p>
      <w:pPr>
        <w:pStyle w:val="2"/>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我司决定于近期将对对外发布区网站云防护及TCP安全防护项目进行比选采购。本比选采购办法适用于我司范围内公开招标限额以下的采购活动。</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项目名称：对外发布区网站云防护及TCP安全防护项目</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项目内容：该项目是为已投入使用的重庆机场集团对外发布区提供网站</w:t>
      </w:r>
      <w:r>
        <w:rPr>
          <w:rFonts w:hint="eastAsia" w:asciiTheme="minorEastAsia" w:hAnsiTheme="minorEastAsia" w:eastAsiaTheme="minorEastAsia" w:cstheme="minorEastAsia"/>
          <w:sz w:val="28"/>
          <w:szCs w:val="28"/>
        </w:rPr>
        <w:t>SAAS化</w:t>
      </w:r>
      <w:r>
        <w:rPr>
          <w:rFonts w:hint="eastAsia" w:ascii="方正仿宋_GBK" w:hAnsi="方正仿宋_GBK" w:eastAsia="方正仿宋_GBK" w:cs="方正仿宋_GBK"/>
          <w:sz w:val="28"/>
          <w:szCs w:val="28"/>
        </w:rPr>
        <w:t>云防护及TCP安全防护，对该区域内所有应用系统进行统筹安全管理、统一部署、统一防护。以保障所有对外提供服务系统在遭受外部大量的CC攻击、DDos攻击等各类型黑客攻击的情况下，经过网站云防护与TCP安全防护的清洗和处理后再将洁净的流量传递给网站的真实服务器，保证对外提供服务系统运行的安全、稳定及防护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物资采购项目应填写物资采购清单，示例如下：</w:t>
      </w:r>
    </w:p>
    <w:tbl>
      <w:tblPr>
        <w:tblStyle w:val="9"/>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370"/>
        <w:gridCol w:w="1020"/>
        <w:gridCol w:w="1380"/>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88" w:type="dxa"/>
            <w:vAlign w:val="center"/>
          </w:tcPr>
          <w:p>
            <w:pPr>
              <w:jc w:val="center"/>
              <w:rPr>
                <w:b/>
                <w:sz w:val="28"/>
                <w:szCs w:val="28"/>
              </w:rPr>
            </w:pPr>
            <w:r>
              <w:rPr>
                <w:rFonts w:hint="eastAsia"/>
                <w:b/>
                <w:sz w:val="28"/>
                <w:szCs w:val="28"/>
              </w:rPr>
              <w:t>序号</w:t>
            </w:r>
          </w:p>
        </w:tc>
        <w:tc>
          <w:tcPr>
            <w:tcW w:w="1370" w:type="dxa"/>
            <w:vAlign w:val="center"/>
          </w:tcPr>
          <w:p>
            <w:pPr>
              <w:jc w:val="center"/>
              <w:rPr>
                <w:b/>
                <w:sz w:val="28"/>
                <w:szCs w:val="28"/>
              </w:rPr>
            </w:pPr>
            <w:r>
              <w:rPr>
                <w:rFonts w:hint="eastAsia"/>
                <w:b/>
                <w:sz w:val="28"/>
                <w:szCs w:val="28"/>
              </w:rPr>
              <w:t>品名</w:t>
            </w:r>
          </w:p>
        </w:tc>
        <w:tc>
          <w:tcPr>
            <w:tcW w:w="1020" w:type="dxa"/>
            <w:vAlign w:val="center"/>
          </w:tcPr>
          <w:p>
            <w:pPr>
              <w:jc w:val="center"/>
              <w:rPr>
                <w:b/>
                <w:sz w:val="28"/>
                <w:szCs w:val="28"/>
              </w:rPr>
            </w:pPr>
            <w:r>
              <w:rPr>
                <w:rFonts w:hint="eastAsia"/>
                <w:b/>
                <w:sz w:val="28"/>
                <w:szCs w:val="28"/>
              </w:rPr>
              <w:t>数量</w:t>
            </w:r>
          </w:p>
        </w:tc>
        <w:tc>
          <w:tcPr>
            <w:tcW w:w="1380" w:type="dxa"/>
            <w:vAlign w:val="center"/>
          </w:tcPr>
          <w:p>
            <w:pPr>
              <w:jc w:val="center"/>
              <w:rPr>
                <w:b/>
                <w:sz w:val="28"/>
                <w:szCs w:val="28"/>
              </w:rPr>
            </w:pPr>
            <w:r>
              <w:rPr>
                <w:rFonts w:hint="eastAsia"/>
                <w:b/>
                <w:sz w:val="28"/>
                <w:szCs w:val="28"/>
              </w:rPr>
              <w:t>单位</w:t>
            </w:r>
          </w:p>
        </w:tc>
        <w:tc>
          <w:tcPr>
            <w:tcW w:w="3450" w:type="dxa"/>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8" w:type="dxa"/>
            <w:vAlign w:val="center"/>
          </w:tcPr>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370" w:type="dxa"/>
            <w:vAlign w:val="center"/>
          </w:tcPr>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云防护</w:t>
            </w:r>
          </w:p>
        </w:tc>
        <w:tc>
          <w:tcPr>
            <w:tcW w:w="1020" w:type="dxa"/>
            <w:vAlign w:val="center"/>
          </w:tcPr>
          <w:p>
            <w:pPr>
              <w:widowControl/>
              <w:spacing w:line="360" w:lineRule="auto"/>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w:t>
            </w:r>
          </w:p>
        </w:tc>
        <w:tc>
          <w:tcPr>
            <w:tcW w:w="1380" w:type="dxa"/>
            <w:vAlign w:val="center"/>
          </w:tcPr>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域名节点</w:t>
            </w:r>
          </w:p>
        </w:tc>
        <w:tc>
          <w:tcPr>
            <w:tcW w:w="3450" w:type="dxa"/>
            <w:vAlign w:val="center"/>
          </w:tcPr>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包含31个域名</w:t>
            </w:r>
          </w:p>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（见附件</w:t>
            </w:r>
            <w:r>
              <w:rPr>
                <w:rFonts w:ascii="方正仿宋_GBK" w:hAnsi="方正仿宋_GBK" w:eastAsia="方正仿宋_GBK" w:cs="方正仿宋_GBK"/>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88"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1370"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T</w:t>
            </w:r>
            <w:r>
              <w:rPr>
                <w:rFonts w:ascii="方正仿宋_GBK" w:hAnsi="方正仿宋_GBK" w:eastAsia="方正仿宋_GBK" w:cs="方正仿宋_GBK"/>
                <w:sz w:val="28"/>
                <w:szCs w:val="28"/>
              </w:rPr>
              <w:t>CP</w:t>
            </w:r>
            <w:r>
              <w:rPr>
                <w:rFonts w:hint="eastAsia" w:ascii="方正仿宋_GBK" w:hAnsi="方正仿宋_GBK" w:eastAsia="方正仿宋_GBK" w:cs="方正仿宋_GBK"/>
                <w:sz w:val="28"/>
                <w:szCs w:val="28"/>
              </w:rPr>
              <w:t>安全防护</w:t>
            </w:r>
          </w:p>
        </w:tc>
        <w:tc>
          <w:tcPr>
            <w:tcW w:w="1020" w:type="dxa"/>
            <w:vAlign w:val="center"/>
          </w:tcPr>
          <w:p>
            <w:pPr>
              <w:spacing w:line="360" w:lineRule="auto"/>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380"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套/年</w:t>
            </w:r>
          </w:p>
        </w:tc>
        <w:tc>
          <w:tcPr>
            <w:tcW w:w="3450"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包含对外发布区内所有域名及服务期内新增域名</w:t>
            </w:r>
          </w:p>
        </w:tc>
      </w:tr>
    </w:tbl>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工期（或服务期）：一年</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质保期：一年</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单位负责人为同一人或者存在控股、管理关系的不同单位，不得参加同一标段或者未划分标段的同一采购项目比选。</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信誉要求：①没有处于被责令停业，参与招标采购资格被取消，财产被接管、冻结，破产状态；②比选响应人没有进入采购人黑名单库；③具有履行合同所必需的设备和专业技术能力。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比选响应人如提供虚假材料或未达到上述要求，采购人有权取消其比选资格或成交资格；提供虚假材料的，不予退还其比选响应保证金，并且将列入采购人黑名单库。</w:t>
      </w:r>
    </w:p>
    <w:p>
      <w:pPr>
        <w:pStyle w:val="2"/>
        <w:jc w:val="left"/>
      </w:pPr>
      <w:r>
        <w:rPr>
          <w:rFonts w:hint="eastAsia" w:ascii="方正仿宋_GBK" w:hAnsi="方正仿宋_GBK" w:eastAsia="方正仿宋_GBK" w:cs="方正仿宋_GBK"/>
          <w:sz w:val="28"/>
          <w:szCs w:val="28"/>
          <w:highlight w:val="yellow"/>
        </w:rPr>
        <w:t>提供：承诺书（格式按照附件5）</w:t>
      </w:r>
    </w:p>
    <w:p>
      <w:pPr>
        <w:widowControl/>
        <w:spacing w:line="360" w:lineRule="auto"/>
        <w:ind w:firstLine="560" w:firstLineChars="200"/>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三、项目技术服务内容及要求</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方正仿宋_GBK" w:hAnsi="方正仿宋_GBK" w:eastAsia="方正仿宋_GBK" w:cs="方正仿宋_GBK"/>
          <w:sz w:val="28"/>
          <w:szCs w:val="28"/>
        </w:rPr>
        <w:t>3.1技术服务的内容</w:t>
      </w:r>
      <w:r>
        <w:rPr>
          <w:rFonts w:hint="eastAsia" w:asciiTheme="majorEastAsia" w:hAnsiTheme="majorEastAsia" w:eastAsiaTheme="majorEastAsia" w:cstheme="majorEastAsia"/>
          <w:color w:val="000000"/>
          <w:sz w:val="28"/>
          <w:szCs w:val="28"/>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该项目是为已投入使用的重庆机场集团对外发布区提供网站SAAS化云防护与TCP安全防护，对该区域内所有应用系统进行统筹安全管理、统一部署、统一防护。以保障所有对外提供服务系统在遭受外部大量的CC攻击、DDos攻击等各类型黑客攻击的情况下，经过网站云防护与TCP安全防护的清洗和处理后再将洁净的流量传递给网站的真实服务器，保证对外提供服务系统运行的安全、稳定及防护能力。乙方负责提供本合同约定的网站云防护及TCP安全防护并维护所提供安全防护的质量，域名节点31个，明细见附件6。该项目不包含硬件设备更换。</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云防护及TCP安全防护的参数如下：</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3.1.1云防护参数</w:t>
      </w:r>
    </w:p>
    <w:tbl>
      <w:tblPr>
        <w:tblStyle w:val="8"/>
        <w:tblpPr w:leftFromText="180" w:rightFromText="180" w:vertAnchor="text" w:horzAnchor="page" w:tblpX="1795" w:tblpY="354"/>
        <w:tblOverlap w:val="never"/>
        <w:tblW w:w="8474" w:type="dxa"/>
        <w:tblInd w:w="0" w:type="dxa"/>
        <w:tblLayout w:type="fixed"/>
        <w:tblCellMar>
          <w:top w:w="0" w:type="dxa"/>
          <w:left w:w="108" w:type="dxa"/>
          <w:bottom w:w="0" w:type="dxa"/>
          <w:right w:w="108" w:type="dxa"/>
        </w:tblCellMar>
      </w:tblPr>
      <w:tblGrid>
        <w:gridCol w:w="295"/>
        <w:gridCol w:w="451"/>
        <w:gridCol w:w="474"/>
        <w:gridCol w:w="358"/>
        <w:gridCol w:w="6896"/>
      </w:tblGrid>
      <w:tr>
        <w:tblPrEx>
          <w:tblCellMar>
            <w:top w:w="0" w:type="dxa"/>
            <w:left w:w="108" w:type="dxa"/>
            <w:bottom w:w="0" w:type="dxa"/>
            <w:right w:w="108" w:type="dxa"/>
          </w:tblCellMar>
        </w:tblPrEx>
        <w:trPr>
          <w:trHeight w:val="933" w:hRule="atLeast"/>
        </w:trPr>
        <w:tc>
          <w:tcPr>
            <w:tcW w:w="2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b/>
                <w:bCs/>
                <w:kern w:val="0"/>
                <w:sz w:val="18"/>
                <w:szCs w:val="18"/>
              </w:rPr>
            </w:pPr>
            <w:r>
              <w:rPr>
                <w:rFonts w:hint="eastAsia" w:ascii="方正仿宋_GBK" w:hAnsi="方正仿宋_GBK" w:eastAsia="方正仿宋_GBK" w:cs="方正仿宋_GBK"/>
                <w:b/>
                <w:bCs/>
                <w:kern w:val="0"/>
                <w:sz w:val="18"/>
                <w:szCs w:val="18"/>
              </w:rPr>
              <w:t>名称</w:t>
            </w:r>
          </w:p>
        </w:tc>
        <w:tc>
          <w:tcPr>
            <w:tcW w:w="45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b/>
                <w:bCs/>
                <w:kern w:val="0"/>
                <w:sz w:val="18"/>
                <w:szCs w:val="18"/>
              </w:rPr>
            </w:pPr>
            <w:r>
              <w:rPr>
                <w:rFonts w:hint="eastAsia" w:ascii="方正仿宋_GBK" w:hAnsi="方正仿宋_GBK" w:eastAsia="方正仿宋_GBK" w:cs="方正仿宋_GBK"/>
                <w:b/>
                <w:bCs/>
                <w:kern w:val="0"/>
                <w:sz w:val="18"/>
                <w:szCs w:val="18"/>
              </w:rPr>
              <w:t>规格型号</w:t>
            </w:r>
          </w:p>
        </w:tc>
        <w:tc>
          <w:tcPr>
            <w:tcW w:w="47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b/>
                <w:bCs/>
                <w:kern w:val="0"/>
                <w:sz w:val="18"/>
                <w:szCs w:val="18"/>
              </w:rPr>
            </w:pPr>
            <w:r>
              <w:rPr>
                <w:rFonts w:hint="eastAsia" w:ascii="方正仿宋_GBK" w:hAnsi="方正仿宋_GBK" w:eastAsia="方正仿宋_GBK" w:cs="方正仿宋_GBK"/>
                <w:b/>
                <w:bCs/>
                <w:kern w:val="0"/>
                <w:sz w:val="18"/>
                <w:szCs w:val="18"/>
              </w:rPr>
              <w:t>数量</w:t>
            </w:r>
          </w:p>
        </w:tc>
        <w:tc>
          <w:tcPr>
            <w:tcW w:w="35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b/>
                <w:bCs/>
                <w:kern w:val="0"/>
                <w:sz w:val="18"/>
                <w:szCs w:val="18"/>
              </w:rPr>
            </w:pPr>
            <w:r>
              <w:rPr>
                <w:rFonts w:hint="eastAsia" w:ascii="方正仿宋_GBK" w:hAnsi="方正仿宋_GBK" w:eastAsia="方正仿宋_GBK" w:cs="方正仿宋_GBK"/>
                <w:b/>
                <w:bCs/>
                <w:kern w:val="0"/>
                <w:sz w:val="18"/>
                <w:szCs w:val="18"/>
              </w:rPr>
              <w:t>单位</w:t>
            </w:r>
          </w:p>
        </w:tc>
        <w:tc>
          <w:tcPr>
            <w:tcW w:w="689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b/>
                <w:bCs/>
                <w:kern w:val="0"/>
                <w:sz w:val="18"/>
                <w:szCs w:val="18"/>
              </w:rPr>
            </w:pPr>
            <w:r>
              <w:rPr>
                <w:rFonts w:hint="eastAsia" w:ascii="方正仿宋_GBK" w:hAnsi="方正仿宋_GBK" w:eastAsia="方正仿宋_GBK" w:cs="方正仿宋_GBK"/>
                <w:b/>
                <w:bCs/>
                <w:kern w:val="0"/>
                <w:sz w:val="18"/>
                <w:szCs w:val="18"/>
              </w:rPr>
              <w:t>内  容</w:t>
            </w:r>
          </w:p>
        </w:tc>
      </w:tr>
      <w:tr>
        <w:tblPrEx>
          <w:tblCellMar>
            <w:top w:w="0" w:type="dxa"/>
            <w:left w:w="108" w:type="dxa"/>
            <w:bottom w:w="0" w:type="dxa"/>
            <w:right w:w="108" w:type="dxa"/>
          </w:tblCellMar>
        </w:tblPrEx>
        <w:trPr>
          <w:trHeight w:val="13382" w:hRule="atLeast"/>
        </w:trPr>
        <w:tc>
          <w:tcPr>
            <w:tcW w:w="295"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对外发布区网站云</w:t>
            </w:r>
          </w:p>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防护</w:t>
            </w:r>
          </w:p>
        </w:tc>
        <w:tc>
          <w:tcPr>
            <w:tcW w:w="451" w:type="dxa"/>
            <w:tcBorders>
              <w:top w:val="nil"/>
              <w:left w:val="nil"/>
              <w:bottom w:val="single" w:color="auto" w:sz="4" w:space="0"/>
              <w:right w:val="single" w:color="auto" w:sz="4" w:space="0"/>
            </w:tcBorders>
            <w:vAlign w:val="center"/>
          </w:tcPr>
          <w:p>
            <w:pPr>
              <w:pStyle w:val="2"/>
              <w:spacing w:line="240" w:lineRule="auto"/>
              <w:rPr>
                <w:rFonts w:ascii="方正仿宋_GBK" w:hAnsi="方正仿宋_GBK" w:eastAsia="方正仿宋_GBK" w:cs="方正仿宋_GBK"/>
                <w:sz w:val="18"/>
                <w:szCs w:val="18"/>
              </w:rPr>
            </w:pPr>
            <w:r>
              <w:rPr>
                <w:rFonts w:hint="eastAsia" w:ascii="方正仿宋_GBK" w:hAnsi="方正仿宋_GBK" w:eastAsia="方正仿宋_GBK" w:cs="方正仿宋_GBK"/>
                <w:b w:val="0"/>
                <w:bCs w:val="0"/>
                <w:color w:val="000000" w:themeColor="text1"/>
                <w:sz w:val="18"/>
                <w:szCs w:val="18"/>
                <w14:textFill>
                  <w14:solidFill>
                    <w14:schemeClr w14:val="tx1"/>
                  </w14:solidFill>
                </w14:textFill>
              </w:rPr>
              <w:t>云防护</w:t>
            </w:r>
          </w:p>
        </w:tc>
        <w:tc>
          <w:tcPr>
            <w:tcW w:w="474" w:type="dxa"/>
            <w:tcBorders>
              <w:top w:val="nil"/>
              <w:left w:val="nil"/>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31</w:t>
            </w:r>
          </w:p>
        </w:tc>
        <w:tc>
          <w:tcPr>
            <w:tcW w:w="358" w:type="dxa"/>
            <w:tcBorders>
              <w:top w:val="nil"/>
              <w:left w:val="nil"/>
              <w:bottom w:val="single" w:color="auto" w:sz="4" w:space="0"/>
              <w:right w:val="single" w:color="auto" w:sz="4" w:space="0"/>
            </w:tcBorders>
            <w:vAlign w:val="center"/>
          </w:tcPr>
          <w:p>
            <w:pPr>
              <w:adjustRightInd w:val="0"/>
              <w:snapToGrid w:val="0"/>
              <w:rPr>
                <w:rFonts w:ascii="方正仿宋_GBK" w:hAnsi="方正仿宋_GBK" w:eastAsia="方正仿宋_GBK" w:cs="方正仿宋_GBK"/>
                <w:color w:val="666666"/>
                <w:kern w:val="0"/>
                <w:sz w:val="18"/>
                <w:szCs w:val="18"/>
              </w:rPr>
            </w:pPr>
            <w:r>
              <w:rPr>
                <w:rFonts w:hint="eastAsia" w:ascii="方正仿宋_GBK" w:hAnsi="方正仿宋_GBK" w:eastAsia="方正仿宋_GBK" w:cs="方正仿宋_GBK"/>
                <w:kern w:val="0"/>
                <w:sz w:val="18"/>
                <w:szCs w:val="18"/>
              </w:rPr>
              <w:t>域名/1年</w:t>
            </w:r>
          </w:p>
        </w:tc>
        <w:tc>
          <w:tcPr>
            <w:tcW w:w="6896" w:type="dxa"/>
            <w:tcBorders>
              <w:top w:val="nil"/>
              <w:left w:val="nil"/>
              <w:bottom w:val="single" w:color="auto" w:sz="4" w:space="0"/>
              <w:right w:val="single" w:color="auto" w:sz="4" w:space="0"/>
            </w:tcBorders>
            <w:vAlign w:val="center"/>
          </w:tcPr>
          <w:p>
            <w:pPr>
              <w:adjustRightInd w:val="0"/>
              <w:snapToGrid w:val="0"/>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1、基本要求：为确保平台防护能力以及稳定性，在全国范围内具备至少30个云防护和CDN加速节点。</w:t>
            </w:r>
          </w:p>
          <w:p>
            <w:pPr>
              <w:adjustRightInd w:val="0"/>
              <w:snapToGrid w:val="0"/>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2、防御能力：①DDOS畸形报文过滤, 过滤frag flood、smurf、stream flood、land flood、攻击ip畸形包、tcp畸形包、udp畸形包。②传输层DDoS攻击防护，过滤syn flood、ack flood、udp flood、icmpflood、rstflood。③单IP能提供不低于50Gbps的DDOS流量清洗能力，DDOS攻击防护，超500Gbps攻击时，能在5分钟之内提供更多的防护流量。④连接型DDoS攻击防护，过滤TCP慢速连接攻击、连接耗尽攻击、tcp新建连接限制等攻击和loic、hoic、slowloris、Pyloris、xoic等慢速攻击。⑤支持智能识别攻击者，对网站连接发起攻击的IP地址进行自动锁定禁止访问被攻击的网站。⑥支持协同防护，平台够整体联动，对攻击IP进行全面封锁。</w:t>
            </w:r>
          </w:p>
          <w:p>
            <w:pPr>
              <w:adjustRightInd w:val="0"/>
              <w:snapToGrid w:val="0"/>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3、支持永久在线和一键关停功能，当网站因为服务器故障、线路故障、电源等问题出现无法连接时，可显示云防护节点中的缓存页面。当在敏感期或特殊时期时，用户网站主动关闭期间可显示缓存页面，增强网站安全性；当网站出现紧急安全事件时，可在一分钟内通过浏览器一键完成关停，防止产生恶劣影响。</w:t>
            </w:r>
          </w:p>
          <w:p>
            <w:pPr>
              <w:adjustRightInd w:val="0"/>
              <w:snapToGrid w:val="0"/>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4、支持一键虚拟补丁功能，网站出现0day漏洞时能快速完成修复。</w:t>
            </w:r>
          </w:p>
          <w:p>
            <w:pPr>
              <w:pStyle w:val="2"/>
              <w:adjustRightInd w:val="0"/>
              <w:snapToGrid w:val="0"/>
              <w:spacing w:before="0" w:after="0" w:line="240" w:lineRule="auto"/>
              <w:jc w:val="both"/>
              <w:rPr>
                <w:rFonts w:ascii="方正仿宋_GBK" w:hAnsi="方正仿宋_GBK" w:eastAsia="方正仿宋_GBK" w:cs="方正仿宋_GBK"/>
                <w:sz w:val="21"/>
                <w:szCs w:val="21"/>
              </w:rPr>
            </w:pPr>
            <w:r>
              <w:rPr>
                <w:rFonts w:hint="eastAsia" w:ascii="方正仿宋_GBK" w:hAnsi="方正仿宋_GBK" w:eastAsia="方正仿宋_GBK" w:cs="方正仿宋_GBK"/>
                <w:b w:val="0"/>
                <w:bCs w:val="0"/>
                <w:color w:val="000000" w:themeColor="text1"/>
                <w:kern w:val="0"/>
                <w:sz w:val="21"/>
                <w:szCs w:val="21"/>
                <w14:textFill>
                  <w14:solidFill>
                    <w14:schemeClr w14:val="tx1"/>
                  </w14:solidFill>
                </w14:textFill>
              </w:rPr>
              <w:t>5、可提供分区域、分时间虚拟替身镜像访问控制服务，支持替身镜像内容随时更新，以便和网站发布内容同步</w:t>
            </w:r>
          </w:p>
          <w:p>
            <w:pPr>
              <w:widowControl/>
              <w:adjustRightInd w:val="0"/>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color w:val="000000" w:themeColor="text1"/>
                <w:kern w:val="0"/>
                <w:szCs w:val="21"/>
                <w14:textFill>
                  <w14:solidFill>
                    <w14:schemeClr w14:val="tx1"/>
                  </w14:solidFill>
                </w14:textFill>
              </w:rPr>
              <w:t>6、报表：①可查看安全防护报告，包含攻击流量、攻击者区域统计、攻击者IP统计、被攻击页面统计、被攻击域名统计、攻击事件统计、攻击威胁等级统计等报告。②可查看网站访问报告，包含访问流量、访问区域统计、访问源IP统计、访问页面排行、访问终端、死链、静态资源等统计报告。③可查看服务质量监测报告，包含全国各省监测节点可用性分析、线路故障、CDN命中分析、首页加载时长分析、网站更新频率分析等。④支持日报、周报pdf格式导出。⑤可查看网站访问报告，包含访问流量、访问区域统计、访问源IP统计、访问页面排行、访问终端、死链、静态资源等统计报告。⑥支持日报、周报pdf格式导出。</w:t>
            </w:r>
          </w:p>
          <w:p>
            <w:pPr>
              <w:widowControl/>
              <w:adjustRightInd w:val="0"/>
              <w:snapToGrid w:val="0"/>
              <w:jc w:val="lef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7、可视化展现：单个网站可视化分析，包括访问流量、访问区域热点展示、访问与攻击源实时分析、访问源IP排行、攻击趋势、攻击区域分布、攻击类型、攻击时段、攻击源IP排行等数据展示与挖掘。</w:t>
            </w:r>
          </w:p>
          <w:p>
            <w:pPr>
              <w:widowControl/>
              <w:adjustRightInd w:val="0"/>
              <w:snapToGrid w:val="0"/>
              <w:jc w:val="lef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8、告警方式：根据不同告警级别发送邮件、短信、电话等多种告警方式。</w:t>
            </w:r>
          </w:p>
          <w:p>
            <w:pPr>
              <w:widowControl/>
              <w:adjustRightInd w:val="0"/>
              <w:snapToGrid w:val="0"/>
              <w:jc w:val="left"/>
              <w:rPr>
                <w:rFonts w:ascii="方正仿宋_GBK" w:hAnsi="方正仿宋_GBK" w:eastAsia="方正仿宋_GBK" w:cs="方正仿宋_GBK"/>
                <w:color w:val="000000" w:themeColor="text1"/>
                <w:kern w:val="0"/>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9、专家服务：具有云端7*24远程安全专家服务能力。</w:t>
            </w:r>
          </w:p>
        </w:tc>
      </w:tr>
    </w:tbl>
    <w:p>
      <w:pPr>
        <w:rPr>
          <w:rFonts w:ascii="方正仿宋_GBK" w:hAnsi="方正仿宋_GBK" w:eastAsia="方正仿宋_GBK" w:cs="方正仿宋_GBK"/>
        </w:rPr>
      </w:pPr>
      <w:r>
        <w:rPr>
          <w:rFonts w:hint="eastAsia" w:ascii="方正仿宋_GBK" w:hAnsi="方正仿宋_GBK" w:eastAsia="方正仿宋_GBK" w:cs="方正仿宋_GBK"/>
        </w:rPr>
        <w:br w:type="page"/>
      </w:r>
    </w:p>
    <w:tbl>
      <w:tblPr>
        <w:tblStyle w:val="8"/>
        <w:tblW w:w="8053" w:type="dxa"/>
        <w:tblInd w:w="5" w:type="dxa"/>
        <w:tblLayout w:type="fixed"/>
        <w:tblCellMar>
          <w:top w:w="0" w:type="dxa"/>
          <w:left w:w="108" w:type="dxa"/>
          <w:bottom w:w="0" w:type="dxa"/>
          <w:right w:w="108" w:type="dxa"/>
        </w:tblCellMar>
      </w:tblPr>
      <w:tblGrid>
        <w:gridCol w:w="486"/>
        <w:gridCol w:w="486"/>
        <w:gridCol w:w="397"/>
        <w:gridCol w:w="429"/>
        <w:gridCol w:w="6255"/>
      </w:tblGrid>
      <w:tr>
        <w:tblPrEx>
          <w:tblCellMar>
            <w:top w:w="0" w:type="dxa"/>
            <w:left w:w="108" w:type="dxa"/>
            <w:bottom w:w="0" w:type="dxa"/>
            <w:right w:w="108" w:type="dxa"/>
          </w:tblCellMar>
        </w:tblPrEx>
        <w:trPr>
          <w:trHeight w:val="550" w:hRule="atLeast"/>
        </w:trPr>
        <w:tc>
          <w:tcPr>
            <w:tcW w:w="8053" w:type="dxa"/>
            <w:gridSpan w:val="5"/>
            <w:tcBorders>
              <w:top w:val="nil"/>
              <w:bottom w:val="single" w:color="auto" w:sz="4" w:space="0"/>
            </w:tcBorders>
            <w:shd w:val="clear" w:color="auto" w:fill="auto"/>
            <w:vAlign w:val="center"/>
          </w:tcPr>
          <w:p>
            <w:pPr>
              <w:snapToGrid w:val="0"/>
              <w:spacing w:line="360" w:lineRule="auto"/>
              <w:ind w:firstLine="560" w:firstLineChars="20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sz w:val="28"/>
                <w:szCs w:val="28"/>
              </w:rPr>
              <w:t>3.1.2 TCP安全防护参数</w:t>
            </w:r>
          </w:p>
        </w:tc>
      </w:tr>
      <w:tr>
        <w:tblPrEx>
          <w:tblCellMar>
            <w:top w:w="0" w:type="dxa"/>
            <w:left w:w="108" w:type="dxa"/>
            <w:bottom w:w="0" w:type="dxa"/>
            <w:right w:w="108" w:type="dxa"/>
          </w:tblCellMar>
        </w:tblPrEx>
        <w:trPr>
          <w:trHeight w:val="183"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b/>
                <w:bCs/>
                <w:color w:val="000000"/>
                <w:kern w:val="0"/>
                <w:sz w:val="18"/>
                <w:szCs w:val="18"/>
              </w:rPr>
            </w:pPr>
            <w:r>
              <w:rPr>
                <w:rFonts w:hint="eastAsia" w:ascii="方正仿宋_GBK" w:hAnsi="方正仿宋_GBK" w:eastAsia="方正仿宋_GBK" w:cs="方正仿宋_GBK"/>
                <w:b/>
                <w:bCs/>
                <w:color w:val="000000"/>
                <w:kern w:val="0"/>
                <w:sz w:val="18"/>
                <w:szCs w:val="18"/>
              </w:rPr>
              <w:t>名称</w:t>
            </w:r>
          </w:p>
        </w:tc>
        <w:tc>
          <w:tcPr>
            <w:tcW w:w="486" w:type="dxa"/>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b/>
                <w:bCs/>
                <w:color w:val="000000"/>
                <w:kern w:val="0"/>
                <w:sz w:val="18"/>
                <w:szCs w:val="18"/>
              </w:rPr>
            </w:pPr>
            <w:r>
              <w:rPr>
                <w:rFonts w:hint="eastAsia" w:ascii="方正仿宋_GBK" w:hAnsi="方正仿宋_GBK" w:eastAsia="方正仿宋_GBK" w:cs="方正仿宋_GBK"/>
                <w:b/>
                <w:bCs/>
                <w:color w:val="000000"/>
                <w:kern w:val="0"/>
                <w:sz w:val="18"/>
                <w:szCs w:val="18"/>
              </w:rPr>
              <w:t>规格型号</w:t>
            </w:r>
          </w:p>
        </w:tc>
        <w:tc>
          <w:tcPr>
            <w:tcW w:w="397" w:type="dxa"/>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b/>
                <w:bCs/>
                <w:color w:val="000000"/>
                <w:kern w:val="0"/>
                <w:sz w:val="18"/>
                <w:szCs w:val="18"/>
              </w:rPr>
            </w:pPr>
            <w:r>
              <w:rPr>
                <w:rFonts w:hint="eastAsia" w:ascii="方正仿宋_GBK" w:hAnsi="方正仿宋_GBK" w:eastAsia="方正仿宋_GBK" w:cs="方正仿宋_GBK"/>
                <w:b/>
                <w:bCs/>
                <w:color w:val="000000"/>
                <w:kern w:val="0"/>
                <w:sz w:val="18"/>
                <w:szCs w:val="18"/>
              </w:rPr>
              <w:t>数量</w:t>
            </w:r>
          </w:p>
        </w:tc>
        <w:tc>
          <w:tcPr>
            <w:tcW w:w="429" w:type="dxa"/>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b/>
                <w:bCs/>
                <w:color w:val="000000"/>
                <w:kern w:val="0"/>
                <w:sz w:val="18"/>
                <w:szCs w:val="18"/>
              </w:rPr>
            </w:pPr>
            <w:r>
              <w:rPr>
                <w:rFonts w:hint="eastAsia" w:ascii="方正仿宋_GBK" w:hAnsi="方正仿宋_GBK" w:eastAsia="方正仿宋_GBK" w:cs="方正仿宋_GBK"/>
                <w:b/>
                <w:bCs/>
                <w:color w:val="000000"/>
                <w:kern w:val="0"/>
                <w:sz w:val="18"/>
                <w:szCs w:val="18"/>
              </w:rPr>
              <w:t>单位</w:t>
            </w:r>
          </w:p>
        </w:tc>
        <w:tc>
          <w:tcPr>
            <w:tcW w:w="6255" w:type="dxa"/>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b/>
                <w:bCs/>
                <w:color w:val="000000"/>
                <w:kern w:val="0"/>
                <w:sz w:val="18"/>
                <w:szCs w:val="18"/>
              </w:rPr>
            </w:pPr>
            <w:r>
              <w:rPr>
                <w:rFonts w:hint="eastAsia" w:ascii="方正仿宋_GBK" w:hAnsi="方正仿宋_GBK" w:eastAsia="方正仿宋_GBK" w:cs="方正仿宋_GBK"/>
                <w:b/>
                <w:bCs/>
                <w:color w:val="000000"/>
                <w:kern w:val="0"/>
                <w:sz w:val="18"/>
                <w:szCs w:val="18"/>
              </w:rPr>
              <w:t>内容</w:t>
            </w:r>
          </w:p>
        </w:tc>
      </w:tr>
      <w:tr>
        <w:tblPrEx>
          <w:tblCellMar>
            <w:top w:w="0" w:type="dxa"/>
            <w:left w:w="108" w:type="dxa"/>
            <w:bottom w:w="0" w:type="dxa"/>
            <w:right w:w="108" w:type="dxa"/>
          </w:tblCellMar>
        </w:tblPrEx>
        <w:trPr>
          <w:trHeight w:val="514" w:hRule="atLeast"/>
        </w:trPr>
        <w:tc>
          <w:tcPr>
            <w:tcW w:w="48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对外发布区TCP安全</w:t>
            </w:r>
            <w:r>
              <w:rPr>
                <w:rFonts w:hint="eastAsia" w:ascii="方正仿宋_GBK" w:hAnsi="方正仿宋_GBK" w:eastAsia="方正仿宋_GBK" w:cs="方正仿宋_GBK"/>
                <w:color w:val="000000"/>
                <w:kern w:val="0"/>
                <w:sz w:val="18"/>
                <w:szCs w:val="18"/>
              </w:rPr>
              <w:br w:type="textWrapping"/>
            </w:r>
            <w:r>
              <w:rPr>
                <w:rFonts w:hint="eastAsia" w:ascii="方正仿宋_GBK" w:hAnsi="方正仿宋_GBK" w:eastAsia="方正仿宋_GBK" w:cs="方正仿宋_GBK"/>
                <w:color w:val="000000"/>
                <w:kern w:val="0"/>
                <w:sz w:val="18"/>
                <w:szCs w:val="18"/>
              </w:rPr>
              <w:t>防护</w:t>
            </w:r>
          </w:p>
        </w:tc>
        <w:tc>
          <w:tcPr>
            <w:tcW w:w="48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TCP安全防护</w:t>
            </w:r>
          </w:p>
        </w:tc>
        <w:tc>
          <w:tcPr>
            <w:tcW w:w="39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1</w:t>
            </w:r>
          </w:p>
        </w:tc>
        <w:tc>
          <w:tcPr>
            <w:tcW w:w="42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套/年</w:t>
            </w:r>
          </w:p>
        </w:tc>
        <w:tc>
          <w:tcPr>
            <w:tcW w:w="6255" w:type="dxa"/>
            <w:tcBorders>
              <w:top w:val="nil"/>
              <w:left w:val="nil"/>
              <w:bottom w:val="single" w:color="auto" w:sz="4" w:space="0"/>
              <w:right w:val="single" w:color="auto" w:sz="4" w:space="0"/>
            </w:tcBorders>
            <w:shd w:val="clear" w:color="auto" w:fill="auto"/>
            <w:vAlign w:val="center"/>
          </w:tcPr>
          <w:p>
            <w:pPr>
              <w:pStyle w:val="11"/>
              <w:numPr>
                <w:ilvl w:val="0"/>
                <w:numId w:val="1"/>
              </w:numPr>
              <w:ind w:firstLineChars="0"/>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基本配置：</w:t>
            </w:r>
          </w:p>
          <w:p>
            <w:pPr>
              <w:pStyle w:val="11"/>
              <w:numPr>
                <w:ilvl w:val="0"/>
                <w:numId w:val="2"/>
              </w:numPr>
              <w:ind w:firstLineChars="0"/>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套餐内容默认支持的TCP转发数量不少于50条；</w:t>
            </w:r>
          </w:p>
          <w:p>
            <w:pPr>
              <w:numPr>
                <w:ilvl w:val="0"/>
                <w:numId w:val="2"/>
              </w:numP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支持防御的TCP业务端口可按需定制；</w:t>
            </w:r>
          </w:p>
          <w:p>
            <w:pPr>
              <w:numPr>
                <w:ilvl w:val="0"/>
                <w:numId w:val="2"/>
              </w:numP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需支持TCP源站回源监控，回源负载均衡需支持轮询、IP哈希等方式；</w:t>
            </w:r>
          </w:p>
          <w:p>
            <w:pPr>
              <w:pStyle w:val="11"/>
              <w:numPr>
                <w:ilvl w:val="0"/>
                <w:numId w:val="2"/>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sz w:val="18"/>
                <w:szCs w:val="18"/>
              </w:rPr>
              <w:t>支持智能回源优化，支持主备切换；</w:t>
            </w:r>
          </w:p>
        </w:tc>
      </w:tr>
      <w:tr>
        <w:tblPrEx>
          <w:tblCellMar>
            <w:top w:w="0" w:type="dxa"/>
            <w:left w:w="108" w:type="dxa"/>
            <w:bottom w:w="0" w:type="dxa"/>
            <w:right w:w="108" w:type="dxa"/>
          </w:tblCellMar>
        </w:tblPrEx>
        <w:trPr>
          <w:trHeight w:val="1926" w:hRule="atLeast"/>
        </w:trPr>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6255" w:type="dxa"/>
            <w:tcBorders>
              <w:top w:val="nil"/>
              <w:left w:val="nil"/>
              <w:bottom w:val="single" w:color="auto" w:sz="4" w:space="0"/>
              <w:right w:val="single" w:color="auto" w:sz="4" w:space="0"/>
            </w:tcBorders>
            <w:shd w:val="clear" w:color="auto" w:fill="auto"/>
            <w:vAlign w:val="center"/>
          </w:tcPr>
          <w:p>
            <w:pP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2、TCP层抗D服务：</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支持DNS接管TCP流量，隐藏真实服务器IP地址；</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支持账号级IP列表，可以快速对IP列表中IP进行访问控制处置；</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TCP高防IP线路要求：TCP高防节点IP需提供包含电信、联通、BGP；</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单节点TCP层抗DDoS能力要求：单节点TCP层抗DDoS能力不低于800G；</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TCP层DDoS防御覆盖类型包括但不限于SYN Flood, ACK flood, FIN/RST Flood, TCP flood, UDP flood, ICMP Flood，DNS反射攻击等；</w:t>
            </w:r>
          </w:p>
        </w:tc>
      </w:tr>
      <w:tr>
        <w:tblPrEx>
          <w:tblCellMar>
            <w:top w:w="0" w:type="dxa"/>
            <w:left w:w="108" w:type="dxa"/>
            <w:bottom w:w="0" w:type="dxa"/>
            <w:right w:w="108" w:type="dxa"/>
          </w:tblCellMar>
        </w:tblPrEx>
        <w:trPr>
          <w:trHeight w:val="1006" w:hRule="atLeast"/>
        </w:trPr>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6255" w:type="dxa"/>
            <w:tcBorders>
              <w:top w:val="nil"/>
              <w:left w:val="nil"/>
              <w:bottom w:val="single" w:color="auto" w:sz="4" w:space="0"/>
              <w:right w:val="single" w:color="auto" w:sz="4" w:space="0"/>
            </w:tcBorders>
            <w:shd w:val="clear" w:color="auto" w:fill="auto"/>
            <w:vAlign w:val="center"/>
          </w:tcPr>
          <w:p>
            <w:pP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3、TCP层动态加速：</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带宽资源要求：全网储备TCP层动态加速带宽不低于100G，TCP层动态加速节点需覆盖国内外，支持独用TCP层动态加速边缘节点IP，边缘节点TCP层动态加速带宽不小于20Mbps；</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TCP层动态加速边缘节点需全网支持IPv6；需提供IPv6资源列表；</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需支持设备质量监控，包括设备监控、网络监控、源站监控；</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需支持业务质量监控，包括软件监控、业务服务监控；</w:t>
            </w:r>
          </w:p>
          <w:p>
            <w:pPr>
              <w:pStyle w:val="11"/>
              <w:numPr>
                <w:ilvl w:val="0"/>
                <w:numId w:val="3"/>
              </w:numPr>
              <w:ind w:firstLineChars="0"/>
              <w:rPr>
                <w:rFonts w:ascii="方正仿宋_GBK" w:hAnsi="方正仿宋_GBK" w:eastAsia="方正仿宋_GBK" w:cs="方正仿宋_GBK"/>
                <w:color w:val="000000" w:themeColor="text1"/>
                <w:kern w:val="0"/>
                <w:sz w:val="18"/>
                <w:szCs w:val="18"/>
                <w14:textFill>
                  <w14:solidFill>
                    <w14:schemeClr w14:val="tx1"/>
                  </w14:solidFill>
                </w14:textFill>
              </w:rPr>
            </w:pPr>
            <w:r>
              <w:rPr>
                <w:rFonts w:hint="eastAsia" w:ascii="方正仿宋_GBK" w:hAnsi="方正仿宋_GBK" w:eastAsia="方正仿宋_GBK" w:cs="方正仿宋_GBK"/>
                <w:color w:val="000000"/>
                <w:kern w:val="0"/>
                <w:sz w:val="18"/>
                <w:szCs w:val="18"/>
              </w:rPr>
              <w:t>支持节点可用性监控，异常自动调度切换；</w:t>
            </w:r>
          </w:p>
        </w:tc>
      </w:tr>
      <w:tr>
        <w:tblPrEx>
          <w:tblCellMar>
            <w:top w:w="0" w:type="dxa"/>
            <w:left w:w="108" w:type="dxa"/>
            <w:bottom w:w="0" w:type="dxa"/>
            <w:right w:w="108" w:type="dxa"/>
          </w:tblCellMar>
        </w:tblPrEx>
        <w:trPr>
          <w:trHeight w:val="404" w:hRule="atLeast"/>
        </w:trPr>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6255" w:type="dxa"/>
            <w:tcBorders>
              <w:top w:val="nil"/>
              <w:left w:val="nil"/>
              <w:bottom w:val="single" w:color="auto" w:sz="4" w:space="0"/>
              <w:right w:val="single" w:color="auto" w:sz="4" w:space="0"/>
            </w:tcBorders>
            <w:shd w:val="clear" w:color="auto" w:fill="auto"/>
            <w:vAlign w:val="center"/>
          </w:tcPr>
          <w:p>
            <w:pP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4、集中管控：</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支持账号级IP列表，可以快速对IP列表中IP进行访问控制处置；</w:t>
            </w:r>
          </w:p>
        </w:tc>
      </w:tr>
      <w:tr>
        <w:tblPrEx>
          <w:tblCellMar>
            <w:top w:w="0" w:type="dxa"/>
            <w:left w:w="108" w:type="dxa"/>
            <w:bottom w:w="0" w:type="dxa"/>
            <w:right w:w="108" w:type="dxa"/>
          </w:tblCellMar>
        </w:tblPrEx>
        <w:trPr>
          <w:trHeight w:val="478" w:hRule="atLeast"/>
        </w:trPr>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6255" w:type="dxa"/>
            <w:tcBorders>
              <w:top w:val="nil"/>
              <w:left w:val="nil"/>
              <w:bottom w:val="single" w:color="auto" w:sz="4" w:space="0"/>
              <w:right w:val="single" w:color="auto" w:sz="4" w:space="0"/>
            </w:tcBorders>
            <w:shd w:val="clear" w:color="auto" w:fill="auto"/>
            <w:vAlign w:val="center"/>
          </w:tcPr>
          <w:p>
            <w:pP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5、数据报表：</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要求支持的统计对象包括：TCP流量、TCP带宽、TCP会话次数、节点平均延迟、节点可用性、访问控制规则触发、Bot流量；</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要求支持按需自定义报告内容，生成日报、周报、月报，支持计划性生成任务、以便于定时自动生成报告；报告需支持PDF、Doc格式；</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平台需支持日志检索、下载和推送；</w:t>
            </w:r>
          </w:p>
        </w:tc>
      </w:tr>
      <w:tr>
        <w:tblPrEx>
          <w:tblCellMar>
            <w:top w:w="0" w:type="dxa"/>
            <w:left w:w="108" w:type="dxa"/>
            <w:bottom w:w="0" w:type="dxa"/>
            <w:right w:w="108" w:type="dxa"/>
          </w:tblCellMar>
        </w:tblPrEx>
        <w:trPr>
          <w:trHeight w:val="2098" w:hRule="atLeast"/>
        </w:trPr>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6255" w:type="dxa"/>
            <w:tcBorders>
              <w:top w:val="nil"/>
              <w:left w:val="nil"/>
              <w:bottom w:val="single" w:color="auto" w:sz="4" w:space="0"/>
              <w:right w:val="single" w:color="auto" w:sz="4" w:space="0"/>
            </w:tcBorders>
            <w:shd w:val="clear" w:color="auto" w:fill="auto"/>
            <w:vAlign w:val="center"/>
          </w:tcPr>
          <w:p>
            <w:pP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6、通知告警：</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支持针对URL的安全监测告警、漏洞感知告警和攻击告警；</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支持节点可用性告警；</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支持站内信、邮件、短信形式告警；</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支持自定义告警信息接收人；</w:t>
            </w:r>
          </w:p>
        </w:tc>
      </w:tr>
      <w:tr>
        <w:tblPrEx>
          <w:tblCellMar>
            <w:top w:w="0" w:type="dxa"/>
            <w:left w:w="108" w:type="dxa"/>
            <w:bottom w:w="0" w:type="dxa"/>
            <w:right w:w="108" w:type="dxa"/>
          </w:tblCellMar>
        </w:tblPrEx>
        <w:trPr>
          <w:trHeight w:val="833" w:hRule="atLeast"/>
        </w:trPr>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6255" w:type="dxa"/>
            <w:tcBorders>
              <w:top w:val="nil"/>
              <w:left w:val="nil"/>
              <w:bottom w:val="single" w:color="auto" w:sz="4" w:space="0"/>
              <w:right w:val="single" w:color="auto" w:sz="4" w:space="0"/>
            </w:tcBorders>
            <w:shd w:val="clear" w:color="auto" w:fill="auto"/>
            <w:vAlign w:val="center"/>
          </w:tcPr>
          <w:p>
            <w:pP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7、数据可视化：</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支持抗DDoS可视化推演大屏，可实时展示数据包括：今日攻击次数、今日被攻击IP、全球攻击态势、攻击来源、受攻击对象、实时攻防详情；</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支持CC防护可视化推演大屏，可实时展示数据包括：今日攻击次数、今日被攻击IP、全球攻击态势、攻击来源、受攻击对象、实时攻防详情；</w:t>
            </w:r>
          </w:p>
        </w:tc>
      </w:tr>
      <w:tr>
        <w:tblPrEx>
          <w:tblCellMar>
            <w:top w:w="0" w:type="dxa"/>
            <w:left w:w="108" w:type="dxa"/>
            <w:bottom w:w="0" w:type="dxa"/>
            <w:right w:w="108" w:type="dxa"/>
          </w:tblCellMar>
        </w:tblPrEx>
        <w:trPr>
          <w:trHeight w:val="392" w:hRule="atLeast"/>
        </w:trPr>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6255" w:type="dxa"/>
            <w:tcBorders>
              <w:top w:val="nil"/>
              <w:left w:val="nil"/>
              <w:bottom w:val="single" w:color="auto" w:sz="4" w:space="0"/>
              <w:right w:val="single" w:color="auto" w:sz="4" w:space="0"/>
            </w:tcBorders>
            <w:shd w:val="clear" w:color="auto" w:fill="auto"/>
          </w:tcPr>
          <w:p>
            <w:pP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8、IP情报：</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情报内容需包含IP归属地信息，字段包括国家、省市、城市、经纬度、运营商；</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IP属性标签需包括VPN IP、IDC IP、代理IP；</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内容包括IP信誉，标签包括恶意IP信息、关联事件、关联被攻击信息和关联设备指纹；</w:t>
            </w:r>
          </w:p>
        </w:tc>
      </w:tr>
      <w:tr>
        <w:tblPrEx>
          <w:tblCellMar>
            <w:top w:w="0" w:type="dxa"/>
            <w:left w:w="108" w:type="dxa"/>
            <w:bottom w:w="0" w:type="dxa"/>
            <w:right w:w="108" w:type="dxa"/>
          </w:tblCellMar>
        </w:tblPrEx>
        <w:trPr>
          <w:trHeight w:val="392" w:hRule="atLeast"/>
        </w:trPr>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6255" w:type="dxa"/>
            <w:tcBorders>
              <w:top w:val="nil"/>
              <w:left w:val="nil"/>
              <w:bottom w:val="single" w:color="auto" w:sz="4" w:space="0"/>
              <w:right w:val="single" w:color="auto" w:sz="4" w:space="0"/>
            </w:tcBorders>
            <w:shd w:val="clear" w:color="auto" w:fill="auto"/>
          </w:tcPr>
          <w:p>
            <w:pP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9、CC攻防实时事件：</w:t>
            </w:r>
          </w:p>
          <w:p>
            <w:pPr>
              <w:pStyle w:val="11"/>
              <w:numPr>
                <w:ilvl w:val="0"/>
                <w:numId w:val="3"/>
              </w:numPr>
              <w:ind w:firstLineChars="0"/>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color w:val="000000"/>
                <w:kern w:val="0"/>
                <w:sz w:val="18"/>
                <w:szCs w:val="18"/>
              </w:rPr>
              <w:t>每天监测近万个应用系统，产生千万条CC攻击日志，并基于此生成WAF攻防实时事件；CC攻击实时事件字段包括攻击类型、攻击事件、CC检测详情、请求URL、域名、节点IP、端口、攻击IP、IP类型、ISP网络服务供应商、IP坐标、浏览器、操作系统；提供截图证明；</w:t>
            </w:r>
          </w:p>
        </w:tc>
      </w:tr>
      <w:tr>
        <w:tblPrEx>
          <w:tblCellMar>
            <w:top w:w="0" w:type="dxa"/>
            <w:left w:w="108" w:type="dxa"/>
            <w:bottom w:w="0" w:type="dxa"/>
            <w:right w:w="108" w:type="dxa"/>
          </w:tblCellMar>
        </w:tblPrEx>
        <w:trPr>
          <w:trHeight w:val="392" w:hRule="atLeast"/>
        </w:trPr>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6255" w:type="dxa"/>
            <w:tcBorders>
              <w:top w:val="nil"/>
              <w:left w:val="nil"/>
              <w:bottom w:val="single" w:color="auto" w:sz="4" w:space="0"/>
              <w:right w:val="single" w:color="auto" w:sz="4" w:space="0"/>
            </w:tcBorders>
            <w:shd w:val="clear" w:color="auto" w:fill="auto"/>
          </w:tcPr>
          <w:p>
            <w:pP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10、自动化流量相关情报：</w:t>
            </w:r>
          </w:p>
          <w:p>
            <w:pPr>
              <w:pStyle w:val="11"/>
              <w:numPr>
                <w:ilvl w:val="0"/>
                <w:numId w:val="3"/>
              </w:numPr>
              <w:ind w:firstLineChars="0"/>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color w:val="000000"/>
                <w:kern w:val="0"/>
                <w:sz w:val="18"/>
                <w:szCs w:val="18"/>
              </w:rPr>
              <w:t>支持利用大数据技术对线上访问日志、攻击日志和全网流量进行采集和清洗，并利用数据挖掘算法Bot信息挖掘，对Bot进行标签化分类；标签化分类包括：搜索引擎bot、合作伙伴bot、监控bot、聚合器bot、社交网络bot、广告网络bot、反向链接检测bot、IDC数据bot（恶意）、恶意UA bot、伪造模拟搜索引擎bot、IP信誉库黑名单bot、代理池IP bot；</w:t>
            </w:r>
          </w:p>
        </w:tc>
      </w:tr>
      <w:tr>
        <w:tblPrEx>
          <w:tblCellMar>
            <w:top w:w="0" w:type="dxa"/>
            <w:left w:w="108" w:type="dxa"/>
            <w:bottom w:w="0" w:type="dxa"/>
            <w:right w:w="108" w:type="dxa"/>
          </w:tblCellMar>
        </w:tblPrEx>
        <w:trPr>
          <w:trHeight w:val="392" w:hRule="atLeast"/>
        </w:trPr>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6255" w:type="dxa"/>
            <w:tcBorders>
              <w:top w:val="nil"/>
              <w:left w:val="nil"/>
              <w:bottom w:val="single" w:color="auto" w:sz="4" w:space="0"/>
              <w:right w:val="single" w:color="auto" w:sz="4" w:space="0"/>
            </w:tcBorders>
            <w:shd w:val="clear" w:color="auto" w:fill="auto"/>
          </w:tcPr>
          <w:p>
            <w:pP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11、值守服务：</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7*24H全天候值守，QQ、微信、电话、邮件售后支持；</w:t>
            </w:r>
          </w:p>
          <w:p>
            <w:pPr>
              <w:pStyle w:val="11"/>
              <w:numPr>
                <w:ilvl w:val="0"/>
                <w:numId w:val="3"/>
              </w:numPr>
              <w:ind w:firstLineChars="0"/>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color w:val="000000"/>
                <w:kern w:val="0"/>
                <w:sz w:val="18"/>
                <w:szCs w:val="18"/>
              </w:rPr>
              <w:t>2分钟响应；</w:t>
            </w:r>
          </w:p>
        </w:tc>
      </w:tr>
      <w:tr>
        <w:tblPrEx>
          <w:tblCellMar>
            <w:top w:w="0" w:type="dxa"/>
            <w:left w:w="108" w:type="dxa"/>
            <w:bottom w:w="0" w:type="dxa"/>
            <w:right w:w="108" w:type="dxa"/>
          </w:tblCellMar>
        </w:tblPrEx>
        <w:trPr>
          <w:trHeight w:val="392" w:hRule="atLeast"/>
        </w:trPr>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color w:val="000000"/>
                <w:kern w:val="0"/>
                <w:sz w:val="18"/>
                <w:szCs w:val="18"/>
              </w:rPr>
            </w:pPr>
          </w:p>
        </w:tc>
        <w:tc>
          <w:tcPr>
            <w:tcW w:w="6255" w:type="dxa"/>
            <w:tcBorders>
              <w:top w:val="nil"/>
              <w:left w:val="nil"/>
              <w:bottom w:val="single" w:color="auto" w:sz="4" w:space="0"/>
              <w:right w:val="single" w:color="auto" w:sz="4" w:space="0"/>
            </w:tcBorders>
            <w:shd w:val="clear" w:color="auto" w:fill="auto"/>
            <w:vAlign w:val="center"/>
          </w:tcPr>
          <w:p>
            <w:pP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12、专项运营：</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YUNDUN安全产品托管代维，对客户的业务安全负责；</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专属售后，协助溯源，重点保障；</w:t>
            </w:r>
          </w:p>
          <w:p>
            <w:pPr>
              <w:pStyle w:val="11"/>
              <w:numPr>
                <w:ilvl w:val="0"/>
                <w:numId w:val="3"/>
              </w:numPr>
              <w:ind w:firstLineChars="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客户的安全产品故障协查；</w:t>
            </w:r>
          </w:p>
        </w:tc>
      </w:tr>
    </w:tbl>
    <w:p>
      <w:pPr>
        <w:widowControl/>
        <w:spacing w:line="360" w:lineRule="auto"/>
        <w:ind w:firstLine="560" w:firstLineChars="200"/>
        <w:jc w:val="left"/>
        <w:rPr>
          <w:rFonts w:asciiTheme="majorEastAsia" w:hAnsiTheme="majorEastAsia" w:eastAsiaTheme="majorEastAsia" w:cstheme="majorEastAsia"/>
          <w:sz w:val="28"/>
          <w:szCs w:val="28"/>
        </w:rPr>
      </w:pPr>
    </w:p>
    <w:p>
      <w:pPr>
        <w:widowControl/>
        <w:spacing w:line="360" w:lineRule="auto"/>
        <w:ind w:firstLine="280" w:firstLineChars="100"/>
        <w:jc w:val="left"/>
        <w:rPr>
          <w:rFonts w:ascii="方正仿宋_GBK" w:hAnsi="方正仿宋_GBK" w:eastAsia="方正仿宋_GBK" w:cs="方正仿宋_GBK"/>
          <w:sz w:val="28"/>
          <w:szCs w:val="28"/>
          <w:shd w:val="clear" w:color="auto" w:fill="FFFF00"/>
          <w:lang w:val="zh-CN"/>
        </w:rPr>
      </w:pPr>
      <w:r>
        <w:rPr>
          <w:rFonts w:ascii="方正仿宋_GBK" w:hAnsi="方正仿宋_GBK" w:eastAsia="方正仿宋_GBK" w:cs="方正仿宋_GBK"/>
          <w:sz w:val="28"/>
          <w:szCs w:val="28"/>
          <w:shd w:val="clear" w:color="auto" w:fill="FFFF00"/>
        </w:rPr>
        <w:t>3</w:t>
      </w:r>
      <w:r>
        <w:rPr>
          <w:rFonts w:hint="eastAsia" w:ascii="方正仿宋_GBK" w:hAnsi="方正仿宋_GBK" w:eastAsia="方正仿宋_GBK" w:cs="方正仿宋_GBK"/>
          <w:sz w:val="28"/>
          <w:szCs w:val="28"/>
          <w:shd w:val="clear" w:color="auto" w:fill="FFFF00"/>
        </w:rPr>
        <w:t>.1.3 本项目配备三名持CISD或CISP-PTE的高级安全服务工程师。成交</w:t>
      </w:r>
      <w:r>
        <w:rPr>
          <w:rFonts w:ascii="方正仿宋_GBK" w:hAnsi="方正仿宋_GBK" w:eastAsia="方正仿宋_GBK" w:cs="方正仿宋_GBK"/>
          <w:sz w:val="28"/>
          <w:szCs w:val="28"/>
          <w:shd w:val="clear" w:color="auto" w:fill="FFFF00"/>
        </w:rPr>
        <w:t>人在</w:t>
      </w:r>
      <w:r>
        <w:rPr>
          <w:rFonts w:hint="eastAsia" w:ascii="方正仿宋_GBK" w:hAnsi="方正仿宋_GBK" w:eastAsia="方正仿宋_GBK" w:cs="方正仿宋_GBK"/>
          <w:sz w:val="28"/>
          <w:szCs w:val="28"/>
          <w:shd w:val="clear" w:color="auto" w:fill="FFFF00"/>
        </w:rPr>
        <w:t>收</w:t>
      </w:r>
      <w:r>
        <w:rPr>
          <w:rFonts w:ascii="方正仿宋_GBK" w:hAnsi="方正仿宋_GBK" w:eastAsia="方正仿宋_GBK" w:cs="方正仿宋_GBK"/>
          <w:sz w:val="28"/>
          <w:szCs w:val="28"/>
          <w:shd w:val="clear" w:color="auto" w:fill="FFFF00"/>
        </w:rPr>
        <w:t>到</w:t>
      </w:r>
      <w:r>
        <w:rPr>
          <w:rFonts w:hint="eastAsia" w:ascii="方正仿宋_GBK" w:hAnsi="方正仿宋_GBK" w:eastAsia="方正仿宋_GBK" w:cs="方正仿宋_GBK"/>
          <w:sz w:val="28"/>
          <w:szCs w:val="28"/>
          <w:shd w:val="clear" w:color="auto" w:fill="FFFF00"/>
        </w:rPr>
        <w:t>成</w:t>
      </w:r>
      <w:r>
        <w:rPr>
          <w:rFonts w:ascii="方正仿宋_GBK" w:hAnsi="方正仿宋_GBK" w:eastAsia="方正仿宋_GBK" w:cs="方正仿宋_GBK"/>
          <w:sz w:val="28"/>
          <w:szCs w:val="28"/>
          <w:shd w:val="clear" w:color="auto" w:fill="FFFF00"/>
        </w:rPr>
        <w:t>交通</w:t>
      </w:r>
      <w:r>
        <w:rPr>
          <w:rFonts w:hint="eastAsia" w:ascii="方正仿宋_GBK" w:hAnsi="方正仿宋_GBK" w:eastAsia="方正仿宋_GBK" w:cs="方正仿宋_GBK"/>
          <w:sz w:val="28"/>
          <w:szCs w:val="28"/>
          <w:shd w:val="clear" w:color="auto" w:fill="FFFF00"/>
        </w:rPr>
        <w:t>知</w:t>
      </w:r>
      <w:r>
        <w:rPr>
          <w:rFonts w:ascii="方正仿宋_GBK" w:hAnsi="方正仿宋_GBK" w:eastAsia="方正仿宋_GBK" w:cs="方正仿宋_GBK"/>
          <w:sz w:val="28"/>
          <w:szCs w:val="28"/>
          <w:shd w:val="clear" w:color="auto" w:fill="FFFF00"/>
        </w:rPr>
        <w:t>书</w:t>
      </w:r>
      <w:r>
        <w:rPr>
          <w:rFonts w:hint="eastAsia" w:ascii="方正仿宋_GBK" w:hAnsi="方正仿宋_GBK" w:eastAsia="方正仿宋_GBK" w:cs="方正仿宋_GBK"/>
          <w:sz w:val="28"/>
          <w:szCs w:val="28"/>
          <w:shd w:val="clear" w:color="auto" w:fill="FFFF00"/>
        </w:rPr>
        <w:t>后</w:t>
      </w:r>
      <w:r>
        <w:rPr>
          <w:rFonts w:ascii="方正仿宋_GBK" w:hAnsi="方正仿宋_GBK" w:eastAsia="方正仿宋_GBK" w:cs="方正仿宋_GBK"/>
          <w:sz w:val="28"/>
          <w:szCs w:val="28"/>
          <w:shd w:val="clear" w:color="auto" w:fill="FFFF00"/>
        </w:rPr>
        <w:t>，与</w:t>
      </w:r>
      <w:r>
        <w:rPr>
          <w:rFonts w:hint="eastAsia" w:ascii="方正仿宋_GBK" w:hAnsi="方正仿宋_GBK" w:eastAsia="方正仿宋_GBK" w:cs="方正仿宋_GBK"/>
          <w:sz w:val="28"/>
          <w:szCs w:val="28"/>
          <w:shd w:val="clear" w:color="auto" w:fill="FFFF00"/>
        </w:rPr>
        <w:t>采购</w:t>
      </w:r>
      <w:r>
        <w:rPr>
          <w:rFonts w:ascii="方正仿宋_GBK" w:hAnsi="方正仿宋_GBK" w:eastAsia="方正仿宋_GBK" w:cs="方正仿宋_GBK"/>
          <w:sz w:val="28"/>
          <w:szCs w:val="28"/>
          <w:shd w:val="clear" w:color="auto" w:fill="FFFF00"/>
        </w:rPr>
        <w:t>人签订</w:t>
      </w:r>
      <w:r>
        <w:rPr>
          <w:rFonts w:hint="eastAsia" w:ascii="方正仿宋_GBK" w:hAnsi="方正仿宋_GBK" w:eastAsia="方正仿宋_GBK" w:cs="方正仿宋_GBK"/>
          <w:sz w:val="28"/>
          <w:szCs w:val="28"/>
          <w:shd w:val="clear" w:color="auto" w:fill="FFFF00"/>
        </w:rPr>
        <w:t>合</w:t>
      </w:r>
      <w:r>
        <w:rPr>
          <w:rFonts w:ascii="方正仿宋_GBK" w:hAnsi="方正仿宋_GBK" w:eastAsia="方正仿宋_GBK" w:cs="方正仿宋_GBK"/>
          <w:sz w:val="28"/>
          <w:szCs w:val="28"/>
          <w:shd w:val="clear" w:color="auto" w:fill="FFFF00"/>
        </w:rPr>
        <w:t>同前应提供有效</w:t>
      </w:r>
      <w:r>
        <w:rPr>
          <w:rFonts w:hint="eastAsia" w:ascii="方正仿宋_GBK" w:hAnsi="方正仿宋_GBK" w:eastAsia="方正仿宋_GBK" w:cs="方正仿宋_GBK"/>
          <w:sz w:val="28"/>
          <w:szCs w:val="28"/>
          <w:shd w:val="clear" w:color="auto" w:fill="FFFF00"/>
        </w:rPr>
        <w:t>期</w:t>
      </w:r>
      <w:r>
        <w:rPr>
          <w:rFonts w:ascii="方正仿宋_GBK" w:hAnsi="方正仿宋_GBK" w:eastAsia="方正仿宋_GBK" w:cs="方正仿宋_GBK"/>
          <w:sz w:val="28"/>
          <w:szCs w:val="28"/>
          <w:shd w:val="clear" w:color="auto" w:fill="FFFF00"/>
        </w:rPr>
        <w:t>内的比选采购响应</w:t>
      </w:r>
      <w:r>
        <w:rPr>
          <w:rFonts w:hint="eastAsia" w:ascii="方正仿宋_GBK" w:hAnsi="方正仿宋_GBK" w:eastAsia="方正仿宋_GBK" w:cs="方正仿宋_GBK"/>
          <w:sz w:val="28"/>
          <w:szCs w:val="28"/>
          <w:shd w:val="clear" w:color="auto" w:fill="FFFF00"/>
        </w:rPr>
        <w:t>对</w:t>
      </w:r>
      <w:r>
        <w:rPr>
          <w:rFonts w:ascii="方正仿宋_GBK" w:hAnsi="方正仿宋_GBK" w:eastAsia="方正仿宋_GBK" w:cs="方正仿宋_GBK"/>
          <w:sz w:val="28"/>
          <w:szCs w:val="28"/>
          <w:shd w:val="clear" w:color="auto" w:fill="FFFF00"/>
        </w:rPr>
        <w:t>应品牌厂家对本项目的售后服务承诺函原件；成交人无法按期提供的，其比选</w:t>
      </w:r>
      <w:r>
        <w:rPr>
          <w:rFonts w:hint="eastAsia" w:ascii="方正仿宋_GBK" w:hAnsi="方正仿宋_GBK" w:eastAsia="方正仿宋_GBK" w:cs="方正仿宋_GBK"/>
          <w:sz w:val="28"/>
          <w:szCs w:val="28"/>
          <w:shd w:val="clear" w:color="auto" w:fill="FFFF00"/>
        </w:rPr>
        <w:t>采购</w:t>
      </w:r>
      <w:r>
        <w:rPr>
          <w:rFonts w:ascii="方正仿宋_GBK" w:hAnsi="方正仿宋_GBK" w:eastAsia="方正仿宋_GBK" w:cs="方正仿宋_GBK"/>
          <w:sz w:val="28"/>
          <w:szCs w:val="28"/>
          <w:shd w:val="clear" w:color="auto" w:fill="FFFF00"/>
        </w:rPr>
        <w:t>响应保证金不予退还，比选采购结果作</w:t>
      </w:r>
      <w:r>
        <w:rPr>
          <w:rFonts w:hint="eastAsia" w:ascii="方正仿宋_GBK" w:hAnsi="方正仿宋_GBK" w:eastAsia="方正仿宋_GBK" w:cs="方正仿宋_GBK"/>
          <w:sz w:val="28"/>
          <w:szCs w:val="28"/>
          <w:shd w:val="clear" w:color="auto" w:fill="FFFF00"/>
        </w:rPr>
        <w:t>废</w:t>
      </w:r>
      <w:r>
        <w:rPr>
          <w:rFonts w:ascii="方正仿宋_GBK" w:hAnsi="方正仿宋_GBK" w:eastAsia="方正仿宋_GBK" w:cs="方正仿宋_GBK"/>
          <w:sz w:val="28"/>
          <w:szCs w:val="28"/>
          <w:shd w:val="clear" w:color="auto" w:fill="FFFF00"/>
        </w:rPr>
        <w:t>，</w:t>
      </w:r>
      <w:r>
        <w:rPr>
          <w:rFonts w:hint="eastAsia" w:ascii="方正仿宋_GBK" w:hAnsi="方正仿宋_GBK" w:eastAsia="方正仿宋_GBK" w:cs="方正仿宋_GBK"/>
          <w:sz w:val="28"/>
          <w:szCs w:val="28"/>
          <w:shd w:val="clear" w:color="auto" w:fill="FFFF00"/>
        </w:rPr>
        <w:t>并</w:t>
      </w:r>
      <w:r>
        <w:rPr>
          <w:rFonts w:ascii="方正仿宋_GBK" w:hAnsi="方正仿宋_GBK" w:eastAsia="方正仿宋_GBK" w:cs="方正仿宋_GBK"/>
          <w:sz w:val="28"/>
          <w:szCs w:val="28"/>
          <w:shd w:val="clear" w:color="auto" w:fill="FFFF00"/>
        </w:rPr>
        <w:t>将被列入采购人黑名单。</w:t>
      </w:r>
    </w:p>
    <w:p>
      <w:pPr>
        <w:pStyle w:val="2"/>
        <w:jc w:val="left"/>
        <w:rPr>
          <w:rFonts w:ascii="方正仿宋_GBK" w:hAnsi="方正仿宋_GBK" w:eastAsia="方正仿宋_GBK" w:cs="方正仿宋_GBK"/>
        </w:rPr>
      </w:pPr>
    </w:p>
    <w:p>
      <w:pPr>
        <w:spacing w:line="360" w:lineRule="auto"/>
        <w:rPr>
          <w:rFonts w:ascii="方正仿宋_GBK" w:hAnsi="方正仿宋_GBK" w:eastAsia="方正仿宋_GBK" w:cs="方正仿宋_GBK"/>
          <w:color w:val="000000"/>
          <w:sz w:val="28"/>
          <w:szCs w:val="28"/>
          <w:highlight w:val="yellow"/>
        </w:rPr>
      </w:pPr>
      <w:r>
        <w:rPr>
          <w:rFonts w:hint="eastAsia" w:ascii="方正仿宋_GBK" w:hAnsi="方正仿宋_GBK" w:eastAsia="方正仿宋_GBK" w:cs="方正仿宋_GBK"/>
          <w:color w:val="000000"/>
          <w:sz w:val="28"/>
          <w:szCs w:val="28"/>
          <w:highlight w:val="yellow"/>
        </w:rPr>
        <w:t>3.2服务要求：</w:t>
      </w:r>
    </w:p>
    <w:p>
      <w:pPr>
        <w:widowControl/>
        <w:spacing w:line="360" w:lineRule="auto"/>
        <w:jc w:val="left"/>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 xml:space="preserve">3.2.1 </w:t>
      </w:r>
      <w:r>
        <w:rPr>
          <w:rFonts w:hint="eastAsia" w:ascii="方正仿宋_GBK" w:hAnsi="方正仿宋_GBK" w:eastAsia="方正仿宋_GBK" w:cs="方正仿宋_GBK"/>
          <w:sz w:val="28"/>
          <w:szCs w:val="28"/>
          <w:lang w:val="zh-CN"/>
        </w:rPr>
        <w:t>服务质量要求</w:t>
      </w:r>
    </w:p>
    <w:p>
      <w:pPr>
        <w:widowControl/>
        <w:spacing w:line="360" w:lineRule="auto"/>
        <w:ind w:firstLine="280" w:firstLineChars="100"/>
        <w:jc w:val="left"/>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（1）7</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24小时中文技术服务热线；</w:t>
      </w:r>
    </w:p>
    <w:p>
      <w:pPr>
        <w:widowControl/>
        <w:spacing w:line="360" w:lineRule="auto"/>
        <w:ind w:firstLine="280" w:firstLineChars="100"/>
        <w:jc w:val="left"/>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技术</w:t>
      </w:r>
      <w:r>
        <w:rPr>
          <w:rFonts w:hint="eastAsia" w:ascii="方正仿宋_GBK" w:hAnsi="方正仿宋_GBK" w:eastAsia="方正仿宋_GBK" w:cs="方正仿宋_GBK"/>
          <w:sz w:val="28"/>
          <w:szCs w:val="28"/>
          <w:lang w:val="zh-CN"/>
        </w:rPr>
        <w:t>人员按照</w:t>
      </w: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lang w:val="zh-CN"/>
        </w:rPr>
        <w:t>规定立即响应，并在规定时间处理问题；</w:t>
      </w:r>
    </w:p>
    <w:p>
      <w:pPr>
        <w:widowControl/>
        <w:spacing w:line="360" w:lineRule="auto"/>
        <w:ind w:firstLine="280" w:firstLineChars="100"/>
        <w:jc w:val="left"/>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（3）定期巡检工作质量达到</w:t>
      </w: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lang w:val="zh-CN"/>
        </w:rPr>
        <w:t>管理要求。</w:t>
      </w:r>
    </w:p>
    <w:p>
      <w:pPr>
        <w:widowControl/>
        <w:spacing w:line="360" w:lineRule="auto"/>
        <w:jc w:val="left"/>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 xml:space="preserve">3.2.2 </w:t>
      </w:r>
      <w:r>
        <w:rPr>
          <w:rFonts w:hint="eastAsia" w:ascii="方正仿宋_GBK" w:hAnsi="方正仿宋_GBK" w:eastAsia="方正仿宋_GBK" w:cs="方正仿宋_GBK"/>
          <w:sz w:val="28"/>
          <w:szCs w:val="28"/>
          <w:lang w:val="zh-CN"/>
        </w:rPr>
        <w:t>巡检、故障处置、应急响应相关要求如下：</w:t>
      </w:r>
    </w:p>
    <w:p>
      <w:pPr>
        <w:widowControl/>
        <w:spacing w:line="360" w:lineRule="auto"/>
        <w:ind w:firstLine="560" w:firstLineChars="200"/>
        <w:jc w:val="left"/>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总体要求：负责</w:t>
      </w:r>
      <w:r>
        <w:rPr>
          <w:rFonts w:hint="eastAsia" w:ascii="方正仿宋_GBK" w:hAnsi="方正仿宋_GBK" w:eastAsia="方正仿宋_GBK" w:cs="方正仿宋_GBK"/>
          <w:sz w:val="28"/>
          <w:szCs w:val="28"/>
        </w:rPr>
        <w:t>云安全和TCP安全</w:t>
      </w:r>
      <w:r>
        <w:rPr>
          <w:rFonts w:hint="eastAsia" w:ascii="方正仿宋_GBK" w:hAnsi="方正仿宋_GBK" w:eastAsia="方正仿宋_GBK" w:cs="方正仿宋_GBK"/>
          <w:sz w:val="28"/>
          <w:szCs w:val="28"/>
          <w:lang w:val="zh-CN"/>
        </w:rPr>
        <w:t>的</w:t>
      </w:r>
      <w:r>
        <w:rPr>
          <w:rFonts w:hint="eastAsia" w:ascii="方正仿宋_GBK" w:hAnsi="方正仿宋_GBK" w:eastAsia="方正仿宋_GBK" w:cs="方正仿宋_GBK"/>
          <w:sz w:val="28"/>
          <w:szCs w:val="28"/>
        </w:rPr>
        <w:t>防护</w:t>
      </w:r>
      <w:r>
        <w:rPr>
          <w:rFonts w:hint="eastAsia" w:ascii="方正仿宋_GBK" w:hAnsi="方正仿宋_GBK" w:eastAsia="方正仿宋_GBK" w:cs="方正仿宋_GBK"/>
          <w:sz w:val="28"/>
          <w:szCs w:val="28"/>
          <w:lang w:val="zh-CN"/>
        </w:rPr>
        <w:t>和巡检，并详细分析</w:t>
      </w:r>
      <w:r>
        <w:rPr>
          <w:rFonts w:hint="eastAsia" w:ascii="方正仿宋_GBK" w:hAnsi="方正仿宋_GBK" w:eastAsia="方正仿宋_GBK" w:cs="方正仿宋_GBK"/>
          <w:sz w:val="28"/>
          <w:szCs w:val="28"/>
        </w:rPr>
        <w:t>防御报告</w:t>
      </w:r>
      <w:r>
        <w:rPr>
          <w:rFonts w:hint="eastAsia" w:ascii="方正仿宋_GBK" w:hAnsi="方正仿宋_GBK" w:eastAsia="方正仿宋_GBK" w:cs="方正仿宋_GBK"/>
          <w:sz w:val="28"/>
          <w:szCs w:val="28"/>
          <w:lang w:val="zh-CN"/>
        </w:rPr>
        <w:t>，及时消除</w:t>
      </w:r>
      <w:r>
        <w:rPr>
          <w:rFonts w:hint="eastAsia" w:ascii="方正仿宋_GBK" w:hAnsi="方正仿宋_GBK" w:eastAsia="方正仿宋_GBK" w:cs="方正仿宋_GBK"/>
          <w:sz w:val="28"/>
          <w:szCs w:val="28"/>
        </w:rPr>
        <w:t>安全</w:t>
      </w:r>
      <w:r>
        <w:rPr>
          <w:rFonts w:hint="eastAsia" w:ascii="方正仿宋_GBK" w:hAnsi="方正仿宋_GBK" w:eastAsia="方正仿宋_GBK" w:cs="方正仿宋_GBK"/>
          <w:sz w:val="28"/>
          <w:szCs w:val="28"/>
          <w:lang w:val="zh-CN"/>
        </w:rPr>
        <w:t>隐患，有必要时出具相关优化、整改及故障报告，起到事前监控，事后整改的目的。</w:t>
      </w:r>
    </w:p>
    <w:p>
      <w:pPr>
        <w:widowControl/>
        <w:spacing w:line="360" w:lineRule="auto"/>
        <w:ind w:firstLine="560" w:firstLineChars="200"/>
        <w:jc w:val="left"/>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云防护与TCP安全防护</w:t>
      </w:r>
      <w:r>
        <w:rPr>
          <w:rFonts w:hint="eastAsia" w:ascii="方正仿宋_GBK" w:hAnsi="方正仿宋_GBK" w:eastAsia="方正仿宋_GBK" w:cs="方正仿宋_GBK"/>
          <w:sz w:val="28"/>
          <w:szCs w:val="28"/>
          <w:lang w:val="zh-CN"/>
        </w:rPr>
        <w:t>巡检时间：季检（每</w:t>
      </w:r>
      <w:r>
        <w:rPr>
          <w:rFonts w:hint="eastAsia" w:ascii="方正仿宋_GBK" w:hAnsi="方正仿宋_GBK" w:eastAsia="方正仿宋_GBK" w:cs="方正仿宋_GBK"/>
          <w:sz w:val="28"/>
          <w:szCs w:val="28"/>
        </w:rPr>
        <w:t>个自然</w:t>
      </w:r>
      <w:r>
        <w:rPr>
          <w:rFonts w:hint="eastAsia" w:ascii="方正仿宋_GBK" w:hAnsi="方正仿宋_GBK" w:eastAsia="方正仿宋_GBK" w:cs="方正仿宋_GBK"/>
          <w:sz w:val="28"/>
          <w:szCs w:val="28"/>
          <w:lang w:val="zh-CN"/>
        </w:rPr>
        <w:t>季度最后一个月）、节前及专项巡检（时间根据</w:t>
      </w: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lang w:val="zh-CN"/>
        </w:rPr>
        <w:t>需求），向采购方提交书面巡检报告。</w:t>
      </w:r>
    </w:p>
    <w:p>
      <w:pPr>
        <w:widowControl/>
        <w:spacing w:line="360" w:lineRule="auto"/>
        <w:ind w:firstLine="560" w:firstLineChars="200"/>
        <w:jc w:val="left"/>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巡检内容：</w:t>
      </w:r>
    </w:p>
    <w:p>
      <w:pPr>
        <w:widowControl/>
        <w:spacing w:line="360" w:lineRule="auto"/>
        <w:ind w:firstLine="560" w:firstLineChars="200"/>
        <w:jc w:val="left"/>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（1）巡检范围</w:t>
      </w:r>
      <w:r>
        <w:rPr>
          <w:rFonts w:hint="eastAsia" w:ascii="方正仿宋_GBK" w:hAnsi="方正仿宋_GBK" w:eastAsia="方正仿宋_GBK" w:cs="方正仿宋_GBK"/>
          <w:sz w:val="28"/>
          <w:szCs w:val="28"/>
        </w:rPr>
        <w:t>包括：</w:t>
      </w:r>
    </w:p>
    <w:p>
      <w:pPr>
        <w:widowControl/>
        <w:spacing w:line="360" w:lineRule="auto"/>
        <w:ind w:firstLine="560" w:firstLineChars="200"/>
        <w:jc w:val="left"/>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爬虫系统、替身备源系统、云监控系统、热门实时漏洞系统等组件以及云盾中台。</w:t>
      </w:r>
    </w:p>
    <w:p>
      <w:pPr>
        <w:widowControl/>
        <w:spacing w:line="360" w:lineRule="auto"/>
        <w:ind w:firstLine="560" w:firstLineChars="200"/>
        <w:jc w:val="left"/>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巡检内容包括：</w:t>
      </w:r>
    </w:p>
    <w:p>
      <w:pPr>
        <w:numPr>
          <w:ilvl w:val="1"/>
          <w:numId w:val="4"/>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云防护与TCP当前容量是否接近瓶颈的确认（磁盘容量、内存、CPU负载）；</w:t>
      </w:r>
    </w:p>
    <w:p>
      <w:pPr>
        <w:numPr>
          <w:ilvl w:val="1"/>
          <w:numId w:val="4"/>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云防护与TCP承接假期突发业务；</w:t>
      </w:r>
    </w:p>
    <w:p>
      <w:pPr>
        <w:numPr>
          <w:ilvl w:val="1"/>
          <w:numId w:val="4"/>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云防护与TCP的定期巡检；</w:t>
      </w:r>
    </w:p>
    <w:p>
      <w:pPr>
        <w:numPr>
          <w:ilvl w:val="1"/>
          <w:numId w:val="4"/>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云防护与TCP的死活监控；</w:t>
      </w:r>
    </w:p>
    <w:p>
      <w:pPr>
        <w:numPr>
          <w:ilvl w:val="1"/>
          <w:numId w:val="4"/>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云防护与TCP对外提供的API；</w:t>
      </w:r>
    </w:p>
    <w:p>
      <w:pPr>
        <w:numPr>
          <w:ilvl w:val="1"/>
          <w:numId w:val="4"/>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云防护与TCP容量性能指标；</w:t>
      </w:r>
    </w:p>
    <w:p>
      <w:pPr>
        <w:numPr>
          <w:ilvl w:val="1"/>
          <w:numId w:val="4"/>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云防护与TCP监控项列表（包含报警方式，处理方式，处理人，紧急程度）；</w:t>
      </w:r>
    </w:p>
    <w:p>
      <w:pPr>
        <w:numPr>
          <w:ilvl w:val="1"/>
          <w:numId w:val="4"/>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云防护与TCP灾备形式；</w:t>
      </w:r>
    </w:p>
    <w:p>
      <w:pPr>
        <w:numPr>
          <w:ilvl w:val="1"/>
          <w:numId w:val="4"/>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云防护与TCP主备的信息；</w:t>
      </w:r>
    </w:p>
    <w:p>
      <w:pPr>
        <w:numPr>
          <w:ilvl w:val="1"/>
          <w:numId w:val="4"/>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云防护与TCP的备环境；</w:t>
      </w:r>
    </w:p>
    <w:p>
      <w:pPr>
        <w:numPr>
          <w:ilvl w:val="1"/>
          <w:numId w:val="4"/>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及时发现云防护与TCP可能存在的故障；</w:t>
      </w:r>
    </w:p>
    <w:p>
      <w:pPr>
        <w:numPr>
          <w:ilvl w:val="1"/>
          <w:numId w:val="4"/>
        </w:numPr>
        <w:spacing w:line="360" w:lineRule="auto"/>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保障云防护与TCP主备切换正常。</w:t>
      </w:r>
    </w:p>
    <w:p>
      <w:pPr>
        <w:widowControl/>
        <w:numPr>
          <w:ilvl w:val="0"/>
          <w:numId w:val="5"/>
        </w:numPr>
        <w:spacing w:line="360" w:lineRule="auto"/>
        <w:ind w:firstLine="560" w:firstLineChars="200"/>
        <w:jc w:val="left"/>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根据巡检内容完成巡检后，及时反馈巡检过程中发现的异常情况及及时处置，提交书面巡检报告。</w:t>
      </w:r>
    </w:p>
    <w:p>
      <w:pPr>
        <w:widowControl/>
        <w:numPr>
          <w:ilvl w:val="0"/>
          <w:numId w:val="5"/>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zh-CN"/>
        </w:rPr>
        <w:t>巡检报告包括：</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故障处置、应急响应等相关工作应完善记录，记录内容至少包括：时间、人员、工作内容、处置结果。</w:t>
      </w:r>
    </w:p>
    <w:p>
      <w:pPr>
        <w:pStyle w:val="11"/>
        <w:wordWrap w:val="0"/>
        <w:ind w:firstLine="56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攻击防护情况：漏洞入侵防护详情、</w:t>
      </w:r>
      <w:r>
        <w:rPr>
          <w:rFonts w:hint="eastAsia" w:ascii="方正仿宋_GBK" w:hAnsi="方正仿宋_GBK" w:eastAsia="方正仿宋_GBK" w:cs="方正仿宋_GBK"/>
          <w:sz w:val="28"/>
          <w:szCs w:val="28"/>
          <w:lang w:bidi="ar"/>
        </w:rPr>
        <w:t>漏洞入侵攻击趋势</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sz w:val="28"/>
          <w:szCs w:val="28"/>
          <w:lang w:bidi="ar"/>
        </w:rPr>
        <w:t>域名受攻击详情、攻击类型分布、</w:t>
      </w:r>
      <w:r>
        <w:rPr>
          <w:rFonts w:hint="eastAsia" w:ascii="方正仿宋_GBK" w:hAnsi="方正仿宋_GBK" w:eastAsia="方正仿宋_GBK" w:cs="方正仿宋_GBK"/>
          <w:color w:val="000000" w:themeColor="text1"/>
          <w:sz w:val="28"/>
          <w:szCs w:val="28"/>
          <w14:textFill>
            <w14:solidFill>
              <w14:schemeClr w14:val="tx1"/>
            </w14:solidFill>
          </w14:textFill>
        </w:rPr>
        <w:t>攻击来源地理位置分布、攻击IP TOP、受攻击 URL TOP、攻击User-Agent TOP、</w:t>
      </w:r>
      <w:r>
        <w:rPr>
          <w:rFonts w:hint="eastAsia" w:ascii="方正仿宋_GBK" w:hAnsi="方正仿宋_GBK" w:eastAsia="方正仿宋_GBK" w:cs="方正仿宋_GBK"/>
          <w:color w:val="000000"/>
          <w:sz w:val="28"/>
          <w:szCs w:val="28"/>
        </w:rPr>
        <w:t>CC防护详情、</w:t>
      </w:r>
      <w:r>
        <w:rPr>
          <w:rFonts w:hint="eastAsia" w:ascii="方正仿宋_GBK" w:hAnsi="方正仿宋_GBK" w:eastAsia="方正仿宋_GBK" w:cs="方正仿宋_GBK"/>
          <w:color w:val="000000" w:themeColor="text1"/>
          <w:sz w:val="28"/>
          <w:szCs w:val="28"/>
          <w14:textFill>
            <w14:solidFill>
              <w14:schemeClr w14:val="tx1"/>
            </w14:solidFill>
          </w14:textFill>
        </w:rPr>
        <w:t>受CC攻击域名TOP、CC攻击来源地理位置分布</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themeColor="text1"/>
          <w:sz w:val="28"/>
          <w:szCs w:val="28"/>
          <w14:textFill>
            <w14:solidFill>
              <w14:schemeClr w14:val="tx1"/>
            </w14:solidFill>
          </w14:textFill>
        </w:rPr>
        <w:t>CC攻击趋势攻击IP TOP</w:t>
      </w:r>
      <w:r>
        <w:rPr>
          <w:rFonts w:hint="eastAsia" w:ascii="方正仿宋_GBK" w:hAnsi="方正仿宋_GBK" w:eastAsia="方正仿宋_GBK" w:cs="方正仿宋_GBK"/>
          <w:color w:val="000000"/>
          <w:sz w:val="28"/>
          <w:szCs w:val="28"/>
        </w:rPr>
        <w:t>。</w:t>
      </w:r>
    </w:p>
    <w:p>
      <w:pPr>
        <w:pStyle w:val="11"/>
        <w:wordWrap w:val="0"/>
        <w:ind w:firstLine="56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sz w:val="28"/>
          <w:szCs w:val="28"/>
        </w:rPr>
        <w:t>访问加速情况：</w:t>
      </w:r>
      <w:r>
        <w:rPr>
          <w:rFonts w:hint="eastAsia" w:ascii="方正仿宋_GBK" w:hAnsi="方正仿宋_GBK" w:eastAsia="方正仿宋_GBK" w:cs="方正仿宋_GBK"/>
          <w:color w:val="000000" w:themeColor="text1"/>
          <w:sz w:val="28"/>
          <w:szCs w:val="28"/>
          <w14:textFill>
            <w14:solidFill>
              <w14:schemeClr w14:val="tx1"/>
            </w14:solidFill>
          </w14:textFill>
        </w:rPr>
        <w:t>CDN流量趋势、CDN带宽趋势、域名CDN流量TOP</w:t>
      </w:r>
      <w:r>
        <w:rPr>
          <w:rFonts w:hint="eastAsia" w:ascii="方正仿宋_GBK" w:hAnsi="方正仿宋_GBK" w:eastAsia="方正仿宋_GBK" w:cs="方正仿宋_GBK"/>
          <w:sz w:val="28"/>
          <w:szCs w:val="28"/>
          <w:lang w:bidi="ar"/>
        </w:rPr>
        <w:t>、</w:t>
      </w:r>
      <w:r>
        <w:rPr>
          <w:rFonts w:hint="eastAsia" w:ascii="方正仿宋_GBK" w:hAnsi="方正仿宋_GBK" w:eastAsia="方正仿宋_GBK" w:cs="方正仿宋_GBK"/>
          <w:color w:val="000000" w:themeColor="text1"/>
          <w:sz w:val="28"/>
          <w:szCs w:val="28"/>
          <w14:textFill>
            <w14:solidFill>
              <w14:schemeClr w14:val="tx1"/>
            </w14:solidFill>
          </w14:textFill>
        </w:rPr>
        <w:t>命中率 TOP域名、请求数趋势、请求次数 TOP域名。</w:t>
      </w:r>
    </w:p>
    <w:p>
      <w:pPr>
        <w:pStyle w:val="11"/>
        <w:wordWrap w:val="0"/>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TCP防护情况。</w:t>
      </w:r>
    </w:p>
    <w:p>
      <w:pPr>
        <w:spacing w:line="360" w:lineRule="auto"/>
        <w:ind w:left="420" w:left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1.2.3故障处置及应急响应保障细则</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A.云防护及TCP安全防护故障处理启动流程规范</w:t>
      </w:r>
    </w:p>
    <w:p>
      <w:pPr>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a.明确应急启动需求，确认需要启动应急预案</w:t>
      </w:r>
      <w:r>
        <w:rPr>
          <w:rFonts w:hint="eastAsia" w:ascii="方正仿宋_GBK" w:hAnsi="方正仿宋_GBK" w:eastAsia="方正仿宋_GBK" w:cs="方正仿宋_GBK"/>
          <w:sz w:val="28"/>
          <w:szCs w:val="28"/>
          <w:lang w:eastAsia="zh-Hans"/>
        </w:rPr>
        <w:t>标准：</w:t>
      </w:r>
      <w:r>
        <w:rPr>
          <w:rFonts w:hint="eastAsia" w:ascii="方正仿宋_GBK" w:hAnsi="方正仿宋_GBK" w:eastAsia="方正仿宋_GBK" w:cs="方正仿宋_GBK"/>
          <w:sz w:val="28"/>
          <w:szCs w:val="28"/>
        </w:rPr>
        <w:t>出现大规模设备告警或接到用户投诉</w:t>
      </w:r>
    </w:p>
    <w:p>
      <w:pPr>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b.填写云防护及TCP安全防护故障处理应急流程单 </w:t>
      </w:r>
    </w:p>
    <w:tbl>
      <w:tblPr>
        <w:tblStyle w:val="8"/>
        <w:tblW w:w="4725" w:type="pct"/>
        <w:tblInd w:w="496" w:type="dxa"/>
        <w:tblLayout w:type="autofit"/>
        <w:tblCellMar>
          <w:top w:w="0" w:type="dxa"/>
          <w:left w:w="108" w:type="dxa"/>
          <w:bottom w:w="0" w:type="dxa"/>
          <w:right w:w="108" w:type="dxa"/>
        </w:tblCellMar>
      </w:tblPr>
      <w:tblGrid>
        <w:gridCol w:w="1976"/>
        <w:gridCol w:w="1370"/>
        <w:gridCol w:w="1349"/>
        <w:gridCol w:w="3164"/>
      </w:tblGrid>
      <w:tr>
        <w:tblPrEx>
          <w:tblCellMar>
            <w:top w:w="0" w:type="dxa"/>
            <w:left w:w="108" w:type="dxa"/>
            <w:bottom w:w="0" w:type="dxa"/>
            <w:right w:w="108" w:type="dxa"/>
          </w:tblCellMar>
        </w:tblPrEx>
        <w:trPr>
          <w:trHeight w:val="277" w:hRule="atLeast"/>
        </w:trPr>
        <w:tc>
          <w:tcPr>
            <w:tcW w:w="1257"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13"/>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定性信息</w:t>
            </w:r>
          </w:p>
        </w:tc>
        <w:tc>
          <w:tcPr>
            <w:tcW w:w="871"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13"/>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对应故障</w:t>
            </w:r>
          </w:p>
          <w:p>
            <w:pPr>
              <w:pStyle w:val="13"/>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级别</w:t>
            </w:r>
          </w:p>
        </w:tc>
        <w:tc>
          <w:tcPr>
            <w:tcW w:w="858"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13"/>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是否启动</w:t>
            </w:r>
          </w:p>
          <w:p>
            <w:pPr>
              <w:pStyle w:val="13"/>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应急处理</w:t>
            </w:r>
          </w:p>
        </w:tc>
        <w:tc>
          <w:tcPr>
            <w:tcW w:w="2012"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13"/>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drawing>
                <wp:inline distT="0" distB="0" distL="0" distR="0">
                  <wp:extent cx="12700" cy="12700"/>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hint="eastAsia" w:ascii="方正仿宋_GBK" w:hAnsi="方正仿宋_GBK" w:eastAsia="方正仿宋_GBK" w:cs="方正仿宋_GBK"/>
                <w:b/>
                <w:bCs/>
                <w:sz w:val="24"/>
              </w:rPr>
              <w:t>应急处理方案</w:t>
            </w:r>
          </w:p>
        </w:tc>
      </w:tr>
      <w:tr>
        <w:tblPrEx>
          <w:tblCellMar>
            <w:top w:w="0" w:type="dxa"/>
            <w:left w:w="108" w:type="dxa"/>
            <w:bottom w:w="0" w:type="dxa"/>
            <w:right w:w="108" w:type="dxa"/>
          </w:tblCellMar>
        </w:tblPrEx>
        <w:tc>
          <w:tcPr>
            <w:tcW w:w="125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无异常监控告警</w:t>
            </w:r>
          </w:p>
        </w:tc>
        <w:tc>
          <w:tcPr>
            <w:tcW w:w="871"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无故障</w:t>
            </w:r>
          </w:p>
        </w:tc>
        <w:tc>
          <w:tcPr>
            <w:tcW w:w="858"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否</w:t>
            </w:r>
          </w:p>
        </w:tc>
        <w:tc>
          <w:tcPr>
            <w:tcW w:w="2012"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无</w:t>
            </w:r>
          </w:p>
        </w:tc>
      </w:tr>
      <w:tr>
        <w:tblPrEx>
          <w:tblCellMar>
            <w:top w:w="0" w:type="dxa"/>
            <w:left w:w="108" w:type="dxa"/>
            <w:bottom w:w="0" w:type="dxa"/>
            <w:right w:w="108" w:type="dxa"/>
          </w:tblCellMar>
        </w:tblPrEx>
        <w:trPr>
          <w:trHeight w:val="251" w:hRule="atLeast"/>
        </w:trPr>
        <w:tc>
          <w:tcPr>
            <w:tcW w:w="125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无用户投诉</w:t>
            </w:r>
          </w:p>
        </w:tc>
        <w:tc>
          <w:tcPr>
            <w:tcW w:w="871" w:type="pct"/>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p>
        </w:tc>
        <w:tc>
          <w:tcPr>
            <w:tcW w:w="858" w:type="pct"/>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p>
        </w:tc>
        <w:tc>
          <w:tcPr>
            <w:tcW w:w="2012" w:type="pct"/>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c>
          <w:tcPr>
            <w:tcW w:w="125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少量告警无用户投诉</w:t>
            </w:r>
          </w:p>
        </w:tc>
        <w:tc>
          <w:tcPr>
            <w:tcW w:w="87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三级故障</w:t>
            </w:r>
          </w:p>
        </w:tc>
        <w:tc>
          <w:tcPr>
            <w:tcW w:w="85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否</w:t>
            </w:r>
          </w:p>
        </w:tc>
        <w:tc>
          <w:tcPr>
            <w:tcW w:w="20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无</w:t>
            </w:r>
          </w:p>
        </w:tc>
      </w:tr>
      <w:tr>
        <w:tblPrEx>
          <w:tblCellMar>
            <w:top w:w="0" w:type="dxa"/>
            <w:left w:w="108" w:type="dxa"/>
            <w:bottom w:w="0" w:type="dxa"/>
            <w:right w:w="108" w:type="dxa"/>
          </w:tblCellMar>
        </w:tblPrEx>
        <w:tc>
          <w:tcPr>
            <w:tcW w:w="125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出现后台告警</w:t>
            </w:r>
          </w:p>
        </w:tc>
        <w:tc>
          <w:tcPr>
            <w:tcW w:w="871" w:type="pct"/>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二级故障</w:t>
            </w:r>
          </w:p>
        </w:tc>
        <w:tc>
          <w:tcPr>
            <w:tcW w:w="858" w:type="pct"/>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是</w:t>
            </w:r>
          </w:p>
        </w:tc>
        <w:tc>
          <w:tcPr>
            <w:tcW w:w="20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根据后台告警类型作出判断故障类型,并切断故障源</w:t>
            </w:r>
          </w:p>
        </w:tc>
      </w:tr>
      <w:tr>
        <w:tblPrEx>
          <w:tblCellMar>
            <w:top w:w="0" w:type="dxa"/>
            <w:left w:w="108" w:type="dxa"/>
            <w:bottom w:w="0" w:type="dxa"/>
            <w:right w:w="108" w:type="dxa"/>
          </w:tblCellMar>
        </w:tblPrEx>
        <w:tc>
          <w:tcPr>
            <w:tcW w:w="125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无用户投诉</w:t>
            </w:r>
          </w:p>
        </w:tc>
        <w:tc>
          <w:tcPr>
            <w:tcW w:w="871" w:type="pct"/>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p>
        </w:tc>
        <w:tc>
          <w:tcPr>
            <w:tcW w:w="858" w:type="pct"/>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p>
        </w:tc>
        <w:tc>
          <w:tcPr>
            <w:tcW w:w="20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暂不需要回退,先观察</w:t>
            </w:r>
          </w:p>
        </w:tc>
      </w:tr>
      <w:tr>
        <w:tblPrEx>
          <w:tblCellMar>
            <w:top w:w="0" w:type="dxa"/>
            <w:left w:w="108" w:type="dxa"/>
            <w:bottom w:w="0" w:type="dxa"/>
            <w:right w:w="108" w:type="dxa"/>
          </w:tblCellMar>
        </w:tblPrEx>
        <w:tc>
          <w:tcPr>
            <w:tcW w:w="125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大量设备告警</w:t>
            </w:r>
          </w:p>
        </w:tc>
        <w:tc>
          <w:tcPr>
            <w:tcW w:w="871" w:type="pct"/>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一级故障</w:t>
            </w:r>
          </w:p>
        </w:tc>
        <w:tc>
          <w:tcPr>
            <w:tcW w:w="858" w:type="pct"/>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是</w:t>
            </w:r>
          </w:p>
        </w:tc>
        <w:tc>
          <w:tcPr>
            <w:tcW w:w="20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切断故障源</w:t>
            </w:r>
          </w:p>
        </w:tc>
      </w:tr>
      <w:tr>
        <w:tc>
          <w:tcPr>
            <w:tcW w:w="125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出现用户投诉</w:t>
            </w:r>
          </w:p>
        </w:tc>
        <w:tc>
          <w:tcPr>
            <w:tcW w:w="871" w:type="pct"/>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p>
        </w:tc>
        <w:tc>
          <w:tcPr>
            <w:tcW w:w="858" w:type="pct"/>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p>
        </w:tc>
        <w:tc>
          <w:tcPr>
            <w:tcW w:w="20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立即回退</w:t>
            </w:r>
          </w:p>
        </w:tc>
      </w:tr>
      <w:tr>
        <w:tblPrEx>
          <w:tblCellMar>
            <w:top w:w="0" w:type="dxa"/>
            <w:left w:w="108" w:type="dxa"/>
            <w:bottom w:w="0" w:type="dxa"/>
            <w:right w:w="108" w:type="dxa"/>
          </w:tblCellMar>
        </w:tblPrEx>
        <w:tc>
          <w:tcPr>
            <w:tcW w:w="125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全部设备告警</w:t>
            </w:r>
          </w:p>
        </w:tc>
        <w:tc>
          <w:tcPr>
            <w:tcW w:w="871" w:type="pct"/>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重大故障</w:t>
            </w:r>
          </w:p>
        </w:tc>
        <w:tc>
          <w:tcPr>
            <w:tcW w:w="858" w:type="pct"/>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是</w:t>
            </w:r>
          </w:p>
        </w:tc>
        <w:tc>
          <w:tcPr>
            <w:tcW w:w="20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切断故障源</w:t>
            </w:r>
          </w:p>
        </w:tc>
      </w:tr>
      <w:tr>
        <w:tblPrEx>
          <w:tblCellMar>
            <w:top w:w="0" w:type="dxa"/>
            <w:left w:w="108" w:type="dxa"/>
            <w:bottom w:w="0" w:type="dxa"/>
            <w:right w:w="108" w:type="dxa"/>
          </w:tblCellMar>
        </w:tblPrEx>
        <w:tc>
          <w:tcPr>
            <w:tcW w:w="125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大量用户投诉</w:t>
            </w:r>
          </w:p>
        </w:tc>
        <w:tc>
          <w:tcPr>
            <w:tcW w:w="871" w:type="pct"/>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p>
        </w:tc>
        <w:tc>
          <w:tcPr>
            <w:tcW w:w="858" w:type="pct"/>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p>
        </w:tc>
        <w:tc>
          <w:tcPr>
            <w:tcW w:w="20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立即回退数据</w:t>
            </w:r>
          </w:p>
        </w:tc>
      </w:tr>
    </w:tbl>
    <w:p>
      <w:pPr>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c.邮件或电话通知应急相关负责人</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B.云安全及TCP安全防护故障应急效果观察操作流程规范</w:t>
      </w:r>
    </w:p>
    <w:p>
      <w:pPr>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a.应急处理接口人发送应急操作给技术支持负责人</w:t>
      </w:r>
    </w:p>
    <w:p>
      <w:pPr>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b.获取故障级别</w:t>
      </w:r>
    </w:p>
    <w:p>
      <w:pPr>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c.获取故障状态</w:t>
      </w:r>
    </w:p>
    <w:p>
      <w:pPr>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d.获取服务频道状态</w:t>
      </w:r>
    </w:p>
    <w:p>
      <w:pPr>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e.获取证据收集状态</w:t>
      </w:r>
    </w:p>
    <w:p>
      <w:pPr>
        <w:spacing w:line="360" w:lineRule="auto"/>
        <w:ind w:firstLine="840" w:firstLineChars="300"/>
        <w:rPr>
          <w:rFonts w:ascii="方正仿宋_GBK" w:hAnsi="方正仿宋_GBK" w:eastAsia="方正仿宋_GBK" w:cs="方正仿宋_GBK"/>
        </w:rPr>
      </w:pPr>
      <w:r>
        <w:rPr>
          <w:rFonts w:hint="eastAsia" w:ascii="方正仿宋_GBK" w:hAnsi="方正仿宋_GBK" w:eastAsia="方正仿宋_GBK" w:cs="方正仿宋_GBK"/>
          <w:sz w:val="28"/>
          <w:szCs w:val="28"/>
        </w:rPr>
        <w:t>f.进行应急结束申请</w:t>
      </w:r>
    </w:p>
    <w:p>
      <w:pPr>
        <w:widowControl/>
        <w:spacing w:line="360" w:lineRule="auto"/>
        <w:ind w:firstLine="560" w:firstLineChars="200"/>
        <w:jc w:val="left"/>
        <w:rPr>
          <w:rFonts w:ascii="方正仿宋_GBK" w:hAnsi="方正仿宋_GBK" w:eastAsia="方正仿宋_GBK" w:cs="方正仿宋_GBK"/>
          <w:sz w:val="28"/>
          <w:szCs w:val="28"/>
        </w:rPr>
      </w:pP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本项目报价为包干价，不再另行增加费用。报价的货币应为人民币。</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本项目（不含）增值税税额的最高限价为人民币850000元（大写金额：捌拾伍万元整），报价超过最高限价，将取消比选响应方的比选资格。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highlight w:val="cyan"/>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成交，即经采购人按规定组建的评审委员会评审，</w:t>
      </w:r>
      <w:r>
        <w:rPr>
          <w:rFonts w:hint="eastAsia" w:ascii="方正仿宋_GBK" w:hAnsi="方正仿宋_GBK" w:eastAsia="方正仿宋_GBK" w:cs="方正仿宋_GBK"/>
          <w:color w:val="000000"/>
          <w:kern w:val="0"/>
          <w:sz w:val="28"/>
          <w:szCs w:val="28"/>
        </w:rPr>
        <w:t>根据符合采购需求、质量和服务，且报价最低的原则确定成交候选人</w:t>
      </w:r>
      <w:r>
        <w:rPr>
          <w:rFonts w:hint="eastAsia" w:ascii="方正仿宋_GBK" w:hAnsi="方正仿宋_GBK" w:eastAsia="方正仿宋_GBK" w:cs="方正仿宋_GBK"/>
          <w:bCs/>
          <w:color w:val="000000"/>
          <w:sz w:val="28"/>
          <w:szCs w:val="28"/>
        </w:rPr>
        <w:t>。</w:t>
      </w:r>
      <w:r>
        <w:rPr>
          <w:rFonts w:hint="eastAsia" w:ascii="方正仿宋_GBK" w:hAnsi="方正仿宋_GBK" w:eastAsia="方正仿宋_GBK" w:cs="方正仿宋_GBK"/>
          <w:bCs/>
          <w:color w:val="000000"/>
          <w:sz w:val="28"/>
          <w:szCs w:val="28"/>
          <w:highlight w:val="cyan"/>
        </w:rPr>
        <w:t>如果最低响应报价相等时，由评审委员会按照投票原则进行排序。</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发布方式：比选采购文件及相关资料由重庆机场集团有限公司采购办公室（建设部）公开发布于重庆机场集团有限公司官方网站（www.cqa.cn）。</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2024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ascii="方正仿宋_GBK" w:hAnsi="方正仿宋_GBK" w:eastAsia="方正仿宋_GBK" w:cs="方正仿宋_GBK"/>
          <w:color w:val="000000" w:themeColor="text1"/>
          <w:kern w:val="0"/>
          <w:sz w:val="28"/>
          <w:szCs w:val="28"/>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ascii="方正仿宋_GBK" w:hAnsi="方正仿宋_GBK" w:eastAsia="方正仿宋_GBK" w:cs="方正仿宋_GBK"/>
          <w:color w:val="000000" w:themeColor="text1"/>
          <w:kern w:val="0"/>
          <w:sz w:val="28"/>
          <w:szCs w:val="28"/>
          <w14:textFill>
            <w14:solidFill>
              <w14:schemeClr w14:val="tx1"/>
            </w14:solidFill>
          </w14:textFill>
        </w:rPr>
        <w:t>2024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ascii="方正仿宋_GBK" w:hAnsi="方正仿宋_GBK" w:eastAsia="方正仿宋_GBK" w:cs="方正仿宋_GBK"/>
          <w:color w:val="000000" w:themeColor="text1"/>
          <w:kern w:val="0"/>
          <w:sz w:val="28"/>
          <w:szCs w:val="28"/>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w:t>
      </w:r>
      <w:r>
        <w:rPr>
          <w:rFonts w:ascii="方正仿宋_GBK" w:hAnsi="方正仿宋_GBK" w:eastAsia="方正仿宋_GBK" w:cs="方正仿宋_GBK"/>
          <w:color w:val="000000" w:themeColor="text1"/>
          <w:kern w:val="0"/>
          <w:sz w:val="28"/>
          <w:szCs w:val="28"/>
          <w14:textFill>
            <w14:solidFill>
              <w14:schemeClr w14:val="tx1"/>
            </w14:solidFill>
          </w14:textFill>
        </w:rPr>
        <w:t>17657012@qq.com</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，并电话通知比选采购人，过期不再受理。采购人将在比选采购文件提问截止时间后及时组织答疑，答疑内容在重庆机场集团有限公司官方网站（www.cqa.cn）以公告形式发布。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ascii="方正仿宋_GBK" w:hAnsi="方正仿宋_GBK" w:eastAsia="方正仿宋_GBK" w:cs="方正仿宋_GBK"/>
          <w:color w:val="000000" w:themeColor="text1"/>
          <w:kern w:val="0"/>
          <w:sz w:val="28"/>
          <w:szCs w:val="28"/>
          <w14:textFill>
            <w14:solidFill>
              <w14:schemeClr w14:val="tx1"/>
            </w14:solidFill>
          </w14:textFill>
        </w:rPr>
        <w:t>2024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ascii="方正仿宋_GBK" w:hAnsi="方正仿宋_GBK" w:eastAsia="方正仿宋_GBK" w:cs="方正仿宋_GBK"/>
          <w:color w:val="000000" w:themeColor="text1"/>
          <w:kern w:val="0"/>
          <w:sz w:val="28"/>
          <w:szCs w:val="28"/>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日17：00前在重庆机场集团有限公司官方网站（www.cqa.cn）以公告形式发布。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注：各比选响应人应当随时关注重庆机场集团有限公司官方网站（www.cqa.cn）所发布的相关答疑、澄清或补遗资料，各比选响应人不管下载与否都将被视为已知晓。由此产生的一切后果由比选响应人自负。</w:t>
      </w:r>
    </w:p>
    <w:p>
      <w:pPr>
        <w:snapToGrid w:val="0"/>
        <w:spacing w:line="360" w:lineRule="auto"/>
        <w:ind w:firstLine="555" w:firstLineChars="198"/>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八、比选响应保证金及履约保证金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FF0000"/>
          <w:kern w:val="0"/>
          <w:sz w:val="28"/>
          <w:szCs w:val="28"/>
        </w:rPr>
      </w:pPr>
      <w:r>
        <w:rPr>
          <w:rFonts w:hint="eastAsia" w:ascii="方正仿宋_GBK" w:hAnsi="方正仿宋_GBK" w:eastAsia="方正仿宋_GBK" w:cs="方正仿宋_GBK"/>
          <w:kern w:val="0"/>
          <w:sz w:val="28"/>
          <w:szCs w:val="28"/>
        </w:rPr>
        <w:t>8</w:t>
      </w:r>
      <w:r>
        <w:rPr>
          <w:rFonts w:ascii="方正仿宋_GBK" w:hAnsi="方正仿宋_GBK" w:eastAsia="方正仿宋_GBK" w:cs="方正仿宋_GBK"/>
          <w:kern w:val="0"/>
          <w:sz w:val="28"/>
          <w:szCs w:val="28"/>
        </w:rPr>
        <w:t xml:space="preserve">.1.1 </w:t>
      </w:r>
      <w:r>
        <w:rPr>
          <w:rFonts w:hint="eastAsia" w:ascii="方正仿宋_GBK" w:hAnsi="方正仿宋_GBK" w:eastAsia="方正仿宋_GBK" w:cs="方正仿宋_GBK"/>
          <w:kern w:val="0"/>
          <w:sz w:val="28"/>
          <w:szCs w:val="28"/>
        </w:rPr>
        <w:t>有意愿参与本项目比选的单位应按规定缴纳比选响应保证金（作投标保证金理解），本项目比选响应保证金金额为人民币</w:t>
      </w:r>
      <w:r>
        <w:rPr>
          <w:rFonts w:hint="eastAsia" w:ascii="方正仿宋_GBK" w:hAnsi="方正仿宋_GBK" w:eastAsia="方正仿宋_GBK" w:cs="方正仿宋_GBK"/>
          <w:kern w:val="0"/>
          <w:sz w:val="28"/>
          <w:szCs w:val="28"/>
          <w:u w:val="single"/>
        </w:rPr>
        <w:t>15</w:t>
      </w:r>
      <w:r>
        <w:rPr>
          <w:rFonts w:hint="eastAsia" w:ascii="方正仿宋_GBK" w:hAnsi="方正仿宋_GBK" w:eastAsia="方正仿宋_GBK" w:cs="方正仿宋_GBK"/>
          <w:sz w:val="28"/>
          <w:szCs w:val="28"/>
          <w:u w:val="single"/>
        </w:rPr>
        <w:t>000</w:t>
      </w:r>
      <w:r>
        <w:rPr>
          <w:rFonts w:hint="eastAsia" w:ascii="方正仿宋_GBK" w:hAnsi="方正仿宋_GBK" w:eastAsia="方正仿宋_GBK" w:cs="方正仿宋_GBK"/>
          <w:sz w:val="28"/>
          <w:szCs w:val="28"/>
        </w:rPr>
        <w:t>元</w:t>
      </w:r>
      <w:r>
        <w:rPr>
          <w:rFonts w:hint="eastAsia" w:ascii="方正仿宋_GBK" w:hAnsi="方正仿宋_GBK" w:eastAsia="方正仿宋_GBK" w:cs="方正仿宋_GBK"/>
          <w:kern w:val="0"/>
          <w:sz w:val="28"/>
          <w:szCs w:val="28"/>
        </w:rPr>
        <w:t>（大写：</w:t>
      </w:r>
      <w:r>
        <w:rPr>
          <w:rFonts w:hint="eastAsia" w:ascii="方正仿宋_GBK" w:hAnsi="方正仿宋_GBK" w:eastAsia="方正仿宋_GBK" w:cs="方正仿宋_GBK"/>
          <w:kern w:val="0"/>
          <w:sz w:val="28"/>
          <w:szCs w:val="28"/>
          <w:u w:val="single"/>
        </w:rPr>
        <w:t xml:space="preserve"> 壹万伍仟元整 </w:t>
      </w:r>
      <w:r>
        <w:rPr>
          <w:rFonts w:hint="eastAsia" w:ascii="方正仿宋_GBK" w:hAnsi="方正仿宋_GBK" w:eastAsia="方正仿宋_GBK" w:cs="方正仿宋_GBK"/>
          <w:kern w:val="0"/>
          <w:sz w:val="28"/>
          <w:szCs w:val="28"/>
        </w:rPr>
        <w:t>）。比选响应保证金以本项目开标现场展示的保证金交纳情况为准。</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ascii="方正仿宋_GBK" w:hAnsi="方正仿宋_GBK" w:eastAsia="方正仿宋_GBK" w:cs="方正仿宋_GBK"/>
          <w:kern w:val="0"/>
          <w:sz w:val="28"/>
          <w:szCs w:val="28"/>
        </w:rPr>
        <w:t>8</w:t>
      </w:r>
      <w:r>
        <w:rPr>
          <w:rFonts w:hint="eastAsia" w:ascii="方正仿宋_GBK" w:hAnsi="方正仿宋_GBK" w:eastAsia="方正仿宋_GBK" w:cs="方正仿宋_GBK"/>
          <w:kern w:val="0"/>
          <w:sz w:val="28"/>
          <w:szCs w:val="28"/>
        </w:rPr>
        <w:t>.1.</w:t>
      </w:r>
      <w:r>
        <w:rPr>
          <w:rFonts w:ascii="方正仿宋_GBK" w:hAnsi="方正仿宋_GBK" w:eastAsia="方正仿宋_GBK" w:cs="方正仿宋_GBK"/>
          <w:kern w:val="0"/>
          <w:sz w:val="28"/>
          <w:szCs w:val="28"/>
        </w:rPr>
        <w:t>2</w:t>
      </w:r>
      <w:r>
        <w:rPr>
          <w:rFonts w:hint="eastAsia" w:ascii="方正仿宋_GBK" w:hAnsi="方正仿宋_GBK" w:eastAsia="方正仿宋_GBK" w:cs="方正仿宋_GBK"/>
          <w:kern w:val="0"/>
          <w:sz w:val="28"/>
          <w:szCs w:val="28"/>
        </w:rPr>
        <w:t xml:space="preserve"> 提交时间：比选开始前</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ascii="方正仿宋_GBK" w:hAnsi="方正仿宋_GBK" w:eastAsia="方正仿宋_GBK" w:cs="方正仿宋_GBK"/>
          <w:kern w:val="0"/>
          <w:sz w:val="28"/>
          <w:szCs w:val="28"/>
        </w:rPr>
        <w:t>8</w:t>
      </w:r>
      <w:r>
        <w:rPr>
          <w:rFonts w:hint="eastAsia" w:ascii="方正仿宋_GBK" w:hAnsi="方正仿宋_GBK" w:eastAsia="方正仿宋_GBK" w:cs="方正仿宋_GBK"/>
          <w:kern w:val="0"/>
          <w:sz w:val="28"/>
          <w:szCs w:val="28"/>
        </w:rPr>
        <w:t>.1.</w:t>
      </w:r>
      <w:r>
        <w:rPr>
          <w:rFonts w:ascii="方正仿宋_GBK" w:hAnsi="方正仿宋_GBK" w:eastAsia="方正仿宋_GBK" w:cs="方正仿宋_GBK"/>
          <w:kern w:val="0"/>
          <w:sz w:val="28"/>
          <w:szCs w:val="28"/>
        </w:rPr>
        <w:t>3</w:t>
      </w:r>
      <w:r>
        <w:rPr>
          <w:rFonts w:hint="eastAsia" w:ascii="方正仿宋_GBK" w:hAnsi="方正仿宋_GBK" w:eastAsia="方正仿宋_GBK" w:cs="方正仿宋_GBK"/>
          <w:kern w:val="0"/>
          <w:sz w:val="28"/>
          <w:szCs w:val="28"/>
        </w:rPr>
        <w:t xml:space="preserve"> 提交方式：比选响应人企业基本账户银行转账。比选响应人必须在银行转账时</w:t>
      </w:r>
      <w:r>
        <w:rPr>
          <w:rFonts w:hint="eastAsia" w:ascii="方正仿宋_GBK" w:hAnsi="方正仿宋_GBK" w:eastAsia="方正仿宋_GBK" w:cs="方正仿宋_GBK"/>
          <w:b/>
          <w:bCs/>
          <w:kern w:val="0"/>
          <w:sz w:val="28"/>
          <w:szCs w:val="28"/>
        </w:rPr>
        <w:t>付款凭证备注栏</w:t>
      </w:r>
      <w:r>
        <w:rPr>
          <w:rFonts w:hint="eastAsia" w:ascii="方正仿宋_GBK" w:hAnsi="方正仿宋_GBK" w:eastAsia="方正仿宋_GBK" w:cs="方正仿宋_GBK"/>
          <w:kern w:val="0"/>
          <w:sz w:val="28"/>
          <w:szCs w:val="28"/>
        </w:rPr>
        <w:t>中填写本项目助记码</w:t>
      </w:r>
      <w:r>
        <w:rPr>
          <w:rFonts w:ascii="方正仿宋_GBK" w:hAnsi="方正仿宋_GBK" w:eastAsia="方正仿宋_GBK" w:cs="方正仿宋_GBK"/>
          <w:kern w:val="0"/>
          <w:sz w:val="28"/>
          <w:szCs w:val="28"/>
          <w:u w:val="single"/>
        </w:rPr>
        <w:t>101421</w:t>
      </w:r>
      <w:r>
        <w:rPr>
          <w:rFonts w:hint="eastAsia" w:ascii="方正仿宋_GBK" w:hAnsi="方正仿宋_GBK" w:eastAsia="方正仿宋_GBK" w:cs="方正仿宋_GBK"/>
          <w:kern w:val="0"/>
          <w:sz w:val="28"/>
          <w:szCs w:val="28"/>
        </w:rPr>
        <w:t>（6位纯数字），成功缴纳后可在重庆机场招采系统供应商管理页面相关栏目（我的工作台-投标保证金，以下简称“保证金页面”）中进行查询。</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比选响应保证金缴纳账户信息如下</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开户名：重庆机场集团有限公司</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开户银行：建设银行重庆渝北机场支行</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账号：5000 1083 8000 5000 0447</w:t>
      </w:r>
    </w:p>
    <w:p>
      <w:pPr>
        <w:adjustRightInd w:val="0"/>
        <w:snapToGrid w:val="0"/>
        <w:spacing w:line="360" w:lineRule="auto"/>
        <w:ind w:firstLine="560" w:firstLineChars="200"/>
        <w:rPr>
          <w:b/>
          <w:color w:val="FF0000"/>
          <w:shd w:val="clear" w:color="auto" w:fill="FFFF00"/>
        </w:rPr>
      </w:pPr>
      <w:r>
        <w:rPr>
          <w:rFonts w:hint="eastAsia" w:ascii="方正仿宋_GBK" w:hAnsi="方正仿宋_GBK" w:eastAsia="方正仿宋_GBK" w:cs="方正仿宋_GBK"/>
          <w:b/>
          <w:color w:val="FF0000"/>
          <w:kern w:val="0"/>
          <w:sz w:val="28"/>
          <w:szCs w:val="28"/>
          <w:shd w:val="clear" w:color="auto" w:fill="FFFF00"/>
        </w:rPr>
        <w:t>注意：缴纳比选响应保证金时，付款凭证备注栏填写除本项目助记码以外的其他任何内容</w:t>
      </w:r>
      <w:r>
        <w:rPr>
          <w:rFonts w:hint="eastAsia" w:ascii="方正仿宋_GBK" w:hAnsi="方正仿宋_GBK" w:eastAsia="方正仿宋_GBK" w:cs="方正仿宋_GBK"/>
          <w:b/>
          <w:color w:val="FF0000"/>
          <w:kern w:val="0"/>
          <w:sz w:val="28"/>
          <w:szCs w:val="28"/>
          <w:u w:val="single"/>
          <w:shd w:val="clear" w:color="auto" w:fill="FFFF00"/>
        </w:rPr>
        <w:t>将导致比选响应保证金缴纳失败</w:t>
      </w:r>
      <w:r>
        <w:rPr>
          <w:rFonts w:hint="eastAsia" w:ascii="方正仿宋_GBK" w:hAnsi="方正仿宋_GBK" w:eastAsia="方正仿宋_GBK" w:cs="方正仿宋_GBK"/>
          <w:b/>
          <w:color w:val="FF0000"/>
          <w:kern w:val="0"/>
          <w:sz w:val="28"/>
          <w:szCs w:val="28"/>
          <w:shd w:val="clear" w:color="auto" w:fill="FFFF00"/>
        </w:rPr>
        <w:t>，由此产生的一切后果由比选响应人自负。</w:t>
      </w:r>
    </w:p>
    <w:p>
      <w:pPr>
        <w:adjustRightInd w:val="0"/>
        <w:snapToGrid w:val="0"/>
        <w:spacing w:line="360" w:lineRule="auto"/>
        <w:ind w:firstLine="420" w:firstLineChars="200"/>
        <w:rPr>
          <w:highlight w:val="yellow"/>
        </w:rPr>
      </w:pPr>
    </w:p>
    <w:p>
      <w:pPr>
        <w:adjustRightInd w:val="0"/>
        <w:snapToGrid w:val="0"/>
        <w:spacing w:line="360" w:lineRule="auto"/>
        <w:ind w:left="1" w:firstLine="560" w:firstLineChars="200"/>
        <w:jc w:val="left"/>
        <w:rPr>
          <w:rFonts w:ascii="方正仿宋_GBK" w:hAnsi="方正仿宋_GBK" w:eastAsia="方正仿宋_GBK" w:cs="方正仿宋_GBK"/>
          <w:kern w:val="0"/>
          <w:sz w:val="28"/>
          <w:szCs w:val="28"/>
        </w:rPr>
      </w:pPr>
      <w:r>
        <w:rPr>
          <w:rFonts w:ascii="方正仿宋_GBK" w:hAnsi="方正仿宋_GBK" w:eastAsia="方正仿宋_GBK" w:cs="方正仿宋_GBK"/>
          <w:kern w:val="0"/>
          <w:sz w:val="28"/>
          <w:szCs w:val="28"/>
        </w:rPr>
        <w:t>8</w:t>
      </w:r>
      <w:r>
        <w:rPr>
          <w:rFonts w:hint="eastAsia" w:ascii="方正仿宋_GBK" w:hAnsi="方正仿宋_GBK" w:eastAsia="方正仿宋_GBK" w:cs="方正仿宋_GBK"/>
          <w:kern w:val="0"/>
          <w:sz w:val="28"/>
          <w:szCs w:val="28"/>
        </w:rPr>
        <w:t>.1.</w:t>
      </w:r>
      <w:r>
        <w:rPr>
          <w:rFonts w:ascii="方正仿宋_GBK" w:hAnsi="方正仿宋_GBK" w:eastAsia="方正仿宋_GBK" w:cs="方正仿宋_GBK"/>
          <w:kern w:val="0"/>
          <w:sz w:val="28"/>
          <w:szCs w:val="28"/>
        </w:rPr>
        <w:t>4</w:t>
      </w:r>
      <w:r>
        <w:rPr>
          <w:rFonts w:hint="eastAsia" w:ascii="方正仿宋_GBK" w:hAnsi="方正仿宋_GBK" w:eastAsia="方正仿宋_GBK" w:cs="方正仿宋_GBK"/>
          <w:kern w:val="0"/>
          <w:sz w:val="28"/>
          <w:szCs w:val="28"/>
        </w:rPr>
        <w:t xml:space="preserve"> 项目比选响应保证金的退还</w:t>
      </w:r>
    </w:p>
    <w:p>
      <w:pPr>
        <w:adjustRightInd w:val="0"/>
        <w:snapToGrid w:val="0"/>
        <w:spacing w:line="360" w:lineRule="auto"/>
        <w:ind w:left="1"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成交候选人以外的单位提交的本项目比选响应保证金，在成交结果公示期结束且无异议后，在重庆机场招采系统保证金页面中发起退还申请，采购人根据相关规定在20个工作日内将项目比选响应保证金以银行转账方式退还至比选响应人，本项目比选响应保证金递交期间不计利息。</w:t>
      </w:r>
    </w:p>
    <w:p>
      <w:pPr>
        <w:adjustRightInd w:val="0"/>
        <w:snapToGrid w:val="0"/>
        <w:spacing w:line="360" w:lineRule="auto"/>
        <w:ind w:left="1"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kern w:val="0"/>
          <w:sz w:val="28"/>
          <w:szCs w:val="28"/>
        </w:rPr>
        <w:t>成交候选人范围内的单位提交的本项目比选响应保证金，在本项目合同签订完成后退还，退还手续同上。</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.2 履约保证金</w:t>
      </w:r>
    </w:p>
    <w:p>
      <w:pPr>
        <w:adjustRightInd w:val="0"/>
        <w:snapToGrid w:val="0"/>
        <w:spacing w:line="360" w:lineRule="auto"/>
        <w:ind w:left="1"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8.2.1履约保证金的金额：成交总价款的5%。</w:t>
      </w:r>
    </w:p>
    <w:p>
      <w:pPr>
        <w:adjustRightInd w:val="0"/>
        <w:snapToGrid w:val="0"/>
        <w:spacing w:line="360" w:lineRule="auto"/>
        <w:ind w:left="1"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8.2.2 履约保证金的提交时间：在收到成交通知书15日内，合同签订前足额缴纳。</w:t>
      </w:r>
    </w:p>
    <w:p>
      <w:pPr>
        <w:adjustRightInd w:val="0"/>
        <w:snapToGrid w:val="0"/>
        <w:spacing w:line="360" w:lineRule="auto"/>
        <w:ind w:left="1" w:firstLine="560" w:firstLineChars="200"/>
        <w:jc w:val="left"/>
        <w:rPr>
          <w:rFonts w:ascii="方正仿宋_GBK" w:hAnsi="方正仿宋_GBK" w:eastAsia="方正仿宋_GBK" w:cs="方正仿宋_GBK"/>
          <w:sz w:val="28"/>
          <w:szCs w:val="28"/>
          <w:highlight w:val="cyan"/>
        </w:rPr>
      </w:pPr>
      <w:r>
        <w:rPr>
          <w:rFonts w:hint="eastAsia" w:ascii="方正仿宋_GBK" w:hAnsi="方正仿宋_GBK" w:eastAsia="方正仿宋_GBK" w:cs="方正仿宋_GBK"/>
          <w:kern w:val="0"/>
          <w:sz w:val="28"/>
          <w:szCs w:val="28"/>
        </w:rPr>
        <w:t>8.2.3 履约保证金的退还时间：于履约结束后，一次性退还（不计利息）。</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sz w:val="28"/>
          <w:szCs w:val="28"/>
        </w:rPr>
        <w:t>0</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报价部分。云防护</w:t>
      </w:r>
      <w:r>
        <w:rPr>
          <w:rFonts w:hint="eastAsia" w:ascii="方正仿宋_GBK" w:hAnsi="方正仿宋_GBK" w:eastAsia="方正仿宋_GBK" w:cs="方正仿宋_GBK"/>
          <w:sz w:val="28"/>
          <w:szCs w:val="28"/>
        </w:rPr>
        <w:t>和T</w:t>
      </w:r>
      <w:r>
        <w:rPr>
          <w:rFonts w:ascii="方正仿宋_GBK" w:hAnsi="方正仿宋_GBK" w:eastAsia="方正仿宋_GBK" w:cs="方正仿宋_GBK"/>
          <w:sz w:val="28"/>
          <w:szCs w:val="28"/>
        </w:rPr>
        <w:t>CP</w:t>
      </w:r>
      <w:r>
        <w:rPr>
          <w:rFonts w:hint="eastAsia" w:ascii="方正仿宋_GBK" w:hAnsi="方正仿宋_GBK" w:eastAsia="方正仿宋_GBK" w:cs="方正仿宋_GBK"/>
          <w:sz w:val="28"/>
          <w:szCs w:val="28"/>
        </w:rPr>
        <w:t>安全防护分开报价。</w:t>
      </w:r>
      <w:r>
        <w:rPr>
          <w:rFonts w:hint="eastAsia" w:ascii="方正仿宋_GBK" w:hAnsi="方正仿宋_GBK" w:eastAsia="方正仿宋_GBK" w:cs="方正仿宋_GBK"/>
          <w:sz w:val="28"/>
          <w:szCs w:val="28"/>
          <w:lang w:val="zh-CN"/>
        </w:rPr>
        <w:t>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采购文件要求报出拟提供货物的品牌、规格、产地、单价、总价等详细内容，各项报价应包括拟提供货物的运输、相关税金和服务等全部费用，报价为不含增值税税额的报价，增值税税率单列。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0</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技术部分。主要包括项目云防护及T</w:t>
      </w:r>
      <w:r>
        <w:rPr>
          <w:rFonts w:ascii="方正仿宋_GBK" w:hAnsi="方正仿宋_GBK" w:eastAsia="方正仿宋_GBK" w:cs="方正仿宋_GBK"/>
          <w:sz w:val="28"/>
          <w:szCs w:val="28"/>
          <w:lang w:val="zh-CN"/>
        </w:rPr>
        <w:t>CP</w:t>
      </w:r>
      <w:r>
        <w:rPr>
          <w:rFonts w:hint="eastAsia" w:ascii="方正仿宋_GBK" w:hAnsi="方正仿宋_GBK" w:eastAsia="方正仿宋_GBK" w:cs="方正仿宋_GBK"/>
          <w:sz w:val="28"/>
          <w:szCs w:val="28"/>
          <w:lang w:val="zh-CN"/>
        </w:rPr>
        <w:t>安全防护服务方案等的详细说明。如果提供的材料和服务与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0</w:t>
      </w:r>
      <w:r>
        <w:rPr>
          <w:rFonts w:hint="eastAsia" w:ascii="方正仿宋_GBK" w:hAnsi="方正仿宋_GBK" w:eastAsia="方正仿宋_GBK" w:cs="方正仿宋_GBK"/>
          <w:sz w:val="28"/>
          <w:szCs w:val="28"/>
          <w:lang w:val="zh-CN"/>
        </w:rPr>
        <w:t>.2.5</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商务部分。主要包括三证合一的营业执照（复印件），</w:t>
      </w:r>
      <w:r>
        <w:rPr>
          <w:rFonts w:hint="eastAsia" w:ascii="方正仿宋_GBK" w:hAnsi="方正仿宋_GBK" w:eastAsia="方正仿宋_GBK" w:cs="方正仿宋_GBK"/>
          <w:color w:val="000000"/>
          <w:sz w:val="28"/>
          <w:szCs w:val="28"/>
          <w:lang w:val="zh-CN"/>
        </w:rPr>
        <w:t>法人代表委托书（原件）</w:t>
      </w:r>
      <w:r>
        <w:rPr>
          <w:rFonts w:hint="eastAsia" w:ascii="方正仿宋_GBK" w:hAnsi="方正仿宋_GBK" w:eastAsia="方正仿宋_GBK" w:cs="方正仿宋_GBK"/>
          <w:sz w:val="28"/>
          <w:szCs w:val="28"/>
          <w:lang w:val="zh-CN"/>
        </w:rPr>
        <w:t>和法定代表人身份证复印件，被授权人身份证复印件（原件备查），一般纳税人资格证明（电子税务局）盖鲜章或者小规模纳税人资</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格证明</w:t>
      </w:r>
      <w:r>
        <w:rPr>
          <w:rFonts w:hint="eastAsia" w:ascii="方正仿宋_GBK" w:hAnsi="方正仿宋_GBK" w:eastAsia="方正仿宋_GBK" w:cs="方正仿宋_GBK"/>
          <w:sz w:val="28"/>
          <w:szCs w:val="28"/>
          <w:lang w:val="zh-CN"/>
        </w:rPr>
        <w:t>（电子税务局）</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盖鲜章，以及提供云防护与T</w:t>
      </w:r>
      <w:r>
        <w:rPr>
          <w:rFonts w:ascii="方正仿宋_GBK" w:hAnsi="方正仿宋_GBK" w:eastAsia="方正仿宋_GBK" w:cs="方正仿宋_GBK"/>
          <w:color w:val="000000" w:themeColor="text1"/>
          <w:sz w:val="28"/>
          <w:szCs w:val="28"/>
          <w:lang w:val="zh-CN"/>
          <w14:textFill>
            <w14:solidFill>
              <w14:schemeClr w14:val="tx1"/>
            </w14:solidFill>
          </w14:textFill>
        </w:rPr>
        <w:t>CP</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安全防护厂家针对本项目的售后服务承诺函等。</w:t>
      </w:r>
    </w:p>
    <w:p>
      <w:pPr>
        <w:autoSpaceDE w:val="0"/>
        <w:autoSpaceDN w:val="0"/>
        <w:adjustRightInd w:val="0"/>
        <w:spacing w:line="360" w:lineRule="auto"/>
        <w:ind w:firstLine="630" w:firstLineChars="225"/>
        <w:rPr>
          <w:rFonts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pStyle w:val="3"/>
        <w:ind w:firstLine="56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10.2.7 比选文件的密封：响应人应将正本、副本、电子比选响应文件统一装在密封袋里，密封袋封面上须注明：“项目名称”、“项目编号”，在2024年6月2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ascii="方正仿宋_GBK" w:hAnsi="方正仿宋_GBK" w:eastAsia="方正仿宋_GBK" w:cs="方正仿宋_GBK"/>
          <w:color w:val="000000" w:themeColor="text1"/>
          <w:sz w:val="28"/>
          <w:szCs w:val="28"/>
          <w14:textFill>
            <w14:solidFill>
              <w14:schemeClr w14:val="tx1"/>
            </w14:solidFill>
          </w14:textFill>
        </w:rPr>
        <w:t>10</w:t>
      </w:r>
      <w:r>
        <w:rPr>
          <w:rFonts w:hint="eastAsia" w:ascii="方正仿宋_GBK" w:hAnsi="方正仿宋_GBK" w:eastAsia="方正仿宋_GBK" w:cs="方正仿宋_GBK"/>
          <w:color w:val="000000" w:themeColor="text1"/>
          <w:sz w:val="28"/>
          <w:szCs w:val="28"/>
          <w14:textFill>
            <w14:solidFill>
              <w14:schemeClr w14:val="tx1"/>
            </w14:solidFill>
          </w14:textFill>
        </w:rPr>
        <w:t>时00分前不得开启，并加盖响应单位公章。</w:t>
      </w:r>
    </w:p>
    <w:p>
      <w:pPr>
        <w:pStyle w:val="3"/>
        <w:ind w:firstLine="56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10.2.8 签名盖章要求：比选文件第四章比选附件中要求法定代表人或其委托代理人签名（或盖章）的须齐全。</w:t>
      </w:r>
    </w:p>
    <w:p>
      <w:pPr>
        <w:pStyle w:val="3"/>
        <w:ind w:firstLine="640"/>
        <w:rPr>
          <w:lang w:val="zh-CN"/>
        </w:rPr>
      </w:pP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highlight w:val="cyan"/>
          <w:shd w:val="clear" w:color="FFFFFF" w:fill="D9D9D9"/>
        </w:rPr>
      </w:pPr>
      <w:r>
        <w:rPr>
          <w:rFonts w:hint="eastAsia" w:ascii="方正仿宋_GBK" w:hAnsi="方正仿宋_GBK" w:eastAsia="方正仿宋_GBK" w:cs="方正仿宋_GBK"/>
          <w:b/>
          <w:color w:val="000000"/>
          <w:sz w:val="28"/>
          <w:szCs w:val="28"/>
          <w:lang w:val="zh-CN"/>
        </w:rPr>
        <w:t>十一、比选响应文件作废及串通投标行为认定</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11.1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响应文件存在附件</w:t>
      </w:r>
      <w:r>
        <w:rPr>
          <w:rFonts w:hint="eastAsia" w:ascii="方正仿宋_GBK" w:hAnsi="方正仿宋_GBK" w:eastAsia="方正仿宋_GBK" w:cs="方正仿宋_GBK"/>
          <w:color w:val="000000" w:themeColor="text1"/>
          <w:sz w:val="28"/>
          <w:szCs w:val="28"/>
          <w14:textFill>
            <w14:solidFill>
              <w14:schemeClr w14:val="tx1"/>
            </w14:solidFill>
          </w14:textFill>
        </w:rPr>
        <w:t>A表中情形之一的，被视为重大偏差并由采购人按规定组建的评审委员会作否决处理，否则，评审委员会不得视为重大偏差而否决响应人的响应文件。</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 有下列情形之一的，视为比选响应人相互串通投标：</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11.2.1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不同比选响应人的响应文件由同一单位或者个人编制；</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11.2.2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不同比选响应人委托同一单位或者个人办理投标事宜；</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11.2.3 不同比选响应人的委托代理人登记相同的电话号码；</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11.2.4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不同比选响应人的响应文件载明的项目管理成员为同一人；</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11.2.5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不同比选响应人的响应文件相互混装；</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11.2.6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不同比选响应人的比选保证金从同一单位或者个人的账户转出；</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11.2.7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不同比选响应人的响应文件技术部分内容异常一致或雷同，</w:t>
      </w:r>
      <w:r>
        <w:rPr>
          <w:rFonts w:hint="eastAsia" w:ascii="方正仿宋_GBK" w:hAnsi="方正仿宋_GBK" w:eastAsia="方正仿宋_GBK" w:cs="方正仿宋_GBK"/>
          <w:color w:val="000000" w:themeColor="text1"/>
          <w:sz w:val="28"/>
          <w:szCs w:val="28"/>
          <w14:textFill>
            <w14:solidFill>
              <w14:schemeClr w14:val="tx1"/>
            </w14:solidFill>
          </w14:textFill>
        </w:rPr>
        <w:t>相同比例达到50%（含）以上</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11.2.8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不同比选响应人的响应文件</w:t>
      </w:r>
      <w:r>
        <w:rPr>
          <w:rFonts w:hint="eastAsia" w:ascii="方正仿宋_GBK" w:hAnsi="方正仿宋_GBK" w:eastAsia="方正仿宋_GBK" w:cs="方正仿宋_GBK"/>
          <w:color w:val="000000" w:themeColor="text1"/>
          <w:sz w:val="28"/>
          <w:szCs w:val="28"/>
          <w14:textFill>
            <w14:solidFill>
              <w14:schemeClr w14:val="tx1"/>
            </w14:solidFill>
          </w14:textFill>
        </w:rPr>
        <w:t>中工程量清单（如有）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报价</w:t>
      </w:r>
      <w:r>
        <w:rPr>
          <w:rFonts w:hint="eastAsia" w:ascii="方正仿宋_GBK" w:hAnsi="方正仿宋_GBK" w:eastAsia="方正仿宋_GBK" w:cs="方正仿宋_GBK"/>
          <w:color w:val="000000" w:themeColor="text1"/>
          <w:sz w:val="28"/>
          <w:szCs w:val="28"/>
          <w14:textFill>
            <w14:solidFill>
              <w14:schemeClr w14:val="tx1"/>
            </w14:solidFill>
          </w14:textFill>
        </w:rPr>
        <w:t>完全相同；</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11.2.9 不同比选响应人的投标报价</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异常一致，呈规律性差异；</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11.2.10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不同比选响应人编制的响应文件</w:t>
      </w:r>
      <w:r>
        <w:rPr>
          <w:rFonts w:hint="eastAsia" w:ascii="方正仿宋_GBK" w:hAnsi="方正仿宋_GBK" w:eastAsia="方正仿宋_GBK" w:cs="方正仿宋_GBK"/>
          <w:color w:val="000000" w:themeColor="text1"/>
          <w:sz w:val="28"/>
          <w:szCs w:val="28"/>
          <w14:textFill>
            <w14:solidFill>
              <w14:schemeClr w14:val="tx1"/>
            </w14:solidFill>
          </w14:textFill>
        </w:rPr>
        <w:t>在</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实质性内容上存在</w:t>
      </w:r>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处以上相同细节的错误；</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11.2.11 不同比选响应人的工程量清单（如有）报价中存在相同的错项、或漏项、或增项数量之和超过5项；</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11.2.12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不同比选响应人编制的响应文件中存在基价不一致，但以基价*相同费率形式报价的价格完全一致（如规费、税金等）。</w:t>
      </w:r>
    </w:p>
    <w:p>
      <w:pPr>
        <w:pStyle w:val="4"/>
        <w:ind w:firstLine="560" w:firstLineChars="200"/>
      </w:pPr>
      <w:r>
        <w:rPr>
          <w:rFonts w:hint="eastAsia" w:ascii="方正仿宋_GBK" w:hAnsi="方正仿宋_GBK" w:eastAsia="方正仿宋_GBK" w:cs="方正仿宋_GBK"/>
          <w:color w:val="000000"/>
          <w:sz w:val="28"/>
          <w:szCs w:val="28"/>
          <w:highlight w:val="yellow"/>
        </w:rPr>
        <w:t>11.2.13 国家、地方、行业法律法规规定的其他围标串标情形。</w:t>
      </w:r>
    </w:p>
    <w:p>
      <w:pPr>
        <w:pStyle w:val="4"/>
      </w:pP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十二、响应人违约等行为约束要求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12.2</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12.3</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12.5</w:t>
      </w:r>
      <w:r>
        <w:rPr>
          <w:rFonts w:hint="eastAsia" w:ascii="方正仿宋_GBK" w:hAnsi="方正仿宋_GBK" w:eastAsia="方正仿宋_GBK" w:cs="方正仿宋_GBK"/>
          <w:color w:val="000000"/>
          <w:sz w:val="28"/>
          <w:szCs w:val="28"/>
        </w:rPr>
        <w:t xml:space="preserve"> 采购人按规定组建的评审委员会在</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十四、监督部门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地址：重庆机场集团有限公司办公楼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w:t>
      </w:r>
      <w:r>
        <w:rPr>
          <w:rFonts w:ascii="方正仿宋_GBK" w:hAnsi="方正仿宋_GBK" w:eastAsia="方正仿宋_GBK" w:cs="方正仿宋_GBK"/>
          <w:color w:val="000000"/>
          <w:sz w:val="28"/>
          <w:szCs w:val="28"/>
        </w:rPr>
        <w:t>7345</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必须在</w:t>
      </w:r>
      <w:r>
        <w:rPr>
          <w:rFonts w:ascii="方正仿宋_GBK" w:hAnsi="方正仿宋_GBK" w:eastAsia="方正仿宋_GBK" w:cs="方正仿宋_GBK"/>
          <w:color w:val="000000" w:themeColor="text1"/>
          <w:kern w:val="0"/>
          <w:sz w:val="28"/>
          <w:szCs w:val="28"/>
          <w14:textFill>
            <w14:solidFill>
              <w14:schemeClr w14:val="tx1"/>
            </w14:solidFill>
          </w14:textFill>
        </w:rPr>
        <w:t>2024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ascii="方正仿宋_GBK" w:hAnsi="方正仿宋_GBK" w:eastAsia="方正仿宋_GBK" w:cs="方正仿宋_GBK"/>
          <w:color w:val="000000" w:themeColor="text1"/>
          <w:kern w:val="0"/>
          <w:sz w:val="28"/>
          <w:szCs w:val="28"/>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ascii="方正仿宋_GBK" w:hAnsi="方正仿宋_GBK" w:eastAsia="方正仿宋_GBK" w:cs="方正仿宋_GBK"/>
          <w:color w:val="000000" w:themeColor="text1"/>
          <w:kern w:val="0"/>
          <w:sz w:val="28"/>
          <w:szCs w:val="28"/>
          <w14:textFill>
            <w14:solidFill>
              <w14:schemeClr w14:val="tx1"/>
            </w14:solidFill>
          </w14:textFill>
        </w:rPr>
        <w:t>2</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kern w:val="0"/>
          <w:sz w:val="28"/>
          <w:szCs w:val="28"/>
        </w:rPr>
        <w:t>9:00至10:00时送到重庆机场有限公司办公楼</w:t>
      </w:r>
      <w:r>
        <w:rPr>
          <w:rFonts w:hint="eastAsia" w:ascii="方正仿宋_GBK" w:hAnsi="方正仿宋_GBK" w:eastAsia="方正仿宋_GBK" w:cs="方正仿宋_GBK"/>
          <w:sz w:val="28"/>
          <w:szCs w:val="28"/>
        </w:rPr>
        <w:t>（重庆市渝北区机场东二路19号）</w:t>
      </w:r>
      <w:r>
        <w:rPr>
          <w:rFonts w:hint="eastAsia" w:ascii="方正仿宋_GBK" w:hAnsi="方正仿宋_GBK" w:eastAsia="方正仿宋_GBK" w:cs="方正仿宋_GBK"/>
          <w:kern w:val="0"/>
          <w:sz w:val="28"/>
          <w:szCs w:val="28"/>
        </w:rPr>
        <w:t>601室，过期不予受理。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2024</w:t>
      </w:r>
      <w:r>
        <w:rPr>
          <w:rFonts w:hint="eastAsia" w:ascii="方正仿宋_GBK" w:hAnsi="方正仿宋_GBK" w:eastAsia="方正仿宋_GBK" w:cs="方正仿宋_GBK"/>
          <w:color w:val="000000"/>
          <w:sz w:val="28"/>
          <w:szCs w:val="28"/>
        </w:rPr>
        <w:t>年</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月</w:t>
      </w:r>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8</w:t>
      </w:r>
      <w:bookmarkStart w:id="6" w:name="_GoBack"/>
      <w:bookmarkEnd w:id="6"/>
      <w:r>
        <w:rPr>
          <w:rFonts w:hint="eastAsia" w:ascii="方正仿宋_GBK" w:hAnsi="方正仿宋_GBK" w:eastAsia="方正仿宋_GBK" w:cs="方正仿宋_GBK"/>
          <w:color w:val="000000"/>
          <w:sz w:val="28"/>
          <w:szCs w:val="28"/>
        </w:rPr>
        <w:t>日10:00时在重庆机场集团有限公司办公楼601室对本项目进行比选，各比选响应人须参加。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注：比选开始前，各比选响应人可在重庆机场集团公司办公楼6012室确认具体比选地点。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rPr>
        <w:t>参加比选唱价会议的比选响应人的法定代表人或被授权的代理人应当随身携带本人身份证（原件），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.4 比选结果通知：拟成交结果将公示在重庆机场集团有限公司</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官方网站（www.cqa.cn）</w:t>
      </w:r>
      <w:r>
        <w:rPr>
          <w:rFonts w:hint="eastAsia" w:ascii="方正仿宋_GBK" w:hAnsi="方正仿宋_GBK" w:eastAsia="方正仿宋_GBK" w:cs="方正仿宋_GBK"/>
          <w:color w:val="000000"/>
          <w:sz w:val="28"/>
          <w:szCs w:val="28"/>
        </w:rPr>
        <w:t>，待结果确定后会及时通知，原则上只通知被选中的比选响应人，对未被选中的比选响应人不通知、不解释，响应文件不予退还。</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十七、采购人</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采购人：重庆机场集团有限公司</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联系人：齐老师</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电话：023-67153066</w:t>
      </w:r>
    </w:p>
    <w:p>
      <w:pPr>
        <w:snapToGrid w:val="0"/>
        <w:spacing w:line="360" w:lineRule="auto"/>
        <w:ind w:firstLine="539"/>
        <w:rPr>
          <w:rFonts w:ascii="仿宋" w:hAnsi="仿宋" w:eastAsia="仿宋"/>
          <w:sz w:val="28"/>
          <w:szCs w:val="28"/>
        </w:rPr>
      </w:pPr>
    </w:p>
    <w:p>
      <w:pPr>
        <w:pStyle w:val="2"/>
      </w:pPr>
    </w:p>
    <w:p/>
    <w:p>
      <w:pPr>
        <w:pStyle w:val="2"/>
      </w:pPr>
    </w:p>
    <w:p>
      <w:pPr>
        <w:pStyle w:val="2"/>
        <w:jc w:val="both"/>
        <w:sectPr>
          <w:footerReference r:id="rId3" w:type="default"/>
          <w:pgSz w:w="11906" w:h="16838"/>
          <w:pgMar w:top="1440" w:right="1800" w:bottom="1440" w:left="1800" w:header="851" w:footer="992" w:gutter="0"/>
          <w:cols w:space="425" w:num="1"/>
          <w:docGrid w:type="lines" w:linePitch="312" w:charSpace="0"/>
        </w:sectPr>
      </w:pPr>
    </w:p>
    <w:p>
      <w:pPr>
        <w:pStyle w:val="2"/>
      </w:pPr>
      <w:r>
        <w:rPr>
          <w:rFonts w:hint="eastAsia"/>
        </w:rPr>
        <w:t>附件A：有效最低价法否决响应文件一览表</w:t>
      </w:r>
    </w:p>
    <w:p>
      <w:pPr>
        <w:ind w:firstLine="480" w:firstLineChars="200"/>
        <w:rPr>
          <w:rFonts w:ascii="方正仿宋_GBK" w:hAnsi="方正仿宋_GBK" w:eastAsia="方正仿宋_GBK" w:cs="方正仿宋_GBK"/>
          <w:szCs w:val="21"/>
        </w:rPr>
      </w:pPr>
      <w:r>
        <w:rPr>
          <w:rFonts w:hint="eastAsia" w:ascii="方正仿宋_GBK" w:hAnsi="方正仿宋_GBK" w:eastAsia="方正仿宋_GBK" w:cs="方正仿宋_GBK"/>
          <w:sz w:val="24"/>
        </w:rPr>
        <w:t>响应文件存在本一览表下列情形之一的，响应文件视为重大偏差并由评审委员会作否决处理，否则，评审委员会不得视为重大偏差而否决响应人的响应文件。比选文件中的否决响应文件条款与本表不一致的，以本表为准。</w:t>
      </w:r>
    </w:p>
    <w:tbl>
      <w:tblPr>
        <w:tblStyle w:val="9"/>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Align w:val="center"/>
          </w:tcPr>
          <w:p>
            <w:pPr>
              <w:pStyle w:val="2"/>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条款名称</w:t>
            </w:r>
          </w:p>
        </w:tc>
        <w:tc>
          <w:tcPr>
            <w:tcW w:w="7710" w:type="dxa"/>
            <w:vAlign w:val="center"/>
          </w:tcPr>
          <w:p>
            <w:pPr>
              <w:pStyle w:val="2"/>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否决条件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restart"/>
            <w:vAlign w:val="center"/>
          </w:tcPr>
          <w:p>
            <w:pPr>
              <w:pStyle w:val="2"/>
              <w:rPr>
                <w:rFonts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初步评审</w:t>
            </w:r>
          </w:p>
        </w:tc>
        <w:tc>
          <w:tcPr>
            <w:tcW w:w="7710" w:type="dxa"/>
            <w:vAlign w:val="center"/>
          </w:tcPr>
          <w:p>
            <w:pPr>
              <w:pStyle w:val="2"/>
              <w:jc w:val="left"/>
              <w:rPr>
                <w:rFonts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A-1 响应人的营业执照、资质（如有）、业绩等要求须满足比选文件第2.1项规定，否则由评审委员会作否决其响应文件处理。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2"/>
              <w:rPr>
                <w:rFonts w:ascii="方正仿宋_GBK" w:hAnsi="方正仿宋_GBK" w:eastAsia="方正仿宋_GBK" w:cs="方正仿宋_GBK"/>
                <w:sz w:val="24"/>
                <w:szCs w:val="24"/>
              </w:rPr>
            </w:pPr>
          </w:p>
        </w:tc>
        <w:tc>
          <w:tcPr>
            <w:tcW w:w="7710" w:type="dxa"/>
            <w:vAlign w:val="center"/>
          </w:tcPr>
          <w:p>
            <w:pPr>
              <w:pStyle w:val="2"/>
              <w:jc w:val="left"/>
              <w:rPr>
                <w:rFonts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rPr>
              <w:t>A-2 响应人的关联关系、信誉、其他要求须满足比选文件第2.2项规定，否则由评审委员会作否决其响应文件处理。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2"/>
              <w:rPr>
                <w:rFonts w:ascii="方正仿宋_GBK" w:hAnsi="方正仿宋_GBK" w:eastAsia="方正仿宋_GBK" w:cs="方正仿宋_GBK"/>
                <w:sz w:val="24"/>
                <w:szCs w:val="24"/>
              </w:rPr>
            </w:pPr>
          </w:p>
        </w:tc>
        <w:tc>
          <w:tcPr>
            <w:tcW w:w="7710" w:type="dxa"/>
            <w:vAlign w:val="center"/>
          </w:tcPr>
          <w:p>
            <w:pPr>
              <w:pStyle w:val="2"/>
              <w:jc w:val="left"/>
              <w:rPr>
                <w:rFonts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A-3 响应人的报价须满足比选文件比选文件第4.1项规定，否则由评审委员会作否决其响应文件处理。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2"/>
              <w:rPr>
                <w:rFonts w:ascii="方正仿宋_GBK" w:hAnsi="方正仿宋_GBK" w:eastAsia="方正仿宋_GBK" w:cs="方正仿宋_GBK"/>
                <w:sz w:val="24"/>
                <w:szCs w:val="24"/>
              </w:rPr>
            </w:pPr>
          </w:p>
        </w:tc>
        <w:tc>
          <w:tcPr>
            <w:tcW w:w="7710" w:type="dxa"/>
            <w:vAlign w:val="center"/>
          </w:tcPr>
          <w:p>
            <w:pPr>
              <w:pStyle w:val="2"/>
              <w:jc w:val="left"/>
              <w:rPr>
                <w:rFonts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rPr>
              <w:t>A-4 响应人须按照比选文件第8.1项规定交纳比选响应保证金（如有），否则由评审委员会作否决其响应文件处理。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2"/>
              <w:rPr>
                <w:rFonts w:ascii="方正仿宋_GBK" w:hAnsi="方正仿宋_GBK" w:eastAsia="方正仿宋_GBK" w:cs="方正仿宋_GBK"/>
                <w:sz w:val="24"/>
                <w:szCs w:val="24"/>
              </w:rPr>
            </w:pPr>
          </w:p>
        </w:tc>
        <w:tc>
          <w:tcPr>
            <w:tcW w:w="7710" w:type="dxa"/>
            <w:vAlign w:val="center"/>
          </w:tcPr>
          <w:p>
            <w:pPr>
              <w:pStyle w:val="2"/>
              <w:jc w:val="left"/>
              <w:rPr>
                <w:rFonts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rPr>
              <w:t>A-5 响应人的报价函须满足比选文件第10.2.2项规定，否则由评审委员会作否决其响应文件处理。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2"/>
              <w:rPr>
                <w:rFonts w:ascii="方正仿宋_GBK" w:hAnsi="方正仿宋_GBK" w:eastAsia="方正仿宋_GBK" w:cs="方正仿宋_GBK"/>
                <w:sz w:val="24"/>
                <w:szCs w:val="24"/>
              </w:rPr>
            </w:pPr>
          </w:p>
        </w:tc>
        <w:tc>
          <w:tcPr>
            <w:tcW w:w="7710" w:type="dxa"/>
            <w:vAlign w:val="center"/>
          </w:tcPr>
          <w:p>
            <w:pPr>
              <w:pStyle w:val="2"/>
              <w:jc w:val="left"/>
              <w:rPr>
                <w:rFonts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rPr>
              <w:t>A-6 响应人的响应文件装订及份数应满足比选文件第10.2.6项规定，否则由评审委员会作否决其响应文件处理。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2"/>
              <w:rPr>
                <w:rFonts w:ascii="方正仿宋_GBK" w:hAnsi="方正仿宋_GBK" w:eastAsia="方正仿宋_GBK" w:cs="方正仿宋_GBK"/>
                <w:sz w:val="24"/>
                <w:szCs w:val="24"/>
              </w:rPr>
            </w:pPr>
          </w:p>
        </w:tc>
        <w:tc>
          <w:tcPr>
            <w:tcW w:w="7710" w:type="dxa"/>
            <w:vAlign w:val="center"/>
          </w:tcPr>
          <w:p>
            <w:pPr>
              <w:pStyle w:val="2"/>
              <w:jc w:val="left"/>
              <w:rPr>
                <w:rFonts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rPr>
              <w:t>A-7 响应人的响应文件密封须满足比选文件第10.2.7项规定，否则由评审委员会作否决其响应文件处理。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2"/>
              <w:rPr>
                <w:rFonts w:ascii="方正仿宋_GBK" w:hAnsi="方正仿宋_GBK" w:eastAsia="方正仿宋_GBK" w:cs="方正仿宋_GBK"/>
                <w:sz w:val="24"/>
                <w:szCs w:val="24"/>
              </w:rPr>
            </w:pPr>
          </w:p>
        </w:tc>
        <w:tc>
          <w:tcPr>
            <w:tcW w:w="7710" w:type="dxa"/>
            <w:vAlign w:val="center"/>
          </w:tcPr>
          <w:p>
            <w:pPr>
              <w:pStyle w:val="2"/>
              <w:jc w:val="left"/>
              <w:rPr>
                <w:rFonts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rPr>
              <w:t>A-8 响应人的响应文件签名盖章须满足比选文件第10.2.8项规定，否则由评审委员会作否决其响应文件处理。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2"/>
              <w:rPr>
                <w:rFonts w:ascii="方正仿宋_GBK" w:hAnsi="方正仿宋_GBK" w:eastAsia="方正仿宋_GBK" w:cs="方正仿宋_GBK"/>
                <w:sz w:val="24"/>
                <w:szCs w:val="24"/>
              </w:rPr>
            </w:pPr>
          </w:p>
        </w:tc>
        <w:tc>
          <w:tcPr>
            <w:tcW w:w="7710" w:type="dxa"/>
            <w:vAlign w:val="center"/>
          </w:tcPr>
          <w:p>
            <w:pPr>
              <w:pStyle w:val="2"/>
              <w:jc w:val="left"/>
              <w:rPr>
                <w:rFonts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rPr>
              <w:t>A-9 响应人的响应文件须满足比选文件提出的所有实质性要求和条件，否则由评审委员会作否决其响应文件处理。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restart"/>
            <w:vAlign w:val="center"/>
          </w:tcPr>
          <w:p>
            <w:pPr>
              <w:pStyle w:val="2"/>
              <w:rPr>
                <w:rFonts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rPr>
              <w:t>其他</w:t>
            </w:r>
          </w:p>
        </w:tc>
        <w:tc>
          <w:tcPr>
            <w:tcW w:w="7710" w:type="dxa"/>
            <w:vAlign w:val="center"/>
          </w:tcPr>
          <w:p>
            <w:pPr>
              <w:pStyle w:val="2"/>
              <w:rPr>
                <w:rFonts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A-10响应人存在串通投标、弄虚作假、失信处罚期未满以及有其他违法违规行为的，由评审委员会作否决其响应文件处理。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2"/>
              <w:rPr>
                <w:rFonts w:ascii="方正仿宋_GBK" w:hAnsi="方正仿宋_GBK" w:eastAsia="方正仿宋_GBK" w:cs="方正仿宋_GBK"/>
                <w:b w:val="0"/>
                <w:bCs w:val="0"/>
                <w:sz w:val="24"/>
                <w:szCs w:val="24"/>
              </w:rPr>
            </w:pPr>
          </w:p>
        </w:tc>
        <w:tc>
          <w:tcPr>
            <w:tcW w:w="7710" w:type="dxa"/>
            <w:vAlign w:val="center"/>
          </w:tcPr>
          <w:p>
            <w:pPr>
              <w:pStyle w:val="2"/>
              <w:jc w:val="both"/>
              <w:rPr>
                <w:rFonts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A-11响应人存在其他违反国家重庆市法律法规否决投标的情形。</w:t>
            </w:r>
          </w:p>
        </w:tc>
      </w:tr>
    </w:tbl>
    <w:p>
      <w:pPr>
        <w:sectPr>
          <w:pgSz w:w="11906" w:h="16838"/>
          <w:pgMar w:top="1440" w:right="1800" w:bottom="1440" w:left="1800" w:header="851" w:footer="992" w:gutter="0"/>
          <w:cols w:space="425" w:num="1"/>
          <w:docGrid w:type="lines" w:linePitch="312" w:charSpace="0"/>
        </w:sectPr>
      </w:pPr>
    </w:p>
    <w:p>
      <w:pPr>
        <w:numPr>
          <w:ilvl w:val="0"/>
          <w:numId w:val="6"/>
        </w:num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合同条款及格式</w:t>
      </w:r>
    </w:p>
    <w:p>
      <w:pPr>
        <w:pStyle w:val="4"/>
        <w:jc w:val="both"/>
      </w:pPr>
    </w:p>
    <w:p>
      <w:pPr>
        <w:spacing w:after="156" w:afterLines="50"/>
        <w:ind w:right="964" w:firstLine="480" w:firstLineChars="200"/>
        <w:jc w:val="right"/>
        <w:rPr>
          <w:rFonts w:ascii="黑体" w:hAnsi="黑体" w:eastAsia="黑体"/>
          <w:color w:val="000000"/>
          <w:sz w:val="24"/>
        </w:rPr>
      </w:pPr>
      <w:r>
        <w:rPr>
          <w:rFonts w:hint="eastAsia" w:ascii="黑体" w:hAnsi="黑体" w:eastAsia="黑体"/>
          <w:color w:val="000000"/>
          <w:sz w:val="24"/>
        </w:rPr>
        <w:t>合同编号：CQA</w:t>
      </w:r>
    </w:p>
    <w:p>
      <w:pPr>
        <w:spacing w:after="156" w:afterLines="50"/>
        <w:ind w:firstLine="422" w:firstLineChars="200"/>
        <w:jc w:val="center"/>
        <w:rPr>
          <w:rFonts w:ascii="仿宋" w:hAnsi="仿宋" w:eastAsia="仿宋"/>
          <w:b/>
          <w:color w:val="000000"/>
        </w:rPr>
      </w:pPr>
    </w:p>
    <w:p>
      <w:pPr>
        <w:snapToGrid w:val="0"/>
        <w:spacing w:line="360" w:lineRule="auto"/>
        <w:jc w:val="center"/>
        <w:rPr>
          <w:rFonts w:cs="Calibri"/>
          <w:b/>
          <w:sz w:val="32"/>
          <w:szCs w:val="32"/>
        </w:rPr>
      </w:pPr>
    </w:p>
    <w:p/>
    <w:p>
      <w:pPr>
        <w:snapToGrid w:val="0"/>
        <w:spacing w:line="360" w:lineRule="auto"/>
        <w:jc w:val="center"/>
        <w:rPr>
          <w:rFonts w:asciiTheme="majorEastAsia" w:hAnsiTheme="majorEastAsia" w:eastAsiaTheme="majorEastAsia" w:cstheme="majorEastAsia"/>
          <w:b/>
          <w:sz w:val="32"/>
          <w:szCs w:val="32"/>
        </w:rPr>
      </w:pPr>
      <w:r>
        <w:rPr>
          <w:rFonts w:asciiTheme="majorEastAsia" w:hAnsiTheme="majorEastAsia" w:eastAsiaTheme="majorEastAsia" w:cstheme="majorEastAsia"/>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359410</wp:posOffset>
                </wp:positionV>
                <wp:extent cx="3683635" cy="0"/>
                <wp:effectExtent l="0" t="9525" r="12065" b="9525"/>
                <wp:wrapNone/>
                <wp:docPr id="5" name="直接箭头连接符 5"/>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pt;height:0pt;width:290.05pt;z-index:251659264;mso-width-relative:page;mso-height-relative:page;" filled="f" stroked="t" coordsize="21600,21600" o:gfxdata="UEsDBAoAAAAAAIdO4kAAAAAAAAAAAAAAAAAEAAAAZHJzL1BLAwQUAAAACACHTuJA86l9E9QAAAAJ&#10;AQAADwAAAGRycy9kb3ducmV2LnhtbE2PQU+EMBCF7yb+h2ZMvBi3LAYkLGUPJp48iKs/YKBdINIp&#10;oWWp/94xHvQ2b+blzfeqY7STuJjFj44U7HcJCEOd0yP1Cj7en+8LED4gaZwcGQVfxsOxvr6qsNRu&#10;ozdzOYVecAj5EhUMIcyllL4bjEW/c7Mhvp3dYjGwXHqpF9w43E4yTZJcWhyJPww4m6fBdJ+n1SqI&#10;rzmF2BSx3Wh98cVdE9E2St3e7JMDiGBi+DPDDz6jQ81MrVtJezGxztKMrQqyPAfBhseHlIf2dyHr&#10;Sv5vUH8DUEsDBBQAAAAIAIdO4kARndoW/gEAAO0DAAAOAAAAZHJzL2Uyb0RvYy54bWytU0uOEzEQ&#10;3SNxB8t70slEiYZWOrNIGDYIIgEHqLjd3Zb8k8uTTi7BBZBYAStgNXtOA8MxKLszGRg2s6AX7vKn&#10;XtV7fl5c7I1mOxlQOVvxyWjMmbTC1cq2FX/75vLJOWcYwdagnZUVP0jkF8vHjxa9L+WZ65yuZWAE&#10;YrHsfcW7GH1ZFCg6aQBHzktLm40LBiJNQ1vUAXpCN7o4G4/nRe9C7YMTEpFW18MmPyKGhwC6plFC&#10;rp24MtLGATVIDZEoYac88mXutmmkiK+aBmVkuuLENOaRilC8TWOxXEDZBvCdEscW4CEt3ONkQFkq&#10;eoJaQwR2FdQ/UEaJ4NA1cSScKQYiWRFiMRnf0+Z1B15mLiQ1+pPo+P9gxcvdJjBVV3zGmQVDF37z&#10;/vrnu083377++Hj96/uHFH/5zGZJqt5jSRkruwnHGfpNSLz3TTDpT4zYPst7OMkr95EJWpzOz6fz&#10;KdURt3vFXaIPGJ9LZ1gKKo4xgGq7uHLW0iW6MMnywu4FRipNibcJqaq2rCcvPx3P6F4FkCsbcgOF&#10;xhMztG1ORqdVfam0TikY2u1KB7aD5Iz8JYYE/NexVGUN2A3n8tbgmU5C/czWLB48aWbpqfDUg5E1&#10;Z1rSy0oRAUIZQemHnKTS2lIHSeRB1hRtXX3Iaud1ckHu8ejYZLM/5zn77pU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zqX0T1AAAAAkBAAAPAAAAAAAAAAEAIAAAACIAAABkcnMvZG93bnJldi54&#10;bWxQSwECFAAUAAAACACHTuJAEZ3aFv4BAADtAwAADgAAAAAAAAABACAAAAAjAQAAZHJzL2Uyb0Rv&#10;Yy54bWxQSwUGAAAAAAYABgBZAQAAkwUAAAAA&#10;">
                <v:fill on="f" focussize="0,0"/>
                <v:stroke weight="1.5pt" color="#000000" joinstyle="round"/>
                <v:imagedata o:title=""/>
                <o:lock v:ext="edit" aspectratio="f"/>
              </v:shape>
            </w:pict>
          </mc:Fallback>
        </mc:AlternateContent>
      </w:r>
    </w:p>
    <w:p>
      <w:pPr>
        <w:snapToGrid w:val="0"/>
        <w:spacing w:line="360" w:lineRule="auto"/>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 xml:space="preserve">                  </w:t>
      </w:r>
    </w:p>
    <w:p>
      <w:pPr>
        <w:snapToGrid w:val="0"/>
        <w:spacing w:line="360" w:lineRule="auto"/>
        <w:jc w:val="center"/>
        <w:rPr>
          <w:rFonts w:asciiTheme="majorEastAsia" w:hAnsiTheme="majorEastAsia" w:eastAsiaTheme="majorEastAsia" w:cstheme="majorEastAsia"/>
          <w:sz w:val="48"/>
          <w:szCs w:val="48"/>
        </w:rPr>
      </w:pPr>
      <w:r>
        <w:rPr>
          <w:rFonts w:hint="eastAsia" w:asciiTheme="majorEastAsia" w:hAnsiTheme="majorEastAsia" w:eastAsiaTheme="majorEastAsia" w:cstheme="majorEastAsia"/>
          <w:sz w:val="48"/>
          <w:szCs w:val="48"/>
        </w:rPr>
        <w:t>对外发布区网站云防护</w:t>
      </w:r>
    </w:p>
    <w:p>
      <w:pPr>
        <w:pStyle w:val="3"/>
        <w:ind w:firstLine="0" w:firstLineChars="0"/>
        <w:jc w:val="center"/>
        <w:rPr>
          <w:rFonts w:asciiTheme="majorEastAsia" w:hAnsiTheme="majorEastAsia" w:eastAsiaTheme="majorEastAsia" w:cstheme="majorEastAsia"/>
          <w:sz w:val="48"/>
          <w:szCs w:val="48"/>
        </w:rPr>
      </w:pPr>
      <w:r>
        <w:rPr>
          <w:rFonts w:hint="eastAsia" w:asciiTheme="majorEastAsia" w:hAnsiTheme="majorEastAsia" w:eastAsiaTheme="majorEastAsia" w:cstheme="majorEastAsia"/>
          <w:sz w:val="48"/>
          <w:szCs w:val="48"/>
        </w:rPr>
        <w:t>及T</w:t>
      </w:r>
      <w:r>
        <w:rPr>
          <w:rFonts w:asciiTheme="majorEastAsia" w:hAnsiTheme="majorEastAsia" w:eastAsiaTheme="majorEastAsia" w:cstheme="majorEastAsia"/>
          <w:sz w:val="48"/>
          <w:szCs w:val="48"/>
        </w:rPr>
        <w:t>CP</w:t>
      </w:r>
      <w:r>
        <w:rPr>
          <w:rFonts w:hint="eastAsia" w:asciiTheme="majorEastAsia" w:hAnsiTheme="majorEastAsia" w:eastAsiaTheme="majorEastAsia" w:cstheme="majorEastAsia"/>
          <w:sz w:val="48"/>
          <w:szCs w:val="48"/>
        </w:rPr>
        <w:t>安全防护项目合同</w:t>
      </w:r>
    </w:p>
    <w:p>
      <w:pPr>
        <w:snapToGrid w:val="0"/>
        <w:spacing w:line="360" w:lineRule="auto"/>
        <w:rPr>
          <w:rFonts w:asciiTheme="majorEastAsia" w:hAnsiTheme="majorEastAsia" w:eastAsiaTheme="majorEastAsia" w:cstheme="majorEastAsia"/>
          <w:b/>
          <w:sz w:val="32"/>
          <w:szCs w:val="32"/>
        </w:rPr>
      </w:pPr>
      <w:r>
        <w:rPr>
          <w:rFonts w:asciiTheme="majorEastAsia" w:hAnsiTheme="majorEastAsia" w:eastAsiaTheme="majorEastAsia" w:cstheme="majorEastAsia"/>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436880</wp:posOffset>
                </wp:positionV>
                <wp:extent cx="3683635" cy="0"/>
                <wp:effectExtent l="0" t="9525" r="12065" b="9525"/>
                <wp:wrapNone/>
                <wp:docPr id="4" name="直接箭头连接符 4"/>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pt;height:0pt;width:290.05pt;z-index:251660288;mso-width-relative:page;mso-height-relative:page;" filled="f" stroked="t" coordsize="21600,21600" o:gfxdata="UEsDBAoAAAAAAIdO4kAAAAAAAAAAAAAAAAAEAAAAZHJzL1BLAwQUAAAACACHTuJAQf4nXdQAAAAJ&#10;AQAADwAAAGRycy9kb3ducmV2LnhtbE2PwU6EQBBE7yb+w6RNvBh32HWDiAx7MPHkQdz1Axpogcj0&#10;EGZYxr+3jQc9VvVLdVVxiHZUZ5r94NjAdpOAIm5cO3Bn4P30fJuB8gG5xdExGfgiD4fy8qLAvHUr&#10;v9H5GDolIexzNNCHMOVa+6Yni37jJmK5fbjZYhA5d7qdcZVwO+pdkqTa4sDyoceJnnpqPo+LNRBf&#10;Uw6xymK98vLis5sqoq2Mub7aJo+gAsXwB8NPfakOpXSq3cKtV6Po/d2DoAbSTCYIcL/by7j619Bl&#10;of8vKL8BUEsDBBQAAAAIAIdO4kBHm55c/wEAAO0DAAAOAAAAZHJzL2Uyb0RvYy54bWytU81uEzEQ&#10;viPxDpbvZJOmjcoqmx4SygVBJOABJl7vriX/yeNmk5fgBZA4ASfg1DtPA+UxGHvTFMqlB/bgHf/M&#10;N/N9/jy/2BnNtjKgcrbik9GYM2mFq5VtK/72zeWTc84wgq1BOysrvpfILxaPH817X8oT1zldy8AI&#10;xGLZ+4p3MfqyKFB00gCOnJeWNhsXDESahraoA/SEbnRxMh7Pit6F2gcnJCKtroZNfkAMDwF0TaOE&#10;XDlxZaSNA2qQGiJRwk555IvcbdNIEV81DcrIdMWJacwjFaF4k8ZiMYeyDeA7JQ4twENauMfJgLJU&#10;9Ai1ggjsKqh/oIwSwaFr4kg4UwxEsiLEYjK+p83rDrzMXEhq9EfR8f/BipfbdWCqrvgpZxYMXfjN&#10;++uf7z7dfPv64+P1r+8fUvzlMztNUvUeS8pY2nU4zNCvQ+K9a4JJf2LEdlne/VFeuYtM0OJ0dj6d&#10;Tc84E7d7xV2iDxifS2dYCiqOMYBqu7h01tIlujDJ8sL2BUYqTYm3CamqtqwnLz8dn9G9CiBXNuQG&#10;Co0nZmjbnIxOq/pSaZ1SMLSbpQ5sC8kZ+UsMCfivY6nKCrAbzuWtwTOdhPqZrVnce9LM0lPhqQcj&#10;a860pJeVIgKEMoLSDzlJpbWlDpLIg6wp2rh6n9XO6+SC3OPBsclmf85z9t0rX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f4nXdQAAAAJAQAADwAAAAAAAAABACAAAAAiAAAAZHJzL2Rvd25yZXYu&#10;eG1sUEsBAhQAFAAAAAgAh07iQEebnlz/AQAA7QMAAA4AAAAAAAAAAQAgAAAAIwEAAGRycy9lMm9E&#10;b2MueG1sUEsFBgAAAAAGAAYAWQEAAJQFAAAAAA==&#10;">
                <v:fill on="f" focussize="0,0"/>
                <v:stroke weight="1.5pt" color="#000000" joinstyle="round"/>
                <v:imagedata o:title=""/>
                <o:lock v:ext="edit" aspectratio="f"/>
              </v:shape>
            </w:pict>
          </mc:Fallback>
        </mc:AlternateContent>
      </w:r>
    </w:p>
    <w:p>
      <w:pPr>
        <w:snapToGrid w:val="0"/>
        <w:spacing w:line="360" w:lineRule="auto"/>
        <w:rPr>
          <w:rFonts w:asciiTheme="majorEastAsia" w:hAnsiTheme="majorEastAsia" w:eastAsiaTheme="majorEastAsia" w:cstheme="majorEastAsia"/>
          <w:b/>
          <w:sz w:val="32"/>
          <w:szCs w:val="32"/>
        </w:rPr>
      </w:pPr>
    </w:p>
    <w:p>
      <w:pPr>
        <w:snapToGrid w:val="0"/>
        <w:spacing w:line="360" w:lineRule="auto"/>
        <w:jc w:val="center"/>
        <w:rPr>
          <w:rFonts w:asciiTheme="majorEastAsia" w:hAnsiTheme="majorEastAsia" w:eastAsiaTheme="majorEastAsia" w:cstheme="majorEastAsia"/>
          <w:b/>
          <w:sz w:val="32"/>
          <w:szCs w:val="32"/>
        </w:rPr>
      </w:pPr>
    </w:p>
    <w:p>
      <w:pPr>
        <w:snapToGrid w:val="0"/>
        <w:spacing w:line="360" w:lineRule="auto"/>
        <w:jc w:val="center"/>
        <w:rPr>
          <w:b/>
          <w:sz w:val="32"/>
          <w:szCs w:val="32"/>
        </w:rPr>
      </w:pPr>
    </w:p>
    <w:p>
      <w:pPr>
        <w:tabs>
          <w:tab w:val="left" w:pos="7096"/>
        </w:tabs>
        <w:snapToGrid w:val="0"/>
        <w:spacing w:line="360" w:lineRule="auto"/>
        <w:rPr>
          <w:b/>
          <w:sz w:val="32"/>
          <w:szCs w:val="32"/>
        </w:rPr>
      </w:pPr>
      <w:r>
        <w:rPr>
          <w:rFonts w:hint="eastAsia"/>
          <w:b/>
          <w:sz w:val="32"/>
          <w:szCs w:val="32"/>
        </w:rPr>
        <w:tab/>
      </w:r>
    </w:p>
    <w:p>
      <w:pPr>
        <w:snapToGrid w:val="0"/>
        <w:spacing w:line="360" w:lineRule="auto"/>
        <w:jc w:val="center"/>
        <w:rPr>
          <w:b/>
          <w:sz w:val="32"/>
          <w:szCs w:val="32"/>
        </w:rPr>
      </w:pPr>
    </w:p>
    <w:p/>
    <w:p/>
    <w:p>
      <w:pPr>
        <w:pStyle w:val="2"/>
      </w:pPr>
    </w:p>
    <w:p/>
    <w:p/>
    <w:p>
      <w:pPr>
        <w:snapToGrid w:val="0"/>
        <w:spacing w:line="360" w:lineRule="auto"/>
        <w:jc w:val="center"/>
        <w:rPr>
          <w:rFonts w:ascii="黑体" w:hAnsi="黑体" w:eastAsia="黑体"/>
          <w:sz w:val="30"/>
          <w:szCs w:val="30"/>
        </w:rPr>
      </w:pPr>
      <w:r>
        <w:rPr>
          <w:rFonts w:hint="eastAsia" w:ascii="黑体" w:hAnsi="黑体" w:eastAsia="黑体"/>
          <w:sz w:val="30"/>
          <w:szCs w:val="30"/>
        </w:rPr>
        <w:t>甲方：重庆机场集团有限公司</w:t>
      </w:r>
    </w:p>
    <w:p>
      <w:pPr>
        <w:snapToGrid w:val="0"/>
        <w:spacing w:line="360" w:lineRule="auto"/>
        <w:rPr>
          <w:rFonts w:ascii="黑体" w:hAnsi="黑体" w:eastAsia="黑体"/>
          <w:b/>
          <w:bCs/>
          <w:sz w:val="30"/>
          <w:szCs w:val="30"/>
          <w:u w:val="single"/>
        </w:rPr>
      </w:pPr>
      <w:r>
        <w:rPr>
          <w:rFonts w:hint="eastAsia" w:ascii="黑体" w:hAnsi="黑体" w:eastAsia="黑体"/>
          <w:sz w:val="30"/>
          <w:szCs w:val="30"/>
        </w:rPr>
        <w:t xml:space="preserve">               乙方：</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spacing w:line="520" w:lineRule="exact"/>
        <w:jc w:val="center"/>
        <w:rPr>
          <w:rFonts w:ascii="黑体" w:hAnsi="黑体" w:eastAsia="黑体" w:cstheme="minorBidi"/>
          <w:b/>
          <w:bCs/>
          <w:color w:val="000000"/>
          <w:sz w:val="32"/>
          <w:szCs w:val="32"/>
        </w:rPr>
      </w:pPr>
    </w:p>
    <w:p>
      <w:pPr>
        <w:rPr>
          <w:rFonts w:ascii="黑体" w:hAnsi="黑体" w:eastAsia="黑体"/>
          <w:b/>
          <w:bCs/>
          <w:color w:val="000000"/>
          <w:sz w:val="32"/>
          <w:szCs w:val="32"/>
        </w:rPr>
        <w:sectPr>
          <w:footerReference r:id="rId4" w:type="default"/>
          <w:pgSz w:w="11900" w:h="16840"/>
          <w:pgMar w:top="1440" w:right="1800" w:bottom="1440" w:left="1800" w:header="851" w:footer="992" w:gutter="0"/>
          <w:cols w:space="720" w:num="1"/>
          <w:docGrid w:type="lines" w:linePitch="312" w:charSpace="0"/>
        </w:sectPr>
      </w:pPr>
    </w:p>
    <w:p>
      <w:pPr>
        <w:pStyle w:val="12"/>
        <w:ind w:firstLine="0" w:firstLineChars="0"/>
        <w:rPr>
          <w:rFonts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eastAsia="zh-CN"/>
        </w:rPr>
        <w:t>甲方：重庆机场集团有限公司</w:t>
      </w:r>
    </w:p>
    <w:p>
      <w:pPr>
        <w:pStyle w:val="12"/>
        <w:ind w:firstLine="0" w:firstLineChars="0"/>
        <w:rPr>
          <w:rFonts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eastAsia="zh-CN"/>
        </w:rPr>
        <w:t>统一社会信用代码：</w:t>
      </w:r>
    </w:p>
    <w:p>
      <w:pPr>
        <w:pStyle w:val="12"/>
        <w:ind w:firstLine="0" w:firstLineChars="0"/>
        <w:rPr>
          <w:rFonts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eastAsia="zh-CN"/>
        </w:rPr>
        <w:t>通讯地址：重庆市渝北区机场东二路19号</w:t>
      </w:r>
    </w:p>
    <w:p>
      <w:pPr>
        <w:pStyle w:val="12"/>
        <w:ind w:firstLine="0" w:firstLineChars="0"/>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 xml:space="preserve">法定代表人或委托代理人： </w:t>
      </w:r>
    </w:p>
    <w:p>
      <w:pPr>
        <w:pStyle w:val="12"/>
        <w:ind w:firstLine="0" w:firstLineChars="0"/>
        <w:rPr>
          <w:rFonts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eastAsia="zh-CN"/>
        </w:rPr>
        <w:t>联系电话：</w:t>
      </w:r>
      <w:r>
        <w:rPr>
          <w:rFonts w:hint="eastAsia" w:asciiTheme="majorEastAsia" w:hAnsiTheme="majorEastAsia" w:eastAsiaTheme="majorEastAsia" w:cstheme="majorEastAsia"/>
          <w:sz w:val="28"/>
          <w:szCs w:val="28"/>
          <w:lang w:eastAsia="zh-CN"/>
        </w:rPr>
        <w:t>023-67155557</w:t>
      </w:r>
    </w:p>
    <w:p>
      <w:pPr>
        <w:pStyle w:val="12"/>
        <w:ind w:firstLine="0" w:firstLineChars="0"/>
        <w:rPr>
          <w:rFonts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eastAsia="zh-CN"/>
        </w:rPr>
        <w:t>邮箱地址：</w:t>
      </w:r>
    </w:p>
    <w:p>
      <w:pPr>
        <w:pStyle w:val="12"/>
        <w:ind w:firstLine="0" w:firstLineChars="0"/>
        <w:rPr>
          <w:rFonts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eastAsia="zh-CN"/>
        </w:rPr>
        <w:t>开户银行：中国建设银行渝北机场支行</w:t>
      </w:r>
    </w:p>
    <w:p>
      <w:pPr>
        <w:pStyle w:val="12"/>
        <w:ind w:firstLine="0" w:firstLineChars="0"/>
        <w:rPr>
          <w:rFonts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eastAsia="zh-CN"/>
        </w:rPr>
        <w:t>开户名称：渝北机场支行</w:t>
      </w:r>
    </w:p>
    <w:p>
      <w:pPr>
        <w:pStyle w:val="12"/>
        <w:ind w:firstLine="0" w:firstLineChars="0"/>
        <w:rPr>
          <w:rFonts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eastAsia="zh-CN"/>
        </w:rPr>
        <w:t>账号：</w:t>
      </w:r>
      <w:r>
        <w:rPr>
          <w:rFonts w:hint="eastAsia" w:asciiTheme="majorEastAsia" w:hAnsiTheme="majorEastAsia" w:eastAsiaTheme="majorEastAsia" w:cstheme="majorEastAsia"/>
          <w:color w:val="auto"/>
          <w:sz w:val="28"/>
          <w:szCs w:val="28"/>
          <w:lang w:eastAsia="zh-CN"/>
        </w:rPr>
        <w:t>5000 1083 8000 5000 0447</w:t>
      </w:r>
    </w:p>
    <w:p>
      <w:pPr>
        <w:pStyle w:val="12"/>
        <w:ind w:firstLine="560"/>
        <w:rPr>
          <w:rFonts w:asciiTheme="majorEastAsia" w:hAnsiTheme="majorEastAsia" w:eastAsiaTheme="majorEastAsia" w:cstheme="majorEastAsia"/>
          <w:bCs/>
          <w:sz w:val="28"/>
          <w:szCs w:val="28"/>
          <w:lang w:eastAsia="zh-CN"/>
        </w:rPr>
      </w:pPr>
    </w:p>
    <w:p>
      <w:pPr>
        <w:pStyle w:val="12"/>
        <w:ind w:firstLine="0" w:firstLineChars="0"/>
        <w:rPr>
          <w:rFonts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eastAsia="zh-CN"/>
        </w:rPr>
        <w:t>乙方：</w:t>
      </w:r>
    </w:p>
    <w:p>
      <w:pPr>
        <w:pStyle w:val="12"/>
        <w:ind w:firstLine="0" w:firstLineChars="0"/>
        <w:rPr>
          <w:rFonts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eastAsia="zh-CN"/>
        </w:rPr>
        <w:t>统一社会信用代码：</w:t>
      </w:r>
    </w:p>
    <w:p>
      <w:pPr>
        <w:pStyle w:val="12"/>
        <w:ind w:firstLine="0" w:firstLineChars="0"/>
        <w:rPr>
          <w:rFonts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eastAsia="zh-CN"/>
        </w:rPr>
        <w:t>通讯地址：</w:t>
      </w:r>
    </w:p>
    <w:p>
      <w:pPr>
        <w:pStyle w:val="12"/>
        <w:ind w:firstLine="0" w:firstLineChars="0"/>
        <w:rPr>
          <w:rFonts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eastAsia="zh-CN"/>
        </w:rPr>
        <w:t xml:space="preserve">法定代表人或委托代理人： </w:t>
      </w:r>
    </w:p>
    <w:p>
      <w:pPr>
        <w:pStyle w:val="12"/>
        <w:ind w:firstLine="0" w:firstLineChars="0"/>
        <w:rPr>
          <w:rFonts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eastAsia="zh-CN"/>
        </w:rPr>
        <w:t>联系电话：</w:t>
      </w:r>
    </w:p>
    <w:p>
      <w:pPr>
        <w:pStyle w:val="12"/>
        <w:ind w:firstLine="0" w:firstLineChars="0"/>
        <w:rPr>
          <w:rFonts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eastAsia="zh-CN"/>
        </w:rPr>
        <w:t>邮箱地址：</w:t>
      </w:r>
    </w:p>
    <w:p>
      <w:pPr>
        <w:pStyle w:val="12"/>
        <w:ind w:firstLine="0" w:firstLineChars="0"/>
        <w:rPr>
          <w:rFonts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eastAsia="zh-CN"/>
        </w:rPr>
        <w:t xml:space="preserve">开户银行： </w:t>
      </w:r>
    </w:p>
    <w:p>
      <w:pPr>
        <w:pStyle w:val="12"/>
        <w:ind w:firstLine="0" w:firstLineChars="0"/>
        <w:rPr>
          <w:rFonts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eastAsia="zh-CN"/>
        </w:rPr>
        <w:t>开户名称：</w:t>
      </w:r>
    </w:p>
    <w:p>
      <w:pPr>
        <w:pStyle w:val="12"/>
        <w:ind w:firstLine="0" w:firstLineChars="0"/>
        <w:rPr>
          <w:rFonts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eastAsia="zh-CN"/>
        </w:rPr>
        <w:t>账号：</w:t>
      </w:r>
    </w:p>
    <w:p>
      <w:pPr>
        <w:pStyle w:val="12"/>
        <w:ind w:firstLine="0" w:firstLineChars="0"/>
        <w:rPr>
          <w:rFonts w:asciiTheme="majorEastAsia" w:hAnsiTheme="majorEastAsia" w:eastAsiaTheme="majorEastAsia" w:cstheme="majorEastAsia"/>
          <w:bCs/>
          <w:sz w:val="28"/>
          <w:szCs w:val="28"/>
          <w:lang w:eastAsia="zh-CN"/>
        </w:rPr>
      </w:pPr>
    </w:p>
    <w:p>
      <w:pPr>
        <w:pStyle w:val="12"/>
        <w:ind w:firstLine="0" w:firstLineChars="0"/>
        <w:rPr>
          <w:rFonts w:asciiTheme="majorEastAsia" w:hAnsiTheme="majorEastAsia" w:eastAsiaTheme="majorEastAsia" w:cstheme="majorEastAsia"/>
          <w:bCs/>
          <w:sz w:val="28"/>
          <w:szCs w:val="28"/>
          <w:lang w:eastAsia="zh-CN"/>
        </w:rPr>
      </w:pPr>
    </w:p>
    <w:p>
      <w:pPr>
        <w:pStyle w:val="12"/>
        <w:ind w:firstLine="0" w:firstLineChars="0"/>
        <w:rPr>
          <w:rFonts w:asciiTheme="majorEastAsia" w:hAnsiTheme="majorEastAsia" w:eastAsiaTheme="majorEastAsia" w:cstheme="majorEastAsia"/>
          <w:bCs/>
          <w:sz w:val="28"/>
          <w:szCs w:val="28"/>
          <w:lang w:eastAsia="zh-CN"/>
        </w:rPr>
      </w:pPr>
    </w:p>
    <w:p>
      <w:pPr>
        <w:spacing w:line="360" w:lineRule="auto"/>
        <w:ind w:firstLine="560" w:firstLineChars="200"/>
        <w:jc w:val="left"/>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鉴于甲方需要就</w:t>
      </w:r>
      <w:r>
        <w:rPr>
          <w:rFonts w:hint="eastAsia" w:asciiTheme="majorEastAsia" w:hAnsiTheme="majorEastAsia" w:eastAsiaTheme="majorEastAsia" w:cstheme="majorEastAsia"/>
          <w:color w:val="000000"/>
          <w:sz w:val="28"/>
          <w:szCs w:val="28"/>
          <w:u w:val="single"/>
        </w:rPr>
        <w:t xml:space="preserve"> 对外发布区网站云防护及T</w:t>
      </w:r>
      <w:r>
        <w:rPr>
          <w:rFonts w:asciiTheme="majorEastAsia" w:hAnsiTheme="majorEastAsia" w:eastAsiaTheme="majorEastAsia" w:cstheme="majorEastAsia"/>
          <w:color w:val="000000"/>
          <w:sz w:val="28"/>
          <w:szCs w:val="28"/>
          <w:u w:val="single"/>
        </w:rPr>
        <w:t>CP</w:t>
      </w:r>
      <w:r>
        <w:rPr>
          <w:rFonts w:hint="eastAsia" w:asciiTheme="majorEastAsia" w:hAnsiTheme="majorEastAsia" w:eastAsiaTheme="majorEastAsia" w:cstheme="majorEastAsia"/>
          <w:color w:val="000000"/>
          <w:sz w:val="28"/>
          <w:szCs w:val="28"/>
          <w:u w:val="single"/>
        </w:rPr>
        <w:t xml:space="preserve">安全防护 </w:t>
      </w:r>
      <w:r>
        <w:rPr>
          <w:rFonts w:hint="eastAsia" w:asciiTheme="majorEastAsia" w:hAnsiTheme="majorEastAsia" w:eastAsiaTheme="majorEastAsia" w:cstheme="majorEastAsia"/>
          <w:color w:val="000000"/>
          <w:sz w:val="28"/>
          <w:szCs w:val="28"/>
        </w:rPr>
        <w:t>项目由乙方提供云防护及T</w:t>
      </w:r>
      <w:r>
        <w:rPr>
          <w:rFonts w:asciiTheme="majorEastAsia" w:hAnsiTheme="majorEastAsia" w:eastAsiaTheme="majorEastAsia" w:cstheme="majorEastAsia"/>
          <w:color w:val="000000"/>
          <w:sz w:val="28"/>
          <w:szCs w:val="28"/>
        </w:rPr>
        <w:t>CP</w:t>
      </w:r>
      <w:r>
        <w:rPr>
          <w:rFonts w:hint="eastAsia" w:asciiTheme="majorEastAsia" w:hAnsiTheme="majorEastAsia" w:eastAsiaTheme="majorEastAsia" w:cstheme="majorEastAsia"/>
          <w:color w:val="000000"/>
          <w:sz w:val="28"/>
          <w:szCs w:val="28"/>
        </w:rPr>
        <w:t>安全防护服务，并支付相应的服务报酬。乙方愿意接受甲方的委托并提供服务；双方经过平等协商，在真实、充分地表达各自意愿的基础上，根据《中华人民共和国民法典》等相关法律法规规定，达成本协议， 并由双方共同恪守。</w:t>
      </w:r>
    </w:p>
    <w:p>
      <w:pPr>
        <w:spacing w:line="360" w:lineRule="auto"/>
        <w:rPr>
          <w:rFonts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rPr>
        <w:t>第一条</w:t>
      </w:r>
      <w:r>
        <w:rPr>
          <w:rFonts w:hint="eastAsia" w:asciiTheme="majorEastAsia" w:hAnsiTheme="majorEastAsia" w:eastAsiaTheme="majorEastAsia" w:cstheme="majorEastAsia"/>
          <w:b/>
          <w:bCs/>
          <w:color w:val="000000"/>
          <w:sz w:val="24"/>
        </w:rPr>
        <w:t xml:space="preserve"> </w:t>
      </w:r>
      <w:r>
        <w:rPr>
          <w:rFonts w:hint="eastAsia" w:asciiTheme="majorEastAsia" w:hAnsiTheme="majorEastAsia" w:eastAsiaTheme="majorEastAsia" w:cstheme="majorEastAsia"/>
          <w:b/>
          <w:bCs/>
          <w:color w:val="000000"/>
          <w:sz w:val="28"/>
          <w:szCs w:val="28"/>
        </w:rPr>
        <w:t>服务的</w:t>
      </w:r>
      <w:r>
        <w:rPr>
          <w:rFonts w:hint="eastAsia" w:asciiTheme="majorEastAsia" w:hAnsiTheme="majorEastAsia" w:eastAsiaTheme="majorEastAsia" w:cstheme="majorEastAsia"/>
          <w:b/>
          <w:bCs/>
          <w:sz w:val="28"/>
          <w:szCs w:val="28"/>
        </w:rPr>
        <w:t>内容、要求：</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1.1服务的内容：</w:t>
      </w:r>
    </w:p>
    <w:p>
      <w:pPr>
        <w:widowControl/>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该项目是为已投入使用的重庆机场集团对外发布区提供网站SAAS化云防护与TCP安全防护，对该区域内所有应用系统进行统筹安全管理、统一部署、统一防护。以保障所有对外提供服务系统在遭受外部大量的CC攻击、DDos攻击等各类型黑客攻击的情况下，经过网站云防护与TCP安全防护的清洗和处理后再将洁净的流量传递给网站的真实服务器，保证对外提供服务系统运行的安全、稳定及防护能力。</w:t>
      </w:r>
      <w:r>
        <w:rPr>
          <w:rFonts w:hint="eastAsia" w:asciiTheme="minorEastAsia" w:hAnsiTheme="minorEastAsia" w:eastAsiaTheme="minorEastAsia" w:cstheme="minorEastAsia"/>
          <w:color w:val="000000"/>
          <w:sz w:val="28"/>
          <w:szCs w:val="28"/>
        </w:rPr>
        <w:t>乙方负责提供本合同约定的网站云防护及TCP安全防护并维护所提供安全防护的质量，域名节点31个，明细见附件6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highlight w:val="yellow"/>
        </w:rPr>
        <w:t>不包含硬件设备更换。</w:t>
      </w:r>
    </w:p>
    <w:p>
      <w:pPr>
        <w:widowControl/>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云防护及TCP安全防护的参数如下：</w:t>
      </w:r>
    </w:p>
    <w:p>
      <w:pPr>
        <w:widowControl/>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1.1.1云防护参数</w:t>
      </w:r>
    </w:p>
    <w:tbl>
      <w:tblPr>
        <w:tblStyle w:val="8"/>
        <w:tblpPr w:leftFromText="180" w:rightFromText="180" w:vertAnchor="text" w:horzAnchor="page" w:tblpX="1795" w:tblpY="354"/>
        <w:tblOverlap w:val="never"/>
        <w:tblW w:w="8474" w:type="dxa"/>
        <w:tblInd w:w="0" w:type="dxa"/>
        <w:tblLayout w:type="fixed"/>
        <w:tblCellMar>
          <w:top w:w="0" w:type="dxa"/>
          <w:left w:w="108" w:type="dxa"/>
          <w:bottom w:w="0" w:type="dxa"/>
          <w:right w:w="108" w:type="dxa"/>
        </w:tblCellMar>
      </w:tblPr>
      <w:tblGrid>
        <w:gridCol w:w="295"/>
        <w:gridCol w:w="451"/>
        <w:gridCol w:w="412"/>
        <w:gridCol w:w="420"/>
        <w:gridCol w:w="6896"/>
      </w:tblGrid>
      <w:tr>
        <w:tblPrEx>
          <w:tblCellMar>
            <w:top w:w="0" w:type="dxa"/>
            <w:left w:w="108" w:type="dxa"/>
            <w:bottom w:w="0" w:type="dxa"/>
            <w:right w:w="108" w:type="dxa"/>
          </w:tblCellMar>
        </w:tblPrEx>
        <w:trPr>
          <w:trHeight w:val="933" w:hRule="atLeast"/>
        </w:trPr>
        <w:tc>
          <w:tcPr>
            <w:tcW w:w="2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名称</w:t>
            </w:r>
          </w:p>
        </w:tc>
        <w:tc>
          <w:tcPr>
            <w:tcW w:w="45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规格型号</w:t>
            </w:r>
          </w:p>
        </w:tc>
        <w:tc>
          <w:tcPr>
            <w:tcW w:w="41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数量</w:t>
            </w:r>
          </w:p>
        </w:tc>
        <w:tc>
          <w:tcPr>
            <w:tcW w:w="42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单位</w:t>
            </w:r>
          </w:p>
        </w:tc>
        <w:tc>
          <w:tcPr>
            <w:tcW w:w="689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内  容</w:t>
            </w:r>
          </w:p>
        </w:tc>
      </w:tr>
      <w:tr>
        <w:tblPrEx>
          <w:tblCellMar>
            <w:top w:w="0" w:type="dxa"/>
            <w:left w:w="108" w:type="dxa"/>
            <w:bottom w:w="0" w:type="dxa"/>
            <w:right w:w="108" w:type="dxa"/>
          </w:tblCellMar>
        </w:tblPrEx>
        <w:trPr>
          <w:trHeight w:val="13463" w:hRule="atLeast"/>
        </w:trPr>
        <w:tc>
          <w:tcPr>
            <w:tcW w:w="295"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对外发布区网站云</w:t>
            </w:r>
          </w:p>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防护</w:t>
            </w:r>
          </w:p>
        </w:tc>
        <w:tc>
          <w:tcPr>
            <w:tcW w:w="451" w:type="dxa"/>
            <w:tcBorders>
              <w:top w:val="nil"/>
              <w:left w:val="nil"/>
              <w:bottom w:val="single" w:color="auto" w:sz="4" w:space="0"/>
              <w:right w:val="single" w:color="auto" w:sz="4" w:space="0"/>
            </w:tcBorders>
            <w:vAlign w:val="center"/>
          </w:tcPr>
          <w:p>
            <w:pPr>
              <w:pStyle w:val="2"/>
              <w:spacing w:line="240"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val="0"/>
                <w:bCs w:val="0"/>
                <w:color w:val="000000" w:themeColor="text1"/>
                <w:sz w:val="18"/>
                <w:szCs w:val="18"/>
                <w14:textFill>
                  <w14:solidFill>
                    <w14:schemeClr w14:val="tx1"/>
                  </w14:solidFill>
                </w14:textFill>
              </w:rPr>
              <w:t>云防护</w:t>
            </w:r>
          </w:p>
        </w:tc>
        <w:tc>
          <w:tcPr>
            <w:tcW w:w="412" w:type="dxa"/>
            <w:tcBorders>
              <w:top w:val="nil"/>
              <w:left w:val="nil"/>
              <w:bottom w:val="single" w:color="auto" w:sz="4" w:space="0"/>
              <w:right w:val="single" w:color="auto" w:sz="4" w:space="0"/>
            </w:tcBorders>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31</w:t>
            </w:r>
          </w:p>
        </w:tc>
        <w:tc>
          <w:tcPr>
            <w:tcW w:w="420" w:type="dxa"/>
            <w:tcBorders>
              <w:top w:val="nil"/>
              <w:left w:val="nil"/>
              <w:bottom w:val="single" w:color="auto" w:sz="4" w:space="0"/>
              <w:right w:val="single" w:color="auto" w:sz="4" w:space="0"/>
            </w:tcBorders>
            <w:vAlign w:val="center"/>
          </w:tcPr>
          <w:p>
            <w:pPr>
              <w:adjustRightInd w:val="0"/>
              <w:snapToGrid w:val="0"/>
              <w:rPr>
                <w:rFonts w:asciiTheme="minorEastAsia" w:hAnsiTheme="minorEastAsia" w:eastAsiaTheme="minorEastAsia" w:cstheme="minorEastAsia"/>
                <w:color w:val="666666"/>
                <w:kern w:val="0"/>
                <w:sz w:val="18"/>
                <w:szCs w:val="18"/>
              </w:rPr>
            </w:pPr>
            <w:r>
              <w:rPr>
                <w:rFonts w:hint="eastAsia" w:asciiTheme="minorEastAsia" w:hAnsiTheme="minorEastAsia" w:eastAsiaTheme="minorEastAsia" w:cstheme="minorEastAsia"/>
                <w:kern w:val="0"/>
                <w:sz w:val="18"/>
                <w:szCs w:val="18"/>
              </w:rPr>
              <w:t>域名/1年</w:t>
            </w:r>
          </w:p>
        </w:tc>
        <w:tc>
          <w:tcPr>
            <w:tcW w:w="6896" w:type="dxa"/>
            <w:tcBorders>
              <w:top w:val="nil"/>
              <w:left w:val="nil"/>
              <w:bottom w:val="single" w:color="auto" w:sz="4" w:space="0"/>
              <w:right w:val="single" w:color="auto" w:sz="4" w:space="0"/>
            </w:tcBorders>
            <w:vAlign w:val="center"/>
          </w:tcPr>
          <w:p>
            <w:pPr>
              <w:adjustRightInd w:val="0"/>
              <w:snapToGrid w:val="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1、基本要求：为确保平台防护能力以及稳定性，在全国范围内具备至少30个云防护和CDN加速节点。</w:t>
            </w:r>
          </w:p>
          <w:p>
            <w:pPr>
              <w:adjustRightInd w:val="0"/>
              <w:snapToGrid w:val="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2、防御能力：①DDOS畸形报文过滤, 过滤frag flood、smurf、stream flood、land flood、攻击ip畸形包、tcp畸形包、udp畸形包。②传输层DDoS攻击防护，过滤syn flood、ack flood、udp flood、icmpflood、rstflood。③单IP能提供不低于50Gbps的DDOS流量清洗能力，DDOS攻击防护，超500Gbps攻击时，能在5分钟之内提供更多的防护流量。④连接型DDoS攻击防护，过滤TCP慢速连接攻击、连接耗尽攻击、tcp新建连接限制等攻击和loic、hoic、slowloris、Pyloris、xoic等慢速攻击。⑤支持智能识别攻击者，对网站连接发起攻击的IP地址进行自动锁定禁止访问被攻击的网站。⑥支持协同防护，平台够整体联动，对攻击IP进行全面封锁。</w:t>
            </w:r>
          </w:p>
          <w:p>
            <w:pPr>
              <w:adjustRightInd w:val="0"/>
              <w:snapToGrid w:val="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3、支持永久在线和一键关停功能，当网站因为服务器故障、线路故障、电源等问题出现无法连接时，可显示云防护节点中的缓存页面。当在敏感期或特殊时期时，用户网站主动关闭期间可显示缓存页面，增强网站安全性；当网站出现紧急安全事件时，可在一分钟内通过浏览器一键完成关停，防止产生恶劣影响。</w:t>
            </w:r>
          </w:p>
          <w:p>
            <w:pPr>
              <w:adjustRightInd w:val="0"/>
              <w:snapToGrid w:val="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4、支持一键虚拟补丁功能，网站出现0day漏洞时能快速完成修复。</w:t>
            </w:r>
          </w:p>
          <w:p>
            <w:pPr>
              <w:pStyle w:val="2"/>
              <w:adjustRightInd w:val="0"/>
              <w:snapToGrid w:val="0"/>
              <w:spacing w:before="0" w:after="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5、可提供分区域、分时间虚拟替身镜像访问控制服务，支持替身镜像内容随时更新，以便和网站发布内容同步</w:t>
            </w:r>
          </w:p>
          <w:p>
            <w:pPr>
              <w:widowControl/>
              <w:adjustRightInd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6、报表：①可查看安全防护报告，包含攻击流量、攻击者区域统计、攻击者IP统计、被攻击页面统计、被攻击域名统计、攻击事件统计、攻击威胁等级统计等报告。②可查看网站访问报告，包含访问流量、访问区域统计、访问源IP统计、访问页面排行、访问终端、死链、静态资源等统计报告。③可查看服务质量监测报告，包含全国各省监测节点可用性分析、线路故障、CDN命中分析、首页加载时长分析、网站更新频率分析等。④支持日报、周报pdf格式导出。⑤可查看网站访问报告，包含访问流量、访问区域统计、访问源IP统计、访问页面排行、访问终端、死链、静态资源等统计报告。⑥支持日报、周报pdf格式导出。</w:t>
            </w:r>
          </w:p>
          <w:p>
            <w:pPr>
              <w:widowControl/>
              <w:adjustRightInd w:val="0"/>
              <w:snapToGrid w:val="0"/>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7、可视化展现：单个网站可视化分析，包括访问流量、访问区域热点展示、访问与攻击源实时分析、访问源IP排行、攻击趋势、攻击区域分布、攻击类型、攻击时段、攻击源IP排行等数据展示与挖掘。</w:t>
            </w:r>
          </w:p>
          <w:p>
            <w:pPr>
              <w:widowControl/>
              <w:adjustRightInd w:val="0"/>
              <w:snapToGrid w:val="0"/>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8、告警方式：根据不同告警级别发送邮件、短信、电话等多种告警方式。</w:t>
            </w:r>
          </w:p>
          <w:p>
            <w:pPr>
              <w:widowControl/>
              <w:adjustRightInd w:val="0"/>
              <w:snapToGrid w:val="0"/>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9、专家服务：具有云端7*24远程安全专家服务能力。</w:t>
            </w:r>
          </w:p>
        </w:tc>
      </w:tr>
    </w:tbl>
    <w:p>
      <w:pPr>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tbl>
      <w:tblPr>
        <w:tblStyle w:val="8"/>
        <w:tblW w:w="8053" w:type="dxa"/>
        <w:tblInd w:w="5" w:type="dxa"/>
        <w:tblLayout w:type="fixed"/>
        <w:tblCellMar>
          <w:top w:w="0" w:type="dxa"/>
          <w:left w:w="108" w:type="dxa"/>
          <w:bottom w:w="0" w:type="dxa"/>
          <w:right w:w="108" w:type="dxa"/>
        </w:tblCellMar>
      </w:tblPr>
      <w:tblGrid>
        <w:gridCol w:w="486"/>
        <w:gridCol w:w="486"/>
        <w:gridCol w:w="397"/>
        <w:gridCol w:w="429"/>
        <w:gridCol w:w="6255"/>
      </w:tblGrid>
      <w:tr>
        <w:tblPrEx>
          <w:tblCellMar>
            <w:top w:w="0" w:type="dxa"/>
            <w:left w:w="108" w:type="dxa"/>
            <w:bottom w:w="0" w:type="dxa"/>
            <w:right w:w="108" w:type="dxa"/>
          </w:tblCellMar>
        </w:tblPrEx>
        <w:trPr>
          <w:trHeight w:val="550" w:hRule="atLeast"/>
        </w:trPr>
        <w:tc>
          <w:tcPr>
            <w:tcW w:w="8053" w:type="dxa"/>
            <w:gridSpan w:val="5"/>
            <w:tcBorders>
              <w:top w:val="nil"/>
              <w:bottom w:val="single" w:color="auto" w:sz="4" w:space="0"/>
            </w:tcBorders>
            <w:shd w:val="clear" w:color="auto" w:fill="auto"/>
            <w:vAlign w:val="center"/>
          </w:tcPr>
          <w:p>
            <w:pPr>
              <w:snapToGrid w:val="0"/>
              <w:spacing w:line="360" w:lineRule="auto"/>
              <w:ind w:firstLine="560" w:firstLineChars="200"/>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28"/>
                <w:szCs w:val="28"/>
              </w:rPr>
              <w:t>1.1.2 TCP安全防护参数</w:t>
            </w:r>
          </w:p>
        </w:tc>
      </w:tr>
      <w:tr>
        <w:tblPrEx>
          <w:tblCellMar>
            <w:top w:w="0" w:type="dxa"/>
            <w:left w:w="108" w:type="dxa"/>
            <w:bottom w:w="0" w:type="dxa"/>
            <w:right w:w="108" w:type="dxa"/>
          </w:tblCellMar>
        </w:tblPrEx>
        <w:trPr>
          <w:trHeight w:val="183"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名称</w:t>
            </w:r>
          </w:p>
        </w:tc>
        <w:tc>
          <w:tcPr>
            <w:tcW w:w="486"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规格型号</w:t>
            </w:r>
          </w:p>
        </w:tc>
        <w:tc>
          <w:tcPr>
            <w:tcW w:w="397"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数量</w:t>
            </w:r>
          </w:p>
        </w:tc>
        <w:tc>
          <w:tcPr>
            <w:tcW w:w="429"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单位</w:t>
            </w:r>
          </w:p>
        </w:tc>
        <w:tc>
          <w:tcPr>
            <w:tcW w:w="625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内容</w:t>
            </w:r>
          </w:p>
        </w:tc>
      </w:tr>
      <w:tr>
        <w:tblPrEx>
          <w:tblCellMar>
            <w:top w:w="0" w:type="dxa"/>
            <w:left w:w="108" w:type="dxa"/>
            <w:bottom w:w="0" w:type="dxa"/>
            <w:right w:w="108" w:type="dxa"/>
          </w:tblCellMar>
        </w:tblPrEx>
        <w:trPr>
          <w:trHeight w:val="514" w:hRule="atLeast"/>
        </w:trPr>
        <w:tc>
          <w:tcPr>
            <w:tcW w:w="48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对外发布区TCP安全</w:t>
            </w:r>
            <w:r>
              <w:rPr>
                <w:rFonts w:hint="eastAsia" w:asciiTheme="minorEastAsia" w:hAnsiTheme="minorEastAsia" w:eastAsiaTheme="minorEastAsia" w:cstheme="minorEastAsia"/>
                <w:color w:val="000000"/>
                <w:kern w:val="0"/>
                <w:sz w:val="18"/>
                <w:szCs w:val="18"/>
              </w:rPr>
              <w:br w:type="textWrapping"/>
            </w:r>
            <w:r>
              <w:rPr>
                <w:rFonts w:hint="eastAsia" w:asciiTheme="minorEastAsia" w:hAnsiTheme="minorEastAsia" w:eastAsiaTheme="minorEastAsia" w:cstheme="minorEastAsia"/>
                <w:color w:val="000000"/>
                <w:kern w:val="0"/>
                <w:sz w:val="18"/>
                <w:szCs w:val="18"/>
              </w:rPr>
              <w:t>防护</w:t>
            </w:r>
          </w:p>
        </w:tc>
        <w:tc>
          <w:tcPr>
            <w:tcW w:w="48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TCP安全防护</w:t>
            </w:r>
          </w:p>
        </w:tc>
        <w:tc>
          <w:tcPr>
            <w:tcW w:w="39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42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套/年</w:t>
            </w:r>
          </w:p>
        </w:tc>
        <w:tc>
          <w:tcPr>
            <w:tcW w:w="6255" w:type="dxa"/>
            <w:tcBorders>
              <w:top w:val="nil"/>
              <w:left w:val="nil"/>
              <w:bottom w:val="single" w:color="auto" w:sz="4" w:space="0"/>
              <w:right w:val="single" w:color="auto" w:sz="4" w:space="0"/>
            </w:tcBorders>
            <w:shd w:val="clear" w:color="auto" w:fill="auto"/>
            <w:vAlign w:val="center"/>
          </w:tcPr>
          <w:p>
            <w:pPr>
              <w:pStyle w:val="11"/>
              <w:numPr>
                <w:ilvl w:val="0"/>
                <w:numId w:val="1"/>
              </w:numPr>
              <w:ind w:firstLineChars="0"/>
              <w:rPr>
                <w:rFonts w:asciiTheme="minorEastAsia" w:hAnsiTheme="minorEastAsia" w:cstheme="minorEastAsia"/>
                <w:b/>
                <w:color w:val="000000"/>
                <w:kern w:val="0"/>
                <w:sz w:val="18"/>
                <w:szCs w:val="18"/>
              </w:rPr>
            </w:pPr>
            <w:r>
              <w:rPr>
                <w:rFonts w:hint="eastAsia" w:asciiTheme="minorEastAsia" w:hAnsiTheme="minorEastAsia" w:cstheme="minorEastAsia"/>
                <w:b/>
                <w:color w:val="000000"/>
                <w:kern w:val="0"/>
                <w:sz w:val="18"/>
                <w:szCs w:val="18"/>
              </w:rPr>
              <w:t>基本配置：</w:t>
            </w:r>
          </w:p>
          <w:p>
            <w:pPr>
              <w:pStyle w:val="11"/>
              <w:numPr>
                <w:ilvl w:val="0"/>
                <w:numId w:val="2"/>
              </w:numPr>
              <w:ind w:firstLineChars="0"/>
              <w:rPr>
                <w:rFonts w:asciiTheme="minorEastAsia" w:hAnsiTheme="minorEastAsia" w:cstheme="minorEastAsia"/>
                <w:sz w:val="18"/>
                <w:szCs w:val="18"/>
              </w:rPr>
            </w:pPr>
            <w:r>
              <w:rPr>
                <w:rFonts w:hint="eastAsia" w:asciiTheme="minorEastAsia" w:hAnsiTheme="minorEastAsia" w:cstheme="minorEastAsia"/>
                <w:sz w:val="18"/>
                <w:szCs w:val="18"/>
              </w:rPr>
              <w:t>套餐内容默认支持的TCP转发数量不少于50条；</w:t>
            </w:r>
          </w:p>
          <w:p>
            <w:pPr>
              <w:numPr>
                <w:ilvl w:val="0"/>
                <w:numId w:val="2"/>
              </w:num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支持防御的TCP业务端口可按需定制；</w:t>
            </w:r>
          </w:p>
          <w:p>
            <w:pPr>
              <w:numPr>
                <w:ilvl w:val="0"/>
                <w:numId w:val="2"/>
              </w:num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需支持TCP源站回源监控，回源负载均衡需支持轮询、IP哈希等方式；</w:t>
            </w:r>
          </w:p>
          <w:p>
            <w:pPr>
              <w:pStyle w:val="11"/>
              <w:numPr>
                <w:ilvl w:val="0"/>
                <w:numId w:val="2"/>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sz w:val="18"/>
                <w:szCs w:val="18"/>
              </w:rPr>
              <w:t>支持智能回源优化，支持主备切换；</w:t>
            </w:r>
          </w:p>
        </w:tc>
      </w:tr>
      <w:tr>
        <w:tblPrEx>
          <w:tblCellMar>
            <w:top w:w="0" w:type="dxa"/>
            <w:left w:w="108" w:type="dxa"/>
            <w:bottom w:w="0" w:type="dxa"/>
            <w:right w:w="108" w:type="dxa"/>
          </w:tblCellMar>
        </w:tblPrEx>
        <w:trPr>
          <w:trHeight w:val="1926" w:hRule="atLeast"/>
        </w:trPr>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62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000000"/>
                <w:kern w:val="0"/>
                <w:sz w:val="18"/>
                <w:szCs w:val="18"/>
              </w:rPr>
            </w:pPr>
            <w:r>
              <w:rPr>
                <w:rFonts w:hint="eastAsia" w:asciiTheme="minorEastAsia" w:hAnsiTheme="minorEastAsia" w:eastAsiaTheme="minorEastAsia" w:cstheme="minorEastAsia"/>
                <w:b/>
                <w:color w:val="000000"/>
                <w:kern w:val="0"/>
                <w:sz w:val="18"/>
                <w:szCs w:val="18"/>
              </w:rPr>
              <w:t>2、TCP层抗D服务：</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支持DNS接管TCP流量，隐藏真实服务器IP地址；</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支持账号级IP列表，可以快速对IP列表中IP进行访问控制处置；</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TCP高防IP线路要求：TCP高防节点IP需提供包含电信、联通、BGP；</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单节点TCP层抗DDoS能力要求：单节点TCP层抗DDoS能力不低于800G；</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TCP层DDoS防御覆盖类型包括但不限于SYN Flood, ACK flood, FIN/RST Flood, TCP flood, UDP flood, ICMP Flood，DNS反射攻击等；</w:t>
            </w:r>
          </w:p>
        </w:tc>
      </w:tr>
      <w:tr>
        <w:tblPrEx>
          <w:tblCellMar>
            <w:top w:w="0" w:type="dxa"/>
            <w:left w:w="108" w:type="dxa"/>
            <w:bottom w:w="0" w:type="dxa"/>
            <w:right w:w="108" w:type="dxa"/>
          </w:tblCellMar>
        </w:tblPrEx>
        <w:trPr>
          <w:trHeight w:val="1006" w:hRule="atLeast"/>
        </w:trPr>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62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000000"/>
                <w:kern w:val="0"/>
                <w:sz w:val="18"/>
                <w:szCs w:val="18"/>
              </w:rPr>
            </w:pPr>
            <w:r>
              <w:rPr>
                <w:rFonts w:hint="eastAsia" w:asciiTheme="minorEastAsia" w:hAnsiTheme="minorEastAsia" w:eastAsiaTheme="minorEastAsia" w:cstheme="minorEastAsia"/>
                <w:b/>
                <w:color w:val="000000"/>
                <w:kern w:val="0"/>
                <w:sz w:val="18"/>
                <w:szCs w:val="18"/>
              </w:rPr>
              <w:t>3、TCP层动态加速：</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带宽资源要求：全网储备TCP层动态加速带宽不低于100G，TCP层动态加速节点需覆盖国内外，支持独用TCP层动态加速边缘节点IP，边缘节点TCP层动态加速带宽不小于20Mbps；</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TCP层动态加速边缘节点需全网支持IPv6；需提供IPv6资源列表；</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需支持设备质量监控，包括设备监控、网络监控、源站监控；</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需支持业务质量监控，包括软件监控、业务服务监控；</w:t>
            </w:r>
          </w:p>
          <w:p>
            <w:pPr>
              <w:pStyle w:val="11"/>
              <w:numPr>
                <w:ilvl w:val="0"/>
                <w:numId w:val="3"/>
              </w:numPr>
              <w:ind w:firstLineChars="0"/>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kern w:val="0"/>
                <w:sz w:val="18"/>
                <w:szCs w:val="18"/>
              </w:rPr>
              <w:t>支持节点可用性监控，异常自动调度切换；</w:t>
            </w:r>
          </w:p>
        </w:tc>
      </w:tr>
      <w:tr>
        <w:tblPrEx>
          <w:tblCellMar>
            <w:top w:w="0" w:type="dxa"/>
            <w:left w:w="108" w:type="dxa"/>
            <w:bottom w:w="0" w:type="dxa"/>
            <w:right w:w="108" w:type="dxa"/>
          </w:tblCellMar>
        </w:tblPrEx>
        <w:trPr>
          <w:trHeight w:val="404" w:hRule="atLeast"/>
        </w:trPr>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62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000000"/>
                <w:kern w:val="0"/>
                <w:sz w:val="18"/>
                <w:szCs w:val="18"/>
              </w:rPr>
            </w:pPr>
            <w:r>
              <w:rPr>
                <w:rFonts w:hint="eastAsia" w:asciiTheme="minorEastAsia" w:hAnsiTheme="minorEastAsia" w:eastAsiaTheme="minorEastAsia" w:cstheme="minorEastAsia"/>
                <w:b/>
                <w:color w:val="000000"/>
                <w:kern w:val="0"/>
                <w:sz w:val="18"/>
                <w:szCs w:val="18"/>
              </w:rPr>
              <w:t>4、集中管控：</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支持账号级IP列表，可以快速对IP列表中IP进行访问控制处置；</w:t>
            </w:r>
          </w:p>
        </w:tc>
      </w:tr>
      <w:tr>
        <w:tblPrEx>
          <w:tblCellMar>
            <w:top w:w="0" w:type="dxa"/>
            <w:left w:w="108" w:type="dxa"/>
            <w:bottom w:w="0" w:type="dxa"/>
            <w:right w:w="108" w:type="dxa"/>
          </w:tblCellMar>
        </w:tblPrEx>
        <w:trPr>
          <w:trHeight w:val="478" w:hRule="atLeast"/>
        </w:trPr>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62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000000"/>
                <w:kern w:val="0"/>
                <w:sz w:val="18"/>
                <w:szCs w:val="18"/>
              </w:rPr>
            </w:pPr>
            <w:r>
              <w:rPr>
                <w:rFonts w:hint="eastAsia" w:asciiTheme="minorEastAsia" w:hAnsiTheme="minorEastAsia" w:eastAsiaTheme="minorEastAsia" w:cstheme="minorEastAsia"/>
                <w:b/>
                <w:color w:val="000000"/>
                <w:kern w:val="0"/>
                <w:sz w:val="18"/>
                <w:szCs w:val="18"/>
              </w:rPr>
              <w:t>5、数据报表：</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要求支持的统计对象包括：TCP流量、TCP带宽、TCP会话次数、节点平均延迟、节点可用性、访问控制规则触发、Bot流量；</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要求支持按需自定义报告内容，生成日报、周报、月报，支持计划性生成任务、以便于定时自动生成报告；报告需支持PDF、Doc格式；</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平台需支持日志检索、下载和推送；</w:t>
            </w:r>
          </w:p>
        </w:tc>
      </w:tr>
      <w:tr>
        <w:tblPrEx>
          <w:tblCellMar>
            <w:top w:w="0" w:type="dxa"/>
            <w:left w:w="108" w:type="dxa"/>
            <w:bottom w:w="0" w:type="dxa"/>
            <w:right w:w="108" w:type="dxa"/>
          </w:tblCellMar>
        </w:tblPrEx>
        <w:trPr>
          <w:trHeight w:val="2098" w:hRule="atLeast"/>
        </w:trPr>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62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000000"/>
                <w:kern w:val="0"/>
                <w:sz w:val="18"/>
                <w:szCs w:val="18"/>
              </w:rPr>
            </w:pPr>
            <w:r>
              <w:rPr>
                <w:rFonts w:hint="eastAsia" w:asciiTheme="minorEastAsia" w:hAnsiTheme="minorEastAsia" w:eastAsiaTheme="minorEastAsia" w:cstheme="minorEastAsia"/>
                <w:b/>
                <w:color w:val="000000"/>
                <w:kern w:val="0"/>
                <w:sz w:val="18"/>
                <w:szCs w:val="18"/>
              </w:rPr>
              <w:t>6、通知告警：</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支持针对URL的安全监测告警、漏洞感知告警和攻击告警；</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支持节点可用性告警；</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支持站内信、邮件、短信形式告警；</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支持自定义告警信息接收人；</w:t>
            </w:r>
          </w:p>
        </w:tc>
      </w:tr>
      <w:tr>
        <w:tblPrEx>
          <w:tblCellMar>
            <w:top w:w="0" w:type="dxa"/>
            <w:left w:w="108" w:type="dxa"/>
            <w:bottom w:w="0" w:type="dxa"/>
            <w:right w:w="108" w:type="dxa"/>
          </w:tblCellMar>
        </w:tblPrEx>
        <w:trPr>
          <w:trHeight w:val="833" w:hRule="atLeast"/>
        </w:trPr>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62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000000"/>
                <w:kern w:val="0"/>
                <w:sz w:val="18"/>
                <w:szCs w:val="18"/>
              </w:rPr>
            </w:pPr>
            <w:r>
              <w:rPr>
                <w:rFonts w:hint="eastAsia" w:asciiTheme="minorEastAsia" w:hAnsiTheme="minorEastAsia" w:eastAsiaTheme="minorEastAsia" w:cstheme="minorEastAsia"/>
                <w:b/>
                <w:color w:val="000000"/>
                <w:kern w:val="0"/>
                <w:sz w:val="18"/>
                <w:szCs w:val="18"/>
              </w:rPr>
              <w:t>7、数据可视化：</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支持抗DDoS可视化推演大屏，可实时展示数据包括：今日攻击次数、今日被攻击IP、全球攻击态势、攻击来源、受攻击对象、实时攻防详情；</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支持CC防护可视化推演大屏，可实时展示数据包括：今日攻击次数、今日被攻击IP、全球攻击态势、攻击来源、受攻击对象、实时攻防详情；</w:t>
            </w:r>
          </w:p>
        </w:tc>
      </w:tr>
      <w:tr>
        <w:tblPrEx>
          <w:tblCellMar>
            <w:top w:w="0" w:type="dxa"/>
            <w:left w:w="108" w:type="dxa"/>
            <w:bottom w:w="0" w:type="dxa"/>
            <w:right w:w="108" w:type="dxa"/>
          </w:tblCellMar>
        </w:tblPrEx>
        <w:trPr>
          <w:trHeight w:val="392" w:hRule="atLeast"/>
        </w:trPr>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6255" w:type="dxa"/>
            <w:tcBorders>
              <w:top w:val="nil"/>
              <w:left w:val="nil"/>
              <w:bottom w:val="single" w:color="auto" w:sz="4" w:space="0"/>
              <w:right w:val="single" w:color="auto" w:sz="4" w:space="0"/>
            </w:tcBorders>
            <w:shd w:val="clear" w:color="auto" w:fill="auto"/>
          </w:tcPr>
          <w:p>
            <w:pPr>
              <w:rPr>
                <w:rFonts w:asciiTheme="minorEastAsia" w:hAnsiTheme="minorEastAsia" w:eastAsiaTheme="minorEastAsia" w:cstheme="minorEastAsia"/>
                <w:b/>
                <w:color w:val="000000"/>
                <w:kern w:val="0"/>
                <w:sz w:val="18"/>
                <w:szCs w:val="18"/>
              </w:rPr>
            </w:pPr>
            <w:r>
              <w:rPr>
                <w:rFonts w:hint="eastAsia" w:asciiTheme="minorEastAsia" w:hAnsiTheme="minorEastAsia" w:eastAsiaTheme="minorEastAsia" w:cstheme="minorEastAsia"/>
                <w:b/>
                <w:color w:val="000000"/>
                <w:kern w:val="0"/>
                <w:sz w:val="18"/>
                <w:szCs w:val="18"/>
              </w:rPr>
              <w:t>8、IP情报：</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情报内容需包含IP归属地信息，字段包括国家、省市、城市、经纬度、运营商；</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IP属性标签需包括VPN IP、IDC IP、代理IP；</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内容包括IP信誉，标签包括恶意IP信息、关联事件、关联被攻击信息和关联设备指纹；</w:t>
            </w:r>
          </w:p>
        </w:tc>
      </w:tr>
      <w:tr>
        <w:tblPrEx>
          <w:tblCellMar>
            <w:top w:w="0" w:type="dxa"/>
            <w:left w:w="108" w:type="dxa"/>
            <w:bottom w:w="0" w:type="dxa"/>
            <w:right w:w="108" w:type="dxa"/>
          </w:tblCellMar>
        </w:tblPrEx>
        <w:trPr>
          <w:trHeight w:val="392" w:hRule="atLeast"/>
        </w:trPr>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6255" w:type="dxa"/>
            <w:tcBorders>
              <w:top w:val="nil"/>
              <w:left w:val="nil"/>
              <w:bottom w:val="single" w:color="auto" w:sz="4" w:space="0"/>
              <w:right w:val="single" w:color="auto" w:sz="4" w:space="0"/>
            </w:tcBorders>
            <w:shd w:val="clear" w:color="auto" w:fill="auto"/>
          </w:tcPr>
          <w:p>
            <w:pPr>
              <w:rPr>
                <w:rFonts w:asciiTheme="minorEastAsia" w:hAnsiTheme="minorEastAsia" w:eastAsiaTheme="minorEastAsia" w:cstheme="minorEastAsia"/>
                <w:b/>
                <w:color w:val="000000"/>
                <w:kern w:val="0"/>
                <w:sz w:val="18"/>
                <w:szCs w:val="18"/>
              </w:rPr>
            </w:pPr>
            <w:r>
              <w:rPr>
                <w:rFonts w:hint="eastAsia" w:asciiTheme="minorEastAsia" w:hAnsiTheme="minorEastAsia" w:eastAsiaTheme="minorEastAsia" w:cstheme="minorEastAsia"/>
                <w:b/>
                <w:color w:val="000000"/>
                <w:kern w:val="0"/>
                <w:sz w:val="18"/>
                <w:szCs w:val="18"/>
              </w:rPr>
              <w:t>9、CC攻防实时事件：</w:t>
            </w:r>
          </w:p>
          <w:p>
            <w:pPr>
              <w:pStyle w:val="11"/>
              <w:numPr>
                <w:ilvl w:val="0"/>
                <w:numId w:val="3"/>
              </w:numPr>
              <w:ind w:firstLineChars="0"/>
              <w:rPr>
                <w:rFonts w:asciiTheme="minorEastAsia" w:hAnsiTheme="minorEastAsia" w:cstheme="minorEastAsia"/>
                <w:b/>
                <w:color w:val="000000"/>
                <w:kern w:val="0"/>
                <w:sz w:val="18"/>
                <w:szCs w:val="18"/>
              </w:rPr>
            </w:pPr>
            <w:r>
              <w:rPr>
                <w:rFonts w:hint="eastAsia" w:asciiTheme="minorEastAsia" w:hAnsiTheme="minorEastAsia" w:cstheme="minorEastAsia"/>
                <w:color w:val="000000"/>
                <w:kern w:val="0"/>
                <w:sz w:val="18"/>
                <w:szCs w:val="18"/>
              </w:rPr>
              <w:t>每天监测近万个应用系统，产生千万条CC攻击日志，并基于此生成WAF攻防实时事件；CC攻击实时事件字段包括攻击类型、攻击事件、CC检测详情、请求URL、域名、节点IP、端口、攻击IP、IP类型、ISP网络服务供应商、IP坐标、浏览器、操作系统；提供截图证明；</w:t>
            </w:r>
          </w:p>
        </w:tc>
      </w:tr>
      <w:tr>
        <w:tblPrEx>
          <w:tblCellMar>
            <w:top w:w="0" w:type="dxa"/>
            <w:left w:w="108" w:type="dxa"/>
            <w:bottom w:w="0" w:type="dxa"/>
            <w:right w:w="108" w:type="dxa"/>
          </w:tblCellMar>
        </w:tblPrEx>
        <w:trPr>
          <w:trHeight w:val="392" w:hRule="atLeast"/>
        </w:trPr>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6255" w:type="dxa"/>
            <w:tcBorders>
              <w:top w:val="nil"/>
              <w:left w:val="nil"/>
              <w:bottom w:val="single" w:color="auto" w:sz="4" w:space="0"/>
              <w:right w:val="single" w:color="auto" w:sz="4" w:space="0"/>
            </w:tcBorders>
            <w:shd w:val="clear" w:color="auto" w:fill="auto"/>
          </w:tcPr>
          <w:p>
            <w:pPr>
              <w:rPr>
                <w:rFonts w:asciiTheme="minorEastAsia" w:hAnsiTheme="minorEastAsia" w:eastAsiaTheme="minorEastAsia" w:cstheme="minorEastAsia"/>
                <w:b/>
                <w:color w:val="000000"/>
                <w:kern w:val="0"/>
                <w:sz w:val="18"/>
                <w:szCs w:val="18"/>
              </w:rPr>
            </w:pPr>
            <w:r>
              <w:rPr>
                <w:rFonts w:hint="eastAsia" w:asciiTheme="minorEastAsia" w:hAnsiTheme="minorEastAsia" w:eastAsiaTheme="minorEastAsia" w:cstheme="minorEastAsia"/>
                <w:b/>
                <w:color w:val="000000"/>
                <w:kern w:val="0"/>
                <w:sz w:val="18"/>
                <w:szCs w:val="18"/>
              </w:rPr>
              <w:t>10、自动化流量相关情报：</w:t>
            </w:r>
          </w:p>
          <w:p>
            <w:pPr>
              <w:pStyle w:val="11"/>
              <w:numPr>
                <w:ilvl w:val="0"/>
                <w:numId w:val="3"/>
              </w:numPr>
              <w:ind w:firstLineChars="0"/>
              <w:rPr>
                <w:rFonts w:asciiTheme="minorEastAsia" w:hAnsiTheme="minorEastAsia" w:cstheme="minorEastAsia"/>
                <w:b/>
                <w:color w:val="000000"/>
                <w:kern w:val="0"/>
                <w:sz w:val="18"/>
                <w:szCs w:val="18"/>
              </w:rPr>
            </w:pPr>
            <w:r>
              <w:rPr>
                <w:rFonts w:hint="eastAsia" w:asciiTheme="minorEastAsia" w:hAnsiTheme="minorEastAsia" w:cstheme="minorEastAsia"/>
                <w:color w:val="000000"/>
                <w:kern w:val="0"/>
                <w:sz w:val="18"/>
                <w:szCs w:val="18"/>
              </w:rPr>
              <w:t>支持利用大数据技术对线上访问日志、攻击日志和全网流量进行采集和清洗，并利用数据挖掘算法Bot信息挖掘，对Bot进行标签化分类；标签化分类包括：搜索引擎bot、合作伙伴bot、监控bot、聚合器bot、社交网络bot、广告网络bot、反向链接检测bot、IDC数据bot（恶意）、恶意UA bot、伪造模拟搜索引擎bot、IP信誉库黑名单bot、代理池IP bot；</w:t>
            </w:r>
          </w:p>
        </w:tc>
      </w:tr>
      <w:tr>
        <w:tblPrEx>
          <w:tblCellMar>
            <w:top w:w="0" w:type="dxa"/>
            <w:left w:w="108" w:type="dxa"/>
            <w:bottom w:w="0" w:type="dxa"/>
            <w:right w:w="108" w:type="dxa"/>
          </w:tblCellMar>
        </w:tblPrEx>
        <w:trPr>
          <w:trHeight w:val="392" w:hRule="atLeast"/>
        </w:trPr>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6255" w:type="dxa"/>
            <w:tcBorders>
              <w:top w:val="nil"/>
              <w:left w:val="nil"/>
              <w:bottom w:val="single" w:color="auto" w:sz="4" w:space="0"/>
              <w:right w:val="single" w:color="auto" w:sz="4" w:space="0"/>
            </w:tcBorders>
            <w:shd w:val="clear" w:color="auto" w:fill="auto"/>
          </w:tcPr>
          <w:p>
            <w:pPr>
              <w:rPr>
                <w:rFonts w:asciiTheme="minorEastAsia" w:hAnsiTheme="minorEastAsia" w:eastAsiaTheme="minorEastAsia" w:cstheme="minorEastAsia"/>
                <w:b/>
                <w:color w:val="000000"/>
                <w:kern w:val="0"/>
                <w:sz w:val="18"/>
                <w:szCs w:val="18"/>
              </w:rPr>
            </w:pPr>
            <w:r>
              <w:rPr>
                <w:rFonts w:hint="eastAsia" w:asciiTheme="minorEastAsia" w:hAnsiTheme="minorEastAsia" w:eastAsiaTheme="minorEastAsia" w:cstheme="minorEastAsia"/>
                <w:b/>
                <w:color w:val="000000"/>
                <w:kern w:val="0"/>
                <w:sz w:val="18"/>
                <w:szCs w:val="18"/>
              </w:rPr>
              <w:t>11、值守服务：</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7*24H全天候值守，QQ、微信、电话、邮件售后支持；</w:t>
            </w:r>
          </w:p>
          <w:p>
            <w:pPr>
              <w:pStyle w:val="11"/>
              <w:numPr>
                <w:ilvl w:val="0"/>
                <w:numId w:val="3"/>
              </w:numPr>
              <w:ind w:firstLineChars="0"/>
              <w:rPr>
                <w:rFonts w:asciiTheme="minorEastAsia" w:hAnsiTheme="minorEastAsia" w:cstheme="minorEastAsia"/>
                <w:b/>
                <w:color w:val="000000"/>
                <w:kern w:val="0"/>
                <w:sz w:val="18"/>
                <w:szCs w:val="18"/>
              </w:rPr>
            </w:pPr>
            <w:r>
              <w:rPr>
                <w:rFonts w:hint="eastAsia" w:asciiTheme="minorEastAsia" w:hAnsiTheme="minorEastAsia" w:cstheme="minorEastAsia"/>
                <w:color w:val="000000"/>
                <w:kern w:val="0"/>
                <w:sz w:val="18"/>
                <w:szCs w:val="18"/>
              </w:rPr>
              <w:t>2分钟响应；</w:t>
            </w:r>
          </w:p>
        </w:tc>
      </w:tr>
      <w:tr>
        <w:tblPrEx>
          <w:tblCellMar>
            <w:top w:w="0" w:type="dxa"/>
            <w:left w:w="108" w:type="dxa"/>
            <w:bottom w:w="0" w:type="dxa"/>
            <w:right w:w="108" w:type="dxa"/>
          </w:tblCellMar>
        </w:tblPrEx>
        <w:trPr>
          <w:trHeight w:val="392" w:hRule="atLeast"/>
        </w:trPr>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62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000000"/>
                <w:kern w:val="0"/>
                <w:sz w:val="18"/>
                <w:szCs w:val="18"/>
              </w:rPr>
            </w:pPr>
            <w:r>
              <w:rPr>
                <w:rFonts w:hint="eastAsia" w:asciiTheme="minorEastAsia" w:hAnsiTheme="minorEastAsia" w:eastAsiaTheme="minorEastAsia" w:cstheme="minorEastAsia"/>
                <w:b/>
                <w:color w:val="000000"/>
                <w:kern w:val="0"/>
                <w:sz w:val="18"/>
                <w:szCs w:val="18"/>
              </w:rPr>
              <w:t>12、专项运营：</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YUNDUN安全产品托管代维，对客户的业务安全负责；</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专属售后，协助溯源，重点保障；</w:t>
            </w:r>
          </w:p>
          <w:p>
            <w:pPr>
              <w:pStyle w:val="11"/>
              <w:numPr>
                <w:ilvl w:val="0"/>
                <w:numId w:val="3"/>
              </w:numPr>
              <w:ind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客户的安全产品故障协查；</w:t>
            </w:r>
          </w:p>
        </w:tc>
      </w:tr>
    </w:tbl>
    <w:p>
      <w:pPr>
        <w:widowControl/>
        <w:spacing w:line="360" w:lineRule="auto"/>
        <w:ind w:firstLine="560" w:firstLineChars="200"/>
        <w:jc w:val="left"/>
        <w:rPr>
          <w:rFonts w:asciiTheme="majorEastAsia" w:hAnsiTheme="majorEastAsia" w:eastAsiaTheme="majorEastAsia" w:cstheme="majorEastAsia"/>
          <w:sz w:val="28"/>
          <w:szCs w:val="28"/>
        </w:rPr>
      </w:pPr>
    </w:p>
    <w:p>
      <w:pPr>
        <w:pStyle w:val="2"/>
        <w:jc w:val="left"/>
        <w:rPr>
          <w:rFonts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1.1.3</w:t>
      </w:r>
      <w:r>
        <w:rPr>
          <w:rFonts w:hint="eastAsia" w:asciiTheme="majorEastAsia" w:hAnsiTheme="majorEastAsia" w:eastAsiaTheme="majorEastAsia" w:cstheme="majorEastAsia"/>
          <w:sz w:val="28"/>
          <w:szCs w:val="28"/>
        </w:rPr>
        <w:t xml:space="preserve"> </w:t>
      </w:r>
      <w:r>
        <w:rPr>
          <w:rFonts w:hint="eastAsia" w:asciiTheme="minorEastAsia" w:hAnsiTheme="minorEastAsia" w:eastAsiaTheme="minorEastAsia" w:cstheme="minorEastAsia"/>
          <w:b w:val="0"/>
          <w:bCs w:val="0"/>
          <w:sz w:val="28"/>
          <w:szCs w:val="28"/>
        </w:rPr>
        <w:t>本项目配备三名持CISD或CISP-PTE的高级安全服务工程师。</w:t>
      </w:r>
    </w:p>
    <w:p>
      <w:pPr>
        <w:spacing w:line="360" w:lineRule="auto"/>
        <w:rPr>
          <w:rFonts w:asciiTheme="minorEastAsia" w:hAnsiTheme="minorEastAsia" w:eastAsiaTheme="minorEastAsia" w:cstheme="minorEastAsia"/>
          <w:color w:val="000000"/>
          <w:sz w:val="28"/>
          <w:szCs w:val="28"/>
          <w:highlight w:val="yellow"/>
        </w:rPr>
      </w:pPr>
      <w:r>
        <w:rPr>
          <w:rFonts w:hint="eastAsia" w:asciiTheme="minorEastAsia" w:hAnsiTheme="minorEastAsia" w:eastAsiaTheme="minorEastAsia" w:cstheme="minorEastAsia"/>
          <w:color w:val="000000"/>
          <w:sz w:val="28"/>
          <w:szCs w:val="28"/>
          <w:highlight w:val="yellow"/>
        </w:rPr>
        <w:t>1.2服务要求：</w:t>
      </w:r>
    </w:p>
    <w:p>
      <w:pPr>
        <w:widowControl/>
        <w:spacing w:line="360" w:lineRule="auto"/>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color w:val="000000"/>
          <w:sz w:val="28"/>
          <w:szCs w:val="28"/>
        </w:rPr>
        <w:t xml:space="preserve">1.2.1 </w:t>
      </w:r>
      <w:r>
        <w:rPr>
          <w:rFonts w:hint="eastAsia" w:asciiTheme="minorEastAsia" w:hAnsiTheme="minorEastAsia" w:eastAsiaTheme="minorEastAsia" w:cstheme="minorEastAsia"/>
          <w:sz w:val="28"/>
          <w:szCs w:val="28"/>
          <w:lang w:val="zh-CN"/>
        </w:rPr>
        <w:t>服务质量要求</w:t>
      </w:r>
    </w:p>
    <w:p>
      <w:pPr>
        <w:widowControl/>
        <w:spacing w:line="360" w:lineRule="auto"/>
        <w:ind w:firstLine="280" w:firstLineChars="1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（1）7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zh-CN"/>
        </w:rPr>
        <w:t>24小时中文技术服务热线；</w:t>
      </w:r>
    </w:p>
    <w:p>
      <w:pPr>
        <w:widowControl/>
        <w:spacing w:line="360" w:lineRule="auto"/>
        <w:ind w:firstLine="280" w:firstLineChars="1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t>技术</w:t>
      </w:r>
      <w:r>
        <w:rPr>
          <w:rFonts w:hint="eastAsia" w:asciiTheme="minorEastAsia" w:hAnsiTheme="minorEastAsia" w:eastAsiaTheme="minorEastAsia" w:cstheme="minorEastAsia"/>
          <w:sz w:val="28"/>
          <w:szCs w:val="28"/>
          <w:lang w:val="zh-CN"/>
        </w:rPr>
        <w:t>人员按照</w:t>
      </w:r>
      <w:r>
        <w:rPr>
          <w:rFonts w:hint="eastAsia" w:asciiTheme="minorEastAsia" w:hAnsiTheme="minorEastAsia" w:eastAsiaTheme="minorEastAsia" w:cstheme="minorEastAsia"/>
          <w:sz w:val="28"/>
          <w:szCs w:val="28"/>
        </w:rPr>
        <w:t>甲方</w:t>
      </w:r>
      <w:r>
        <w:rPr>
          <w:rFonts w:hint="eastAsia" w:asciiTheme="minorEastAsia" w:hAnsiTheme="minorEastAsia" w:eastAsiaTheme="minorEastAsia" w:cstheme="minorEastAsia"/>
          <w:sz w:val="28"/>
          <w:szCs w:val="28"/>
          <w:lang w:val="zh-CN"/>
        </w:rPr>
        <w:t>规定立即响应，并在规定时间处理问题；</w:t>
      </w:r>
    </w:p>
    <w:p>
      <w:pPr>
        <w:widowControl/>
        <w:spacing w:line="360" w:lineRule="auto"/>
        <w:ind w:firstLine="280" w:firstLineChars="1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（3）定期巡检工作质量达到</w:t>
      </w:r>
      <w:r>
        <w:rPr>
          <w:rFonts w:hint="eastAsia" w:asciiTheme="minorEastAsia" w:hAnsiTheme="minorEastAsia" w:eastAsiaTheme="minorEastAsia" w:cstheme="minorEastAsia"/>
          <w:sz w:val="28"/>
          <w:szCs w:val="28"/>
        </w:rPr>
        <w:t>甲方</w:t>
      </w:r>
      <w:r>
        <w:rPr>
          <w:rFonts w:hint="eastAsia" w:asciiTheme="minorEastAsia" w:hAnsiTheme="minorEastAsia" w:eastAsiaTheme="minorEastAsia" w:cstheme="minorEastAsia"/>
          <w:sz w:val="28"/>
          <w:szCs w:val="28"/>
          <w:lang w:val="zh-CN"/>
        </w:rPr>
        <w:t>管理要求。</w:t>
      </w:r>
    </w:p>
    <w:p>
      <w:pPr>
        <w:widowControl/>
        <w:spacing w:line="360" w:lineRule="auto"/>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 xml:space="preserve">1.2.2 </w:t>
      </w:r>
      <w:r>
        <w:rPr>
          <w:rFonts w:hint="eastAsia" w:asciiTheme="minorEastAsia" w:hAnsiTheme="minorEastAsia" w:eastAsiaTheme="minorEastAsia" w:cstheme="minorEastAsia"/>
          <w:sz w:val="28"/>
          <w:szCs w:val="28"/>
          <w:lang w:val="zh-CN"/>
        </w:rPr>
        <w:t>巡检、故障处置、应急响应相关要求如下：</w:t>
      </w:r>
    </w:p>
    <w:p>
      <w:pPr>
        <w:widowControl/>
        <w:spacing w:line="360" w:lineRule="auto"/>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总体要求：负责</w:t>
      </w:r>
      <w:r>
        <w:rPr>
          <w:rFonts w:hint="eastAsia" w:asciiTheme="minorEastAsia" w:hAnsiTheme="minorEastAsia" w:eastAsiaTheme="minorEastAsia" w:cstheme="minorEastAsia"/>
          <w:sz w:val="28"/>
          <w:szCs w:val="28"/>
        </w:rPr>
        <w:t>云安全和TCP安全</w:t>
      </w:r>
      <w:r>
        <w:rPr>
          <w:rFonts w:hint="eastAsia" w:asciiTheme="minorEastAsia" w:hAnsiTheme="minorEastAsia" w:eastAsiaTheme="minorEastAsia" w:cstheme="minorEastAsia"/>
          <w:sz w:val="28"/>
          <w:szCs w:val="28"/>
          <w:lang w:val="zh-CN"/>
        </w:rPr>
        <w:t>的</w:t>
      </w:r>
      <w:r>
        <w:rPr>
          <w:rFonts w:hint="eastAsia" w:asciiTheme="minorEastAsia" w:hAnsiTheme="minorEastAsia" w:eastAsiaTheme="minorEastAsia" w:cstheme="minorEastAsia"/>
          <w:sz w:val="28"/>
          <w:szCs w:val="28"/>
        </w:rPr>
        <w:t>防护</w:t>
      </w:r>
      <w:r>
        <w:rPr>
          <w:rFonts w:hint="eastAsia" w:asciiTheme="minorEastAsia" w:hAnsiTheme="minorEastAsia" w:eastAsiaTheme="minorEastAsia" w:cstheme="minorEastAsia"/>
          <w:sz w:val="28"/>
          <w:szCs w:val="28"/>
          <w:lang w:val="zh-CN"/>
        </w:rPr>
        <w:t>和巡检，并详细分析</w:t>
      </w:r>
      <w:r>
        <w:rPr>
          <w:rFonts w:hint="eastAsia" w:asciiTheme="minorEastAsia" w:hAnsiTheme="minorEastAsia" w:eastAsiaTheme="minorEastAsia" w:cstheme="minorEastAsia"/>
          <w:sz w:val="28"/>
          <w:szCs w:val="28"/>
        </w:rPr>
        <w:t>防御报告</w:t>
      </w:r>
      <w:r>
        <w:rPr>
          <w:rFonts w:hint="eastAsia" w:asciiTheme="minorEastAsia" w:hAnsiTheme="minorEastAsia" w:eastAsiaTheme="minorEastAsia" w:cstheme="minorEastAsia"/>
          <w:sz w:val="28"/>
          <w:szCs w:val="28"/>
          <w:lang w:val="zh-CN"/>
        </w:rPr>
        <w:t>，及时消除</w:t>
      </w:r>
      <w:r>
        <w:rPr>
          <w:rFonts w:hint="eastAsia" w:asciiTheme="minorEastAsia" w:hAnsiTheme="minorEastAsia" w:eastAsiaTheme="minorEastAsia" w:cstheme="minorEastAsia"/>
          <w:sz w:val="28"/>
          <w:szCs w:val="28"/>
        </w:rPr>
        <w:t>安全</w:t>
      </w:r>
      <w:r>
        <w:rPr>
          <w:rFonts w:hint="eastAsia" w:asciiTheme="minorEastAsia" w:hAnsiTheme="minorEastAsia" w:eastAsiaTheme="minorEastAsia" w:cstheme="minorEastAsia"/>
          <w:sz w:val="28"/>
          <w:szCs w:val="28"/>
          <w:lang w:val="zh-CN"/>
        </w:rPr>
        <w:t>隐患，有必要时出具相关优化、整改及故障报告，起到事前监控，事后整改的目的。</w:t>
      </w:r>
    </w:p>
    <w:p>
      <w:pPr>
        <w:widowControl/>
        <w:spacing w:line="360" w:lineRule="auto"/>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云防护与TCP安全防护</w:t>
      </w:r>
      <w:r>
        <w:rPr>
          <w:rFonts w:hint="eastAsia" w:asciiTheme="minorEastAsia" w:hAnsiTheme="minorEastAsia" w:eastAsiaTheme="minorEastAsia" w:cstheme="minorEastAsia"/>
          <w:sz w:val="28"/>
          <w:szCs w:val="28"/>
          <w:lang w:val="zh-CN"/>
        </w:rPr>
        <w:t>巡检时间：季检（每</w:t>
      </w:r>
      <w:r>
        <w:rPr>
          <w:rFonts w:hint="eastAsia" w:asciiTheme="minorEastAsia" w:hAnsiTheme="minorEastAsia" w:eastAsiaTheme="minorEastAsia" w:cstheme="minorEastAsia"/>
          <w:sz w:val="28"/>
          <w:szCs w:val="28"/>
        </w:rPr>
        <w:t>个自然</w:t>
      </w:r>
      <w:r>
        <w:rPr>
          <w:rFonts w:hint="eastAsia" w:asciiTheme="minorEastAsia" w:hAnsiTheme="minorEastAsia" w:eastAsiaTheme="minorEastAsia" w:cstheme="minorEastAsia"/>
          <w:sz w:val="28"/>
          <w:szCs w:val="28"/>
          <w:lang w:val="zh-CN"/>
        </w:rPr>
        <w:t>季度最后一个月）、节前及专项巡检（时间根据</w:t>
      </w:r>
      <w:r>
        <w:rPr>
          <w:rFonts w:hint="eastAsia" w:asciiTheme="minorEastAsia" w:hAnsiTheme="minorEastAsia" w:eastAsiaTheme="minorEastAsia" w:cstheme="minorEastAsia"/>
          <w:sz w:val="28"/>
          <w:szCs w:val="28"/>
        </w:rPr>
        <w:t>甲方</w:t>
      </w:r>
      <w:r>
        <w:rPr>
          <w:rFonts w:hint="eastAsia" w:asciiTheme="minorEastAsia" w:hAnsiTheme="minorEastAsia" w:eastAsiaTheme="minorEastAsia" w:cstheme="minorEastAsia"/>
          <w:sz w:val="28"/>
          <w:szCs w:val="28"/>
          <w:lang w:val="zh-CN"/>
        </w:rPr>
        <w:t>需求），向采购方提交书面巡检报告。</w:t>
      </w:r>
    </w:p>
    <w:p>
      <w:pPr>
        <w:widowControl/>
        <w:spacing w:line="360" w:lineRule="auto"/>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巡检内容：</w:t>
      </w:r>
    </w:p>
    <w:p>
      <w:pPr>
        <w:widowControl/>
        <w:spacing w:line="360" w:lineRule="auto"/>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（1）巡检范围</w:t>
      </w:r>
      <w:r>
        <w:rPr>
          <w:rFonts w:hint="eastAsia" w:asciiTheme="minorEastAsia" w:hAnsiTheme="minorEastAsia" w:eastAsiaTheme="minorEastAsia" w:cstheme="minorEastAsia"/>
          <w:sz w:val="28"/>
          <w:szCs w:val="28"/>
        </w:rPr>
        <w:t>包括：</w:t>
      </w:r>
    </w:p>
    <w:p>
      <w:pPr>
        <w:widowControl/>
        <w:spacing w:line="360" w:lineRule="auto"/>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爬虫系统、替身备源系统、云监控系统、热门实时漏洞系统等组件以及云盾中台。</w:t>
      </w:r>
    </w:p>
    <w:p>
      <w:pPr>
        <w:widowControl/>
        <w:spacing w:line="360" w:lineRule="auto"/>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t>巡检内容包括：</w:t>
      </w:r>
    </w:p>
    <w:p>
      <w:pPr>
        <w:numPr>
          <w:ilvl w:val="1"/>
          <w:numId w:val="4"/>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云防护与TCP当前容量是否接近瓶颈的确认（磁盘容量、内存、CPU负载）；</w:t>
      </w:r>
    </w:p>
    <w:p>
      <w:pPr>
        <w:numPr>
          <w:ilvl w:val="1"/>
          <w:numId w:val="4"/>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云防护与TCP承接假期突发业务；</w:t>
      </w:r>
    </w:p>
    <w:p>
      <w:pPr>
        <w:numPr>
          <w:ilvl w:val="1"/>
          <w:numId w:val="4"/>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云防护与TCP的定期巡检；</w:t>
      </w:r>
    </w:p>
    <w:p>
      <w:pPr>
        <w:numPr>
          <w:ilvl w:val="1"/>
          <w:numId w:val="4"/>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云防护与TCP的死活监控；</w:t>
      </w:r>
    </w:p>
    <w:p>
      <w:pPr>
        <w:numPr>
          <w:ilvl w:val="1"/>
          <w:numId w:val="4"/>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云防护与TCP对外提供的API；</w:t>
      </w:r>
    </w:p>
    <w:p>
      <w:pPr>
        <w:numPr>
          <w:ilvl w:val="1"/>
          <w:numId w:val="4"/>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云防护与TCP容量性能指标；</w:t>
      </w:r>
    </w:p>
    <w:p>
      <w:pPr>
        <w:numPr>
          <w:ilvl w:val="1"/>
          <w:numId w:val="4"/>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云防护与TCP监控项列表（包含报警方式，处理方式，处理人，紧急程度）；</w:t>
      </w:r>
    </w:p>
    <w:p>
      <w:pPr>
        <w:numPr>
          <w:ilvl w:val="1"/>
          <w:numId w:val="4"/>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云防护与TCP灾备形式；</w:t>
      </w:r>
    </w:p>
    <w:p>
      <w:pPr>
        <w:numPr>
          <w:ilvl w:val="1"/>
          <w:numId w:val="4"/>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云防护与TCP主备的信息；</w:t>
      </w:r>
    </w:p>
    <w:p>
      <w:pPr>
        <w:numPr>
          <w:ilvl w:val="1"/>
          <w:numId w:val="4"/>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云防护与TCP的备环境；</w:t>
      </w:r>
    </w:p>
    <w:p>
      <w:pPr>
        <w:numPr>
          <w:ilvl w:val="1"/>
          <w:numId w:val="4"/>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及时发现云防护与TCP可能存在的故障；</w:t>
      </w:r>
    </w:p>
    <w:p>
      <w:pPr>
        <w:numPr>
          <w:ilvl w:val="1"/>
          <w:numId w:val="4"/>
        </w:numPr>
        <w:spacing w:line="360" w:lineRule="auto"/>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保障云防护与TCP主备切换正常。</w:t>
      </w:r>
    </w:p>
    <w:p>
      <w:pPr>
        <w:widowControl/>
        <w:numPr>
          <w:ilvl w:val="0"/>
          <w:numId w:val="5"/>
        </w:numPr>
        <w:spacing w:line="360" w:lineRule="auto"/>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根据巡检内容完成巡检后，及时反馈巡检过程中发现的异常情况及及时处置，提交书面巡检报告。</w:t>
      </w:r>
    </w:p>
    <w:p>
      <w:pPr>
        <w:widowControl/>
        <w:numPr>
          <w:ilvl w:val="0"/>
          <w:numId w:val="5"/>
        </w:num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巡检报告包括：</w:t>
      </w:r>
    </w:p>
    <w:p>
      <w:pPr>
        <w:widowControl/>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故障处置、应急响应等相关工作应完善记录，记录内容至少包括：时间、人员、工作内容、处置结果。</w:t>
      </w:r>
    </w:p>
    <w:p>
      <w:pPr>
        <w:pStyle w:val="11"/>
        <w:wordWrap w:val="0"/>
        <w:ind w:firstLine="56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攻击防护情况：漏洞入侵防护详情、</w:t>
      </w:r>
      <w:r>
        <w:rPr>
          <w:rFonts w:hint="eastAsia" w:asciiTheme="minorEastAsia" w:hAnsiTheme="minorEastAsia" w:cstheme="minorEastAsia"/>
          <w:sz w:val="28"/>
          <w:szCs w:val="28"/>
          <w:lang w:bidi="ar"/>
        </w:rPr>
        <w:t>漏洞入侵攻击趋势</w:t>
      </w:r>
      <w:r>
        <w:rPr>
          <w:rFonts w:hint="eastAsia" w:asciiTheme="minorEastAsia" w:hAnsiTheme="minorEastAsia" w:cstheme="minorEastAsia"/>
          <w:color w:val="000000"/>
          <w:sz w:val="28"/>
          <w:szCs w:val="28"/>
        </w:rPr>
        <w:t>、</w:t>
      </w:r>
      <w:r>
        <w:rPr>
          <w:rFonts w:hint="eastAsia" w:asciiTheme="minorEastAsia" w:hAnsiTheme="minorEastAsia" w:cstheme="minorEastAsia"/>
          <w:sz w:val="28"/>
          <w:szCs w:val="28"/>
          <w:lang w:bidi="ar"/>
        </w:rPr>
        <w:t>域名受攻击详情、攻击类型分布、</w:t>
      </w:r>
      <w:r>
        <w:rPr>
          <w:rFonts w:hint="eastAsia" w:asciiTheme="minorEastAsia" w:hAnsiTheme="minorEastAsia" w:cstheme="minorEastAsia"/>
          <w:color w:val="000000" w:themeColor="text1"/>
          <w:sz w:val="28"/>
          <w:szCs w:val="28"/>
          <w14:textFill>
            <w14:solidFill>
              <w14:schemeClr w14:val="tx1"/>
            </w14:solidFill>
          </w14:textFill>
        </w:rPr>
        <w:t>攻击来源地理位置分布、攻击IP TOP、受攻击 URL TOP、攻击User-Agent TOP、</w:t>
      </w:r>
      <w:r>
        <w:rPr>
          <w:rFonts w:hint="eastAsia" w:asciiTheme="minorEastAsia" w:hAnsiTheme="minorEastAsia" w:cstheme="minorEastAsia"/>
          <w:color w:val="000000"/>
          <w:sz w:val="28"/>
          <w:szCs w:val="28"/>
        </w:rPr>
        <w:t>CC防护详情、</w:t>
      </w:r>
      <w:r>
        <w:rPr>
          <w:rFonts w:hint="eastAsia" w:asciiTheme="minorEastAsia" w:hAnsiTheme="minorEastAsia" w:cstheme="minorEastAsia"/>
          <w:color w:val="000000" w:themeColor="text1"/>
          <w:sz w:val="28"/>
          <w:szCs w:val="28"/>
          <w14:textFill>
            <w14:solidFill>
              <w14:schemeClr w14:val="tx1"/>
            </w14:solidFill>
          </w14:textFill>
        </w:rPr>
        <w:t>受CC攻击域名TOP、CC攻击来源地理位置分布</w:t>
      </w:r>
      <w:r>
        <w:rPr>
          <w:rFonts w:hint="eastAsia" w:asciiTheme="minorEastAsia" w:hAnsiTheme="minorEastAsia" w:cstheme="minorEastAsia"/>
          <w:color w:val="000000"/>
          <w:sz w:val="28"/>
          <w:szCs w:val="28"/>
        </w:rPr>
        <w:t>、</w:t>
      </w:r>
      <w:r>
        <w:rPr>
          <w:rFonts w:hint="eastAsia" w:asciiTheme="minorEastAsia" w:hAnsiTheme="minorEastAsia" w:cstheme="minorEastAsia"/>
          <w:color w:val="000000" w:themeColor="text1"/>
          <w:sz w:val="28"/>
          <w:szCs w:val="28"/>
          <w14:textFill>
            <w14:solidFill>
              <w14:schemeClr w14:val="tx1"/>
            </w14:solidFill>
          </w14:textFill>
        </w:rPr>
        <w:t>CC攻击趋势攻击IP TOP</w:t>
      </w:r>
      <w:r>
        <w:rPr>
          <w:rFonts w:hint="eastAsia" w:asciiTheme="minorEastAsia" w:hAnsiTheme="minorEastAsia" w:cstheme="minorEastAsia"/>
          <w:color w:val="000000"/>
          <w:sz w:val="28"/>
          <w:szCs w:val="28"/>
        </w:rPr>
        <w:t>。</w:t>
      </w:r>
    </w:p>
    <w:p>
      <w:pPr>
        <w:pStyle w:val="11"/>
        <w:wordWrap w:val="0"/>
        <w:ind w:firstLine="56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sz w:val="28"/>
          <w:szCs w:val="28"/>
        </w:rPr>
        <w:t>访问加速情况：</w:t>
      </w:r>
      <w:r>
        <w:rPr>
          <w:rFonts w:hint="eastAsia" w:asciiTheme="minorEastAsia" w:hAnsiTheme="minorEastAsia" w:cstheme="minorEastAsia"/>
          <w:color w:val="000000" w:themeColor="text1"/>
          <w:sz w:val="28"/>
          <w:szCs w:val="28"/>
          <w14:textFill>
            <w14:solidFill>
              <w14:schemeClr w14:val="tx1"/>
            </w14:solidFill>
          </w14:textFill>
        </w:rPr>
        <w:t>CDN流量趋势、CDN带宽趋势、域名CDN流量TOP</w:t>
      </w:r>
      <w:r>
        <w:rPr>
          <w:rFonts w:hint="eastAsia" w:asciiTheme="minorEastAsia" w:hAnsiTheme="minorEastAsia" w:cstheme="minorEastAsia"/>
          <w:sz w:val="28"/>
          <w:szCs w:val="28"/>
          <w:lang w:bidi="ar"/>
        </w:rPr>
        <w:t>、</w:t>
      </w:r>
      <w:r>
        <w:rPr>
          <w:rFonts w:hint="eastAsia" w:asciiTheme="minorEastAsia" w:hAnsiTheme="minorEastAsia" w:cstheme="minorEastAsia"/>
          <w:color w:val="000000" w:themeColor="text1"/>
          <w:sz w:val="28"/>
          <w:szCs w:val="28"/>
          <w14:textFill>
            <w14:solidFill>
              <w14:schemeClr w14:val="tx1"/>
            </w14:solidFill>
          </w14:textFill>
        </w:rPr>
        <w:t>命中率 TOP域名、请求数趋势、请求次数 TOP域名。</w:t>
      </w:r>
    </w:p>
    <w:p>
      <w:pPr>
        <w:pStyle w:val="11"/>
        <w:wordWrap w:val="0"/>
        <w:ind w:firstLine="560"/>
        <w:rPr>
          <w:rFonts w:asciiTheme="minorEastAsia" w:hAnsiTheme="minorEastAsia" w:cstheme="minorEastAsia"/>
        </w:rPr>
      </w:pPr>
      <w:r>
        <w:rPr>
          <w:rFonts w:hint="eastAsia" w:asciiTheme="minorEastAsia" w:hAnsiTheme="minorEastAsia" w:cstheme="minorEastAsia"/>
          <w:color w:val="000000"/>
          <w:sz w:val="28"/>
          <w:szCs w:val="28"/>
        </w:rPr>
        <w:t>TCP防护情况。</w:t>
      </w:r>
    </w:p>
    <w:p>
      <w:pPr>
        <w:spacing w:line="360" w:lineRule="auto"/>
        <w:ind w:left="420" w:lef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1.2.3故障处置及应急响应保障细则</w:t>
      </w:r>
    </w:p>
    <w:p>
      <w:pPr>
        <w:spacing w:line="360" w:lineRule="auto"/>
        <w:ind w:firstLine="560" w:firstLineChars="200"/>
        <w:rPr>
          <w:rFonts w:asciiTheme="minorEastAsia" w:hAnsiTheme="minorEastAsia" w:eastAsiaTheme="minorEastAsia" w:cstheme="minorEastAsia"/>
          <w:sz w:val="28"/>
          <w:szCs w:val="28"/>
        </w:rPr>
      </w:pPr>
      <w:bookmarkStart w:id="1" w:name="_Toc70613800"/>
      <w:bookmarkStart w:id="2" w:name="_Toc20244"/>
      <w:r>
        <w:rPr>
          <w:rFonts w:hint="eastAsia" w:asciiTheme="minorEastAsia" w:hAnsiTheme="minorEastAsia" w:eastAsiaTheme="minorEastAsia" w:cstheme="minorEastAsia"/>
          <w:sz w:val="28"/>
          <w:szCs w:val="28"/>
        </w:rPr>
        <w:t>A.云防护及TCP安全防护故障处理启动流程规范</w:t>
      </w:r>
      <w:bookmarkEnd w:id="1"/>
      <w:bookmarkEnd w:id="2"/>
    </w:p>
    <w:p>
      <w:pPr>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a.明确应急启动需求，确认需要启动应急预案</w:t>
      </w:r>
      <w:r>
        <w:rPr>
          <w:rFonts w:hint="eastAsia" w:asciiTheme="minorEastAsia" w:hAnsiTheme="minorEastAsia" w:eastAsiaTheme="minorEastAsia" w:cstheme="minorEastAsia"/>
          <w:sz w:val="28"/>
          <w:szCs w:val="28"/>
          <w:lang w:eastAsia="zh-Hans"/>
        </w:rPr>
        <w:t>标准：</w:t>
      </w:r>
      <w:r>
        <w:rPr>
          <w:rFonts w:hint="eastAsia" w:asciiTheme="minorEastAsia" w:hAnsiTheme="minorEastAsia" w:eastAsiaTheme="minorEastAsia" w:cstheme="minorEastAsia"/>
          <w:sz w:val="28"/>
          <w:szCs w:val="28"/>
        </w:rPr>
        <w:t>出现大规模设备告警或接到用户投诉</w:t>
      </w:r>
    </w:p>
    <w:p>
      <w:pPr>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b.填写云防护及TCP安全防护故障处理应急流程单 </w:t>
      </w:r>
    </w:p>
    <w:tbl>
      <w:tblPr>
        <w:tblStyle w:val="8"/>
        <w:tblW w:w="4725" w:type="pct"/>
        <w:tblInd w:w="496" w:type="dxa"/>
        <w:tblLayout w:type="autofit"/>
        <w:tblCellMar>
          <w:top w:w="0" w:type="dxa"/>
          <w:left w:w="108" w:type="dxa"/>
          <w:bottom w:w="0" w:type="dxa"/>
          <w:right w:w="108" w:type="dxa"/>
        </w:tblCellMar>
      </w:tblPr>
      <w:tblGrid>
        <w:gridCol w:w="1976"/>
        <w:gridCol w:w="1370"/>
        <w:gridCol w:w="1349"/>
        <w:gridCol w:w="3164"/>
      </w:tblGrid>
      <w:tr>
        <w:tblPrEx>
          <w:tblCellMar>
            <w:top w:w="0" w:type="dxa"/>
            <w:left w:w="108" w:type="dxa"/>
            <w:bottom w:w="0" w:type="dxa"/>
            <w:right w:w="108" w:type="dxa"/>
          </w:tblCellMar>
        </w:tblPrEx>
        <w:trPr>
          <w:trHeight w:val="277" w:hRule="atLeast"/>
        </w:trPr>
        <w:tc>
          <w:tcPr>
            <w:tcW w:w="1257"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13"/>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定性信息</w:t>
            </w:r>
          </w:p>
        </w:tc>
        <w:tc>
          <w:tcPr>
            <w:tcW w:w="871"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13"/>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对应故障</w:t>
            </w:r>
          </w:p>
          <w:p>
            <w:pPr>
              <w:pStyle w:val="13"/>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级别</w:t>
            </w:r>
          </w:p>
        </w:tc>
        <w:tc>
          <w:tcPr>
            <w:tcW w:w="858"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13"/>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是否启动</w:t>
            </w:r>
          </w:p>
          <w:p>
            <w:pPr>
              <w:pStyle w:val="13"/>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应急处理</w:t>
            </w:r>
          </w:p>
        </w:tc>
        <w:tc>
          <w:tcPr>
            <w:tcW w:w="2012"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13"/>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drawing>
                <wp:inline distT="0" distB="0" distL="0" distR="0">
                  <wp:extent cx="12700" cy="12700"/>
                  <wp:effectExtent l="0" t="0" r="0" b="0"/>
                  <wp:docPr id="7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hint="eastAsia" w:asciiTheme="minorEastAsia" w:hAnsiTheme="minorEastAsia" w:eastAsiaTheme="minorEastAsia" w:cstheme="minorEastAsia"/>
                <w:b/>
                <w:bCs/>
                <w:sz w:val="24"/>
              </w:rPr>
              <w:t>应急处理方案</w:t>
            </w:r>
          </w:p>
        </w:tc>
      </w:tr>
      <w:tr>
        <w:tblPrEx>
          <w:tblCellMar>
            <w:top w:w="0" w:type="dxa"/>
            <w:left w:w="108" w:type="dxa"/>
            <w:bottom w:w="0" w:type="dxa"/>
            <w:right w:w="108" w:type="dxa"/>
          </w:tblCellMar>
        </w:tblPrEx>
        <w:tc>
          <w:tcPr>
            <w:tcW w:w="125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无异常监控告警</w:t>
            </w:r>
          </w:p>
        </w:tc>
        <w:tc>
          <w:tcPr>
            <w:tcW w:w="871"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无故障</w:t>
            </w:r>
          </w:p>
        </w:tc>
        <w:tc>
          <w:tcPr>
            <w:tcW w:w="858"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w:t>
            </w:r>
          </w:p>
        </w:tc>
        <w:tc>
          <w:tcPr>
            <w:tcW w:w="2012"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CellMar>
            <w:top w:w="0" w:type="dxa"/>
            <w:left w:w="108" w:type="dxa"/>
            <w:bottom w:w="0" w:type="dxa"/>
            <w:right w:w="108" w:type="dxa"/>
          </w:tblCellMar>
        </w:tblPrEx>
        <w:trPr>
          <w:trHeight w:val="251" w:hRule="atLeast"/>
        </w:trPr>
        <w:tc>
          <w:tcPr>
            <w:tcW w:w="125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无用户投诉</w:t>
            </w:r>
          </w:p>
        </w:tc>
        <w:tc>
          <w:tcPr>
            <w:tcW w:w="871" w:type="pct"/>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p>
        </w:tc>
        <w:tc>
          <w:tcPr>
            <w:tcW w:w="858" w:type="pct"/>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p>
        </w:tc>
        <w:tc>
          <w:tcPr>
            <w:tcW w:w="2012" w:type="pct"/>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p>
        </w:tc>
      </w:tr>
      <w:tr>
        <w:tblPrEx>
          <w:tblCellMar>
            <w:top w:w="0" w:type="dxa"/>
            <w:left w:w="108" w:type="dxa"/>
            <w:bottom w:w="0" w:type="dxa"/>
            <w:right w:w="108" w:type="dxa"/>
          </w:tblCellMar>
        </w:tblPrEx>
        <w:tc>
          <w:tcPr>
            <w:tcW w:w="125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少量告警无用户投诉</w:t>
            </w:r>
          </w:p>
        </w:tc>
        <w:tc>
          <w:tcPr>
            <w:tcW w:w="87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三级故障</w:t>
            </w:r>
          </w:p>
        </w:tc>
        <w:tc>
          <w:tcPr>
            <w:tcW w:w="85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w:t>
            </w:r>
          </w:p>
        </w:tc>
        <w:tc>
          <w:tcPr>
            <w:tcW w:w="20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CellMar>
            <w:top w:w="0" w:type="dxa"/>
            <w:left w:w="108" w:type="dxa"/>
            <w:bottom w:w="0" w:type="dxa"/>
            <w:right w:w="108" w:type="dxa"/>
          </w:tblCellMar>
        </w:tblPrEx>
        <w:tc>
          <w:tcPr>
            <w:tcW w:w="125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出现后台告警</w:t>
            </w:r>
          </w:p>
        </w:tc>
        <w:tc>
          <w:tcPr>
            <w:tcW w:w="871" w:type="pct"/>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二级故障</w:t>
            </w:r>
          </w:p>
        </w:tc>
        <w:tc>
          <w:tcPr>
            <w:tcW w:w="858" w:type="pct"/>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20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根据后台告警类型作出判断故障类型,并切断故障源</w:t>
            </w:r>
          </w:p>
        </w:tc>
      </w:tr>
      <w:tr>
        <w:tblPrEx>
          <w:tblCellMar>
            <w:top w:w="0" w:type="dxa"/>
            <w:left w:w="108" w:type="dxa"/>
            <w:bottom w:w="0" w:type="dxa"/>
            <w:right w:w="108" w:type="dxa"/>
          </w:tblCellMar>
        </w:tblPrEx>
        <w:tc>
          <w:tcPr>
            <w:tcW w:w="125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无用户投诉</w:t>
            </w:r>
          </w:p>
        </w:tc>
        <w:tc>
          <w:tcPr>
            <w:tcW w:w="871" w:type="pct"/>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p>
        </w:tc>
        <w:tc>
          <w:tcPr>
            <w:tcW w:w="858" w:type="pct"/>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p>
        </w:tc>
        <w:tc>
          <w:tcPr>
            <w:tcW w:w="20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暂不需要回退,先观察</w:t>
            </w:r>
          </w:p>
        </w:tc>
      </w:tr>
      <w:tr>
        <w:tblPrEx>
          <w:tblCellMar>
            <w:top w:w="0" w:type="dxa"/>
            <w:left w:w="108" w:type="dxa"/>
            <w:bottom w:w="0" w:type="dxa"/>
            <w:right w:w="108" w:type="dxa"/>
          </w:tblCellMar>
        </w:tblPrEx>
        <w:tc>
          <w:tcPr>
            <w:tcW w:w="125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大量设备告警</w:t>
            </w:r>
          </w:p>
        </w:tc>
        <w:tc>
          <w:tcPr>
            <w:tcW w:w="871" w:type="pct"/>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一级故障</w:t>
            </w:r>
          </w:p>
        </w:tc>
        <w:tc>
          <w:tcPr>
            <w:tcW w:w="858" w:type="pct"/>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20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切断故障源</w:t>
            </w:r>
          </w:p>
        </w:tc>
      </w:tr>
      <w:tr>
        <w:tblPrEx>
          <w:tblCellMar>
            <w:top w:w="0" w:type="dxa"/>
            <w:left w:w="108" w:type="dxa"/>
            <w:bottom w:w="0" w:type="dxa"/>
            <w:right w:w="108" w:type="dxa"/>
          </w:tblCellMar>
        </w:tblPrEx>
        <w:tc>
          <w:tcPr>
            <w:tcW w:w="125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出现用户投诉</w:t>
            </w:r>
          </w:p>
        </w:tc>
        <w:tc>
          <w:tcPr>
            <w:tcW w:w="871" w:type="pct"/>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p>
        </w:tc>
        <w:tc>
          <w:tcPr>
            <w:tcW w:w="858" w:type="pct"/>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p>
        </w:tc>
        <w:tc>
          <w:tcPr>
            <w:tcW w:w="20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立即回退</w:t>
            </w:r>
          </w:p>
        </w:tc>
      </w:tr>
      <w:tr>
        <w:tblPrEx>
          <w:tblCellMar>
            <w:top w:w="0" w:type="dxa"/>
            <w:left w:w="108" w:type="dxa"/>
            <w:bottom w:w="0" w:type="dxa"/>
            <w:right w:w="108" w:type="dxa"/>
          </w:tblCellMar>
        </w:tblPrEx>
        <w:tc>
          <w:tcPr>
            <w:tcW w:w="125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全部设备告警</w:t>
            </w:r>
          </w:p>
        </w:tc>
        <w:tc>
          <w:tcPr>
            <w:tcW w:w="871" w:type="pct"/>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重大故障</w:t>
            </w:r>
          </w:p>
        </w:tc>
        <w:tc>
          <w:tcPr>
            <w:tcW w:w="858" w:type="pct"/>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20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切断故障源</w:t>
            </w:r>
          </w:p>
        </w:tc>
      </w:tr>
      <w:tr>
        <w:tblPrEx>
          <w:tblCellMar>
            <w:top w:w="0" w:type="dxa"/>
            <w:left w:w="108" w:type="dxa"/>
            <w:bottom w:w="0" w:type="dxa"/>
            <w:right w:w="108" w:type="dxa"/>
          </w:tblCellMar>
        </w:tblPrEx>
        <w:tc>
          <w:tcPr>
            <w:tcW w:w="125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大量用户投诉</w:t>
            </w:r>
          </w:p>
        </w:tc>
        <w:tc>
          <w:tcPr>
            <w:tcW w:w="871" w:type="pct"/>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p>
        </w:tc>
        <w:tc>
          <w:tcPr>
            <w:tcW w:w="858" w:type="pct"/>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p>
        </w:tc>
        <w:tc>
          <w:tcPr>
            <w:tcW w:w="20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立即回退数据</w:t>
            </w:r>
          </w:p>
        </w:tc>
      </w:tr>
    </w:tbl>
    <w:p>
      <w:pPr>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c.邮件或电话通知应急相关负责人</w:t>
      </w:r>
      <w:bookmarkStart w:id="3" w:name="_Toc26646"/>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B.云安全及TCP安全防护故障应急效果观察操作流程规范</w:t>
      </w:r>
      <w:bookmarkEnd w:id="3"/>
    </w:p>
    <w:p>
      <w:pPr>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a.应急处理接口人发送应急操作给技术支持负责人</w:t>
      </w:r>
    </w:p>
    <w:p>
      <w:pPr>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b.获取故障级别</w:t>
      </w:r>
    </w:p>
    <w:p>
      <w:pPr>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c.获取故障状态</w:t>
      </w:r>
    </w:p>
    <w:p>
      <w:pPr>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d.获取服务频道状态</w:t>
      </w:r>
    </w:p>
    <w:p>
      <w:pPr>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e.获取证据收集状态</w:t>
      </w:r>
    </w:p>
    <w:p>
      <w:pPr>
        <w:spacing w:line="360" w:lineRule="auto"/>
        <w:ind w:firstLine="840" w:firstLineChars="300"/>
      </w:pPr>
      <w:r>
        <w:rPr>
          <w:rFonts w:hint="eastAsia" w:asciiTheme="minorEastAsia" w:hAnsiTheme="minorEastAsia" w:eastAsiaTheme="minorEastAsia" w:cstheme="minorEastAsia"/>
          <w:sz w:val="28"/>
          <w:szCs w:val="28"/>
        </w:rPr>
        <w:t>f.进行应急结束申请</w:t>
      </w:r>
    </w:p>
    <w:p>
      <w:pPr>
        <w:spacing w:line="360" w:lineRule="auto"/>
        <w:ind w:firstLine="560" w:firstLineChars="200"/>
        <w:rPr>
          <w:rFonts w:asciiTheme="minorEastAsia" w:hAnsiTheme="minorEastAsia" w:eastAsiaTheme="minorEastAsia" w:cstheme="minorEastAsia"/>
          <w:color w:val="000000"/>
          <w:sz w:val="28"/>
          <w:szCs w:val="28"/>
        </w:rPr>
      </w:pPr>
    </w:p>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第二条 履行的地点和合同期限：</w:t>
      </w:r>
    </w:p>
    <w:p>
      <w:pPr>
        <w:spacing w:line="360" w:lineRule="auto"/>
        <w:ind w:firstLine="560" w:firstLineChars="200"/>
        <w:rPr>
          <w:rFonts w:asciiTheme="majorEastAsia" w:hAnsiTheme="majorEastAsia" w:eastAsiaTheme="majorEastAsia" w:cstheme="majorEastAsia"/>
          <w:sz w:val="28"/>
          <w:szCs w:val="28"/>
        </w:rPr>
      </w:pP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技术保障地点：重庆江北国际机场区域内和远程方式进行。</w:t>
      </w:r>
    </w:p>
    <w:p>
      <w:pPr>
        <w:spacing w:line="360" w:lineRule="auto"/>
        <w:ind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color w:val="000000"/>
          <w:sz w:val="28"/>
          <w:szCs w:val="28"/>
        </w:rPr>
        <w:t>合同期限：自合同签订之日起一年。</w:t>
      </w:r>
    </w:p>
    <w:p>
      <w:pPr>
        <w:pStyle w:val="2"/>
      </w:pPr>
    </w:p>
    <w:p>
      <w:pPr>
        <w:spacing w:line="360" w:lineRule="auto"/>
        <w:rPr>
          <w:rFonts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rPr>
        <w:t>第三条 合同最终成交价格、履约保证金及支付方式为：</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3.1合同成交总价（不含增值税）为：</w:t>
      </w:r>
      <w:r>
        <w:rPr>
          <w:rFonts w:hint="eastAsia" w:asciiTheme="majorEastAsia" w:hAnsiTheme="majorEastAsia" w:eastAsiaTheme="majorEastAsia" w:cstheme="majorEastAsia"/>
          <w:sz w:val="28"/>
          <w:szCs w:val="28"/>
          <w:u w:val="single"/>
        </w:rPr>
        <w:t xml:space="preserve">       （大写： </w:t>
      </w:r>
      <w:r>
        <w:rPr>
          <w:rFonts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rPr>
        <w:t>）</w:t>
      </w:r>
      <w:r>
        <w:rPr>
          <w:rFonts w:hint="eastAsia" w:asciiTheme="majorEastAsia" w:hAnsiTheme="majorEastAsia" w:eastAsiaTheme="majorEastAsia" w:cstheme="majorEastAsia"/>
          <w:sz w:val="28"/>
          <w:szCs w:val="28"/>
        </w:rPr>
        <w:t>；合同成交总价（含增值税）为：</w:t>
      </w:r>
      <w:r>
        <w:rPr>
          <w:rFonts w:hint="eastAsia" w:asciiTheme="majorEastAsia" w:hAnsiTheme="majorEastAsia" w:eastAsiaTheme="majorEastAsia" w:cstheme="majorEastAsia"/>
          <w:sz w:val="28"/>
          <w:szCs w:val="28"/>
          <w:u w:val="single"/>
        </w:rPr>
        <w:t xml:space="preserve">    （大写： </w:t>
      </w:r>
      <w:r>
        <w:rPr>
          <w:rFonts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rPr>
        <w:t xml:space="preserve">），增值税税率 </w:t>
      </w:r>
      <w:r>
        <w:rPr>
          <w:rFonts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3.2服务费由甲方分期支付乙方。</w:t>
      </w:r>
    </w:p>
    <w:p>
      <w:pPr>
        <w:spacing w:line="360" w:lineRule="auto"/>
        <w:ind w:firstLine="280" w:firstLineChars="1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具体支付方式如下：</w:t>
      </w:r>
    </w:p>
    <w:p>
      <w:pPr>
        <w:pStyle w:val="4"/>
        <w:ind w:firstLine="840" w:firstLineChars="300"/>
        <w:jc w:val="left"/>
        <w:rPr>
          <w:rFonts w:asciiTheme="minorEastAsia" w:hAnsiTheme="minorEastAsia" w:eastAsiaTheme="minorEastAsia" w:cstheme="minorEastAsia"/>
          <w:b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color w:val="000000" w:themeColor="text1"/>
          <w:sz w:val="28"/>
          <w:szCs w:val="28"/>
          <w14:textFill>
            <w14:solidFill>
              <w14:schemeClr w14:val="tx1"/>
            </w14:solidFill>
          </w14:textFill>
        </w:rPr>
        <w:t>合同签订后，乙方按约进行服务，每三个月结束后，甲方在收到乙方巡检报告和开具的增值税发票后20个工作日内，向乙方支付合同总款的25%，直至合同结束。</w:t>
      </w:r>
    </w:p>
    <w:p>
      <w:pPr>
        <w:pStyle w:val="4"/>
        <w:ind w:firstLine="1325" w:firstLineChars="300"/>
        <w:jc w:val="left"/>
      </w:pP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乙方开户银行名称、户名和账号为：</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开户银行：</w:t>
      </w:r>
      <w:r>
        <w:rPr>
          <w:rFonts w:hint="eastAsia" w:asciiTheme="majorEastAsia" w:hAnsiTheme="majorEastAsia" w:eastAsiaTheme="majorEastAsia" w:cstheme="majorEastAsia"/>
          <w:color w:val="000000"/>
          <w:sz w:val="28"/>
          <w:szCs w:val="28"/>
          <w:u w:val="single"/>
        </w:rPr>
        <w:t>        </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户名：</w:t>
      </w:r>
      <w:r>
        <w:rPr>
          <w:rFonts w:hint="eastAsia" w:asciiTheme="majorEastAsia" w:hAnsiTheme="majorEastAsia" w:eastAsiaTheme="majorEastAsia" w:cstheme="majorEastAsia"/>
          <w:color w:val="000000"/>
          <w:sz w:val="28"/>
          <w:szCs w:val="28"/>
          <w:u w:val="single"/>
        </w:rPr>
        <w:t>            </w:t>
      </w:r>
    </w:p>
    <w:p>
      <w:pPr>
        <w:spacing w:line="360" w:lineRule="auto"/>
        <w:rPr>
          <w:rFonts w:asciiTheme="majorEastAsia" w:hAnsiTheme="majorEastAsia" w:eastAsiaTheme="majorEastAsia" w:cstheme="majorEastAsia"/>
          <w:color w:val="000000"/>
          <w:sz w:val="28"/>
          <w:szCs w:val="28"/>
          <w:u w:val="single"/>
        </w:rPr>
      </w:pPr>
      <w:r>
        <w:rPr>
          <w:rFonts w:hint="eastAsia" w:asciiTheme="majorEastAsia" w:hAnsiTheme="majorEastAsia" w:eastAsiaTheme="majorEastAsia" w:cstheme="majorEastAsia"/>
          <w:color w:val="000000"/>
          <w:sz w:val="28"/>
          <w:szCs w:val="28"/>
        </w:rPr>
        <w:t>账号：</w:t>
      </w:r>
      <w:r>
        <w:rPr>
          <w:rFonts w:hint="eastAsia" w:asciiTheme="majorEastAsia" w:hAnsiTheme="majorEastAsia" w:eastAsiaTheme="majorEastAsia" w:cstheme="majorEastAsia"/>
          <w:color w:val="000000"/>
          <w:sz w:val="28"/>
          <w:szCs w:val="28"/>
          <w:u w:val="single"/>
        </w:rPr>
        <w:t>            </w:t>
      </w:r>
    </w:p>
    <w:p>
      <w:pPr>
        <w:spacing w:line="360" w:lineRule="auto"/>
        <w:ind w:firstLine="280" w:firstLineChars="100"/>
        <w:rPr>
          <w:rFonts w:asciiTheme="majorEastAsia" w:hAnsiTheme="majorEastAsia" w:eastAsiaTheme="majorEastAsia" w:cstheme="majorEastAsia"/>
          <w:sz w:val="28"/>
          <w:szCs w:val="28"/>
        </w:rPr>
      </w:pPr>
      <w:bookmarkStart w:id="4" w:name="_Hlk10153077"/>
      <w:r>
        <w:rPr>
          <w:rFonts w:hint="eastAsia" w:asciiTheme="majorEastAsia" w:hAnsiTheme="majorEastAsia" w:eastAsiaTheme="majorEastAsia" w:cstheme="majorEastAsia"/>
          <w:sz w:val="28"/>
          <w:szCs w:val="28"/>
        </w:rPr>
        <w:t>3.3乙方需向甲方提供正规增值税发票。如果乙方提供增值税普通发票，甲方支付金额为不含增值税金额；如果乙方提供增值税专用发票，甲方支付金额=不含增值税金额+增值税税额。</w:t>
      </w:r>
    </w:p>
    <w:bookmarkEnd w:id="4"/>
    <w:p>
      <w:pPr>
        <w:spacing w:line="360" w:lineRule="auto"/>
        <w:ind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3.4 履约保证金</w:t>
      </w:r>
    </w:p>
    <w:p>
      <w:pPr>
        <w:spacing w:line="360" w:lineRule="auto"/>
        <w:ind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3.4.1乙方应在成交通知书发出</w:t>
      </w:r>
      <w:r>
        <w:rPr>
          <w:rFonts w:hint="eastAsia" w:asciiTheme="majorEastAsia" w:hAnsiTheme="majorEastAsia" w:eastAsiaTheme="majorEastAsia" w:cstheme="majorEastAsia"/>
          <w:sz w:val="28"/>
          <w:szCs w:val="28"/>
          <w:u w:val="single"/>
        </w:rPr>
        <w:t xml:space="preserve"> 10 </w:t>
      </w:r>
      <w:r>
        <w:rPr>
          <w:rFonts w:hint="eastAsia" w:asciiTheme="majorEastAsia" w:hAnsiTheme="majorEastAsia" w:eastAsiaTheme="majorEastAsia" w:cstheme="majorEastAsia"/>
          <w:sz w:val="28"/>
          <w:szCs w:val="28"/>
        </w:rPr>
        <w:t>日内，一次性向甲方缴纳履约保证金人民币：</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元。履约保证金不计利息。</w:t>
      </w:r>
    </w:p>
    <w:p>
      <w:pPr>
        <w:spacing w:line="360" w:lineRule="auto"/>
        <w:ind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3.4.2履约保证金应由乙方名义开立的账户支付到甲方账户，否则视为未支付，甲方有权追究乙方逾期付款责任。</w:t>
      </w:r>
    </w:p>
    <w:p>
      <w:pPr>
        <w:spacing w:line="360" w:lineRule="auto"/>
        <w:ind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3.4.3 乙方支付履约保证金时，应在“付款备注”中写明“XX项目履约保证金”。乙方不得与其他合同、其他缴费项目一起支付履约保证金，若因混合支付造成无法确认为本合同款项到账的，视为逾期未支付。</w:t>
      </w:r>
    </w:p>
    <w:p>
      <w:pPr>
        <w:spacing w:line="360" w:lineRule="auto"/>
        <w:ind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3.4.4验收完成后，甲方在收到乙方退还履约保证金的申请后，三十个工作日之内无息退还。</w:t>
      </w:r>
    </w:p>
    <w:p>
      <w:pPr>
        <w:spacing w:line="360" w:lineRule="auto"/>
        <w:ind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3.4.5 提交方式：乙方银行账户转账，甲方收款信息如下：。</w:t>
      </w:r>
    </w:p>
    <w:p>
      <w:pPr>
        <w:spacing w:line="36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开户名：重庆机场集团有限公司</w:t>
      </w:r>
    </w:p>
    <w:p>
      <w:pPr>
        <w:spacing w:line="36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开户银行：建设银行渝北机场支行</w:t>
      </w:r>
    </w:p>
    <w:p>
      <w:pPr>
        <w:spacing w:line="36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账号：5000 1083 8000 5000 0447</w:t>
      </w:r>
    </w:p>
    <w:p>
      <w:pPr>
        <w:spacing w:line="36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联系电话：023-67155557</w:t>
      </w:r>
    </w:p>
    <w:p>
      <w:pPr>
        <w:spacing w:line="360" w:lineRule="auto"/>
        <w:rPr>
          <w:rFonts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rPr>
        <w:t>第四条 技术情报和资料的保密：</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4.1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7"/>
        <w:shd w:val="clear" w:color="auto" w:fill="FFFFFF"/>
        <w:spacing w:beforeAutospacing="0" w:after="192" w:afterAutospacing="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4.2甲方向乙方提供的任何资料、文件和信息，在乙方服务结束后，乙方均应及时归还甲方，电子文档的应从自己的电脑等存储设备上予永久删除。</w:t>
      </w:r>
    </w:p>
    <w:p>
      <w:pPr>
        <w:pStyle w:val="7"/>
        <w:shd w:val="clear" w:color="auto" w:fill="FFFFFF"/>
        <w:spacing w:beforeAutospacing="0" w:after="192" w:afterAutospacing="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4.3乙方人员违反上述保密规定时间，乙方应承担相应法律责任。</w:t>
      </w:r>
    </w:p>
    <w:p>
      <w:pPr>
        <w:pStyle w:val="7"/>
        <w:shd w:val="clear" w:color="auto" w:fill="FFFFFF"/>
        <w:spacing w:beforeAutospacing="0" w:after="192" w:afterAutospacing="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4.4本合同有效期结束后相关保密条款继续生效。</w:t>
      </w:r>
    </w:p>
    <w:p>
      <w:pPr>
        <w:spacing w:line="360" w:lineRule="auto"/>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第五条 验收标准和考核方式：</w:t>
      </w:r>
    </w:p>
    <w:p>
      <w:pPr>
        <w:pStyle w:val="4"/>
        <w:ind w:firstLine="560" w:firstLineChars="200"/>
        <w:jc w:val="left"/>
        <w:rPr>
          <w:rFonts w:asciiTheme="minorEastAsia" w:hAnsiTheme="minorEastAsia" w:eastAsiaTheme="minorEastAsia" w:cstheme="minorEastAsia"/>
          <w:b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color w:val="000000" w:themeColor="text1"/>
          <w:sz w:val="28"/>
          <w:szCs w:val="28"/>
          <w14:textFill>
            <w14:solidFill>
              <w14:schemeClr w14:val="tx1"/>
            </w14:solidFill>
          </w14:textFill>
        </w:rPr>
        <w:t>5.1验收标准</w:t>
      </w:r>
    </w:p>
    <w:p>
      <w:pPr>
        <w:pStyle w:val="4"/>
        <w:ind w:firstLine="560" w:firstLineChars="200"/>
        <w:jc w:val="left"/>
        <w:rPr>
          <w:rFonts w:asciiTheme="minorEastAsia" w:hAnsiTheme="minorEastAsia" w:eastAsiaTheme="minorEastAsia" w:cstheme="minorEastAsia"/>
          <w:b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color w:val="000000" w:themeColor="text1"/>
          <w:sz w:val="28"/>
          <w:szCs w:val="28"/>
          <w14:textFill>
            <w14:solidFill>
              <w14:schemeClr w14:val="tx1"/>
            </w14:solidFill>
          </w14:textFill>
        </w:rPr>
        <w:t>乙方按本合同第1.2条要求完成相应的防御检测，并出具合格的攻击防御检测报告验收。</w:t>
      </w:r>
    </w:p>
    <w:p>
      <w:pPr>
        <w:ind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5.2考核标准</w:t>
      </w:r>
    </w:p>
    <w:p>
      <w:pPr>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每季度根据下列等级进行付款：</w:t>
      </w:r>
    </w:p>
    <w:p>
      <w:pPr>
        <w:numPr>
          <w:ilvl w:val="1"/>
          <w:numId w:val="4"/>
        </w:numPr>
        <w:spacing w:line="360" w:lineRule="auto"/>
        <w:rPr>
          <w:rFonts w:asciiTheme="minorEastAsia" w:hAnsiTheme="minorEastAsia" w:eastAsiaTheme="minorEastAsia" w:cstheme="minorEastAsia"/>
          <w:sz w:val="28"/>
          <w:szCs w:val="28"/>
          <w:highlight w:val="yellow"/>
          <w:lang w:val="zh-TW"/>
        </w:rPr>
      </w:pPr>
      <w:r>
        <w:rPr>
          <w:rFonts w:hint="eastAsia" w:asciiTheme="minorEastAsia" w:hAnsiTheme="minorEastAsia" w:eastAsiaTheme="minorEastAsia" w:cstheme="minorEastAsia"/>
          <w:sz w:val="28"/>
          <w:szCs w:val="28"/>
          <w:highlight w:val="yellow"/>
          <w:lang w:val="zh-TW"/>
        </w:rPr>
        <w:t>A级--得分90-100</w:t>
      </w:r>
      <w:r>
        <w:rPr>
          <w:rFonts w:hint="eastAsia" w:asciiTheme="minorEastAsia" w:hAnsiTheme="minorEastAsia" w:eastAsiaTheme="minorEastAsia" w:cstheme="minorEastAsia"/>
          <w:sz w:val="28"/>
          <w:szCs w:val="28"/>
          <w:highlight w:val="yellow"/>
        </w:rPr>
        <w:t>分</w:t>
      </w:r>
      <w:r>
        <w:rPr>
          <w:rFonts w:hint="eastAsia" w:asciiTheme="minorEastAsia" w:hAnsiTheme="minorEastAsia" w:eastAsiaTheme="minorEastAsia" w:cstheme="minorEastAsia"/>
          <w:sz w:val="28"/>
          <w:szCs w:val="28"/>
          <w:highlight w:val="yellow"/>
          <w:lang w:val="zh-TW"/>
        </w:rPr>
        <w:t>，全额支付</w:t>
      </w:r>
      <w:r>
        <w:rPr>
          <w:rFonts w:hint="eastAsia" w:asciiTheme="minorEastAsia" w:hAnsiTheme="minorEastAsia" w:eastAsiaTheme="minorEastAsia" w:cstheme="minorEastAsia"/>
          <w:sz w:val="28"/>
          <w:szCs w:val="28"/>
          <w:highlight w:val="yellow"/>
        </w:rPr>
        <w:t>季度服务</w:t>
      </w:r>
      <w:r>
        <w:rPr>
          <w:rFonts w:hint="eastAsia" w:asciiTheme="minorEastAsia" w:hAnsiTheme="minorEastAsia" w:eastAsiaTheme="minorEastAsia" w:cstheme="minorEastAsia"/>
          <w:sz w:val="28"/>
          <w:szCs w:val="28"/>
          <w:highlight w:val="yellow"/>
          <w:lang w:val="zh-TW"/>
        </w:rPr>
        <w:t>费；</w:t>
      </w:r>
    </w:p>
    <w:p>
      <w:pPr>
        <w:numPr>
          <w:ilvl w:val="1"/>
          <w:numId w:val="4"/>
        </w:numPr>
        <w:spacing w:line="360" w:lineRule="auto"/>
        <w:rPr>
          <w:rFonts w:asciiTheme="minorEastAsia" w:hAnsiTheme="minorEastAsia" w:eastAsiaTheme="minorEastAsia" w:cstheme="minorEastAsia"/>
          <w:sz w:val="28"/>
          <w:szCs w:val="28"/>
          <w:highlight w:val="yellow"/>
          <w:lang w:val="zh-TW"/>
        </w:rPr>
      </w:pPr>
      <w:r>
        <w:rPr>
          <w:rFonts w:hint="eastAsia" w:asciiTheme="minorEastAsia" w:hAnsiTheme="minorEastAsia" w:eastAsiaTheme="minorEastAsia" w:cstheme="minorEastAsia"/>
          <w:sz w:val="28"/>
          <w:szCs w:val="28"/>
          <w:highlight w:val="yellow"/>
          <w:lang w:val="zh-TW"/>
        </w:rPr>
        <w:t>B级--得分80-90分，扣除</w:t>
      </w:r>
      <w:r>
        <w:rPr>
          <w:rFonts w:hint="eastAsia" w:asciiTheme="minorEastAsia" w:hAnsiTheme="minorEastAsia" w:eastAsiaTheme="minorEastAsia" w:cstheme="minorEastAsia"/>
          <w:sz w:val="28"/>
          <w:szCs w:val="28"/>
          <w:highlight w:val="yellow"/>
        </w:rPr>
        <w:t>季度服务</w:t>
      </w:r>
      <w:r>
        <w:rPr>
          <w:rFonts w:hint="eastAsia" w:asciiTheme="minorEastAsia" w:hAnsiTheme="minorEastAsia" w:eastAsiaTheme="minorEastAsia" w:cstheme="minorEastAsia"/>
          <w:sz w:val="28"/>
          <w:szCs w:val="28"/>
          <w:highlight w:val="yellow"/>
          <w:lang w:val="zh-TW"/>
        </w:rPr>
        <w:t>费</w:t>
      </w:r>
      <w:r>
        <w:rPr>
          <w:rFonts w:hint="eastAsia" w:asciiTheme="minorEastAsia" w:hAnsiTheme="minorEastAsia" w:eastAsiaTheme="minorEastAsia" w:cstheme="minorEastAsia"/>
          <w:sz w:val="28"/>
          <w:szCs w:val="28"/>
          <w:highlight w:val="yellow"/>
        </w:rPr>
        <w:t>的</w:t>
      </w:r>
      <w:r>
        <w:rPr>
          <w:rFonts w:hint="eastAsia" w:asciiTheme="minorEastAsia" w:hAnsiTheme="minorEastAsia" w:eastAsiaTheme="minorEastAsia" w:cstheme="minorEastAsia"/>
          <w:sz w:val="28"/>
          <w:szCs w:val="28"/>
          <w:highlight w:val="yellow"/>
          <w:lang w:val="zh-TW"/>
        </w:rPr>
        <w:t>5%；</w:t>
      </w:r>
    </w:p>
    <w:p>
      <w:pPr>
        <w:numPr>
          <w:ilvl w:val="1"/>
          <w:numId w:val="4"/>
        </w:numPr>
        <w:spacing w:line="360" w:lineRule="auto"/>
        <w:rPr>
          <w:rFonts w:asciiTheme="minorEastAsia" w:hAnsiTheme="minorEastAsia" w:eastAsiaTheme="minorEastAsia" w:cstheme="minorEastAsia"/>
          <w:sz w:val="28"/>
          <w:szCs w:val="28"/>
          <w:highlight w:val="yellow"/>
          <w:lang w:val="zh-TW"/>
        </w:rPr>
      </w:pPr>
      <w:r>
        <w:rPr>
          <w:rFonts w:hint="eastAsia" w:asciiTheme="minorEastAsia" w:hAnsiTheme="minorEastAsia" w:eastAsiaTheme="minorEastAsia" w:cstheme="minorEastAsia"/>
          <w:sz w:val="28"/>
          <w:szCs w:val="28"/>
          <w:highlight w:val="yellow"/>
          <w:lang w:val="zh-TW"/>
        </w:rPr>
        <w:t>C级--得分70-80分，扣除</w:t>
      </w:r>
      <w:r>
        <w:rPr>
          <w:rFonts w:hint="eastAsia" w:asciiTheme="minorEastAsia" w:hAnsiTheme="minorEastAsia" w:eastAsiaTheme="minorEastAsia" w:cstheme="minorEastAsia"/>
          <w:sz w:val="28"/>
          <w:szCs w:val="28"/>
          <w:highlight w:val="yellow"/>
        </w:rPr>
        <w:t>季度服务</w:t>
      </w:r>
      <w:r>
        <w:rPr>
          <w:rFonts w:hint="eastAsia" w:asciiTheme="minorEastAsia" w:hAnsiTheme="minorEastAsia" w:eastAsiaTheme="minorEastAsia" w:cstheme="minorEastAsia"/>
          <w:sz w:val="28"/>
          <w:szCs w:val="28"/>
          <w:highlight w:val="yellow"/>
          <w:lang w:val="zh-TW"/>
        </w:rPr>
        <w:t>费</w:t>
      </w:r>
      <w:r>
        <w:rPr>
          <w:rFonts w:hint="eastAsia" w:asciiTheme="minorEastAsia" w:hAnsiTheme="minorEastAsia" w:eastAsiaTheme="minorEastAsia" w:cstheme="minorEastAsia"/>
          <w:sz w:val="28"/>
          <w:szCs w:val="28"/>
          <w:highlight w:val="yellow"/>
        </w:rPr>
        <w:t>的</w:t>
      </w:r>
      <w:r>
        <w:rPr>
          <w:rFonts w:hint="eastAsia" w:asciiTheme="minorEastAsia" w:hAnsiTheme="minorEastAsia" w:eastAsiaTheme="minorEastAsia" w:cstheme="minorEastAsia"/>
          <w:sz w:val="28"/>
          <w:szCs w:val="28"/>
          <w:highlight w:val="yellow"/>
          <w:lang w:val="zh-TW"/>
        </w:rPr>
        <w:t>10%；</w:t>
      </w:r>
    </w:p>
    <w:p>
      <w:pPr>
        <w:numPr>
          <w:ilvl w:val="1"/>
          <w:numId w:val="4"/>
        </w:numPr>
        <w:spacing w:line="360" w:lineRule="auto"/>
        <w:rPr>
          <w:rFonts w:asciiTheme="minorEastAsia" w:hAnsiTheme="minorEastAsia" w:eastAsiaTheme="minorEastAsia" w:cstheme="minorEastAsia"/>
          <w:sz w:val="28"/>
          <w:szCs w:val="28"/>
          <w:highlight w:val="yellow"/>
          <w:lang w:val="zh-TW"/>
        </w:rPr>
      </w:pPr>
      <w:r>
        <w:rPr>
          <w:rFonts w:hint="eastAsia" w:asciiTheme="minorEastAsia" w:hAnsiTheme="minorEastAsia" w:eastAsiaTheme="minorEastAsia" w:cstheme="minorEastAsia"/>
          <w:sz w:val="28"/>
          <w:szCs w:val="28"/>
          <w:highlight w:val="yellow"/>
          <w:lang w:val="zh-TW"/>
        </w:rPr>
        <w:t>D级--得分60-70分，扣除</w:t>
      </w:r>
      <w:r>
        <w:rPr>
          <w:rFonts w:hint="eastAsia" w:asciiTheme="minorEastAsia" w:hAnsiTheme="minorEastAsia" w:eastAsiaTheme="minorEastAsia" w:cstheme="minorEastAsia"/>
          <w:sz w:val="28"/>
          <w:szCs w:val="28"/>
          <w:highlight w:val="yellow"/>
        </w:rPr>
        <w:t>季度服务</w:t>
      </w:r>
      <w:r>
        <w:rPr>
          <w:rFonts w:hint="eastAsia" w:asciiTheme="minorEastAsia" w:hAnsiTheme="minorEastAsia" w:eastAsiaTheme="minorEastAsia" w:cstheme="minorEastAsia"/>
          <w:sz w:val="28"/>
          <w:szCs w:val="28"/>
          <w:highlight w:val="yellow"/>
          <w:lang w:val="zh-TW"/>
        </w:rPr>
        <w:t>费</w:t>
      </w:r>
      <w:r>
        <w:rPr>
          <w:rFonts w:hint="eastAsia" w:asciiTheme="minorEastAsia" w:hAnsiTheme="minorEastAsia" w:eastAsiaTheme="minorEastAsia" w:cstheme="minorEastAsia"/>
          <w:sz w:val="28"/>
          <w:szCs w:val="28"/>
          <w:highlight w:val="yellow"/>
        </w:rPr>
        <w:t>的3</w:t>
      </w:r>
      <w:r>
        <w:rPr>
          <w:rFonts w:hint="eastAsia" w:asciiTheme="minorEastAsia" w:hAnsiTheme="minorEastAsia" w:eastAsiaTheme="minorEastAsia" w:cstheme="minorEastAsia"/>
          <w:sz w:val="28"/>
          <w:szCs w:val="28"/>
          <w:highlight w:val="yellow"/>
          <w:lang w:val="zh-TW"/>
        </w:rPr>
        <w:t>0%。</w:t>
      </w:r>
    </w:p>
    <w:p>
      <w:pPr>
        <w:numPr>
          <w:ilvl w:val="1"/>
          <w:numId w:val="4"/>
        </w:numPr>
        <w:spacing w:line="360" w:lineRule="auto"/>
        <w:rPr>
          <w:rFonts w:asciiTheme="minorEastAsia" w:hAnsiTheme="minorEastAsia" w:eastAsiaTheme="minorEastAsia" w:cstheme="minorEastAsia"/>
          <w:sz w:val="28"/>
          <w:szCs w:val="28"/>
          <w:highlight w:val="yellow"/>
          <w:lang w:val="zh-TW"/>
        </w:rPr>
      </w:pPr>
      <w:r>
        <w:rPr>
          <w:rFonts w:hint="eastAsia" w:asciiTheme="minorEastAsia" w:hAnsiTheme="minorEastAsia" w:eastAsiaTheme="minorEastAsia" w:cstheme="minorEastAsia"/>
          <w:sz w:val="28"/>
          <w:szCs w:val="28"/>
          <w:highlight w:val="yellow"/>
          <w:lang w:val="zh-TW"/>
        </w:rPr>
        <w:t>E级--得分60分以下，扣除</w:t>
      </w:r>
      <w:r>
        <w:rPr>
          <w:rFonts w:hint="eastAsia" w:asciiTheme="minorEastAsia" w:hAnsiTheme="minorEastAsia" w:eastAsiaTheme="minorEastAsia" w:cstheme="minorEastAsia"/>
          <w:sz w:val="28"/>
          <w:szCs w:val="28"/>
          <w:highlight w:val="yellow"/>
        </w:rPr>
        <w:t>季度</w:t>
      </w:r>
      <w:r>
        <w:rPr>
          <w:rFonts w:hint="eastAsia" w:asciiTheme="minorEastAsia" w:hAnsiTheme="minorEastAsia" w:eastAsiaTheme="minorEastAsia" w:cstheme="minorEastAsia"/>
          <w:sz w:val="28"/>
          <w:szCs w:val="28"/>
          <w:highlight w:val="yellow"/>
          <w:lang w:val="zh-TW"/>
        </w:rPr>
        <w:t>服务费</w:t>
      </w:r>
      <w:r>
        <w:rPr>
          <w:rFonts w:hint="eastAsia" w:asciiTheme="minorEastAsia" w:hAnsiTheme="minorEastAsia" w:eastAsiaTheme="minorEastAsia" w:cstheme="minorEastAsia"/>
          <w:sz w:val="28"/>
          <w:szCs w:val="28"/>
          <w:highlight w:val="yellow"/>
        </w:rPr>
        <w:t>的60</w:t>
      </w:r>
      <w:r>
        <w:rPr>
          <w:rFonts w:hint="eastAsia" w:asciiTheme="minorEastAsia" w:hAnsiTheme="minorEastAsia" w:eastAsiaTheme="minorEastAsia" w:cstheme="minorEastAsia"/>
          <w:sz w:val="28"/>
          <w:szCs w:val="28"/>
          <w:highlight w:val="yellow"/>
          <w:lang w:val="zh-TW"/>
        </w:rPr>
        <w:t>%。</w:t>
      </w:r>
    </w:p>
    <w:p>
      <w:pPr>
        <w:rPr>
          <w:rFonts w:asciiTheme="minorEastAsia" w:hAnsiTheme="minorEastAsia" w:eastAsiaTheme="minorEastAsia" w:cstheme="minorEastAsia"/>
          <w:highlight w:val="yellow"/>
        </w:rPr>
      </w:pPr>
    </w:p>
    <w:tbl>
      <w:tblPr>
        <w:tblStyle w:val="8"/>
        <w:tblW w:w="83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3"/>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384" w:type="dxa"/>
            <w:gridSpan w:val="2"/>
            <w:vAlign w:val="center"/>
          </w:tcPr>
          <w:p>
            <w:pPr>
              <w:spacing w:line="360" w:lineRule="auto"/>
              <w:jc w:val="center"/>
              <w:rPr>
                <w:rFonts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color w:val="000000" w:themeColor="text1"/>
                <w:sz w:val="28"/>
                <w:szCs w:val="28"/>
                <w:highlight w:val="yellow"/>
                <w:shd w:val="clear" w:color="auto" w:fill="FFFFFF" w:themeFill="background1"/>
                <w14:textFill>
                  <w14:solidFill>
                    <w14:schemeClr w14:val="tx1"/>
                  </w14:solidFill>
                </w14:textFill>
              </w:rPr>
              <w:t>从100分开始扣分，具体考核扣分标准如下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413" w:type="dxa"/>
            <w:vAlign w:val="center"/>
          </w:tcPr>
          <w:p>
            <w:pPr>
              <w:spacing w:line="360" w:lineRule="auto"/>
              <w:rPr>
                <w:rFonts w:asciiTheme="minorEastAsia" w:hAnsiTheme="minorEastAsia" w:eastAsiaTheme="minorEastAsia" w:cstheme="minorEastAsia"/>
                <w:sz w:val="28"/>
                <w:szCs w:val="28"/>
                <w:highlight w:val="yellow"/>
                <w:lang w:val="zh-TW"/>
              </w:rPr>
            </w:pPr>
            <w:r>
              <w:rPr>
                <w:rFonts w:hint="eastAsia" w:asciiTheme="minorEastAsia" w:hAnsiTheme="minorEastAsia" w:eastAsiaTheme="minorEastAsia" w:cstheme="minorEastAsia"/>
                <w:sz w:val="28"/>
                <w:szCs w:val="28"/>
                <w:highlight w:val="yellow"/>
                <w:lang w:val="zh-TW"/>
              </w:rPr>
              <w:t>考核内容</w:t>
            </w:r>
          </w:p>
        </w:tc>
        <w:tc>
          <w:tcPr>
            <w:tcW w:w="1971" w:type="dxa"/>
            <w:vAlign w:val="center"/>
          </w:tcPr>
          <w:p>
            <w:pPr>
              <w:spacing w:line="360" w:lineRule="auto"/>
              <w:jc w:val="center"/>
              <w:rPr>
                <w:rFonts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lang w:val="zh-TW"/>
              </w:rPr>
              <w:t>扣罚</w:t>
            </w:r>
            <w:r>
              <w:rPr>
                <w:rFonts w:hint="eastAsia" w:asciiTheme="minorEastAsia" w:hAnsiTheme="minorEastAsia" w:eastAsiaTheme="minorEastAsia" w:cstheme="minorEastAsia"/>
                <w:sz w:val="28"/>
                <w:szCs w:val="28"/>
                <w:highlight w:val="yellow"/>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6413" w:type="dxa"/>
            <w:vAlign w:val="center"/>
          </w:tcPr>
          <w:p>
            <w:pPr>
              <w:spacing w:line="360" w:lineRule="auto"/>
              <w:rPr>
                <w:rFonts w:asciiTheme="minorEastAsia" w:hAnsiTheme="minorEastAsia" w:eastAsiaTheme="minorEastAsia" w:cstheme="minorEastAsia"/>
                <w:sz w:val="28"/>
                <w:szCs w:val="28"/>
                <w:lang w:val="zh-TW"/>
              </w:rPr>
            </w:pPr>
            <w:r>
              <w:rPr>
                <w:rFonts w:hint="eastAsia" w:asciiTheme="minorEastAsia" w:hAnsiTheme="minorEastAsia" w:eastAsiaTheme="minorEastAsia" w:cstheme="minorEastAsia"/>
                <w:sz w:val="28"/>
                <w:szCs w:val="28"/>
                <w:lang w:val="zh-TW"/>
              </w:rPr>
              <w:t>电话咨询不能及时联系到服务人员1次</w:t>
            </w:r>
          </w:p>
        </w:tc>
        <w:tc>
          <w:tcPr>
            <w:tcW w:w="197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6413" w:type="dxa"/>
            <w:vAlign w:val="center"/>
          </w:tcPr>
          <w:p>
            <w:pPr>
              <w:spacing w:line="360" w:lineRule="auto"/>
              <w:rPr>
                <w:rFonts w:asciiTheme="minorEastAsia" w:hAnsiTheme="minorEastAsia" w:eastAsiaTheme="minorEastAsia" w:cstheme="minorEastAsia"/>
                <w:sz w:val="28"/>
                <w:szCs w:val="28"/>
                <w:lang w:val="zh-TW"/>
              </w:rPr>
            </w:pPr>
            <w:r>
              <w:rPr>
                <w:rFonts w:hint="eastAsia" w:asciiTheme="minorEastAsia" w:hAnsiTheme="minorEastAsia" w:eastAsiaTheme="minorEastAsia" w:cstheme="minorEastAsia"/>
                <w:sz w:val="28"/>
                <w:szCs w:val="28"/>
                <w:lang w:val="zh-TW"/>
              </w:rPr>
              <w:t>远程服务不能按照要求回复问题1次</w:t>
            </w:r>
          </w:p>
        </w:tc>
        <w:tc>
          <w:tcPr>
            <w:tcW w:w="1971" w:type="dxa"/>
            <w:vAlign w:val="center"/>
          </w:tcPr>
          <w:p>
            <w:pPr>
              <w:spacing w:line="360" w:lineRule="auto"/>
              <w:jc w:val="center"/>
              <w:rPr>
                <w:rFonts w:asciiTheme="minorEastAsia" w:hAnsiTheme="minorEastAsia" w:eastAsiaTheme="minorEastAsia" w:cstheme="minorEastAsia"/>
                <w:sz w:val="28"/>
                <w:szCs w:val="28"/>
                <w:lang w:val="zh-TW"/>
              </w:rPr>
            </w:pPr>
            <w:r>
              <w:rPr>
                <w:rFonts w:hint="eastAsia" w:asciiTheme="minorEastAsia" w:hAnsiTheme="minorEastAsia" w:eastAsiaTheme="minorEastAsia" w:cstheme="min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6413" w:type="dxa"/>
            <w:vAlign w:val="center"/>
          </w:tcPr>
          <w:p>
            <w:pPr>
              <w:spacing w:line="360" w:lineRule="auto"/>
              <w:rPr>
                <w:rFonts w:asciiTheme="minorEastAsia" w:hAnsiTheme="minorEastAsia" w:eastAsiaTheme="minorEastAsia" w:cstheme="minorEastAsia"/>
                <w:sz w:val="28"/>
                <w:szCs w:val="28"/>
                <w:lang w:val="zh-TW"/>
              </w:rPr>
            </w:pPr>
            <w:r>
              <w:rPr>
                <w:rFonts w:hint="eastAsia" w:asciiTheme="minorEastAsia" w:hAnsiTheme="minorEastAsia" w:eastAsiaTheme="minorEastAsia" w:cstheme="minorEastAsia"/>
                <w:sz w:val="28"/>
                <w:szCs w:val="28"/>
                <w:lang w:val="zh-TW"/>
              </w:rPr>
              <w:t>服务不能按时</w:t>
            </w:r>
            <w:r>
              <w:rPr>
                <w:rFonts w:hint="eastAsia" w:asciiTheme="minorEastAsia" w:hAnsiTheme="minorEastAsia" w:eastAsiaTheme="minorEastAsia" w:cstheme="minorEastAsia"/>
                <w:sz w:val="28"/>
                <w:szCs w:val="28"/>
              </w:rPr>
              <w:t>响应</w:t>
            </w:r>
            <w:r>
              <w:rPr>
                <w:rFonts w:hint="eastAsia" w:asciiTheme="minorEastAsia" w:hAnsiTheme="minorEastAsia" w:eastAsiaTheme="minorEastAsia" w:cstheme="minorEastAsia"/>
                <w:sz w:val="28"/>
                <w:szCs w:val="28"/>
                <w:lang w:val="zh-TW"/>
              </w:rPr>
              <w:t>1次</w:t>
            </w:r>
          </w:p>
        </w:tc>
        <w:tc>
          <w:tcPr>
            <w:tcW w:w="197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6413" w:type="dxa"/>
            <w:vAlign w:val="center"/>
          </w:tcPr>
          <w:p>
            <w:pPr>
              <w:spacing w:line="360" w:lineRule="auto"/>
              <w:rPr>
                <w:rFonts w:asciiTheme="minorEastAsia" w:hAnsiTheme="minorEastAsia" w:eastAsiaTheme="minorEastAsia" w:cstheme="minorEastAsia"/>
                <w:sz w:val="28"/>
                <w:szCs w:val="28"/>
                <w:lang w:val="zh-TW"/>
              </w:rPr>
            </w:pPr>
            <w:r>
              <w:rPr>
                <w:rFonts w:hint="eastAsia" w:asciiTheme="minorEastAsia" w:hAnsiTheme="minorEastAsia" w:eastAsiaTheme="minorEastAsia" w:cstheme="minorEastAsia"/>
                <w:sz w:val="28"/>
                <w:szCs w:val="28"/>
                <w:lang w:val="zh-TW"/>
              </w:rPr>
              <w:t>紧急响应不能按时</w:t>
            </w:r>
            <w:r>
              <w:rPr>
                <w:rFonts w:hint="eastAsia" w:asciiTheme="minorEastAsia" w:hAnsiTheme="minorEastAsia" w:eastAsiaTheme="minorEastAsia" w:cstheme="minorEastAsia"/>
                <w:sz w:val="28"/>
                <w:szCs w:val="28"/>
              </w:rPr>
              <w:t>响应</w:t>
            </w:r>
            <w:r>
              <w:rPr>
                <w:rFonts w:hint="eastAsia" w:asciiTheme="minorEastAsia" w:hAnsiTheme="minorEastAsia" w:eastAsiaTheme="minorEastAsia" w:cstheme="minorEastAsia"/>
                <w:sz w:val="28"/>
                <w:szCs w:val="28"/>
                <w:lang w:val="zh-TW"/>
              </w:rPr>
              <w:t>1次</w:t>
            </w:r>
          </w:p>
        </w:tc>
        <w:tc>
          <w:tcPr>
            <w:tcW w:w="197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6413" w:type="dxa"/>
            <w:vAlign w:val="center"/>
          </w:tcPr>
          <w:p>
            <w:pPr>
              <w:spacing w:line="360" w:lineRule="auto"/>
              <w:rPr>
                <w:rFonts w:asciiTheme="minorEastAsia" w:hAnsiTheme="minorEastAsia" w:eastAsiaTheme="minorEastAsia" w:cstheme="minorEastAsia"/>
                <w:sz w:val="28"/>
                <w:szCs w:val="28"/>
                <w:lang w:val="zh-TW"/>
              </w:rPr>
            </w:pPr>
            <w:r>
              <w:rPr>
                <w:rFonts w:hint="eastAsia" w:asciiTheme="minorEastAsia" w:hAnsiTheme="minorEastAsia" w:eastAsiaTheme="minorEastAsia" w:cstheme="minorEastAsia"/>
                <w:sz w:val="28"/>
                <w:szCs w:val="28"/>
                <w:lang w:val="zh-TW"/>
              </w:rPr>
              <w:t>紧急响应的工程师无故拖延故障修复时间1次</w:t>
            </w:r>
          </w:p>
        </w:tc>
        <w:tc>
          <w:tcPr>
            <w:tcW w:w="1971" w:type="dxa"/>
            <w:vAlign w:val="center"/>
          </w:tcPr>
          <w:p>
            <w:pPr>
              <w:spacing w:line="360" w:lineRule="auto"/>
              <w:jc w:val="center"/>
              <w:rPr>
                <w:rFonts w:asciiTheme="minorEastAsia" w:hAnsiTheme="minorEastAsia" w:eastAsiaTheme="minorEastAsia" w:cstheme="minorEastAsia"/>
                <w:sz w:val="28"/>
                <w:szCs w:val="28"/>
                <w:lang w:val="zh-TW"/>
              </w:rPr>
            </w:pPr>
            <w:r>
              <w:rPr>
                <w:rFonts w:hint="eastAsia" w:asciiTheme="minorEastAsia" w:hAnsiTheme="minorEastAsia" w:eastAsiaTheme="minorEastAsia" w:cstheme="min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6413" w:type="dxa"/>
            <w:vAlign w:val="center"/>
          </w:tcPr>
          <w:p>
            <w:pPr>
              <w:spacing w:line="360" w:lineRule="auto"/>
              <w:rPr>
                <w:rFonts w:asciiTheme="minorEastAsia" w:hAnsiTheme="minorEastAsia" w:eastAsiaTheme="minorEastAsia" w:cstheme="minorEastAsia"/>
                <w:sz w:val="28"/>
                <w:szCs w:val="28"/>
                <w:lang w:val="zh-TW"/>
              </w:rPr>
            </w:pPr>
            <w:r>
              <w:rPr>
                <w:rFonts w:hint="eastAsia" w:asciiTheme="minorEastAsia" w:hAnsiTheme="minorEastAsia" w:eastAsiaTheme="minorEastAsia" w:cstheme="minorEastAsia"/>
                <w:sz w:val="28"/>
                <w:szCs w:val="28"/>
                <w:lang w:val="zh-TW"/>
              </w:rPr>
              <w:t>项目</w:t>
            </w:r>
            <w:r>
              <w:rPr>
                <w:rFonts w:hint="eastAsia" w:asciiTheme="minorEastAsia" w:hAnsiTheme="minorEastAsia" w:eastAsiaTheme="minorEastAsia" w:cstheme="minorEastAsia"/>
                <w:sz w:val="28"/>
                <w:szCs w:val="28"/>
              </w:rPr>
              <w:t>交付</w:t>
            </w:r>
            <w:r>
              <w:rPr>
                <w:rFonts w:hint="eastAsia" w:asciiTheme="minorEastAsia" w:hAnsiTheme="minorEastAsia" w:eastAsiaTheme="minorEastAsia" w:cstheme="minorEastAsia"/>
                <w:sz w:val="28"/>
                <w:szCs w:val="28"/>
                <w:lang w:val="zh-TW"/>
              </w:rPr>
              <w:t>滞后于计划</w:t>
            </w:r>
          </w:p>
        </w:tc>
        <w:tc>
          <w:tcPr>
            <w:tcW w:w="1971" w:type="dxa"/>
            <w:vAlign w:val="center"/>
          </w:tcPr>
          <w:p>
            <w:pPr>
              <w:spacing w:line="360" w:lineRule="auto"/>
              <w:jc w:val="center"/>
              <w:rPr>
                <w:rFonts w:asciiTheme="minorEastAsia" w:hAnsiTheme="minorEastAsia" w:eastAsiaTheme="minorEastAsia" w:cstheme="minorEastAsia"/>
                <w:sz w:val="28"/>
                <w:szCs w:val="28"/>
                <w:lang w:val="zh-TW"/>
              </w:rPr>
            </w:pPr>
            <w:r>
              <w:rPr>
                <w:rFonts w:hint="eastAsia" w:asciiTheme="minorEastAsia" w:hAnsiTheme="minorEastAsia" w:eastAsiaTheme="minorEastAsia" w:cstheme="min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6413" w:type="dxa"/>
            <w:vAlign w:val="center"/>
          </w:tcPr>
          <w:p>
            <w:pPr>
              <w:spacing w:line="360" w:lineRule="auto"/>
              <w:rPr>
                <w:rFonts w:asciiTheme="minorEastAsia" w:hAnsiTheme="minorEastAsia" w:eastAsiaTheme="minorEastAsia" w:cstheme="minorEastAsia"/>
                <w:sz w:val="28"/>
                <w:szCs w:val="28"/>
                <w:lang w:val="zh-TW"/>
              </w:rPr>
            </w:pPr>
            <w:r>
              <w:rPr>
                <w:rFonts w:hint="eastAsia" w:asciiTheme="minorEastAsia" w:hAnsiTheme="minorEastAsia" w:eastAsiaTheme="minorEastAsia" w:cstheme="minorEastAsia"/>
                <w:sz w:val="28"/>
                <w:szCs w:val="28"/>
                <w:lang w:val="zh-TW"/>
              </w:rPr>
              <w:t>处理遗留问题的工程师不了解系统的故障情况1次</w:t>
            </w:r>
          </w:p>
        </w:tc>
        <w:tc>
          <w:tcPr>
            <w:tcW w:w="197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6413" w:type="dxa"/>
            <w:vAlign w:val="center"/>
          </w:tcPr>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TW"/>
              </w:rPr>
              <w:t>瞒报、漏报安全信息</w:t>
            </w:r>
            <w:r>
              <w:rPr>
                <w:rFonts w:hint="eastAsia" w:asciiTheme="minorEastAsia" w:hAnsiTheme="minorEastAsia" w:eastAsiaTheme="minorEastAsia" w:cstheme="minorEastAsia"/>
                <w:sz w:val="28"/>
                <w:szCs w:val="28"/>
              </w:rPr>
              <w:t>被约谈</w:t>
            </w:r>
            <w:r>
              <w:rPr>
                <w:rFonts w:hint="eastAsia" w:asciiTheme="minorEastAsia" w:hAnsiTheme="minorEastAsia" w:eastAsiaTheme="minorEastAsia" w:cstheme="minorEastAsia"/>
                <w:sz w:val="28"/>
                <w:szCs w:val="28"/>
                <w:lang w:val="zh-TW"/>
              </w:rPr>
              <w:t>1次</w:t>
            </w:r>
          </w:p>
        </w:tc>
        <w:tc>
          <w:tcPr>
            <w:tcW w:w="197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6413" w:type="dxa"/>
            <w:vAlign w:val="center"/>
          </w:tcPr>
          <w:p>
            <w:pPr>
              <w:spacing w:line="360" w:lineRule="auto"/>
              <w:rPr>
                <w:rFonts w:asciiTheme="minorEastAsia" w:hAnsiTheme="minorEastAsia" w:eastAsiaTheme="minorEastAsia" w:cstheme="minorEastAsia"/>
                <w:sz w:val="28"/>
                <w:szCs w:val="28"/>
                <w:lang w:val="zh-TW"/>
              </w:rPr>
            </w:pPr>
            <w:r>
              <w:rPr>
                <w:rFonts w:hint="eastAsia" w:asciiTheme="minorEastAsia" w:hAnsiTheme="minorEastAsia" w:eastAsiaTheme="minorEastAsia" w:cstheme="minorEastAsia"/>
                <w:sz w:val="28"/>
                <w:szCs w:val="28"/>
                <w:lang w:val="zh-TW"/>
              </w:rPr>
              <w:t>防护网站被篡改、数据泄露或被上级管理部门通报整改</w:t>
            </w:r>
          </w:p>
        </w:tc>
        <w:tc>
          <w:tcPr>
            <w:tcW w:w="197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r>
    </w:tbl>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5.3 考核扣分争议解决</w:t>
      </w:r>
    </w:p>
    <w:p>
      <w:pPr>
        <w:spacing w:line="360" w:lineRule="auto"/>
        <w:ind w:firstLine="560" w:firstLineChars="200"/>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乙方如果对考核内容有争议，应在收到考核结果后3个工作日内以书面形式向甲方提出理由。如果乙方在规定的时限内未以书面形式提出理由则视为乙方认可考核结果。</w:t>
      </w:r>
    </w:p>
    <w:p>
      <w:pPr>
        <w:spacing w:line="360" w:lineRule="auto"/>
        <w:ind w:firstLine="560" w:firstLineChars="200"/>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5.4 考核</w:t>
      </w:r>
      <w:r>
        <w:rPr>
          <w:rFonts w:hint="eastAsia" w:asciiTheme="minorEastAsia" w:hAnsiTheme="minorEastAsia" w:eastAsiaTheme="minorEastAsia" w:cstheme="minorEastAsia"/>
          <w:sz w:val="28"/>
          <w:szCs w:val="28"/>
          <w:lang w:val="zh-CN"/>
        </w:rPr>
        <w:t>处置</w:t>
      </w:r>
    </w:p>
    <w:p>
      <w:pPr>
        <w:spacing w:line="360" w:lineRule="auto"/>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 xml:space="preserve">   乙方对甲方服务考核结果的处置有疑义的，可以协商解决，但不得以此为由停止或怠于履行合同义务。</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5.5 技术服务工作成果的验收方法： 甲方项目负责人签字确认。</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5.6验收的时间和地点：乙方按需完成服务后，7工作日内进行验收；验收地点为重庆机场集团有限公司。</w:t>
      </w:r>
    </w:p>
    <w:p>
      <w:pPr>
        <w:spacing w:line="360" w:lineRule="auto"/>
        <w:rPr>
          <w:rFonts w:asciiTheme="majorEastAsia" w:hAnsiTheme="majorEastAsia" w:eastAsiaTheme="majorEastAsia" w:cstheme="majorEastAsia"/>
          <w:b/>
          <w:bCs/>
          <w:color w:val="000000"/>
          <w:sz w:val="28"/>
          <w:szCs w:val="28"/>
        </w:rPr>
      </w:pPr>
    </w:p>
    <w:p>
      <w:pPr>
        <w:spacing w:line="360" w:lineRule="auto"/>
        <w:rPr>
          <w:rFonts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rPr>
        <w:t>第六条 服务成果归属与分享</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双方约定，履行本合同所形成的成果所涉及的相关知识产权归属甲方。</w:t>
      </w:r>
    </w:p>
    <w:p>
      <w:pPr>
        <w:spacing w:line="360" w:lineRule="auto"/>
        <w:rPr>
          <w:rFonts w:asciiTheme="majorEastAsia" w:hAnsiTheme="majorEastAsia" w:eastAsiaTheme="majorEastAsia" w:cstheme="majorEastAsia"/>
          <w:b/>
          <w:bCs/>
          <w:color w:val="000000"/>
          <w:sz w:val="28"/>
          <w:szCs w:val="28"/>
        </w:rPr>
      </w:pPr>
    </w:p>
    <w:p>
      <w:pPr>
        <w:spacing w:line="360" w:lineRule="auto"/>
        <w:rPr>
          <w:rFonts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rPr>
        <w:t>第七条 违约责任：</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7.1甲方的违约责任</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1）甲方未按照合同约定提供必要的数据和资料，或者迟延提供合同约定的数据和资料，或者所提供的数据、资料有严重缺陷，影响工作进度和质量的，未付的报酬应当如数支付，并相应顺延服务成果交付时间；</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（2）甲方未按期支付报酬的，应当断续支付，每逾期一日，按应付未付金额的万分之一计付违约金；</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（3）甲方无故不提供技术资料、数据和工作条件，导致乙方无法开展工作的，乙方有权解除合同。</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7.2乙方的违约责任</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（1）乙方未按期提供服务成果，应当减收或者免收报酬，且每逾期一日，按合同总金额的万分之一计付违约金；如乙方逾期</w:t>
      </w:r>
      <w:r>
        <w:rPr>
          <w:rFonts w:hint="eastAsia" w:asciiTheme="majorEastAsia" w:hAnsiTheme="majorEastAsia" w:eastAsiaTheme="majorEastAsia" w:cstheme="majorEastAsia"/>
          <w:color w:val="000000"/>
          <w:sz w:val="28"/>
          <w:szCs w:val="28"/>
          <w:u w:val="single"/>
        </w:rPr>
        <w:t xml:space="preserve"> 三十 </w:t>
      </w:r>
      <w:r>
        <w:rPr>
          <w:rFonts w:hint="eastAsia" w:asciiTheme="majorEastAsia" w:hAnsiTheme="majorEastAsia" w:eastAsiaTheme="majorEastAsia" w:cstheme="majorEastAsia"/>
          <w:color w:val="000000"/>
          <w:sz w:val="28"/>
          <w:szCs w:val="28"/>
        </w:rPr>
        <w:t>日仍未提交服务成果，甲方有权解除合同；</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（2）乙方所提交的服务成果不符合合同约定，或未通过验收的，甲方可拒付报酬，并有权要求乙方按合同总额</w:t>
      </w:r>
      <w:r>
        <w:rPr>
          <w:rFonts w:hint="eastAsia" w:asciiTheme="majorEastAsia" w:hAnsiTheme="majorEastAsia" w:eastAsiaTheme="majorEastAsia" w:cstheme="majorEastAsia"/>
          <w:color w:val="000000"/>
          <w:sz w:val="28"/>
          <w:szCs w:val="28"/>
          <w:u w:val="single"/>
        </w:rPr>
        <w:t xml:space="preserve"> 30% </w:t>
      </w:r>
      <w:r>
        <w:rPr>
          <w:rFonts w:hint="eastAsia" w:asciiTheme="majorEastAsia" w:hAnsiTheme="majorEastAsia" w:eastAsiaTheme="majorEastAsia" w:cstheme="majorEastAsia"/>
          <w:color w:val="000000"/>
          <w:sz w:val="28"/>
          <w:szCs w:val="28"/>
        </w:rPr>
        <w:softHyphen/>
      </w:r>
      <w:r>
        <w:rPr>
          <w:rFonts w:hint="eastAsia" w:asciiTheme="majorEastAsia" w:hAnsiTheme="majorEastAsia" w:eastAsiaTheme="majorEastAsia" w:cstheme="majorEastAsia"/>
          <w:color w:val="000000"/>
          <w:sz w:val="28"/>
          <w:szCs w:val="28"/>
        </w:rPr>
        <w:softHyphen/>
      </w:r>
      <w:r>
        <w:rPr>
          <w:rFonts w:hint="eastAsia" w:asciiTheme="majorEastAsia" w:hAnsiTheme="majorEastAsia" w:eastAsiaTheme="majorEastAsia" w:cstheme="majorEastAsia"/>
          <w:color w:val="000000"/>
          <w:sz w:val="28"/>
          <w:szCs w:val="28"/>
        </w:rPr>
        <w:t>支付违约金；</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（3）乙方在接到甲方提交的技术资料和数据之日起</w:t>
      </w:r>
      <w:r>
        <w:rPr>
          <w:rFonts w:hint="eastAsia" w:asciiTheme="majorEastAsia" w:hAnsiTheme="majorEastAsia" w:eastAsiaTheme="majorEastAsia" w:cstheme="majorEastAsia"/>
          <w:color w:val="000000"/>
          <w:sz w:val="28"/>
          <w:szCs w:val="28"/>
          <w:u w:val="single"/>
        </w:rPr>
        <w:t> 三十 </w:t>
      </w:r>
      <w:r>
        <w:rPr>
          <w:rFonts w:hint="eastAsia" w:asciiTheme="majorEastAsia" w:hAnsiTheme="majorEastAsia" w:eastAsiaTheme="majorEastAsia" w:cstheme="majorEastAsia"/>
          <w:color w:val="000000"/>
          <w:sz w:val="28"/>
          <w:szCs w:val="28"/>
        </w:rPr>
        <w:t>日内，不开展服务工作的，甲方有权解除合同，乙方应当返还已收的报酬，并有权要求乙方按合同总额</w:t>
      </w:r>
      <w:r>
        <w:rPr>
          <w:rFonts w:hint="eastAsia" w:asciiTheme="majorEastAsia" w:hAnsiTheme="majorEastAsia" w:eastAsiaTheme="majorEastAsia" w:cstheme="majorEastAsia"/>
          <w:color w:val="000000"/>
          <w:sz w:val="28"/>
          <w:szCs w:val="28"/>
          <w:u w:val="single"/>
        </w:rPr>
        <w:t> 30 </w:t>
      </w:r>
      <w:r>
        <w:rPr>
          <w:rFonts w:hint="eastAsia" w:asciiTheme="majorEastAsia" w:hAnsiTheme="majorEastAsia" w:eastAsiaTheme="majorEastAsia" w:cstheme="majorEastAsia"/>
          <w:color w:val="000000"/>
          <w:sz w:val="28"/>
          <w:szCs w:val="28"/>
        </w:rPr>
        <w:t>%支付违约金。</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第八条 双方确定，在本合同有效期内，甲方指定</w:t>
      </w:r>
      <w:r>
        <w:rPr>
          <w:rFonts w:hint="eastAsia" w:asciiTheme="majorEastAsia" w:hAnsiTheme="majorEastAsia" w:eastAsiaTheme="majorEastAsia" w:cstheme="majorEastAsia"/>
          <w:color w:val="000000"/>
          <w:sz w:val="28"/>
          <w:szCs w:val="28"/>
          <w:u w:val="single"/>
        </w:rPr>
        <w:t> 胡长虹  </w:t>
      </w:r>
      <w:r>
        <w:rPr>
          <w:rFonts w:hint="eastAsia" w:asciiTheme="majorEastAsia" w:hAnsiTheme="majorEastAsia" w:eastAsiaTheme="majorEastAsia" w:cstheme="majorEastAsia"/>
          <w:color w:val="000000"/>
          <w:sz w:val="28"/>
          <w:szCs w:val="28"/>
        </w:rPr>
        <w:t>为甲方项目联系人，乙方指定</w:t>
      </w:r>
      <w:r>
        <w:rPr>
          <w:rFonts w:hint="eastAsia" w:asciiTheme="majorEastAsia" w:hAnsiTheme="majorEastAsia" w:eastAsiaTheme="majorEastAsia" w:cstheme="majorEastAsia"/>
          <w:color w:val="000000"/>
          <w:sz w:val="28"/>
          <w:szCs w:val="28"/>
          <w:u w:val="single"/>
        </w:rPr>
        <w:t>        </w:t>
      </w:r>
      <w:r>
        <w:rPr>
          <w:rFonts w:hint="eastAsia" w:asciiTheme="majorEastAsia" w:hAnsiTheme="majorEastAsia" w:eastAsiaTheme="majorEastAsia" w:cstheme="majorEastAsia"/>
          <w:color w:val="000000"/>
          <w:sz w:val="28"/>
          <w:szCs w:val="28"/>
        </w:rPr>
        <w:t>为乙方项目联系人。项目联系人履行</w:t>
      </w:r>
      <w:r>
        <w:rPr>
          <w:rFonts w:hint="eastAsia" w:asciiTheme="majorEastAsia" w:hAnsiTheme="majorEastAsia" w:eastAsiaTheme="majorEastAsia" w:cstheme="majorEastAsia"/>
          <w:color w:val="000000"/>
          <w:sz w:val="28"/>
          <w:szCs w:val="28"/>
          <w:u w:val="single"/>
        </w:rPr>
        <w:t xml:space="preserve">                    </w:t>
      </w:r>
      <w:r>
        <w:rPr>
          <w:rFonts w:hint="eastAsia" w:asciiTheme="majorEastAsia" w:hAnsiTheme="majorEastAsia" w:eastAsiaTheme="majorEastAsia" w:cstheme="majorEastAsia"/>
          <w:color w:val="000000"/>
          <w:sz w:val="28"/>
          <w:szCs w:val="28"/>
        </w:rPr>
        <w:t>职责。</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一方变更项目联系人的，应当及时以书面形式通知另一方。未及时通知并影响本合同履行或造成损失的，应承担相应的责任。</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第九条</w:t>
      </w:r>
      <w:r>
        <w:rPr>
          <w:rFonts w:hint="eastAsia" w:asciiTheme="majorEastAsia" w:hAnsiTheme="majorEastAsia" w:eastAsiaTheme="majorEastAsia" w:cstheme="majorEastAsia"/>
          <w:b/>
          <w:bCs/>
          <w:color w:val="000000"/>
          <w:sz w:val="28"/>
          <w:szCs w:val="28"/>
        </w:rPr>
        <w:t xml:space="preserve"> </w:t>
      </w:r>
      <w:r>
        <w:rPr>
          <w:rFonts w:hint="eastAsia" w:asciiTheme="majorEastAsia" w:hAnsiTheme="majorEastAsia" w:eastAsiaTheme="majorEastAsia" w:cstheme="majorEastAsia"/>
          <w:color w:val="000000"/>
          <w:sz w:val="28"/>
          <w:szCs w:val="28"/>
        </w:rPr>
        <w:t>双方因履行本合同而发生的争议，应协商、调解解决。协商、调解不成的，确定按以下第</w:t>
      </w:r>
      <w:r>
        <w:rPr>
          <w:rFonts w:hint="eastAsia" w:asciiTheme="majorEastAsia" w:hAnsiTheme="majorEastAsia" w:eastAsiaTheme="majorEastAsia" w:cstheme="majorEastAsia"/>
          <w:color w:val="000000"/>
          <w:sz w:val="28"/>
          <w:szCs w:val="28"/>
          <w:u w:val="single"/>
        </w:rPr>
        <w:t>  2  </w:t>
      </w:r>
      <w:r>
        <w:rPr>
          <w:rFonts w:hint="eastAsia" w:asciiTheme="majorEastAsia" w:hAnsiTheme="majorEastAsia" w:eastAsiaTheme="majorEastAsia" w:cstheme="majorEastAsia"/>
          <w:color w:val="000000"/>
          <w:sz w:val="28"/>
          <w:szCs w:val="28"/>
        </w:rPr>
        <w:t>种方式处理：</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9.1提交</w:t>
      </w:r>
      <w:r>
        <w:rPr>
          <w:rFonts w:hint="eastAsia" w:asciiTheme="majorEastAsia" w:hAnsiTheme="majorEastAsia" w:eastAsiaTheme="majorEastAsia" w:cstheme="majorEastAsia"/>
          <w:color w:val="000000"/>
          <w:sz w:val="28"/>
          <w:szCs w:val="28"/>
          <w:u w:val="single"/>
        </w:rPr>
        <w:t>        </w:t>
      </w:r>
      <w:r>
        <w:rPr>
          <w:rFonts w:hint="eastAsia" w:asciiTheme="majorEastAsia" w:hAnsiTheme="majorEastAsia" w:eastAsiaTheme="majorEastAsia" w:cstheme="majorEastAsia"/>
          <w:color w:val="000000"/>
          <w:sz w:val="28"/>
          <w:szCs w:val="28"/>
        </w:rPr>
        <w:t>仲裁委员会仲裁；</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9.2依法向</w:t>
      </w:r>
      <w:r>
        <w:rPr>
          <w:rFonts w:hint="eastAsia" w:asciiTheme="majorEastAsia" w:hAnsiTheme="majorEastAsia" w:eastAsiaTheme="majorEastAsia" w:cstheme="majorEastAsia"/>
          <w:color w:val="000000"/>
          <w:sz w:val="28"/>
          <w:szCs w:val="28"/>
          <w:u w:val="single"/>
        </w:rPr>
        <w:t> 甲方所在地 </w:t>
      </w:r>
      <w:r>
        <w:rPr>
          <w:rFonts w:hint="eastAsia" w:asciiTheme="majorEastAsia" w:hAnsiTheme="majorEastAsia" w:eastAsiaTheme="majorEastAsia" w:cstheme="majorEastAsia"/>
          <w:color w:val="000000"/>
          <w:sz w:val="28"/>
          <w:szCs w:val="28"/>
        </w:rPr>
        <w:t>人民法院起诉。</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第十条 双方约定本合同其他相关事项为：</w:t>
      </w:r>
    </w:p>
    <w:p>
      <w:pPr>
        <w:widowControl/>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1、乙方不得向任何第三方提供或透露甲方的数据信息内容，但是根据中华人民共和国国家安全机构、公安部门等国家行政机关的要求或根据法律强制规定而披露的情形除外。</w:t>
      </w:r>
    </w:p>
    <w:p>
      <w:pPr>
        <w:widowControl/>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2、当甲方网站在乙方提供安全防护及加速服务期限内，如果网站遭受DDoS攻击、CC攻击等，乙方为保障甲方网站的可用性，将把甲方网站调度到满足甲方购买服务标准的乙方高防节点并提供相应的抗攻击服务。</w:t>
      </w:r>
    </w:p>
    <w:p>
      <w:pPr>
        <w:widowControl/>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3、如果甲方网站的数据信息内容违反中华人民共和国有关法律规定，乙方有权终止本合同且不承担违约责任。</w:t>
      </w:r>
    </w:p>
    <w:p>
      <w:pPr>
        <w:widowControl/>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4、乙方提供技术支持服务，以维护系统的正常运行。</w:t>
      </w:r>
    </w:p>
    <w:p>
      <w:pPr>
        <w:widowControl/>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5、任何一方对于因签署或履行本合同从而知悉的对方保密资料和信息（下称保密信息）均应在合同保密期限内保守秘密。未经对方当事人书面同意，任何一方不得将双方的合同内容和保密信息披露、提供或转让给任何第三方。本合同另有约定的除外。任何一方未履行本保密条款义务，均被视为违约。作为违约行为的一方应承担因自己的违约行为而给守约方造成的损失。</w:t>
      </w:r>
    </w:p>
    <w:p>
      <w:pPr>
        <w:widowControl/>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6、本合同有效期届满或终止后，如提供保密信息方向接受方提出书面要求，接收方应按要求将保密信息的任何本合同涉及的业务文件、资料、软件、客户资料交还提供方，或予以销毁。并且不得继续使用这些保密信息。</w:t>
      </w:r>
    </w:p>
    <w:p>
      <w:pPr>
        <w:spacing w:line="360" w:lineRule="auto"/>
        <w:rPr>
          <w:rFonts w:asciiTheme="majorEastAsia" w:hAnsiTheme="majorEastAsia" w:eastAsiaTheme="majorEastAsia" w:cstheme="majorEastAsia"/>
          <w:b/>
          <w:bCs/>
          <w:color w:val="000000"/>
          <w:sz w:val="28"/>
          <w:szCs w:val="28"/>
        </w:rPr>
      </w:pPr>
      <w:bookmarkStart w:id="5" w:name="_Hlk10152663"/>
      <w:r>
        <w:rPr>
          <w:rFonts w:hint="eastAsia" w:asciiTheme="majorEastAsia" w:hAnsiTheme="majorEastAsia" w:eastAsiaTheme="majorEastAsia" w:cstheme="majorEastAsia"/>
          <w:color w:val="000000"/>
          <w:sz w:val="28"/>
          <w:szCs w:val="28"/>
          <w:lang w:val="zh-TW"/>
        </w:rPr>
        <w:t>第十一条</w:t>
      </w:r>
      <w:r>
        <w:rPr>
          <w:rFonts w:hint="eastAsia" w:asciiTheme="majorEastAsia" w:hAnsiTheme="majorEastAsia" w:eastAsiaTheme="majorEastAsia" w:cstheme="majorEastAsia"/>
          <w:b/>
          <w:bCs/>
          <w:color w:val="000000"/>
          <w:sz w:val="28"/>
          <w:szCs w:val="28"/>
        </w:rPr>
        <w:t xml:space="preserve"> </w:t>
      </w:r>
      <w:r>
        <w:rPr>
          <w:rFonts w:hint="eastAsia" w:asciiTheme="majorEastAsia" w:hAnsiTheme="majorEastAsia" w:eastAsiaTheme="majorEastAsia" w:cstheme="majorEastAsia"/>
          <w:color w:val="000000"/>
          <w:sz w:val="28"/>
          <w:szCs w:val="28"/>
          <w:lang w:val="zh-TW"/>
        </w:rPr>
        <w:t>除本合同另有约定外，根据本合同发出的或与本合同有关的通知应以专人送达、传真、电子邮件或邮寄方式发送至以下地址：</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zh-TW"/>
        </w:rPr>
        <w:t>1</w:t>
      </w:r>
      <w:r>
        <w:rPr>
          <w:rFonts w:hint="eastAsia" w:asciiTheme="majorEastAsia" w:hAnsiTheme="majorEastAsia" w:eastAsiaTheme="majorEastAsia" w:cstheme="majorEastAsia"/>
          <w:color w:val="000000"/>
          <w:sz w:val="28"/>
          <w:szCs w:val="28"/>
        </w:rPr>
        <w:t>1</w:t>
      </w:r>
      <w:r>
        <w:rPr>
          <w:rFonts w:hint="eastAsia" w:asciiTheme="majorEastAsia" w:hAnsiTheme="majorEastAsia" w:eastAsiaTheme="majorEastAsia" w:cstheme="majorEastAsia"/>
          <w:color w:val="000000"/>
          <w:sz w:val="28"/>
          <w:szCs w:val="28"/>
          <w:lang w:val="zh-TW"/>
        </w:rPr>
        <w:t>.1甲方指定的联系方式包括：</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zh-TW"/>
        </w:rPr>
        <w:t>联系人：</w:t>
      </w:r>
      <w:r>
        <w:rPr>
          <w:rFonts w:hint="eastAsia" w:asciiTheme="majorEastAsia" w:hAnsiTheme="majorEastAsia" w:eastAsiaTheme="majorEastAsia" w:cstheme="majorEastAsia"/>
          <w:color w:val="000000"/>
          <w:sz w:val="28"/>
          <w:szCs w:val="28"/>
        </w:rPr>
        <w:t>胡长虹</w:t>
      </w:r>
      <w:r>
        <w:rPr>
          <w:rFonts w:hint="eastAsia" w:asciiTheme="majorEastAsia" w:hAnsiTheme="majorEastAsia" w:eastAsiaTheme="majorEastAsia" w:cstheme="majorEastAsia"/>
          <w:color w:val="000000"/>
          <w:sz w:val="28"/>
          <w:szCs w:val="28"/>
        </w:rPr>
        <w:tab/>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zh-TW"/>
        </w:rPr>
        <w:t>联系电话：</w:t>
      </w:r>
      <w:r>
        <w:rPr>
          <w:rFonts w:hint="eastAsia" w:asciiTheme="majorEastAsia" w:hAnsiTheme="majorEastAsia" w:eastAsiaTheme="majorEastAsia" w:cstheme="majorEastAsia"/>
          <w:color w:val="000000"/>
          <w:sz w:val="28"/>
          <w:szCs w:val="28"/>
        </w:rPr>
        <w:t>67153000</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zh-TW"/>
        </w:rPr>
        <w:t>通讯地址：</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zh-TW"/>
        </w:rPr>
        <w:t>电子邮件：</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zh-TW"/>
        </w:rPr>
        <w:t>乙方指定的联系方式包括：</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zh-TW"/>
        </w:rPr>
        <w:t>联系人：</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zh-TW"/>
        </w:rPr>
        <w:t>联系电话：</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zh-TW"/>
        </w:rPr>
        <w:t>通讯地址：</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zh-TW"/>
        </w:rPr>
        <w:t>电子邮件：</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11.2</w:t>
      </w:r>
      <w:r>
        <w:rPr>
          <w:rFonts w:hint="eastAsia" w:asciiTheme="majorEastAsia" w:hAnsiTheme="majorEastAsia" w:eastAsiaTheme="majorEastAsia" w:cstheme="majorEastAsia"/>
          <w:color w:val="000000"/>
          <w:sz w:val="28"/>
          <w:szCs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11.3</w:t>
      </w:r>
      <w:r>
        <w:rPr>
          <w:rFonts w:hint="eastAsia" w:asciiTheme="majorEastAsia" w:hAnsiTheme="majorEastAsia" w:eastAsiaTheme="majorEastAsia" w:cstheme="majorEastAsia"/>
          <w:color w:val="000000"/>
          <w:sz w:val="28"/>
          <w:szCs w:val="28"/>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11.4</w:t>
      </w:r>
      <w:r>
        <w:rPr>
          <w:rFonts w:hint="eastAsia" w:asciiTheme="majorEastAsia" w:hAnsiTheme="majorEastAsia" w:eastAsiaTheme="majorEastAsia" w:cstheme="majorEastAsia"/>
          <w:color w:val="000000"/>
          <w:sz w:val="28"/>
          <w:szCs w:val="28"/>
          <w:lang w:val="zh-TW"/>
        </w:rPr>
        <w:t>本合同任何一方可书面通知另一方变更其在本合同第</w:t>
      </w:r>
      <w:r>
        <w:rPr>
          <w:rFonts w:hint="eastAsia" w:asciiTheme="majorEastAsia" w:hAnsiTheme="majorEastAsia" w:eastAsiaTheme="majorEastAsia" w:cstheme="majorEastAsia"/>
          <w:color w:val="000000"/>
          <w:sz w:val="28"/>
          <w:szCs w:val="28"/>
        </w:rPr>
        <w:t>11.1</w:t>
      </w:r>
      <w:r>
        <w:rPr>
          <w:rFonts w:hint="eastAsia" w:asciiTheme="majorEastAsia" w:hAnsiTheme="majorEastAsia" w:eastAsiaTheme="majorEastAsia" w:cstheme="majorEastAsia"/>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5"/>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第十二条</w:t>
      </w:r>
      <w:r>
        <w:rPr>
          <w:rFonts w:hint="eastAsia" w:asciiTheme="majorEastAsia" w:hAnsiTheme="majorEastAsia" w:eastAsiaTheme="majorEastAsia" w:cstheme="majorEastAsia"/>
          <w:b/>
          <w:bCs/>
          <w:color w:val="000000"/>
          <w:sz w:val="28"/>
          <w:szCs w:val="28"/>
        </w:rPr>
        <w:t xml:space="preserve"> </w:t>
      </w:r>
      <w:r>
        <w:rPr>
          <w:rFonts w:hint="eastAsia" w:asciiTheme="majorEastAsia" w:hAnsiTheme="majorEastAsia" w:eastAsiaTheme="majorEastAsia" w:cstheme="majorEastAsia"/>
          <w:color w:val="000000"/>
          <w:sz w:val="28"/>
          <w:szCs w:val="28"/>
        </w:rPr>
        <w:t>本合同一式</w:t>
      </w:r>
      <w:r>
        <w:rPr>
          <w:rFonts w:hint="eastAsia" w:asciiTheme="majorEastAsia" w:hAnsiTheme="majorEastAsia" w:eastAsiaTheme="majorEastAsia" w:cstheme="majorEastAsia"/>
          <w:color w:val="000000"/>
          <w:sz w:val="28"/>
          <w:szCs w:val="28"/>
          <w:u w:val="single"/>
        </w:rPr>
        <w:t> 六 </w:t>
      </w:r>
      <w:r>
        <w:rPr>
          <w:rFonts w:hint="eastAsia" w:asciiTheme="majorEastAsia" w:hAnsiTheme="majorEastAsia" w:eastAsiaTheme="majorEastAsia" w:cstheme="majorEastAsia"/>
          <w:color w:val="000000"/>
          <w:sz w:val="28"/>
          <w:szCs w:val="28"/>
        </w:rPr>
        <w:t>份，甲方执</w:t>
      </w:r>
      <w:r>
        <w:rPr>
          <w:rFonts w:hint="eastAsia" w:asciiTheme="majorEastAsia" w:hAnsiTheme="majorEastAsia" w:eastAsiaTheme="majorEastAsia" w:cstheme="majorEastAsia"/>
          <w:color w:val="000000"/>
          <w:sz w:val="28"/>
          <w:szCs w:val="28"/>
          <w:u w:val="single"/>
        </w:rPr>
        <w:t xml:space="preserve"> 四 </w:t>
      </w:r>
      <w:r>
        <w:rPr>
          <w:rFonts w:hint="eastAsia" w:asciiTheme="majorEastAsia" w:hAnsiTheme="majorEastAsia" w:eastAsiaTheme="majorEastAsia" w:cstheme="majorEastAsia"/>
          <w:color w:val="000000"/>
          <w:sz w:val="28"/>
          <w:szCs w:val="28"/>
        </w:rPr>
        <w:t>份，乙方执</w:t>
      </w:r>
      <w:r>
        <w:rPr>
          <w:rFonts w:hint="eastAsia" w:asciiTheme="majorEastAsia" w:hAnsiTheme="majorEastAsia" w:eastAsiaTheme="majorEastAsia" w:cstheme="majorEastAsia"/>
          <w:color w:val="000000"/>
          <w:sz w:val="28"/>
          <w:szCs w:val="28"/>
          <w:u w:val="single"/>
        </w:rPr>
        <w:t> 贰 </w:t>
      </w:r>
      <w:r>
        <w:rPr>
          <w:rFonts w:hint="eastAsia" w:asciiTheme="majorEastAsia" w:hAnsiTheme="majorEastAsia" w:eastAsiaTheme="majorEastAsia" w:cstheme="majorEastAsia"/>
          <w:color w:val="000000"/>
          <w:sz w:val="28"/>
          <w:szCs w:val="28"/>
        </w:rPr>
        <w:t>份，具有同等法律效力。</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第十三条</w:t>
      </w:r>
      <w:r>
        <w:rPr>
          <w:rFonts w:hint="eastAsia" w:asciiTheme="majorEastAsia" w:hAnsiTheme="majorEastAsia" w:eastAsiaTheme="majorEastAsia" w:cstheme="majorEastAsia"/>
          <w:b/>
          <w:bCs/>
          <w:color w:val="000000"/>
          <w:sz w:val="28"/>
          <w:szCs w:val="28"/>
        </w:rPr>
        <w:t xml:space="preserve"> </w:t>
      </w:r>
      <w:r>
        <w:rPr>
          <w:rFonts w:hint="eastAsia" w:asciiTheme="majorEastAsia" w:hAnsiTheme="majorEastAsia" w:eastAsiaTheme="majorEastAsia" w:cstheme="majorEastAsia"/>
          <w:color w:val="000000"/>
          <w:sz w:val="28"/>
          <w:szCs w:val="28"/>
        </w:rPr>
        <w:t>本合同经双方代表签字盖章后，以最后签字日期为生效日。</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 xml:space="preserve">甲方（盖章）： </w:t>
      </w:r>
      <w:r>
        <w:rPr>
          <w:rFonts w:hint="eastAsia" w:asciiTheme="majorEastAsia" w:hAnsiTheme="majorEastAsia" w:eastAsiaTheme="majorEastAsia" w:cstheme="majorEastAsia"/>
          <w:b/>
          <w:bCs/>
          <w:color w:val="000000"/>
          <w:sz w:val="28"/>
          <w:szCs w:val="28"/>
        </w:rPr>
        <w:t>         </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法定代表人/授权代表（签字）：</w:t>
      </w:r>
    </w:p>
    <w:p>
      <w:pPr>
        <w:spacing w:line="360" w:lineRule="auto"/>
        <w:rPr>
          <w:rFonts w:asciiTheme="majorEastAsia" w:hAnsiTheme="majorEastAsia" w:eastAsiaTheme="majorEastAsia" w:cstheme="majorEastAsia"/>
          <w:color w:val="000000"/>
          <w:sz w:val="28"/>
          <w:szCs w:val="28"/>
        </w:rPr>
      </w:pP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乙方（盖章）：</w:t>
      </w:r>
      <w:r>
        <w:rPr>
          <w:rFonts w:hint="eastAsia" w:asciiTheme="majorEastAsia" w:hAnsiTheme="majorEastAsia" w:eastAsiaTheme="majorEastAsia" w:cstheme="majorEastAsia"/>
          <w:b/>
          <w:bCs/>
          <w:color w:val="000000"/>
          <w:sz w:val="28"/>
          <w:szCs w:val="28"/>
        </w:rPr>
        <w:t xml:space="preserve">        </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法定代表人/授权代表（签字）：</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签署时间：    年    月    日</w:t>
      </w:r>
    </w:p>
    <w:p>
      <w:pPr>
        <w:spacing w:line="360" w:lineRule="auto"/>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签订地点：</w:t>
      </w:r>
    </w:p>
    <w:p>
      <w:pPr>
        <w:pStyle w:val="2"/>
      </w:pPr>
    </w:p>
    <w:p/>
    <w:p/>
    <w:p>
      <w:pPr>
        <w:rPr>
          <w:rFonts w:ascii="仿宋" w:hAnsi="仿宋" w:eastAsia="仿宋"/>
          <w:b/>
          <w:bCs/>
          <w:sz w:val="28"/>
          <w:szCs w:val="28"/>
        </w:rPr>
      </w:pPr>
      <w:r>
        <w:rPr>
          <w:rFonts w:ascii="仿宋" w:hAnsi="仿宋" w:eastAsia="仿宋"/>
          <w:b/>
          <w:bCs/>
          <w:sz w:val="28"/>
          <w:szCs w:val="28"/>
        </w:rPr>
        <w:br w:type="page"/>
      </w:r>
    </w:p>
    <w:p>
      <w:pPr>
        <w:pStyle w:val="4"/>
      </w:pPr>
    </w:p>
    <w:p/>
    <w:p>
      <w:pPr>
        <w:pStyle w:val="4"/>
      </w:pPr>
    </w:p>
    <w:p/>
    <w:p>
      <w:pPr>
        <w:numPr>
          <w:ilvl w:val="0"/>
          <w:numId w:val="6"/>
        </w:num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 xml:space="preserve"> 比选响应文件格式</w:t>
      </w:r>
    </w:p>
    <w:p>
      <w:pPr>
        <w:pStyle w:val="4"/>
        <w:jc w:val="both"/>
      </w:pPr>
    </w:p>
    <w:p/>
    <w:p>
      <w:r>
        <w:br w:type="page"/>
      </w:r>
    </w:p>
    <w:p>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响 应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pPr>
        <w:autoSpaceDE w:val="0"/>
        <w:autoSpaceDN w:val="0"/>
        <w:adjustRightInd w:val="0"/>
        <w:snapToGrid w:val="0"/>
        <w:spacing w:line="360" w:lineRule="auto"/>
        <w:jc w:val="left"/>
        <w:rPr>
          <w:rFonts w:ascii="宋体" w:hAnsi="宋体" w:cs="MingLiU"/>
          <w:kern w:val="0"/>
          <w:sz w:val="20"/>
          <w:szCs w:val="20"/>
        </w:rPr>
      </w:pPr>
    </w:p>
    <w:p>
      <w:pPr>
        <w:adjustRightInd w:val="0"/>
        <w:snapToGrid w:val="0"/>
        <w:spacing w:line="264" w:lineRule="auto"/>
        <w:rPr>
          <w:rFonts w:ascii="宋体" w:hAnsi="宋体"/>
          <w:szCs w:val="21"/>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w:t>
      </w:r>
      <w:r>
        <w:rPr>
          <w:rFonts w:hint="eastAsia" w:ascii="宋体" w:hAnsi="宋体"/>
          <w:w w:val="99"/>
          <w:kern w:val="0"/>
          <w:sz w:val="28"/>
          <w:szCs w:val="28"/>
        </w:rPr>
        <w:t>公章</w:t>
      </w:r>
      <w:r>
        <w:rPr>
          <w:rFonts w:ascii="宋体" w:hAnsi="宋体"/>
          <w:w w:val="99"/>
          <w:kern w:val="0"/>
          <w:sz w:val="28"/>
          <w:szCs w:val="28"/>
        </w:rPr>
        <w:t>）</w:t>
      </w:r>
    </w:p>
    <w:p>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pPr>
        <w:spacing w:line="600" w:lineRule="exact"/>
        <w:jc w:val="center"/>
        <w:rPr>
          <w:rFonts w:ascii="方正小标宋_GBK" w:hAnsi="方正小标宋_GBK" w:eastAsia="方正小标宋_GBK" w:cs="方正小标宋_GBK"/>
          <w:color w:val="000000"/>
          <w:sz w:val="44"/>
          <w:szCs w:val="44"/>
        </w:rPr>
        <w:sectPr>
          <w:pgSz w:w="11906" w:h="16838"/>
          <w:pgMar w:top="1440" w:right="1800" w:bottom="1440" w:left="1800" w:header="851" w:footer="992" w:gutter="0"/>
          <w:cols w:space="425" w:num="1"/>
          <w:docGrid w:type="lines" w:linePitch="312" w:charSpace="0"/>
        </w:sect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color w:val="FF0000"/>
          <w:sz w:val="28"/>
          <w:szCs w:val="28"/>
        </w:rPr>
        <w:t>不含增值税税额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r>
        <w:rPr>
          <w:rFonts w:ascii="仿宋" w:hAnsi="仿宋" w:eastAsia="仿宋"/>
          <w:b/>
          <w:sz w:val="32"/>
          <w:szCs w:val="32"/>
        </w:rPr>
        <w:br w:type="page"/>
      </w:r>
    </w:p>
    <w:p>
      <w:pPr>
        <w:pStyle w:val="4"/>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rPr>
          <w:rFonts w:ascii="Calibri" w:hAnsi="Calibri"/>
          <w:b/>
          <w:bCs/>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kern w:val="0"/>
          <w:sz w:val="28"/>
          <w:szCs w:val="28"/>
        </w:rPr>
      </w:pPr>
      <w:r>
        <w:rPr>
          <w:rFonts w:hint="eastAsia" w:ascii="仿宋" w:hAnsi="仿宋" w:eastAsia="仿宋"/>
          <w:b/>
          <w:bCs/>
          <w:kern w:val="0"/>
          <w:sz w:val="28"/>
          <w:szCs w:val="28"/>
        </w:rPr>
        <w:t>附法定代表人身份证复印件</w:t>
      </w:r>
    </w:p>
    <w:p>
      <w:r>
        <w:br w:type="page"/>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附被授权人代理人身份证复印件</w:t>
      </w:r>
    </w:p>
    <w:p>
      <w:pPr>
        <w:pStyle w:val="2"/>
        <w:rPr>
          <w:rFonts w:ascii="仿宋" w:hAnsi="仿宋" w:eastAsia="仿宋"/>
          <w:sz w:val="28"/>
          <w:szCs w:val="28"/>
        </w:rPr>
      </w:pPr>
    </w:p>
    <w:p>
      <w:pPr>
        <w:rPr>
          <w:rFonts w:ascii="仿宋" w:hAnsi="仿宋" w:eastAsia="仿宋"/>
          <w:b/>
          <w:bCs/>
          <w:sz w:val="28"/>
          <w:szCs w:val="28"/>
        </w:rPr>
      </w:pPr>
      <w:r>
        <w:rPr>
          <w:rFonts w:hint="eastAsia" w:ascii="仿宋" w:hAnsi="仿宋" w:eastAsia="仿宋"/>
          <w:b/>
          <w:bCs/>
          <w:sz w:val="28"/>
          <w:szCs w:val="28"/>
        </w:rPr>
        <w:br w:type="page"/>
      </w:r>
    </w:p>
    <w:p>
      <w:pPr>
        <w:pStyle w:val="4"/>
      </w:pPr>
    </w:p>
    <w:p>
      <w:pPr>
        <w:snapToGrid w:val="0"/>
        <w:spacing w:line="360" w:lineRule="auto"/>
        <w:rPr>
          <w:rFonts w:ascii="仿宋_GB2312"/>
          <w:b/>
          <w:bCs/>
          <w:kern w:val="0"/>
          <w:sz w:val="28"/>
          <w:szCs w:val="28"/>
        </w:rPr>
      </w:pPr>
      <w:r>
        <w:rPr>
          <w:rFonts w:hint="eastAsia" w:ascii="仿宋" w:hAnsi="仿宋" w:eastAsia="仿宋"/>
          <w:b/>
          <w:bCs/>
          <w:sz w:val="28"/>
          <w:szCs w:val="28"/>
        </w:rPr>
        <w:t>附件</w:t>
      </w:r>
      <w:r>
        <w:rPr>
          <w:rFonts w:hint="eastAsia" w:eastAsia="仿宋"/>
          <w:b/>
          <w:bCs/>
          <w:sz w:val="28"/>
          <w:szCs w:val="28"/>
        </w:rPr>
        <w:t>5</w:t>
      </w:r>
      <w:r>
        <w:rPr>
          <w:rFonts w:hint="eastAsia" w:ascii="仿宋" w:hAnsi="仿宋" w:eastAsia="仿宋"/>
          <w:b/>
          <w:bCs/>
          <w:sz w:val="28"/>
          <w:szCs w:val="28"/>
        </w:rPr>
        <w:t>：</w:t>
      </w:r>
    </w:p>
    <w:p>
      <w:pPr>
        <w:spacing w:line="360" w:lineRule="auto"/>
        <w:jc w:val="center"/>
        <w:rPr>
          <w:rFonts w:eastAsia="方正仿宋_GBK"/>
          <w:b/>
          <w:bCs/>
          <w:kern w:val="0"/>
          <w:sz w:val="28"/>
          <w:szCs w:val="28"/>
        </w:rPr>
      </w:pPr>
      <w:r>
        <w:rPr>
          <w:rFonts w:eastAsia="方正仿宋_GBK"/>
          <w:b/>
          <w:bCs/>
          <w:kern w:val="0"/>
          <w:sz w:val="28"/>
          <w:szCs w:val="28"/>
        </w:rPr>
        <w:t>承诺书</w:t>
      </w:r>
    </w:p>
    <w:p>
      <w:pPr>
        <w:spacing w:line="360" w:lineRule="auto"/>
        <w:jc w:val="left"/>
        <w:rPr>
          <w:rFonts w:eastAsia="方正仿宋_GBK"/>
          <w:kern w:val="0"/>
          <w:sz w:val="28"/>
          <w:szCs w:val="28"/>
        </w:rPr>
      </w:pPr>
      <w:r>
        <w:rPr>
          <w:rFonts w:eastAsia="方正仿宋_GBK"/>
          <w:kern w:val="0"/>
          <w:sz w:val="28"/>
          <w:szCs w:val="28"/>
        </w:rPr>
        <w:t>重庆机场集团有限公司：</w:t>
      </w:r>
    </w:p>
    <w:p>
      <w:pPr>
        <w:spacing w:line="360" w:lineRule="auto"/>
        <w:ind w:firstLine="560" w:firstLineChars="200"/>
        <w:jc w:val="left"/>
        <w:rPr>
          <w:rFonts w:eastAsia="方正仿宋_GBK"/>
          <w:sz w:val="28"/>
          <w:szCs w:val="28"/>
        </w:rPr>
      </w:pPr>
      <w:r>
        <w:rPr>
          <w:rFonts w:hint="eastAsia" w:eastAsia="方正仿宋_GBK"/>
          <w:kern w:val="0"/>
          <w:sz w:val="28"/>
          <w:szCs w:val="28"/>
        </w:rPr>
        <w:t>我公司</w:t>
      </w:r>
      <w:r>
        <w:rPr>
          <w:rFonts w:eastAsia="方正仿宋_GBK"/>
          <w:sz w:val="28"/>
          <w:szCs w:val="28"/>
          <w:u w:val="single"/>
        </w:rPr>
        <w:t xml:space="preserve">     </w:t>
      </w:r>
      <w:r>
        <w:rPr>
          <w:rFonts w:hint="eastAsia" w:eastAsia="方正仿宋_GBK"/>
          <w:sz w:val="28"/>
          <w:szCs w:val="28"/>
          <w:u w:val="single"/>
        </w:rPr>
        <w:t>（比选响应人名称）</w:t>
      </w:r>
      <w:r>
        <w:rPr>
          <w:rFonts w:eastAsia="方正仿宋_GBK"/>
          <w:sz w:val="28"/>
          <w:szCs w:val="28"/>
          <w:u w:val="single"/>
        </w:rPr>
        <w:t xml:space="preserve"> </w:t>
      </w:r>
      <w:r>
        <w:rPr>
          <w:rFonts w:hint="eastAsia" w:eastAsia="方正仿宋_GBK"/>
          <w:sz w:val="28"/>
          <w:szCs w:val="28"/>
        </w:rPr>
        <w:t>参加了贵单位</w:t>
      </w:r>
      <w:r>
        <w:rPr>
          <w:rFonts w:eastAsia="方正仿宋_GBK"/>
          <w:sz w:val="28"/>
          <w:szCs w:val="28"/>
          <w:u w:val="single"/>
        </w:rPr>
        <w:t xml:space="preserve">     </w:t>
      </w:r>
      <w:r>
        <w:rPr>
          <w:rFonts w:hint="eastAsia" w:eastAsia="方正仿宋_GBK"/>
          <w:sz w:val="28"/>
          <w:szCs w:val="28"/>
          <w:u w:val="single"/>
        </w:rPr>
        <w:t>（项目名称）</w:t>
      </w:r>
      <w:r>
        <w:rPr>
          <w:rFonts w:eastAsia="方正仿宋_GBK"/>
          <w:sz w:val="28"/>
          <w:szCs w:val="28"/>
          <w:u w:val="single"/>
        </w:rPr>
        <w:t xml:space="preserve"> </w:t>
      </w:r>
      <w:r>
        <w:rPr>
          <w:rFonts w:hint="eastAsia" w:eastAsia="方正仿宋_GBK"/>
          <w:sz w:val="28"/>
          <w:szCs w:val="28"/>
        </w:rPr>
        <w:t>的比选采购，自愿作出如下承诺：</w:t>
      </w:r>
    </w:p>
    <w:p>
      <w:pPr>
        <w:spacing w:line="360" w:lineRule="auto"/>
        <w:ind w:firstLine="560" w:firstLineChars="200"/>
        <w:jc w:val="left"/>
        <w:rPr>
          <w:rFonts w:eastAsia="方正仿宋_GBK"/>
          <w:sz w:val="28"/>
          <w:szCs w:val="28"/>
        </w:rPr>
      </w:pPr>
      <w:r>
        <w:rPr>
          <w:rFonts w:hint="eastAsia" w:eastAsia="方正仿宋_GBK"/>
          <w:sz w:val="28"/>
          <w:szCs w:val="28"/>
        </w:rPr>
        <w:t>1、我公司比选截止日不存在下列情形之一：</w:t>
      </w:r>
    </w:p>
    <w:p>
      <w:pPr>
        <w:spacing w:line="360" w:lineRule="auto"/>
        <w:ind w:firstLine="560" w:firstLineChars="200"/>
        <w:jc w:val="left"/>
        <w:rPr>
          <w:rFonts w:ascii="方正仿宋_GBK" w:hAnsi="方正仿宋_GBK" w:eastAsia="方正仿宋_GBK" w:cs="方正仿宋_GBK"/>
          <w:sz w:val="28"/>
          <w:szCs w:val="28"/>
        </w:rPr>
      </w:pPr>
      <w:r>
        <w:rPr>
          <w:rFonts w:hint="eastAsia" w:eastAsia="方正仿宋_GBK"/>
          <w:kern w:val="0"/>
          <w:sz w:val="28"/>
          <w:szCs w:val="28"/>
        </w:rPr>
        <w:t>（1）</w:t>
      </w:r>
      <w:r>
        <w:rPr>
          <w:rFonts w:hint="eastAsia" w:ascii="方正仿宋_GBK" w:hAnsi="方正仿宋_GBK" w:eastAsia="方正仿宋_GBK" w:cs="方正仿宋_GBK"/>
          <w:sz w:val="28"/>
          <w:szCs w:val="28"/>
        </w:rPr>
        <w:t>单位负责人为同一人或者存在控股、管理关系的不同单位，参加同一标段或者未划分标段的同一采购项目比选。</w:t>
      </w:r>
    </w:p>
    <w:p>
      <w:pPr>
        <w:spacing w:after="12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（2）处于被责令停业，参与招标采购资格被取消，财产被接管、冻结，破产状态。</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（3）被采购人（重庆机场集团有限公司）列入供应商黑名单库且在有效期内。</w:t>
      </w:r>
    </w:p>
    <w:p>
      <w:pPr>
        <w:spacing w:after="12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2、我公司具有履行合同所必需的设备和专业技术能力。</w:t>
      </w:r>
    </w:p>
    <w:p>
      <w:pPr>
        <w:ind w:firstLine="560" w:firstLineChars="200"/>
        <w:rPr>
          <w:rFonts w:eastAsia="方正仿宋_GBK"/>
        </w:rPr>
      </w:pPr>
      <w:r>
        <w:rPr>
          <w:rFonts w:hint="eastAsia" w:ascii="方正仿宋_GBK" w:hAnsi="方正仿宋_GBK" w:eastAsia="方正仿宋_GBK" w:cs="方正仿宋_GBK"/>
          <w:sz w:val="28"/>
          <w:szCs w:val="28"/>
        </w:rPr>
        <w:t>3、我公司的响应文件符合比选文件的技术标准和要求（如有）。</w:t>
      </w:r>
    </w:p>
    <w:p>
      <w:pPr>
        <w:spacing w:after="120"/>
        <w:ind w:firstLine="560" w:firstLineChars="200"/>
        <w:rPr>
          <w:rFonts w:eastAsia="方正仿宋_GBK"/>
        </w:rPr>
      </w:pPr>
      <w:r>
        <w:rPr>
          <w:rFonts w:hint="eastAsia" w:ascii="方正仿宋_GBK" w:hAnsi="方正仿宋_GBK" w:eastAsia="方正仿宋_GBK" w:cs="方正仿宋_GBK"/>
          <w:sz w:val="28"/>
          <w:szCs w:val="28"/>
        </w:rPr>
        <w:t>4、我公司严格遵循比选文件第十二条“</w:t>
      </w:r>
      <w:r>
        <w:rPr>
          <w:rFonts w:hint="eastAsia" w:ascii="方正仿宋_GBK" w:hAnsi="方正仿宋_GBK" w:eastAsia="方正仿宋_GBK" w:cs="方正仿宋_GBK"/>
          <w:sz w:val="28"/>
          <w:szCs w:val="28"/>
          <w:lang w:val="zh-CN"/>
        </w:rPr>
        <w:t>响应人违约等行为约束要求</w:t>
      </w:r>
      <w:r>
        <w:rPr>
          <w:rFonts w:hint="eastAsia" w:ascii="方正仿宋_GBK" w:hAnsi="方正仿宋_GBK" w:eastAsia="方正仿宋_GBK" w:cs="方正仿宋_GBK"/>
          <w:sz w:val="28"/>
          <w:szCs w:val="28"/>
        </w:rPr>
        <w:t>”的相关规定。如存在其中某一条款的情形，同意采购人按照相应条款的措施进行处罚，并依法承担相应责任。</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5、我公司在比选响应中提供的相关证明材料真实有效，不存在弄虚作假情形。</w:t>
      </w:r>
      <w:r>
        <w:rPr>
          <w:rFonts w:hint="eastAsia" w:ascii="方正仿宋_GBK" w:hAnsi="方正仿宋_GBK" w:eastAsia="方正仿宋_GBK" w:cs="方正仿宋_GBK"/>
          <w:sz w:val="28"/>
          <w:szCs w:val="28"/>
          <w:u w:val="single"/>
        </w:rPr>
        <w:t>贵单位在合同签订前均有权对我公司提供的资料进行核实，若发现弄虚作假，采购人可取消我公司成交资格，响应保证金不予退还，并列入采购人供应商黑名单库</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single"/>
        </w:rPr>
        <w:t>我公司自愿承担因此造成的相关责任并赔偿相应损失。</w:t>
      </w:r>
    </w:p>
    <w:p>
      <w:pPr>
        <w:spacing w:after="120"/>
        <w:ind w:firstLine="560" w:firstLineChars="200"/>
      </w:pPr>
      <w:r>
        <w:rPr>
          <w:rFonts w:hint="eastAsia" w:ascii="方正仿宋_GBK" w:hAnsi="方正仿宋_GBK" w:eastAsia="方正仿宋_GBK" w:cs="方正仿宋_GBK"/>
          <w:sz w:val="28"/>
          <w:szCs w:val="28"/>
          <w:highlight w:val="yellow"/>
        </w:rPr>
        <w:t>6、我公司非借用或挂靠他人资质实施，若成为本项目成交人，承诺不转包、不违法分包，否则接受发包人依照法律法规和合同约定追究其法律责任。</w:t>
      </w:r>
    </w:p>
    <w:p>
      <w:pPr>
        <w:spacing w:after="120"/>
        <w:rPr>
          <w:highlight w:val="yellow"/>
        </w:rPr>
      </w:pPr>
    </w:p>
    <w:p>
      <w:pPr>
        <w:spacing w:after="120"/>
        <w:rPr>
          <w:highlight w:val="yellow"/>
        </w:rPr>
      </w:pPr>
    </w:p>
    <w:p>
      <w:pPr>
        <w:wordWrap w:val="0"/>
        <w:spacing w:line="360" w:lineRule="auto"/>
        <w:ind w:firstLine="560" w:firstLineChars="200"/>
        <w:rPr>
          <w:rFonts w:eastAsia="方正仿宋_GBK"/>
          <w:sz w:val="28"/>
          <w:szCs w:val="28"/>
        </w:rPr>
      </w:pPr>
      <w:r>
        <w:rPr>
          <w:rFonts w:hint="eastAsia" w:eastAsia="方正仿宋_GBK"/>
          <w:sz w:val="28"/>
          <w:szCs w:val="28"/>
        </w:rPr>
        <w:t>比选响应</w:t>
      </w:r>
      <w:r>
        <w:rPr>
          <w:rFonts w:eastAsia="方正仿宋_GBK"/>
          <w:sz w:val="28"/>
          <w:szCs w:val="28"/>
        </w:rPr>
        <w:t xml:space="preserve">人（单位）： </w:t>
      </w:r>
      <w:r>
        <w:rPr>
          <w:rFonts w:eastAsia="方正仿宋_GBK"/>
          <w:sz w:val="28"/>
          <w:szCs w:val="28"/>
          <w:u w:val="single"/>
        </w:rPr>
        <w:t xml:space="preserve">     </w:t>
      </w:r>
      <w:r>
        <w:rPr>
          <w:rFonts w:hint="eastAsia" w:eastAsia="方正仿宋_GBK"/>
          <w:sz w:val="28"/>
          <w:szCs w:val="28"/>
          <w:u w:val="single"/>
        </w:rPr>
        <w:t xml:space="preserve">            </w:t>
      </w:r>
      <w:r>
        <w:rPr>
          <w:rFonts w:eastAsia="方正仿宋_GBK"/>
          <w:sz w:val="28"/>
          <w:szCs w:val="28"/>
          <w:u w:val="single"/>
        </w:rPr>
        <w:t xml:space="preserve"> </w:t>
      </w:r>
      <w:r>
        <w:rPr>
          <w:rFonts w:hint="eastAsia" w:eastAsia="方正仿宋_GBK"/>
          <w:sz w:val="28"/>
          <w:szCs w:val="28"/>
        </w:rPr>
        <w:t>（盖单位公章）</w:t>
      </w:r>
    </w:p>
    <w:p>
      <w:pPr>
        <w:wordWrap w:val="0"/>
        <w:spacing w:line="360" w:lineRule="auto"/>
        <w:ind w:firstLine="560" w:firstLineChars="200"/>
        <w:rPr>
          <w:rFonts w:eastAsia="方正仿宋_GBK"/>
          <w:sz w:val="28"/>
          <w:szCs w:val="28"/>
        </w:rPr>
      </w:pPr>
      <w:r>
        <w:rPr>
          <w:rFonts w:hint="eastAsia" w:eastAsia="方正仿宋_GBK"/>
          <w:sz w:val="28"/>
          <w:szCs w:val="28"/>
        </w:rPr>
        <w:t>比选响应单位法定代表人：</w:t>
      </w:r>
      <w:r>
        <w:rPr>
          <w:rFonts w:eastAsia="方正仿宋_GBK"/>
          <w:sz w:val="28"/>
          <w:szCs w:val="28"/>
          <w:u w:val="single"/>
        </w:rPr>
        <w:t xml:space="preserve">     </w:t>
      </w:r>
      <w:r>
        <w:rPr>
          <w:rFonts w:hint="eastAsia" w:eastAsia="方正仿宋_GBK"/>
          <w:sz w:val="28"/>
          <w:szCs w:val="28"/>
          <w:u w:val="single"/>
        </w:rPr>
        <w:t xml:space="preserve">         </w:t>
      </w:r>
      <w:r>
        <w:rPr>
          <w:rFonts w:eastAsia="方正仿宋_GBK"/>
          <w:sz w:val="28"/>
          <w:szCs w:val="28"/>
          <w:u w:val="single"/>
        </w:rPr>
        <w:t xml:space="preserve"> </w:t>
      </w:r>
      <w:r>
        <w:rPr>
          <w:rFonts w:eastAsia="方正仿宋_GBK"/>
          <w:sz w:val="28"/>
          <w:szCs w:val="28"/>
        </w:rPr>
        <w:t xml:space="preserve">  </w:t>
      </w:r>
      <w:r>
        <w:rPr>
          <w:rFonts w:hint="eastAsia" w:eastAsia="方正仿宋_GBK"/>
          <w:sz w:val="28"/>
          <w:szCs w:val="28"/>
        </w:rPr>
        <w:t>（签名或盖章）</w:t>
      </w:r>
      <w:r>
        <w:rPr>
          <w:rFonts w:eastAsia="方正仿宋_GBK"/>
          <w:sz w:val="28"/>
          <w:szCs w:val="28"/>
        </w:rPr>
        <w:t xml:space="preserve">          </w:t>
      </w:r>
    </w:p>
    <w:p>
      <w:pPr>
        <w:wordWrap w:val="0"/>
        <w:spacing w:line="360" w:lineRule="auto"/>
        <w:ind w:firstLine="560" w:firstLineChars="200"/>
        <w:jc w:val="right"/>
        <w:rPr>
          <w:rFonts w:eastAsia="方正仿宋_GBK"/>
          <w:sz w:val="28"/>
          <w:szCs w:val="28"/>
          <w:highlight w:val="yellow"/>
        </w:rPr>
      </w:pPr>
      <w:r>
        <w:rPr>
          <w:rFonts w:eastAsia="方正仿宋_GBK"/>
          <w:sz w:val="28"/>
          <w:szCs w:val="28"/>
        </w:rPr>
        <w:t>日期：   年  月  日</w:t>
      </w:r>
    </w:p>
    <w:p>
      <w:pPr>
        <w:spacing w:after="120"/>
      </w:pPr>
    </w:p>
    <w:p>
      <w:r>
        <w:rPr>
          <w:rFonts w:hint="eastAsia"/>
        </w:rPr>
        <w:br w:type="page"/>
      </w:r>
    </w:p>
    <w:p/>
    <w:p/>
    <w:p>
      <w:pPr>
        <w:snapToGrid w:val="0"/>
        <w:spacing w:line="360" w:lineRule="auto"/>
        <w:rPr>
          <w:rFonts w:ascii="仿宋" w:hAnsi="仿宋" w:eastAsia="仿宋"/>
          <w:b/>
          <w:bCs/>
          <w:sz w:val="28"/>
          <w:szCs w:val="28"/>
        </w:rPr>
      </w:pPr>
      <w:r>
        <w:rPr>
          <w:rFonts w:hint="eastAsia" w:ascii="仿宋" w:hAnsi="仿宋" w:eastAsia="仿宋"/>
          <w:b/>
          <w:bCs/>
          <w:sz w:val="28"/>
          <w:szCs w:val="28"/>
        </w:rPr>
        <w:t>附件6：</w:t>
      </w:r>
    </w:p>
    <w:tbl>
      <w:tblPr>
        <w:tblStyle w:val="8"/>
        <w:tblW w:w="8500" w:type="dxa"/>
        <w:tblInd w:w="0" w:type="dxa"/>
        <w:tblLayout w:type="fixed"/>
        <w:tblCellMar>
          <w:top w:w="0" w:type="dxa"/>
          <w:left w:w="108" w:type="dxa"/>
          <w:bottom w:w="0" w:type="dxa"/>
          <w:right w:w="108" w:type="dxa"/>
        </w:tblCellMar>
      </w:tblPr>
      <w:tblGrid>
        <w:gridCol w:w="1200"/>
        <w:gridCol w:w="3760"/>
        <w:gridCol w:w="3540"/>
      </w:tblGrid>
      <w:tr>
        <w:tblPrEx>
          <w:tblCellMar>
            <w:top w:w="0" w:type="dxa"/>
            <w:left w:w="108" w:type="dxa"/>
            <w:bottom w:w="0" w:type="dxa"/>
            <w:right w:w="108" w:type="dxa"/>
          </w:tblCellMar>
        </w:tblPrEx>
        <w:trPr>
          <w:trHeight w:val="555" w:hRule="atLeast"/>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w:t>
            </w:r>
          </w:p>
        </w:tc>
        <w:tc>
          <w:tcPr>
            <w:tcW w:w="3760" w:type="dxa"/>
            <w:tcBorders>
              <w:top w:val="single" w:color="auto" w:sz="4" w:space="0"/>
              <w:left w:val="nil"/>
              <w:bottom w:val="nil"/>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党建信息平台</w:t>
            </w:r>
          </w:p>
        </w:tc>
        <w:tc>
          <w:tcPr>
            <w:tcW w:w="3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zhdj.cqa.cn</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c>
          <w:tcPr>
            <w:tcW w:w="3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集团门户网站</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www.cqa.cn</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ACDM</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acdm.cqa.cn</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4</w:t>
            </w: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移动办公</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cqmobile.cqa.cn</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w:t>
            </w: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物流公司</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cqa56.cqa.cn</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6</w:t>
            </w: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物流OA</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oa.pd.cqa.cn</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7</w:t>
            </w: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wx公众服务号</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weixin.cqa.cn</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8</w:t>
            </w: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wx企业号</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qiyewx.cqa.cn</w:t>
            </w:r>
          </w:p>
        </w:tc>
      </w:tr>
      <w:tr>
        <w:tblPrEx>
          <w:tblCellMar>
            <w:top w:w="0" w:type="dxa"/>
            <w:left w:w="108" w:type="dxa"/>
            <w:bottom w:w="0" w:type="dxa"/>
            <w:right w:w="108" w:type="dxa"/>
          </w:tblCellMar>
        </w:tblPrEx>
        <w:trPr>
          <w:trHeight w:val="523"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9</w:t>
            </w: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网上值机</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web.cqa.cn</w:t>
            </w:r>
          </w:p>
        </w:tc>
      </w:tr>
      <w:tr>
        <w:tblPrEx>
          <w:tblCellMar>
            <w:top w:w="0" w:type="dxa"/>
            <w:left w:w="108" w:type="dxa"/>
            <w:bottom w:w="0" w:type="dxa"/>
            <w:right w:w="108" w:type="dxa"/>
          </w:tblCellMar>
        </w:tblPrEx>
        <w:trPr>
          <w:trHeight w:val="461"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10</w:t>
            </w: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航站楼TOCC系统</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tocc.cqa.cn</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11</w:t>
            </w: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TSSS系统</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tsss.cqa.cn</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12</w:t>
            </w: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车辆管理系统</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clgl.cqa.cn</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13</w:t>
            </w: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飞行区考试系统</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fz-test.cqa.cn</w:t>
            </w:r>
          </w:p>
        </w:tc>
      </w:tr>
      <w:tr>
        <w:tblPrEx>
          <w:tblCellMar>
            <w:top w:w="0" w:type="dxa"/>
            <w:left w:w="108" w:type="dxa"/>
            <w:bottom w:w="0" w:type="dxa"/>
            <w:right w:w="108" w:type="dxa"/>
          </w:tblCellMar>
        </w:tblPrEx>
        <w:trPr>
          <w:trHeight w:val="82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14</w:t>
            </w: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云之家</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cloudhome.cqa.cn</w:t>
            </w:r>
          </w:p>
        </w:tc>
      </w:tr>
      <w:tr>
        <w:tblPrEx>
          <w:tblCellMar>
            <w:top w:w="0" w:type="dxa"/>
            <w:left w:w="108" w:type="dxa"/>
            <w:bottom w:w="0" w:type="dxa"/>
            <w:right w:w="108" w:type="dxa"/>
          </w:tblCellMar>
        </w:tblPrEx>
        <w:trPr>
          <w:trHeight w:val="481"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15</w:t>
            </w: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综合服务中心</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zhfw.cqa.cn</w:t>
            </w:r>
          </w:p>
        </w:tc>
      </w:tr>
      <w:tr>
        <w:tblPrEx>
          <w:tblCellMar>
            <w:top w:w="0" w:type="dxa"/>
            <w:left w:w="108" w:type="dxa"/>
            <w:bottom w:w="0" w:type="dxa"/>
            <w:right w:w="108" w:type="dxa"/>
          </w:tblCellMar>
        </w:tblPrEx>
        <w:trPr>
          <w:trHeight w:val="519"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16</w:t>
            </w: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统一门户</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cqjcmobile.cqa.cn</w:t>
            </w:r>
          </w:p>
        </w:tc>
      </w:tr>
      <w:tr>
        <w:tblPrEx>
          <w:tblCellMar>
            <w:top w:w="0" w:type="dxa"/>
            <w:left w:w="108" w:type="dxa"/>
            <w:bottom w:w="0" w:type="dxa"/>
            <w:right w:w="108" w:type="dxa"/>
          </w:tblCellMar>
        </w:tblPrEx>
        <w:trPr>
          <w:trHeight w:val="627"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17</w:t>
            </w: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机场安全管理平台</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sms.cqa.cn</w:t>
            </w:r>
          </w:p>
        </w:tc>
      </w:tr>
      <w:tr>
        <w:tblPrEx>
          <w:tblCellMar>
            <w:top w:w="0" w:type="dxa"/>
            <w:left w:w="108" w:type="dxa"/>
            <w:bottom w:w="0" w:type="dxa"/>
            <w:right w:w="108" w:type="dxa"/>
          </w:tblCellMar>
        </w:tblPrEx>
        <w:trPr>
          <w:trHeight w:val="58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18</w:t>
            </w: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招采供应商端</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 zc.cqa.cn</w:t>
            </w:r>
          </w:p>
        </w:tc>
      </w:tr>
      <w:tr>
        <w:tblPrEx>
          <w:tblCellMar>
            <w:top w:w="0" w:type="dxa"/>
            <w:left w:w="108" w:type="dxa"/>
            <w:bottom w:w="0" w:type="dxa"/>
            <w:right w:w="108" w:type="dxa"/>
          </w:tblCellMar>
        </w:tblPrEx>
        <w:trPr>
          <w:trHeight w:val="460" w:hRule="atLeast"/>
        </w:trPr>
        <w:tc>
          <w:tcPr>
            <w:tcW w:w="1200" w:type="dxa"/>
            <w:tcBorders>
              <w:top w:val="nil"/>
              <w:left w:val="single" w:color="auto" w:sz="4" w:space="0"/>
              <w:bottom w:val="nil"/>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19</w:t>
            </w:r>
          </w:p>
        </w:tc>
        <w:tc>
          <w:tcPr>
            <w:tcW w:w="3760" w:type="dxa"/>
            <w:tcBorders>
              <w:top w:val="nil"/>
              <w:left w:val="nil"/>
              <w:bottom w:val="nil"/>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重庆飞网站</w:t>
            </w:r>
          </w:p>
        </w:tc>
        <w:tc>
          <w:tcPr>
            <w:tcW w:w="3540" w:type="dxa"/>
            <w:tcBorders>
              <w:top w:val="nil"/>
              <w:left w:val="nil"/>
              <w:bottom w:val="nil"/>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cqfly.cqa.cn</w:t>
            </w:r>
          </w:p>
        </w:tc>
      </w:tr>
      <w:tr>
        <w:tblPrEx>
          <w:tblCellMar>
            <w:top w:w="0" w:type="dxa"/>
            <w:left w:w="108" w:type="dxa"/>
            <w:bottom w:w="0" w:type="dxa"/>
            <w:right w:w="108" w:type="dxa"/>
          </w:tblCellMar>
        </w:tblPrEx>
        <w:trPr>
          <w:trHeight w:val="460" w:hRule="atLeast"/>
        </w:trPr>
        <w:tc>
          <w:tcPr>
            <w:tcW w:w="1200" w:type="dxa"/>
            <w:tcBorders>
              <w:top w:val="nil"/>
              <w:left w:val="single" w:color="auto" w:sz="4" w:space="0"/>
              <w:bottom w:val="nil"/>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ascii="微软雅黑" w:hAnsi="微软雅黑" w:eastAsia="微软雅黑" w:cs="宋体"/>
                <w:color w:val="000000"/>
                <w:kern w:val="0"/>
                <w:sz w:val="22"/>
                <w:szCs w:val="22"/>
              </w:rPr>
              <w:t>20</w:t>
            </w:r>
          </w:p>
        </w:tc>
        <w:tc>
          <w:tcPr>
            <w:tcW w:w="3760" w:type="dxa"/>
            <w:tcBorders>
              <w:top w:val="nil"/>
              <w:left w:val="nil"/>
              <w:bottom w:val="nil"/>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ascii="宋体" w:hAnsi="宋体" w:cs="宋体"/>
                <w:sz w:val="24"/>
              </w:rPr>
              <w:t>客户服务系统旅客服务平台</w:t>
            </w:r>
          </w:p>
        </w:tc>
        <w:tc>
          <w:tcPr>
            <w:tcW w:w="3540" w:type="dxa"/>
            <w:tcBorders>
              <w:top w:val="nil"/>
              <w:left w:val="nil"/>
              <w:bottom w:val="nil"/>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ascii="宋体" w:hAnsi="宋体" w:cs="宋体"/>
                <w:sz w:val="24"/>
              </w:rPr>
              <w:t>psjoin.cqa.cn</w:t>
            </w:r>
            <w:r>
              <w:rPr>
                <w:rFonts w:hint="eastAsia" w:ascii="宋体" w:hAnsi="宋体" w:cs="宋体"/>
                <w:sz w:val="24"/>
              </w:rPr>
              <w:t>（今年新增）</w:t>
            </w:r>
          </w:p>
        </w:tc>
      </w:tr>
      <w:tr>
        <w:tblPrEx>
          <w:tblCellMar>
            <w:top w:w="0" w:type="dxa"/>
            <w:left w:w="108" w:type="dxa"/>
            <w:bottom w:w="0" w:type="dxa"/>
            <w:right w:w="108" w:type="dxa"/>
          </w:tblCellMar>
        </w:tblPrEx>
        <w:trPr>
          <w:trHeight w:val="697" w:hRule="atLeast"/>
        </w:trPr>
        <w:tc>
          <w:tcPr>
            <w:tcW w:w="1200" w:type="dxa"/>
            <w:tcBorders>
              <w:top w:val="nil"/>
              <w:left w:val="single" w:color="auto" w:sz="4" w:space="0"/>
              <w:bottom w:val="nil"/>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ascii="微软雅黑" w:hAnsi="微软雅黑" w:eastAsia="微软雅黑" w:cs="宋体"/>
                <w:color w:val="000000"/>
                <w:kern w:val="0"/>
                <w:sz w:val="22"/>
                <w:szCs w:val="22"/>
              </w:rPr>
              <w:t>21</w:t>
            </w:r>
          </w:p>
        </w:tc>
        <w:tc>
          <w:tcPr>
            <w:tcW w:w="3760" w:type="dxa"/>
            <w:tcBorders>
              <w:top w:val="nil"/>
              <w:left w:val="nil"/>
              <w:bottom w:val="nil"/>
              <w:right w:val="single" w:color="auto" w:sz="4" w:space="0"/>
            </w:tcBorders>
            <w:shd w:val="clear" w:color="auto" w:fill="auto"/>
            <w:vAlign w:val="center"/>
          </w:tcPr>
          <w:p>
            <w:pPr>
              <w:widowControl/>
              <w:jc w:val="center"/>
              <w:rPr>
                <w:rFonts w:ascii="宋体" w:hAnsi="宋体" w:cs="宋体"/>
                <w:sz w:val="24"/>
              </w:rPr>
            </w:pPr>
            <w:r>
              <w:rPr>
                <w:rFonts w:ascii="宋体" w:hAnsi="宋体" w:cs="宋体"/>
                <w:sz w:val="24"/>
              </w:rPr>
              <w:t>客户服务系统线上商城</w:t>
            </w:r>
          </w:p>
        </w:tc>
        <w:tc>
          <w:tcPr>
            <w:tcW w:w="3540" w:type="dxa"/>
            <w:tcBorders>
              <w:top w:val="nil"/>
              <w:left w:val="nil"/>
              <w:bottom w:val="nil"/>
              <w:right w:val="single" w:color="auto" w:sz="4" w:space="0"/>
            </w:tcBorders>
            <w:shd w:val="clear" w:color="auto" w:fill="auto"/>
            <w:vAlign w:val="center"/>
          </w:tcPr>
          <w:p>
            <w:pPr>
              <w:widowControl/>
              <w:jc w:val="center"/>
              <w:rPr>
                <w:rFonts w:ascii="宋体" w:hAnsi="宋体" w:cs="宋体"/>
                <w:sz w:val="24"/>
              </w:rPr>
            </w:pPr>
            <w:r>
              <w:rPr>
                <w:rFonts w:ascii="宋体" w:hAnsi="宋体" w:cs="宋体"/>
                <w:sz w:val="24"/>
              </w:rPr>
              <w:t>psmall.cqa.cn</w:t>
            </w:r>
            <w:r>
              <w:rPr>
                <w:rFonts w:hint="eastAsia" w:ascii="宋体" w:hAnsi="宋体" w:cs="宋体"/>
                <w:sz w:val="24"/>
              </w:rPr>
              <w:t>（今年新增）</w:t>
            </w:r>
          </w:p>
        </w:tc>
      </w:tr>
      <w:tr>
        <w:tblPrEx>
          <w:tblCellMar>
            <w:top w:w="0" w:type="dxa"/>
            <w:left w:w="108" w:type="dxa"/>
            <w:bottom w:w="0" w:type="dxa"/>
            <w:right w:w="108" w:type="dxa"/>
          </w:tblCellMar>
        </w:tblPrEx>
        <w:trPr>
          <w:trHeight w:val="697" w:hRule="atLeast"/>
        </w:trPr>
        <w:tc>
          <w:tcPr>
            <w:tcW w:w="1200" w:type="dxa"/>
            <w:tcBorders>
              <w:top w:val="nil"/>
              <w:left w:val="single" w:color="auto" w:sz="4" w:space="0"/>
              <w:bottom w:val="nil"/>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ascii="微软雅黑" w:hAnsi="微软雅黑" w:eastAsia="微软雅黑" w:cs="宋体"/>
                <w:color w:val="000000"/>
                <w:kern w:val="0"/>
                <w:sz w:val="22"/>
                <w:szCs w:val="22"/>
              </w:rPr>
              <w:t>22</w:t>
            </w:r>
          </w:p>
        </w:tc>
        <w:tc>
          <w:tcPr>
            <w:tcW w:w="3760" w:type="dxa"/>
            <w:tcBorders>
              <w:top w:val="nil"/>
              <w:left w:val="nil"/>
              <w:bottom w:val="nil"/>
              <w:right w:val="single" w:color="auto" w:sz="4" w:space="0"/>
            </w:tcBorders>
            <w:shd w:val="clear" w:color="auto" w:fill="auto"/>
            <w:vAlign w:val="center"/>
          </w:tcPr>
          <w:p>
            <w:pPr>
              <w:widowControl/>
              <w:jc w:val="center"/>
              <w:rPr>
                <w:rFonts w:ascii="宋体" w:hAnsi="宋体" w:cs="宋体"/>
                <w:sz w:val="24"/>
              </w:rPr>
            </w:pPr>
            <w:r>
              <w:rPr>
                <w:rFonts w:ascii="宋体" w:hAnsi="宋体" w:cs="宋体"/>
                <w:sz w:val="24"/>
              </w:rPr>
              <w:t>客户服务系统对外接口</w:t>
            </w:r>
          </w:p>
        </w:tc>
        <w:tc>
          <w:tcPr>
            <w:tcW w:w="3540" w:type="dxa"/>
            <w:tcBorders>
              <w:top w:val="nil"/>
              <w:left w:val="nil"/>
              <w:bottom w:val="nil"/>
              <w:right w:val="single" w:color="auto" w:sz="4" w:space="0"/>
            </w:tcBorders>
            <w:shd w:val="clear" w:color="auto" w:fill="auto"/>
            <w:vAlign w:val="center"/>
          </w:tcPr>
          <w:p>
            <w:pPr>
              <w:widowControl/>
              <w:jc w:val="center"/>
              <w:rPr>
                <w:rFonts w:ascii="宋体" w:hAnsi="宋体" w:cs="宋体"/>
                <w:sz w:val="24"/>
              </w:rPr>
            </w:pPr>
            <w:r>
              <w:rPr>
                <w:rFonts w:ascii="宋体" w:hAnsi="宋体" w:cs="宋体"/>
                <w:sz w:val="24"/>
              </w:rPr>
              <w:t>passer.cqa.cn</w:t>
            </w:r>
            <w:r>
              <w:rPr>
                <w:rFonts w:hint="eastAsia" w:ascii="宋体" w:hAnsi="宋体" w:cs="宋体"/>
                <w:sz w:val="24"/>
              </w:rPr>
              <w:t>（今年新增）</w:t>
            </w:r>
          </w:p>
        </w:tc>
      </w:tr>
      <w:tr>
        <w:tblPrEx>
          <w:tblCellMar>
            <w:top w:w="0" w:type="dxa"/>
            <w:left w:w="108" w:type="dxa"/>
            <w:bottom w:w="0" w:type="dxa"/>
            <w:right w:w="108" w:type="dxa"/>
          </w:tblCellMar>
        </w:tblPrEx>
        <w:trPr>
          <w:trHeight w:val="697" w:hRule="atLeast"/>
        </w:trPr>
        <w:tc>
          <w:tcPr>
            <w:tcW w:w="1200" w:type="dxa"/>
            <w:tcBorders>
              <w:top w:val="nil"/>
              <w:left w:val="single" w:color="auto" w:sz="4" w:space="0"/>
              <w:bottom w:val="nil"/>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ascii="微软雅黑" w:hAnsi="微软雅黑" w:eastAsia="微软雅黑" w:cs="宋体"/>
                <w:color w:val="000000"/>
                <w:kern w:val="0"/>
                <w:sz w:val="22"/>
                <w:szCs w:val="22"/>
              </w:rPr>
              <w:t>23</w:t>
            </w:r>
          </w:p>
        </w:tc>
        <w:tc>
          <w:tcPr>
            <w:tcW w:w="3760" w:type="dxa"/>
            <w:tcBorders>
              <w:top w:val="nil"/>
              <w:left w:val="nil"/>
              <w:bottom w:val="nil"/>
              <w:right w:val="single" w:color="auto" w:sz="4" w:space="0"/>
            </w:tcBorders>
            <w:shd w:val="clear" w:color="auto" w:fill="auto"/>
            <w:vAlign w:val="center"/>
          </w:tcPr>
          <w:p>
            <w:pPr>
              <w:widowControl/>
              <w:jc w:val="center"/>
              <w:rPr>
                <w:rFonts w:ascii="宋体" w:hAnsi="宋体" w:cs="宋体"/>
                <w:sz w:val="24"/>
              </w:rPr>
            </w:pPr>
            <w:r>
              <w:rPr>
                <w:rFonts w:ascii="宋体" w:hAnsi="宋体" w:cs="宋体"/>
                <w:sz w:val="24"/>
              </w:rPr>
              <w:t>客户服务系统智能客服</w:t>
            </w:r>
          </w:p>
        </w:tc>
        <w:tc>
          <w:tcPr>
            <w:tcW w:w="3540" w:type="dxa"/>
            <w:tcBorders>
              <w:top w:val="nil"/>
              <w:left w:val="nil"/>
              <w:bottom w:val="nil"/>
              <w:right w:val="single" w:color="auto" w:sz="4" w:space="0"/>
            </w:tcBorders>
            <w:shd w:val="clear" w:color="auto" w:fill="auto"/>
            <w:vAlign w:val="center"/>
          </w:tcPr>
          <w:p>
            <w:pPr>
              <w:widowControl/>
              <w:jc w:val="center"/>
              <w:rPr>
                <w:rFonts w:ascii="宋体" w:hAnsi="宋体" w:cs="宋体"/>
                <w:sz w:val="24"/>
              </w:rPr>
            </w:pPr>
            <w:r>
              <w:rPr>
                <w:rFonts w:ascii="宋体" w:hAnsi="宋体" w:cs="宋体"/>
                <w:sz w:val="24"/>
              </w:rPr>
              <w:t>kefu.cqa.cn</w:t>
            </w:r>
            <w:r>
              <w:rPr>
                <w:rFonts w:hint="eastAsia" w:ascii="宋体" w:hAnsi="宋体" w:cs="宋体"/>
                <w:sz w:val="24"/>
              </w:rPr>
              <w:t>（今年新增）</w:t>
            </w:r>
          </w:p>
        </w:tc>
      </w:tr>
      <w:tr>
        <w:tblPrEx>
          <w:tblCellMar>
            <w:top w:w="0" w:type="dxa"/>
            <w:left w:w="108" w:type="dxa"/>
            <w:bottom w:w="0" w:type="dxa"/>
            <w:right w:w="108" w:type="dxa"/>
          </w:tblCellMar>
        </w:tblPrEx>
        <w:trPr>
          <w:trHeight w:val="697" w:hRule="atLeast"/>
        </w:trPr>
        <w:tc>
          <w:tcPr>
            <w:tcW w:w="1200" w:type="dxa"/>
            <w:tcBorders>
              <w:top w:val="nil"/>
              <w:left w:val="single" w:color="auto" w:sz="4" w:space="0"/>
              <w:bottom w:val="nil"/>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25</w:t>
            </w:r>
          </w:p>
        </w:tc>
        <w:tc>
          <w:tcPr>
            <w:tcW w:w="3760" w:type="dxa"/>
            <w:tcBorders>
              <w:top w:val="nil"/>
              <w:left w:val="nil"/>
              <w:bottom w:val="nil"/>
              <w:right w:val="single" w:color="auto" w:sz="4" w:space="0"/>
            </w:tcBorders>
            <w:shd w:val="clear" w:color="auto" w:fill="auto"/>
            <w:vAlign w:val="center"/>
          </w:tcPr>
          <w:p>
            <w:pPr>
              <w:widowControl/>
              <w:jc w:val="center"/>
              <w:rPr>
                <w:rFonts w:ascii="宋体" w:hAnsi="宋体" w:cs="宋体"/>
                <w:sz w:val="24"/>
              </w:rPr>
            </w:pPr>
            <w:r>
              <w:rPr>
                <w:rFonts w:ascii="宋体" w:hAnsi="宋体" w:cs="宋体"/>
                <w:sz w:val="24"/>
              </w:rPr>
              <w:t>航空物流指挥调控中心ESB</w:t>
            </w:r>
          </w:p>
        </w:tc>
        <w:tc>
          <w:tcPr>
            <w:tcW w:w="3540" w:type="dxa"/>
            <w:tcBorders>
              <w:top w:val="nil"/>
              <w:left w:val="nil"/>
              <w:bottom w:val="nil"/>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wlesb.cqa.cn（今年新增）</w:t>
            </w:r>
          </w:p>
        </w:tc>
      </w:tr>
      <w:tr>
        <w:tblPrEx>
          <w:tblCellMar>
            <w:top w:w="0" w:type="dxa"/>
            <w:left w:w="108" w:type="dxa"/>
            <w:bottom w:w="0" w:type="dxa"/>
            <w:right w:w="108" w:type="dxa"/>
          </w:tblCellMar>
        </w:tblPrEx>
        <w:trPr>
          <w:trHeight w:val="697" w:hRule="atLeast"/>
        </w:trPr>
        <w:tc>
          <w:tcPr>
            <w:tcW w:w="1200" w:type="dxa"/>
            <w:tcBorders>
              <w:top w:val="nil"/>
              <w:left w:val="single" w:color="auto" w:sz="4" w:space="0"/>
              <w:bottom w:val="nil"/>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26</w:t>
            </w:r>
          </w:p>
        </w:tc>
        <w:tc>
          <w:tcPr>
            <w:tcW w:w="3760" w:type="dxa"/>
            <w:tcBorders>
              <w:top w:val="nil"/>
              <w:left w:val="nil"/>
              <w:bottom w:val="nil"/>
              <w:right w:val="single" w:color="auto" w:sz="4" w:space="0"/>
            </w:tcBorders>
            <w:shd w:val="clear" w:color="auto" w:fill="auto"/>
            <w:vAlign w:val="center"/>
          </w:tcPr>
          <w:p>
            <w:pPr>
              <w:widowControl/>
              <w:jc w:val="center"/>
              <w:rPr>
                <w:rFonts w:ascii="宋体" w:hAnsi="宋体" w:cs="宋体"/>
                <w:sz w:val="24"/>
              </w:rPr>
            </w:pPr>
            <w:r>
              <w:rPr>
                <w:rFonts w:ascii="宋体" w:hAnsi="宋体" w:cs="宋体"/>
                <w:sz w:val="24"/>
              </w:rPr>
              <w:t>航空物流生产管理系统</w:t>
            </w:r>
          </w:p>
        </w:tc>
        <w:tc>
          <w:tcPr>
            <w:tcW w:w="3540" w:type="dxa"/>
            <w:tcBorders>
              <w:top w:val="nil"/>
              <w:left w:val="nil"/>
              <w:bottom w:val="nil"/>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wlsc.cqa.cn（今年新增）</w:t>
            </w:r>
          </w:p>
        </w:tc>
      </w:tr>
      <w:tr>
        <w:tblPrEx>
          <w:tblCellMar>
            <w:top w:w="0" w:type="dxa"/>
            <w:left w:w="108" w:type="dxa"/>
            <w:bottom w:w="0" w:type="dxa"/>
            <w:right w:w="108" w:type="dxa"/>
          </w:tblCellMar>
        </w:tblPrEx>
        <w:trPr>
          <w:trHeight w:val="697" w:hRule="atLeast"/>
        </w:trPr>
        <w:tc>
          <w:tcPr>
            <w:tcW w:w="1200" w:type="dxa"/>
            <w:tcBorders>
              <w:top w:val="nil"/>
              <w:left w:val="single" w:color="auto" w:sz="4" w:space="0"/>
              <w:bottom w:val="nil"/>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ascii="微软雅黑" w:hAnsi="微软雅黑" w:eastAsia="微软雅黑" w:cs="宋体"/>
                <w:color w:val="000000"/>
                <w:kern w:val="0"/>
                <w:sz w:val="22"/>
                <w:szCs w:val="22"/>
              </w:rPr>
              <w:t>24</w:t>
            </w:r>
          </w:p>
        </w:tc>
        <w:tc>
          <w:tcPr>
            <w:tcW w:w="3760" w:type="dxa"/>
            <w:tcBorders>
              <w:top w:val="nil"/>
              <w:left w:val="nil"/>
              <w:bottom w:val="nil"/>
              <w:right w:val="single" w:color="auto" w:sz="4" w:space="0"/>
            </w:tcBorders>
            <w:shd w:val="clear" w:color="auto" w:fill="auto"/>
            <w:vAlign w:val="center"/>
          </w:tcPr>
          <w:p>
            <w:pPr>
              <w:widowControl/>
              <w:jc w:val="center"/>
              <w:rPr>
                <w:rFonts w:ascii="宋体" w:hAnsi="宋体" w:cs="宋体"/>
                <w:sz w:val="24"/>
              </w:rPr>
            </w:pPr>
            <w:r>
              <w:rPr>
                <w:rFonts w:ascii="宋体" w:hAnsi="宋体" w:cs="宋体"/>
                <w:sz w:val="24"/>
              </w:rPr>
              <w:t>客户服务系统场区服务</w:t>
            </w:r>
          </w:p>
        </w:tc>
        <w:tc>
          <w:tcPr>
            <w:tcW w:w="3540" w:type="dxa"/>
            <w:tcBorders>
              <w:top w:val="nil"/>
              <w:left w:val="nil"/>
              <w:bottom w:val="nil"/>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今年新增</w:t>
            </w:r>
          </w:p>
        </w:tc>
      </w:tr>
      <w:tr>
        <w:tblPrEx>
          <w:tblCellMar>
            <w:top w:w="0" w:type="dxa"/>
            <w:left w:w="108" w:type="dxa"/>
            <w:bottom w:w="0" w:type="dxa"/>
            <w:right w:w="108" w:type="dxa"/>
          </w:tblCellMar>
        </w:tblPrEx>
        <w:trPr>
          <w:trHeight w:val="697" w:hRule="atLeast"/>
        </w:trPr>
        <w:tc>
          <w:tcPr>
            <w:tcW w:w="1200" w:type="dxa"/>
            <w:tcBorders>
              <w:top w:val="nil"/>
              <w:left w:val="single" w:color="auto" w:sz="4" w:space="0"/>
              <w:bottom w:val="nil"/>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27</w:t>
            </w:r>
          </w:p>
        </w:tc>
        <w:tc>
          <w:tcPr>
            <w:tcW w:w="3760" w:type="dxa"/>
            <w:tcBorders>
              <w:top w:val="nil"/>
              <w:left w:val="nil"/>
              <w:bottom w:val="nil"/>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招租管理系统</w:t>
            </w:r>
          </w:p>
        </w:tc>
        <w:tc>
          <w:tcPr>
            <w:tcW w:w="3540" w:type="dxa"/>
            <w:tcBorders>
              <w:top w:val="nil"/>
              <w:left w:val="nil"/>
              <w:bottom w:val="nil"/>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今年新增</w:t>
            </w:r>
          </w:p>
        </w:tc>
      </w:tr>
      <w:tr>
        <w:tblPrEx>
          <w:tblCellMar>
            <w:top w:w="0" w:type="dxa"/>
            <w:left w:w="108" w:type="dxa"/>
            <w:bottom w:w="0" w:type="dxa"/>
            <w:right w:w="108" w:type="dxa"/>
          </w:tblCellMar>
        </w:tblPrEx>
        <w:trPr>
          <w:trHeight w:val="697" w:hRule="atLeast"/>
        </w:trPr>
        <w:tc>
          <w:tcPr>
            <w:tcW w:w="1200" w:type="dxa"/>
            <w:tcBorders>
              <w:top w:val="nil"/>
              <w:left w:val="single" w:color="auto" w:sz="4" w:space="0"/>
              <w:bottom w:val="nil"/>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28</w:t>
            </w:r>
          </w:p>
        </w:tc>
        <w:tc>
          <w:tcPr>
            <w:tcW w:w="3760" w:type="dxa"/>
            <w:tcBorders>
              <w:top w:val="nil"/>
              <w:left w:val="nil"/>
              <w:bottom w:val="nil"/>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邮件系统</w:t>
            </w:r>
          </w:p>
        </w:tc>
        <w:tc>
          <w:tcPr>
            <w:tcW w:w="3540" w:type="dxa"/>
            <w:tcBorders>
              <w:top w:val="nil"/>
              <w:left w:val="nil"/>
              <w:bottom w:val="nil"/>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今年新增</w:t>
            </w:r>
          </w:p>
        </w:tc>
      </w:tr>
      <w:tr>
        <w:tblPrEx>
          <w:tblCellMar>
            <w:top w:w="0" w:type="dxa"/>
            <w:left w:w="108" w:type="dxa"/>
            <w:bottom w:w="0" w:type="dxa"/>
            <w:right w:w="108" w:type="dxa"/>
          </w:tblCellMar>
        </w:tblPrEx>
        <w:trPr>
          <w:trHeight w:val="697" w:hRule="atLeast"/>
        </w:trPr>
        <w:tc>
          <w:tcPr>
            <w:tcW w:w="1200" w:type="dxa"/>
            <w:tcBorders>
              <w:top w:val="nil"/>
              <w:left w:val="single" w:color="auto" w:sz="4" w:space="0"/>
              <w:bottom w:val="nil"/>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29</w:t>
            </w:r>
          </w:p>
        </w:tc>
        <w:tc>
          <w:tcPr>
            <w:tcW w:w="3760" w:type="dxa"/>
            <w:tcBorders>
              <w:top w:val="nil"/>
              <w:left w:val="nil"/>
              <w:bottom w:val="nil"/>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协同办公1</w:t>
            </w:r>
          </w:p>
        </w:tc>
        <w:tc>
          <w:tcPr>
            <w:tcW w:w="3540" w:type="dxa"/>
            <w:tcBorders>
              <w:top w:val="nil"/>
              <w:left w:val="nil"/>
              <w:bottom w:val="nil"/>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今年新增</w:t>
            </w:r>
          </w:p>
        </w:tc>
      </w:tr>
      <w:tr>
        <w:tblPrEx>
          <w:tblCellMar>
            <w:top w:w="0" w:type="dxa"/>
            <w:left w:w="108" w:type="dxa"/>
            <w:bottom w:w="0" w:type="dxa"/>
            <w:right w:w="108" w:type="dxa"/>
          </w:tblCellMar>
        </w:tblPrEx>
        <w:trPr>
          <w:trHeight w:val="697" w:hRule="atLeast"/>
        </w:trPr>
        <w:tc>
          <w:tcPr>
            <w:tcW w:w="1200" w:type="dxa"/>
            <w:tcBorders>
              <w:top w:val="nil"/>
              <w:left w:val="single" w:color="auto" w:sz="4" w:space="0"/>
              <w:bottom w:val="nil"/>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30</w:t>
            </w:r>
          </w:p>
        </w:tc>
        <w:tc>
          <w:tcPr>
            <w:tcW w:w="3760" w:type="dxa"/>
            <w:tcBorders>
              <w:top w:val="nil"/>
              <w:left w:val="nil"/>
              <w:bottom w:val="nil"/>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协同办公2</w:t>
            </w:r>
          </w:p>
        </w:tc>
        <w:tc>
          <w:tcPr>
            <w:tcW w:w="3540" w:type="dxa"/>
            <w:tcBorders>
              <w:top w:val="nil"/>
              <w:left w:val="nil"/>
              <w:bottom w:val="nil"/>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今年新增</w:t>
            </w:r>
          </w:p>
        </w:tc>
      </w:tr>
      <w:tr>
        <w:tblPrEx>
          <w:tblCellMar>
            <w:top w:w="0" w:type="dxa"/>
            <w:left w:w="108" w:type="dxa"/>
            <w:bottom w:w="0" w:type="dxa"/>
            <w:right w:w="108" w:type="dxa"/>
          </w:tblCellMar>
        </w:tblPrEx>
        <w:trPr>
          <w:trHeight w:val="697" w:hRule="atLeast"/>
        </w:trPr>
        <w:tc>
          <w:tcPr>
            <w:tcW w:w="1200" w:type="dxa"/>
            <w:tcBorders>
              <w:top w:val="nil"/>
              <w:left w:val="single" w:color="auto" w:sz="4" w:space="0"/>
              <w:bottom w:val="nil"/>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31</w:t>
            </w:r>
          </w:p>
        </w:tc>
        <w:tc>
          <w:tcPr>
            <w:tcW w:w="3760" w:type="dxa"/>
            <w:tcBorders>
              <w:top w:val="nil"/>
              <w:left w:val="nil"/>
              <w:bottom w:val="nil"/>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协同办公3</w:t>
            </w:r>
          </w:p>
        </w:tc>
        <w:tc>
          <w:tcPr>
            <w:tcW w:w="3540" w:type="dxa"/>
            <w:tcBorders>
              <w:top w:val="nil"/>
              <w:left w:val="nil"/>
              <w:bottom w:val="nil"/>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今年新增</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
    <w:altName w:val="宋体"/>
    <w:panose1 w:val="00000000000000000000"/>
    <w:charset w:val="00"/>
    <w:family w:val="auto"/>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00" w:usb3="00000000" w:csb0="0016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25</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53</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53</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E2942"/>
    <w:multiLevelType w:val="singleLevel"/>
    <w:tmpl w:val="97DE2942"/>
    <w:lvl w:ilvl="0" w:tentative="0">
      <w:start w:val="3"/>
      <w:numFmt w:val="decimal"/>
      <w:suff w:val="nothing"/>
      <w:lvlText w:val="（%1）"/>
      <w:lvlJc w:val="left"/>
    </w:lvl>
  </w:abstractNum>
  <w:abstractNum w:abstractNumId="1">
    <w:nsid w:val="15AFFF25"/>
    <w:multiLevelType w:val="singleLevel"/>
    <w:tmpl w:val="15AFFF25"/>
    <w:lvl w:ilvl="0" w:tentative="0">
      <w:start w:val="2"/>
      <w:numFmt w:val="chineseCounting"/>
      <w:suff w:val="space"/>
      <w:lvlText w:val="第%1章"/>
      <w:lvlJc w:val="left"/>
      <w:rPr>
        <w:rFonts w:hint="eastAsia"/>
      </w:rPr>
    </w:lvl>
  </w:abstractNum>
  <w:abstractNum w:abstractNumId="2">
    <w:nsid w:val="341969FE"/>
    <w:multiLevelType w:val="multilevel"/>
    <w:tmpl w:val="341969F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EB3642B"/>
    <w:multiLevelType w:val="multilevel"/>
    <w:tmpl w:val="4EB3642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12E6DB9"/>
    <w:multiLevelType w:val="multilevel"/>
    <w:tmpl w:val="612E6D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70827572"/>
    <w:multiLevelType w:val="multilevel"/>
    <w:tmpl w:val="708275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2MmExMjRkMWJjY2FhNDYxZGVmMGNhZjY1NmZmYTMifQ=="/>
    <w:docVar w:name="KGWebUrl" w:val="http://172.25.176.56:8081/iWebOffice2015//onlineServlet"/>
  </w:docVars>
  <w:rsids>
    <w:rsidRoot w:val="33C0075E"/>
    <w:rsid w:val="000B70B8"/>
    <w:rsid w:val="00113859"/>
    <w:rsid w:val="001935E5"/>
    <w:rsid w:val="002633FD"/>
    <w:rsid w:val="00433D57"/>
    <w:rsid w:val="004C4012"/>
    <w:rsid w:val="005265CF"/>
    <w:rsid w:val="005B6368"/>
    <w:rsid w:val="006153C1"/>
    <w:rsid w:val="006911D6"/>
    <w:rsid w:val="007A1276"/>
    <w:rsid w:val="00B54A57"/>
    <w:rsid w:val="00C714B8"/>
    <w:rsid w:val="00CC35B3"/>
    <w:rsid w:val="00D8157B"/>
    <w:rsid w:val="00F220BA"/>
    <w:rsid w:val="010D7A83"/>
    <w:rsid w:val="01F5422F"/>
    <w:rsid w:val="02832036"/>
    <w:rsid w:val="02D82FA2"/>
    <w:rsid w:val="03070D69"/>
    <w:rsid w:val="03B3077A"/>
    <w:rsid w:val="04A03924"/>
    <w:rsid w:val="05DD2F17"/>
    <w:rsid w:val="06F505BD"/>
    <w:rsid w:val="0837350B"/>
    <w:rsid w:val="08FE7A50"/>
    <w:rsid w:val="0A382368"/>
    <w:rsid w:val="0A3B4D8E"/>
    <w:rsid w:val="0BE12E49"/>
    <w:rsid w:val="0C495A9D"/>
    <w:rsid w:val="0C4F5747"/>
    <w:rsid w:val="0CAF10DB"/>
    <w:rsid w:val="0CEF06A8"/>
    <w:rsid w:val="0DBF6CB9"/>
    <w:rsid w:val="0DED3FE6"/>
    <w:rsid w:val="0E0052EB"/>
    <w:rsid w:val="0FC5746F"/>
    <w:rsid w:val="109F4BD4"/>
    <w:rsid w:val="155B3298"/>
    <w:rsid w:val="18603554"/>
    <w:rsid w:val="19790150"/>
    <w:rsid w:val="205D1ED0"/>
    <w:rsid w:val="20A404FD"/>
    <w:rsid w:val="221674FF"/>
    <w:rsid w:val="23F6018F"/>
    <w:rsid w:val="26800C37"/>
    <w:rsid w:val="26A22B4F"/>
    <w:rsid w:val="26AD5C39"/>
    <w:rsid w:val="26F23447"/>
    <w:rsid w:val="28ED152D"/>
    <w:rsid w:val="298917BD"/>
    <w:rsid w:val="2A947DE8"/>
    <w:rsid w:val="2AF30FF9"/>
    <w:rsid w:val="2BAB1468"/>
    <w:rsid w:val="2CAF2929"/>
    <w:rsid w:val="2D0F06BA"/>
    <w:rsid w:val="2D3154A0"/>
    <w:rsid w:val="2D7C4C1B"/>
    <w:rsid w:val="2F3656A6"/>
    <w:rsid w:val="2F56328C"/>
    <w:rsid w:val="2F7028DE"/>
    <w:rsid w:val="2FDB0F1C"/>
    <w:rsid w:val="32B829E5"/>
    <w:rsid w:val="330327D0"/>
    <w:rsid w:val="33C0075E"/>
    <w:rsid w:val="34EC41DF"/>
    <w:rsid w:val="360B6C4E"/>
    <w:rsid w:val="37CE559C"/>
    <w:rsid w:val="38522A39"/>
    <w:rsid w:val="396F38D8"/>
    <w:rsid w:val="3BF56A76"/>
    <w:rsid w:val="3C3B75AA"/>
    <w:rsid w:val="3C810DD3"/>
    <w:rsid w:val="3C9E1EDF"/>
    <w:rsid w:val="3C9F0383"/>
    <w:rsid w:val="3F74633C"/>
    <w:rsid w:val="3FA6306C"/>
    <w:rsid w:val="45225AF9"/>
    <w:rsid w:val="464C6B18"/>
    <w:rsid w:val="464E3D9E"/>
    <w:rsid w:val="4B192D52"/>
    <w:rsid w:val="4CA865EC"/>
    <w:rsid w:val="4D7657A4"/>
    <w:rsid w:val="4E727140"/>
    <w:rsid w:val="4EB86622"/>
    <w:rsid w:val="4F442D1B"/>
    <w:rsid w:val="4F566C52"/>
    <w:rsid w:val="502F6BAC"/>
    <w:rsid w:val="50D532EC"/>
    <w:rsid w:val="51864D34"/>
    <w:rsid w:val="51BA6FF1"/>
    <w:rsid w:val="5352473F"/>
    <w:rsid w:val="53B07514"/>
    <w:rsid w:val="54596EE9"/>
    <w:rsid w:val="57D50851"/>
    <w:rsid w:val="5A461DE0"/>
    <w:rsid w:val="5B966B22"/>
    <w:rsid w:val="5DC23249"/>
    <w:rsid w:val="5E40626B"/>
    <w:rsid w:val="604D6B8C"/>
    <w:rsid w:val="625C7529"/>
    <w:rsid w:val="6458781F"/>
    <w:rsid w:val="66C85A84"/>
    <w:rsid w:val="683661F5"/>
    <w:rsid w:val="69D22C2B"/>
    <w:rsid w:val="6C864235"/>
    <w:rsid w:val="6CFF5986"/>
    <w:rsid w:val="6D8E4B19"/>
    <w:rsid w:val="701C6DDB"/>
    <w:rsid w:val="70C77BA2"/>
    <w:rsid w:val="717551FD"/>
    <w:rsid w:val="74F77275"/>
    <w:rsid w:val="76454A40"/>
    <w:rsid w:val="76686107"/>
    <w:rsid w:val="76EE693B"/>
    <w:rsid w:val="79013B6F"/>
    <w:rsid w:val="7A014C40"/>
    <w:rsid w:val="7AEF6DC1"/>
    <w:rsid w:val="7B207FA8"/>
    <w:rsid w:val="7B32138E"/>
    <w:rsid w:val="7BC55B1F"/>
    <w:rsid w:val="7F2F4E18"/>
    <w:rsid w:val="7F9E7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keepNext/>
      <w:keepLines/>
      <w:spacing w:line="560" w:lineRule="exact"/>
      <w:ind w:firstLine="880" w:firstLineChars="200"/>
      <w:outlineLvl w:val="2"/>
    </w:pPr>
    <w:rPr>
      <w:rFonts w:eastAsia="方正楷体"/>
      <w:sz w:val="32"/>
      <w:szCs w:val="2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jc w:val="center"/>
    </w:pPr>
    <w:rPr>
      <w:rFonts w:ascii="幼圆" w:eastAsia="幼圆"/>
      <w:b/>
      <w:sz w:val="44"/>
    </w:rPr>
  </w:style>
  <w:style w:type="paragraph" w:styleId="5">
    <w:name w:val="Balloon Text"/>
    <w:basedOn w:val="1"/>
    <w:link w:val="15"/>
    <w:qFormat/>
    <w:uiPriority w:val="0"/>
    <w:rPr>
      <w:sz w:val="18"/>
      <w:szCs w:val="18"/>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99"/>
    <w:pPr>
      <w:ind w:firstLine="420" w:firstLineChars="200"/>
    </w:pPr>
    <w:rPr>
      <w:rFonts w:asciiTheme="minorHAnsi" w:hAnsiTheme="minorHAnsi" w:eastAsiaTheme="minorEastAsia" w:cstheme="minorBidi"/>
      <w:szCs w:val="22"/>
    </w:rPr>
  </w:style>
  <w:style w:type="paragraph" w:customStyle="1" w:styleId="12">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13">
    <w:name w:val="表格文本"/>
    <w:qFormat/>
    <w:uiPriority w:val="0"/>
    <w:pPr>
      <w:widowControl w:val="0"/>
      <w:spacing w:line="360" w:lineRule="auto"/>
      <w:jc w:val="both"/>
    </w:pPr>
    <w:rPr>
      <w:rFonts w:ascii="Times New Roman" w:hAnsi="Times New Roman" w:eastAsia="Songti SC" w:cstheme="minorBidi"/>
      <w:kern w:val="2"/>
      <w:sz w:val="18"/>
      <w:szCs w:val="24"/>
      <w:lang w:val="en-US" w:eastAsia="zh-CN" w:bidi="ar-SA"/>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批注框文本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53</Pages>
  <Words>19483</Words>
  <Characters>4325</Characters>
  <Lines>36</Lines>
  <Paragraphs>47</Paragraphs>
  <TotalTime>1</TotalTime>
  <ScaleCrop>false</ScaleCrop>
  <LinksUpToDate>false</LinksUpToDate>
  <CharactersWithSpaces>23761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2024-06-14T09:43:00Z</dcterms:created>
  <dc:creator>oa</dc:creator>
  <cp:lastModifiedBy>Lenovo</cp:lastModifiedBy>
  <dcterms:modified xsi:type="dcterms:W3CDTF">2024-06-21T09:36:22Z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CBA92E3F4A364DC4BDF16CEE4A063256_13</vt:lpwstr>
  </property>
</Properties>
</file>