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重庆江北国际机场商旅卡项目公开招商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公告</w:t>
      </w:r>
    </w:p>
    <w:p>
      <w:pPr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为提升服务功能、挖掘资源价值，拟对重庆江北国际机场商旅卡项目进行公开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招商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。现诚意邀请有意向、符合本次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招商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准入条件的经营商参加本项目的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招商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项目名称</w:t>
      </w:r>
    </w:p>
    <w:p>
      <w:pPr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重庆江北机场商旅卡项目公开招商</w:t>
      </w:r>
    </w:p>
    <w:p>
      <w:pPr>
        <w:ind w:firstLine="640" w:firstLineChars="200"/>
        <w:jc w:val="both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二、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简介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重庆江北国际机场位于重庆市渝北区两路镇，是国家定位的大型枢纽机场。2017年8月29日，随着东航站区及第三跑道项目建成投用，飞行区等级提升为4F级，重庆机场拥有三条跑道（其中：第一跑道长3200米、第二跑道长3600米、第三跑道长3800米）；停机坪166万平方米，停机位180个，货库25万平方米。</w:t>
      </w:r>
    </w:p>
    <w:p>
      <w:pPr>
        <w:tabs>
          <w:tab w:val="left" w:pos="6105"/>
        </w:tabs>
        <w:ind w:firstLine="482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重庆江北国际机场拥有三座航站楼，共73.7万平方米（其中：T1航站楼2万平方米、T2航站楼18万平方米、T3A航站楼53.7万平方米）。当前，T1航站楼已暂停使用，T2航站楼运营有四川航空、华夏航空、春秋航空、西部航空、湖南航空、九元航空、长安航空、金鹏航空、祥鹏航空、青岛航空、龙江航空、桂林航空、首都航空、北部湾航空、福州航空和东海航空，国航系、东航系、海航系、南航系等其他所有航空公司及所有国际航班在T3A航站楼运营。2023年重庆江北国际机场旅客吞吐量达4465.7万人次，排名全国第六。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本次招商资源如下：</w:t>
      </w:r>
    </w:p>
    <w:tbl>
      <w:tblPr>
        <w:tblStyle w:val="6"/>
        <w:tblW w:w="497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98"/>
        <w:gridCol w:w="565"/>
        <w:gridCol w:w="1801"/>
        <w:gridCol w:w="2726"/>
        <w:gridCol w:w="2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标段</w:t>
            </w:r>
          </w:p>
        </w:tc>
        <w:tc>
          <w:tcPr>
            <w:tcW w:w="3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航站楼</w:t>
            </w:r>
          </w:p>
        </w:tc>
        <w:tc>
          <w:tcPr>
            <w:tcW w:w="10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资源性质</w:t>
            </w:r>
          </w:p>
        </w:tc>
        <w:tc>
          <w:tcPr>
            <w:tcW w:w="1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位置</w:t>
            </w:r>
          </w:p>
        </w:tc>
        <w:tc>
          <w:tcPr>
            <w:tcW w:w="13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资源数量/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3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标段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T2A</w:t>
            </w:r>
          </w:p>
        </w:tc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综合服务类场地</w:t>
            </w:r>
          </w:p>
        </w:tc>
        <w:tc>
          <w:tcPr>
            <w:tcW w:w="16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出发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3号门旁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场地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2A值机岛和2B值机岛之间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场地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2B值机岛和2C值机岛之间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T2B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综合服务类场地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2F值机岛前端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场地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2E值机岛和2F值机岛之间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标段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3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T3A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综合服务类场地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3J值机岛前端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3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场地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3E值机岛和3F值机岛之间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3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场地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3H值机岛和3J值机岛之间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3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场地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3G值机岛东侧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场地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3G值机岛西侧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15㎡</w:t>
            </w:r>
          </w:p>
        </w:tc>
      </w:tr>
    </w:tbl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三、响应人资质要求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在中华人民共和国依法注册的法人。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2.注册年限在10年（含）以上，且营业执照经营范围含票务代理。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不接受联合体形式。有关联关系的公司只能选择一家公司参与同一标段的招商，不能联合参与招商，也不得同时参加同一标段的招商。关联关系包括母子公司、受同一母公司控制的子公司之间、合营公司、联营公司等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守法经营，诚实守信，未被“信用中国”网站（www.creditchina.gov.cn）列入严重失信主体名单；未被“中国执行信息公开网”（zxgk.court.gov.cn）列为失信被执行人。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截至招商报名截止之日，无应付而未付重庆江北国际机场有限公司款项。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截至招商报名截止之日，未在重庆机场集团有限公司经营商黑名单内。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必须符合招商人对招商项目的业态要求及定位要求。</w:t>
      </w:r>
    </w:p>
    <w:p>
      <w:pPr>
        <w:ind w:firstLine="640" w:firstLineChars="200"/>
        <w:jc w:val="both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8.2019年至今（以合同签订时间为准），须具有与国内3个（含）以上机场签订的商旅卡经营合同。经营合同应具有商旅卡销售性质。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四、招商文件的发放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符合本次公开招商准入条件的经营商可在即日起至2024年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日（或招商人另行通知的截止时间）的工作日上午9：00至12:00、下午14:00至17:00来电咨询，并领取招商文件正式盖章的扫描件或纸质件。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谭女士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 xml:space="preserve">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地址：重庆江北国际机场有限公司1楼100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办公室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023-67153519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 xml:space="preserve">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电子邮件：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tansy@cqa.cn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 xml:space="preserve"> </w:t>
      </w: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五、招商文件的更正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在招商文件发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后、招商谈判会议开始前，招商人有权随时对招商文件进行更正。更正通知以正式盖章的扫描件或纸质版发出。</w:t>
      </w: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六、现场勘查与澄清答疑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招商人定于2024年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日对报名标段的响应人组织现场勘查及澄清答疑。同时，响应人的所有澄清问题请于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日下午17：00前发送至电子邮箱：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tansy@cqa.cn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。澄清仅此一次，逾期不再组织。以上时间如有变更，以招商人的书面通知为准。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谭女士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。联系电话：023-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67153519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七、招商谈判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谈判时间：2024年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日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报名方式及具体事宜详见招商文件。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单位：重庆江北国际机场有限公司 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2024年5月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mZlMmFiNTI1M2MwNDJkZDk5MGJjMWM0YjVlZDUifQ=="/>
  </w:docVars>
  <w:rsids>
    <w:rsidRoot w:val="75F57C93"/>
    <w:rsid w:val="01C14B70"/>
    <w:rsid w:val="06223E20"/>
    <w:rsid w:val="0A534A64"/>
    <w:rsid w:val="0CAC1F08"/>
    <w:rsid w:val="0DD366B5"/>
    <w:rsid w:val="0E1C2936"/>
    <w:rsid w:val="0EB35D65"/>
    <w:rsid w:val="12BC2625"/>
    <w:rsid w:val="16556050"/>
    <w:rsid w:val="1E0A5972"/>
    <w:rsid w:val="24CA08B7"/>
    <w:rsid w:val="29392739"/>
    <w:rsid w:val="2A247694"/>
    <w:rsid w:val="3264574E"/>
    <w:rsid w:val="33BC1065"/>
    <w:rsid w:val="388F525B"/>
    <w:rsid w:val="390327FE"/>
    <w:rsid w:val="46341091"/>
    <w:rsid w:val="493B13C5"/>
    <w:rsid w:val="4C346895"/>
    <w:rsid w:val="4E3B07DF"/>
    <w:rsid w:val="536919E3"/>
    <w:rsid w:val="54EA6DDF"/>
    <w:rsid w:val="586220E2"/>
    <w:rsid w:val="5DCB3ACF"/>
    <w:rsid w:val="5E7F4FE5"/>
    <w:rsid w:val="605409A1"/>
    <w:rsid w:val="6431099A"/>
    <w:rsid w:val="6C3F65A7"/>
    <w:rsid w:val="6F4A4FBA"/>
    <w:rsid w:val="727E14FC"/>
    <w:rsid w:val="73A6263A"/>
    <w:rsid w:val="75F57C93"/>
    <w:rsid w:val="77F94F15"/>
    <w:rsid w:val="7A4D589F"/>
    <w:rsid w:val="7ED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2024-05-23T02:08:00Z</dcterms:created>
  <dc:creator>王菡</dc:creator>
  <cp:lastModifiedBy>谭舒予</cp:lastModifiedBy>
  <cp:lastPrinted>2024-05-29T08:11:00Z</cp:lastPrinted>
  <dcterms:modified xsi:type="dcterms:W3CDTF">2024-05-30T09:27:01Z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2FBFF6E9439C482B9890767898AFC814_11</vt:lpwstr>
  </property>
</Properties>
</file>