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南区货运街环境整治项目零星采购文件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09 </w:t>
      </w:r>
    </w:p>
    <w:p>
      <w:pPr>
        <w:pStyle w:val="10"/>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南区货运街环境整治项目零星采购文件</w:t>
      </w:r>
    </w:p>
    <w:p>
      <w:pPr>
        <w:pStyle w:val="10"/>
      </w:pPr>
    </w:p>
    <w:p>
      <w:pPr>
        <w:widowControl/>
        <w:numPr>
          <w:ilvl w:val="0"/>
          <w:numId w:val="1"/>
        </w:numPr>
        <w:spacing w:line="360" w:lineRule="auto"/>
        <w:ind w:left="641" w:leftChars="0" w:hanging="641" w:hangingChars="228"/>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1.资质要求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1.1注册公司为独立法人，本项目不接受联合体投标，不得转包、分包。</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1.2公司具备有效的营业执照，具有实施项目所必需的设备和专业技术能力（提供营业执照复印件并加盖单位鲜章）。</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 法定代表人为同一个人的两个及两个以上法人，母公司、全资子公司及其控股公司，以及其他形式有管理关系的投标人，都不得在同一采购项目中同时参与零星采购。</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1.4 信誉要求：①没有处于被责令停业，参与招标采购资格被取消，财产被接管、冻结，破产状态；②零星采购响应人没有进入采购人黑名单库。</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2.项目内容及要求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2.1南区货运街环境整治项目内容、工程量及做法（详见附件4）；</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2.1.1墙面、防撞柱及楼梯等翻新刷漆需做好现场环境及地面保护工作；</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2.1.2乙方应于合同签订后5个工作日内，向甲方提交南区货运街停车位热熔划线深化设计方案详见示意图（附件5）；</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2.1.3停车区热熔划线前，应提前3日与甲方沟通，待甲方通知协调租户后方可实施，避免对现场生产造成影响。</w:t>
      </w:r>
    </w:p>
    <w:p>
      <w:pPr>
        <w:numPr>
          <w:ilvl w:val="0"/>
          <w:numId w:val="0"/>
        </w:numPr>
        <w:snapToGrid w:val="0"/>
        <w:spacing w:line="360" w:lineRule="auto"/>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2.2 2024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7</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w:t>
      </w:r>
      <w:r>
        <w:rPr>
          <w:rFonts w:hint="eastAsia" w:ascii="仿宋_GB2312" w:hAnsi="宋体" w:eastAsia="仿宋_GB2312" w:cs="Times New Roman"/>
          <w:sz w:val="28"/>
          <w:szCs w:val="28"/>
          <w:lang w:val="en-US" w:eastAsia="zh-CN"/>
        </w:rPr>
        <w:t>须</w:t>
      </w:r>
      <w:r>
        <w:rPr>
          <w:rFonts w:hint="eastAsia" w:ascii="仿宋_GB2312" w:hAnsi="宋体" w:eastAsia="仿宋_GB2312" w:cs="Times New Roman"/>
          <w:sz w:val="28"/>
          <w:szCs w:val="28"/>
        </w:rPr>
        <w:t>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w:t>
      </w:r>
      <w:r>
        <w:rPr>
          <w:rFonts w:hint="eastAsia" w:ascii="仿宋_GB2312" w:hAnsi="宋体" w:eastAsia="仿宋_GB2312" w:cs="Times New Roman"/>
          <w:sz w:val="28"/>
          <w:szCs w:val="28"/>
          <w:lang w:val="en-US" w:eastAsia="zh-CN"/>
        </w:rPr>
        <w:t>集中</w:t>
      </w:r>
      <w:r>
        <w:rPr>
          <w:rFonts w:hint="eastAsia" w:ascii="仿宋_GB2312" w:hAnsi="宋体" w:eastAsia="仿宋_GB2312" w:cs="Times New Roman"/>
          <w:sz w:val="28"/>
          <w:szCs w:val="28"/>
        </w:rPr>
        <w:t>踏勘现场</w:t>
      </w:r>
      <w:r>
        <w:rPr>
          <w:rFonts w:hint="eastAsia" w:ascii="仿宋_GB2312" w:hAnsi="宋体" w:eastAsia="仿宋_GB2312" w:cs="Times New Roman"/>
          <w:sz w:val="28"/>
          <w:szCs w:val="28"/>
          <w:lang w:val="en-US" w:eastAsia="zh-CN"/>
        </w:rPr>
        <w:t>，否则视为对零星采购文件不作实质性响应，其零星采购将被否决。</w:t>
      </w:r>
    </w:p>
    <w:p>
      <w:pPr>
        <w:numPr>
          <w:ilvl w:val="0"/>
          <w:numId w:val="0"/>
        </w:num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2.3所有建渣须清运至机场物流园区外。</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3.施工安全：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施工涉及高空作业，高空作业时须严格遵守操作章程，佩戴安全绳安全帽，并安排专人做好安全防护。</w:t>
      </w:r>
    </w:p>
    <w:p>
      <w:pPr>
        <w:ind w:firstLine="560"/>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4.报价要求：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本项目的报价应包括：本项目报价为包干价，不再另行增加费用。本项目最高限价（不含税）为32977.49元（大写:叁万贰仟玖佰柒拾  柒元肆角玖分），报价超过最高限价，将取消零星采购响应方的零星采购资格。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adjustRightInd w:val="0"/>
        <w:snapToGrid w:val="0"/>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1.营业执照、公司资质等；</w:t>
      </w:r>
    </w:p>
    <w:p>
      <w:pPr>
        <w:adjustRightInd w:val="0"/>
        <w:snapToGrid w:val="0"/>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lang w:val="en-US" w:eastAsia="zh-CN"/>
        </w:rPr>
        <w:t xml:space="preserve">  </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pStyle w:val="24"/>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pStyle w:val="24"/>
        <w:ind w:left="0" w:leftChars="0" w:firstLine="560" w:firstLineChars="200"/>
        <w:rPr>
          <w:rFonts w:hint="eastAsia" w:ascii="仿宋_GB2312" w:hAnsi="宋体" w:eastAsia="仿宋_GB2312" w:cs="Times New Roman"/>
          <w:b w:val="0"/>
          <w:bCs/>
          <w:color w:val="000000"/>
          <w:kern w:val="2"/>
          <w:sz w:val="28"/>
          <w:szCs w:val="28"/>
          <w:lang w:val="en-US" w:eastAsia="zh-CN" w:bidi="ar-SA"/>
        </w:rPr>
      </w:pPr>
      <w:r>
        <w:rPr>
          <w:rFonts w:hint="eastAsia" w:hAnsi="宋体" w:cs="Times New Roman"/>
          <w:b w:val="0"/>
          <w:bCs/>
          <w:color w:val="000000"/>
          <w:kern w:val="2"/>
          <w:sz w:val="28"/>
          <w:szCs w:val="28"/>
          <w:lang w:val="en-US" w:eastAsia="zh-CN" w:bidi="ar-SA"/>
        </w:rPr>
        <w:t>25天</w:t>
      </w:r>
      <w:r>
        <w:rPr>
          <w:rFonts w:hint="eastAsia" w:ascii="方正仿宋_GBK" w:hAnsi="方正仿宋_GBK" w:eastAsia="方正仿宋_GBK" w:cs="方正仿宋_GBK"/>
          <w:color w:val="auto"/>
          <w:sz w:val="28"/>
          <w:szCs w:val="28"/>
          <w:highlight w:val="none"/>
          <w:lang w:val="en-US" w:eastAsia="zh-CN"/>
        </w:rPr>
        <w:t>（从开工之日起算，最终开工时间以开工报告为准）</w:t>
      </w:r>
      <w:r>
        <w:rPr>
          <w:rFonts w:hint="eastAsia" w:ascii="仿宋_GB2312" w:hAnsi="宋体" w:eastAsia="仿宋_GB2312" w:cs="Times New Roman"/>
          <w:b w:val="0"/>
          <w:bCs/>
          <w:color w:val="000000"/>
          <w:kern w:val="2"/>
          <w:sz w:val="28"/>
          <w:szCs w:val="28"/>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7</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7</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10"/>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4.南区货运街环境整治项目内容</w:t>
      </w:r>
    </w:p>
    <w:p>
      <w:pPr>
        <w:numPr>
          <w:ilvl w:val="0"/>
          <w:numId w:val="0"/>
        </w:numPr>
        <w:ind w:leftChars="0" w:firstLine="1400" w:firstLineChars="500"/>
        <w:rPr>
          <w:rFonts w:hint="default"/>
          <w:lang w:val="en-US" w:eastAsia="zh-CN"/>
        </w:rPr>
      </w:pPr>
      <w:r>
        <w:rPr>
          <w:rFonts w:hint="eastAsia" w:ascii="仿宋_GB2312" w:hAnsi="宋体" w:eastAsia="仿宋_GB2312" w:cs="Times New Roman"/>
          <w:b w:val="0"/>
          <w:bCs w:val="0"/>
          <w:kern w:val="2"/>
          <w:sz w:val="28"/>
          <w:szCs w:val="28"/>
          <w:lang w:val="en-US" w:eastAsia="zh-CN" w:bidi="ar-SA"/>
        </w:rPr>
        <w:t>5.南区货运街停车位热熔划线示意图</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1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42F7F71"/>
    <w:rsid w:val="05256E9E"/>
    <w:rsid w:val="05290211"/>
    <w:rsid w:val="06FB3AE8"/>
    <w:rsid w:val="076E380E"/>
    <w:rsid w:val="081E0977"/>
    <w:rsid w:val="084C733B"/>
    <w:rsid w:val="08A3551C"/>
    <w:rsid w:val="09305B41"/>
    <w:rsid w:val="094F3001"/>
    <w:rsid w:val="09C2047E"/>
    <w:rsid w:val="09CF6937"/>
    <w:rsid w:val="0AE22BF0"/>
    <w:rsid w:val="0B7A1EEA"/>
    <w:rsid w:val="0BD5582F"/>
    <w:rsid w:val="0CB9308E"/>
    <w:rsid w:val="0DB86A62"/>
    <w:rsid w:val="0F0B33E8"/>
    <w:rsid w:val="10382BA5"/>
    <w:rsid w:val="11143410"/>
    <w:rsid w:val="112F6D66"/>
    <w:rsid w:val="114C6F03"/>
    <w:rsid w:val="11F307DC"/>
    <w:rsid w:val="12193BE1"/>
    <w:rsid w:val="12256D04"/>
    <w:rsid w:val="12D446AC"/>
    <w:rsid w:val="12F53E94"/>
    <w:rsid w:val="13DB6823"/>
    <w:rsid w:val="156E1005"/>
    <w:rsid w:val="15A0690C"/>
    <w:rsid w:val="163E130D"/>
    <w:rsid w:val="16900B41"/>
    <w:rsid w:val="177924A5"/>
    <w:rsid w:val="179F759C"/>
    <w:rsid w:val="18242D00"/>
    <w:rsid w:val="18BA24BB"/>
    <w:rsid w:val="18F40524"/>
    <w:rsid w:val="199E1501"/>
    <w:rsid w:val="1A2247F0"/>
    <w:rsid w:val="1A5D5310"/>
    <w:rsid w:val="1A827BA2"/>
    <w:rsid w:val="1B7D6E67"/>
    <w:rsid w:val="1B7F1E29"/>
    <w:rsid w:val="1BBF3015"/>
    <w:rsid w:val="1C5B6314"/>
    <w:rsid w:val="1CF35989"/>
    <w:rsid w:val="1D4F54FD"/>
    <w:rsid w:val="1D8B6A06"/>
    <w:rsid w:val="1E012258"/>
    <w:rsid w:val="1E622522"/>
    <w:rsid w:val="1F51106F"/>
    <w:rsid w:val="1F7D4C37"/>
    <w:rsid w:val="1FF368CC"/>
    <w:rsid w:val="2077623E"/>
    <w:rsid w:val="20BD15B6"/>
    <w:rsid w:val="21695F2A"/>
    <w:rsid w:val="21B9289A"/>
    <w:rsid w:val="21CE745E"/>
    <w:rsid w:val="21F54E33"/>
    <w:rsid w:val="22251D9E"/>
    <w:rsid w:val="23362FB7"/>
    <w:rsid w:val="244D7891"/>
    <w:rsid w:val="24962DAF"/>
    <w:rsid w:val="25130BAE"/>
    <w:rsid w:val="254B0C2C"/>
    <w:rsid w:val="256F6ADD"/>
    <w:rsid w:val="25944957"/>
    <w:rsid w:val="260F4E2C"/>
    <w:rsid w:val="277057FE"/>
    <w:rsid w:val="27AC1AD0"/>
    <w:rsid w:val="27FB020E"/>
    <w:rsid w:val="281B0B35"/>
    <w:rsid w:val="283E5476"/>
    <w:rsid w:val="285D041E"/>
    <w:rsid w:val="28AE59C9"/>
    <w:rsid w:val="29326A7A"/>
    <w:rsid w:val="29E879CA"/>
    <w:rsid w:val="2A617ADD"/>
    <w:rsid w:val="2ACE1FD7"/>
    <w:rsid w:val="2B0D40DE"/>
    <w:rsid w:val="2B1E638C"/>
    <w:rsid w:val="2B853AA7"/>
    <w:rsid w:val="2B9751CC"/>
    <w:rsid w:val="2BB52E41"/>
    <w:rsid w:val="2C421E88"/>
    <w:rsid w:val="2DB914F0"/>
    <w:rsid w:val="2DE74F72"/>
    <w:rsid w:val="2E2F0953"/>
    <w:rsid w:val="2E7D2606"/>
    <w:rsid w:val="2FC9275E"/>
    <w:rsid w:val="304269F9"/>
    <w:rsid w:val="30E45C63"/>
    <w:rsid w:val="31097CFF"/>
    <w:rsid w:val="31820213"/>
    <w:rsid w:val="318D027E"/>
    <w:rsid w:val="31B718EC"/>
    <w:rsid w:val="31C74E8E"/>
    <w:rsid w:val="3317335F"/>
    <w:rsid w:val="33F31437"/>
    <w:rsid w:val="34A54157"/>
    <w:rsid w:val="355F170B"/>
    <w:rsid w:val="364A14F4"/>
    <w:rsid w:val="36DF1A24"/>
    <w:rsid w:val="38DA22CA"/>
    <w:rsid w:val="38F67EE5"/>
    <w:rsid w:val="390E1A8E"/>
    <w:rsid w:val="393D4A5E"/>
    <w:rsid w:val="39832503"/>
    <w:rsid w:val="3A140F9B"/>
    <w:rsid w:val="3AE76E8F"/>
    <w:rsid w:val="3B7454DA"/>
    <w:rsid w:val="3BCB39B7"/>
    <w:rsid w:val="3C804994"/>
    <w:rsid w:val="3CEC5442"/>
    <w:rsid w:val="3E101D1E"/>
    <w:rsid w:val="3E432362"/>
    <w:rsid w:val="400B2DE2"/>
    <w:rsid w:val="408A24DB"/>
    <w:rsid w:val="415426A8"/>
    <w:rsid w:val="42E13849"/>
    <w:rsid w:val="42EA058A"/>
    <w:rsid w:val="42F74C6A"/>
    <w:rsid w:val="46332FA5"/>
    <w:rsid w:val="465D5950"/>
    <w:rsid w:val="477404A3"/>
    <w:rsid w:val="480609B0"/>
    <w:rsid w:val="48B21D24"/>
    <w:rsid w:val="48CC7324"/>
    <w:rsid w:val="49F06EFA"/>
    <w:rsid w:val="49F46FE7"/>
    <w:rsid w:val="4AA76173"/>
    <w:rsid w:val="4B5D694B"/>
    <w:rsid w:val="4C362EBA"/>
    <w:rsid w:val="4C6F7BDC"/>
    <w:rsid w:val="4CA24874"/>
    <w:rsid w:val="4CD54398"/>
    <w:rsid w:val="4D2B63BA"/>
    <w:rsid w:val="4E8D3356"/>
    <w:rsid w:val="4F304639"/>
    <w:rsid w:val="4F3D1563"/>
    <w:rsid w:val="4F9B2135"/>
    <w:rsid w:val="50DB6BB1"/>
    <w:rsid w:val="518D3273"/>
    <w:rsid w:val="526715A5"/>
    <w:rsid w:val="5360664C"/>
    <w:rsid w:val="53C12F86"/>
    <w:rsid w:val="548C7610"/>
    <w:rsid w:val="550C040F"/>
    <w:rsid w:val="557D6628"/>
    <w:rsid w:val="55CC6953"/>
    <w:rsid w:val="56811338"/>
    <w:rsid w:val="56AB1D99"/>
    <w:rsid w:val="57177CB8"/>
    <w:rsid w:val="573E25C6"/>
    <w:rsid w:val="57AD4B2A"/>
    <w:rsid w:val="57B06FD7"/>
    <w:rsid w:val="57B32171"/>
    <w:rsid w:val="58312386"/>
    <w:rsid w:val="58804CE6"/>
    <w:rsid w:val="58F2585E"/>
    <w:rsid w:val="58F46DD8"/>
    <w:rsid w:val="59D42EB5"/>
    <w:rsid w:val="5B9117E1"/>
    <w:rsid w:val="5BF32BD4"/>
    <w:rsid w:val="5BF615BC"/>
    <w:rsid w:val="5CD94274"/>
    <w:rsid w:val="5D2A65F2"/>
    <w:rsid w:val="5D2D231E"/>
    <w:rsid w:val="5DA75851"/>
    <w:rsid w:val="5DFF3AC4"/>
    <w:rsid w:val="5E577DBE"/>
    <w:rsid w:val="5E9F1AC6"/>
    <w:rsid w:val="5F261904"/>
    <w:rsid w:val="5F8C2734"/>
    <w:rsid w:val="5F947D80"/>
    <w:rsid w:val="5F9750B7"/>
    <w:rsid w:val="6006041D"/>
    <w:rsid w:val="60A01C92"/>
    <w:rsid w:val="60BD4615"/>
    <w:rsid w:val="61B573F5"/>
    <w:rsid w:val="61C952A1"/>
    <w:rsid w:val="62A530E7"/>
    <w:rsid w:val="62F65C4A"/>
    <w:rsid w:val="63300980"/>
    <w:rsid w:val="64352713"/>
    <w:rsid w:val="64551176"/>
    <w:rsid w:val="6495010E"/>
    <w:rsid w:val="64C914A2"/>
    <w:rsid w:val="66B913BB"/>
    <w:rsid w:val="677D0564"/>
    <w:rsid w:val="67B53825"/>
    <w:rsid w:val="67DA1534"/>
    <w:rsid w:val="67E65A7C"/>
    <w:rsid w:val="67F24784"/>
    <w:rsid w:val="686D26B1"/>
    <w:rsid w:val="68B83512"/>
    <w:rsid w:val="68BB21E9"/>
    <w:rsid w:val="68C369BF"/>
    <w:rsid w:val="6A287C64"/>
    <w:rsid w:val="6A6E2F54"/>
    <w:rsid w:val="6ABF7608"/>
    <w:rsid w:val="6B5A0BF5"/>
    <w:rsid w:val="6BA910E4"/>
    <w:rsid w:val="6BE75546"/>
    <w:rsid w:val="6BF14D77"/>
    <w:rsid w:val="6C405BB1"/>
    <w:rsid w:val="6C977C55"/>
    <w:rsid w:val="6CD4529E"/>
    <w:rsid w:val="6DC667F0"/>
    <w:rsid w:val="6DD012E1"/>
    <w:rsid w:val="6E0B1A73"/>
    <w:rsid w:val="6E2454D0"/>
    <w:rsid w:val="6ECA2CBC"/>
    <w:rsid w:val="6F5C50FC"/>
    <w:rsid w:val="6F8B1FE2"/>
    <w:rsid w:val="702C32F4"/>
    <w:rsid w:val="70387630"/>
    <w:rsid w:val="70DE5E26"/>
    <w:rsid w:val="72122479"/>
    <w:rsid w:val="727F03E4"/>
    <w:rsid w:val="72B92086"/>
    <w:rsid w:val="72F07278"/>
    <w:rsid w:val="738721C8"/>
    <w:rsid w:val="7433707F"/>
    <w:rsid w:val="7523723A"/>
    <w:rsid w:val="76B30158"/>
    <w:rsid w:val="77A24F9E"/>
    <w:rsid w:val="77AB5A92"/>
    <w:rsid w:val="77C55665"/>
    <w:rsid w:val="78135ED4"/>
    <w:rsid w:val="78E03EA1"/>
    <w:rsid w:val="78FE4116"/>
    <w:rsid w:val="790C0EE6"/>
    <w:rsid w:val="79217A26"/>
    <w:rsid w:val="79557A24"/>
    <w:rsid w:val="798A3C0A"/>
    <w:rsid w:val="7A715172"/>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5</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2024-04-29T01:03:36Z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