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方正黑体_GBK" w:hAnsi="方正黑体_GBK" w:eastAsia="方正黑体_GBK" w:cs="方正黑体_GBK"/>
          <w:b w:val="0"/>
          <w:bCs/>
          <w:sz w:val="32"/>
          <w:szCs w:val="32"/>
          <w:lang w:val="en-US" w:eastAsia="zh-CN"/>
        </w:rPr>
      </w:pPr>
      <w:bookmarkStart w:id="0" w:name="_GoBack"/>
      <w:bookmarkEnd w:id="0"/>
      <w:r>
        <w:rPr>
          <w:rFonts w:hint="eastAsia" w:ascii="方正黑体_GBK" w:hAnsi="方正黑体_GBK" w:eastAsia="方正黑体_GBK" w:cs="方正黑体_GBK"/>
          <w:b w:val="0"/>
          <w:bCs/>
          <w:sz w:val="32"/>
          <w:szCs w:val="32"/>
          <w:lang w:eastAsia="zh-CN"/>
        </w:rPr>
        <w:t>附件</w:t>
      </w:r>
      <w:r>
        <w:rPr>
          <w:rFonts w:hint="eastAsia" w:ascii="方正黑体_GBK" w:hAnsi="方正黑体_GBK" w:eastAsia="方正黑体_GBK" w:cs="方正黑体_GBK"/>
          <w:b w:val="0"/>
          <w:bCs/>
          <w:sz w:val="32"/>
          <w:szCs w:val="32"/>
          <w:lang w:val="en-US" w:eastAsia="zh-CN"/>
        </w:rPr>
        <w:t>2</w:t>
      </w:r>
    </w:p>
    <w:p>
      <w:pPr>
        <w:pStyle w:val="2"/>
        <w:rPr>
          <w:rFonts w:hint="eastAsia" w:ascii="幼圆" w:eastAsia="幼圆" w:hAnsiTheme="minorHAnsi" w:cstheme="minorBidi"/>
          <w:b/>
          <w:sz w:val="44"/>
          <w:szCs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T3A航站楼3E至3F值机岛之间</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自助值</w:t>
      </w:r>
      <w:r>
        <w:rPr>
          <w:rFonts w:hint="eastAsia" w:ascii="方正小标宋_GBK" w:hAnsi="方正小标宋_GBK" w:eastAsia="方正小标宋_GBK" w:cs="方正小标宋_GBK"/>
          <w:b w:val="0"/>
          <w:bCs/>
          <w:sz w:val="44"/>
          <w:szCs w:val="44"/>
        </w:rPr>
        <w:t>机布局调整</w:t>
      </w:r>
      <w:r>
        <w:rPr>
          <w:rFonts w:hint="eastAsia" w:ascii="方正小标宋_GBK" w:hAnsi="方正小标宋_GBK" w:eastAsia="方正小标宋_GBK" w:cs="方正小标宋_GBK"/>
          <w:b w:val="0"/>
          <w:bCs/>
          <w:sz w:val="44"/>
          <w:szCs w:val="44"/>
          <w:lang w:eastAsia="zh-CN"/>
        </w:rPr>
        <w:t>方案</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b w:val="0"/>
          <w:bCs/>
          <w:color w:val="auto"/>
          <w:kern w:val="2"/>
          <w:sz w:val="44"/>
          <w:szCs w:val="44"/>
          <w:highlight w:val="none"/>
          <w:u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黑体_GBK" w:hAnsi="方正黑体_GBK" w:eastAsia="方正黑体_GBK" w:cs="方正黑体_GBK"/>
          <w:b w:val="0"/>
          <w:bCs/>
          <w:color w:val="auto"/>
          <w:sz w:val="32"/>
          <w:szCs w:val="32"/>
          <w:highlight w:val="none"/>
          <w:u w:val="none"/>
          <w:lang w:val="en-US" w:eastAsia="zh-CN"/>
        </w:rPr>
      </w:pPr>
      <w:r>
        <w:rPr>
          <w:rFonts w:hint="eastAsia" w:ascii="方正黑体_GBK" w:hAnsi="方正黑体_GBK" w:eastAsia="方正黑体_GBK" w:cs="方正黑体_GBK"/>
          <w:b w:val="0"/>
          <w:bCs/>
          <w:color w:val="auto"/>
          <w:kern w:val="2"/>
          <w:sz w:val="32"/>
          <w:szCs w:val="32"/>
          <w:highlight w:val="none"/>
          <w:u w:val="none"/>
          <w:lang w:val="en-US" w:eastAsia="zh-CN" w:bidi="ar-SA"/>
        </w:rPr>
        <w:t>一、</w:t>
      </w:r>
      <w:r>
        <w:rPr>
          <w:rFonts w:hint="eastAsia" w:ascii="方正黑体_GBK" w:hAnsi="方正黑体_GBK" w:eastAsia="方正黑体_GBK" w:cs="方正黑体_GBK"/>
          <w:b w:val="0"/>
          <w:bCs/>
          <w:color w:val="auto"/>
          <w:sz w:val="32"/>
          <w:szCs w:val="32"/>
          <w:highlight w:val="none"/>
          <w:u w:val="none"/>
          <w:lang w:val="en-US" w:eastAsia="zh-CN"/>
        </w:rPr>
        <w:t>调整位置</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仿宋_GBK" w:hAnsi="方正仿宋_GBK" w:eastAsia="方正仿宋_GBK" w:cs="方正仿宋_GBK"/>
          <w:b w:val="0"/>
          <w:bCs/>
          <w:color w:val="auto"/>
          <w:sz w:val="32"/>
          <w:szCs w:val="32"/>
          <w:highlight w:val="none"/>
          <w:u w:val="none"/>
          <w:lang w:val="en-US" w:eastAsia="zh-CN"/>
        </w:rPr>
      </w:pPr>
      <w:r>
        <w:rPr>
          <w:rFonts w:hint="eastAsia" w:ascii="方正仿宋_GBK" w:hAnsi="方正仿宋_GBK" w:eastAsia="方正仿宋_GBK" w:cs="方正仿宋_GBK"/>
          <w:b w:val="0"/>
          <w:bCs/>
          <w:color w:val="auto"/>
          <w:sz w:val="32"/>
          <w:szCs w:val="32"/>
          <w:highlight w:val="none"/>
          <w:u w:val="none"/>
          <w:lang w:val="en-US" w:eastAsia="zh-CN"/>
        </w:rPr>
        <w:t>调整区域位于T3A航站楼四楼出发层楼内,3号门(3E、3F值机岛之间)进门对应的</w:t>
      </w:r>
      <w:r>
        <w:rPr>
          <w:rFonts w:hint="eastAsia" w:ascii="方正仿宋_GBK" w:hAnsi="方正仿宋_GBK" w:eastAsia="方正仿宋_GBK" w:cs="方正仿宋_GBK"/>
          <w:b w:val="0"/>
          <w:bCs/>
          <w:color w:val="auto"/>
          <w:sz w:val="32"/>
          <w:szCs w:val="32"/>
          <w:highlight w:val="none"/>
          <w:u w:val="none"/>
          <w:lang w:val="en-US" w:eastAsia="zh-CN"/>
        </w:rPr>
        <w:t>自助值机区域</w:t>
      </w:r>
      <w:r>
        <w:rPr>
          <w:rFonts w:hint="eastAsia" w:ascii="方正仿宋_GBK" w:hAnsi="方正仿宋_GBK" w:eastAsia="方正仿宋_GBK" w:cs="方正仿宋_GBK"/>
          <w:b w:val="0"/>
          <w:bCs/>
          <w:color w:val="auto"/>
          <w:sz w:val="32"/>
          <w:szCs w:val="32"/>
          <w:highlight w:val="none"/>
          <w:u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黑体_GBK" w:hAnsi="方正黑体_GBK" w:eastAsia="方正黑体_GBK" w:cs="方正黑体_GBK"/>
          <w:b w:val="0"/>
          <w:bCs/>
          <w:color w:val="auto"/>
          <w:sz w:val="32"/>
          <w:szCs w:val="32"/>
          <w:highlight w:val="none"/>
          <w:u w:val="none"/>
          <w:lang w:val="en-US" w:eastAsia="zh-CN"/>
        </w:rPr>
      </w:pPr>
      <w:r>
        <w:rPr>
          <w:rFonts w:hint="eastAsia" w:ascii="方正黑体_GBK" w:hAnsi="方正黑体_GBK" w:eastAsia="方正黑体_GBK" w:cs="方正黑体_GBK"/>
          <w:b w:val="0"/>
          <w:bCs/>
          <w:color w:val="auto"/>
          <w:sz w:val="32"/>
          <w:szCs w:val="32"/>
          <w:highlight w:val="none"/>
          <w:u w:val="none"/>
          <w:lang w:val="en-US" w:eastAsia="zh-CN"/>
        </w:rPr>
        <w:t>二、调整方案</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仿宋_GBK" w:hAnsi="方正仿宋_GBK" w:eastAsia="方正仿宋_GBK" w:cs="方正仿宋_GBK"/>
          <w:b w:val="0"/>
          <w:bCs/>
          <w:color w:val="auto"/>
          <w:sz w:val="32"/>
          <w:szCs w:val="32"/>
          <w:highlight w:val="none"/>
          <w:u w:val="none"/>
          <w:lang w:val="en-US" w:eastAsia="zh-CN"/>
        </w:rPr>
      </w:pPr>
      <w:r>
        <w:rPr>
          <w:rFonts w:hint="eastAsia" w:ascii="方正仿宋_GBK" w:hAnsi="方正仿宋_GBK" w:eastAsia="方正仿宋_GBK" w:cs="方正仿宋_GBK"/>
          <w:b w:val="0"/>
          <w:bCs/>
          <w:color w:val="auto"/>
          <w:sz w:val="32"/>
          <w:szCs w:val="32"/>
          <w:highlight w:val="none"/>
          <w:u w:val="none"/>
          <w:lang w:val="en-US" w:eastAsia="zh-CN"/>
        </w:rPr>
        <w:t>将原有的</w:t>
      </w:r>
      <w:r>
        <w:rPr>
          <w:rFonts w:hint="eastAsia" w:ascii="方正仿宋_GBK" w:hAnsi="方正仿宋_GBK" w:eastAsia="方正仿宋_GBK" w:cs="方正仿宋_GBK"/>
          <w:b w:val="0"/>
          <w:bCs/>
          <w:color w:val="auto"/>
          <w:sz w:val="32"/>
          <w:szCs w:val="32"/>
          <w:highlight w:val="none"/>
          <w:u w:val="none"/>
          <w:lang w:val="en-US" w:eastAsia="zh-CN"/>
        </w:rPr>
        <w:t>自助值</w:t>
      </w:r>
      <w:r>
        <w:rPr>
          <w:rFonts w:hint="eastAsia" w:ascii="方正仿宋_GBK" w:hAnsi="方正仿宋_GBK" w:eastAsia="方正仿宋_GBK" w:cs="方正仿宋_GBK"/>
          <w:b w:val="0"/>
          <w:bCs/>
          <w:color w:val="auto"/>
          <w:sz w:val="32"/>
          <w:szCs w:val="32"/>
          <w:highlight w:val="none"/>
          <w:u w:val="none"/>
          <w:lang w:val="en-US" w:eastAsia="zh-CN"/>
        </w:rPr>
        <w:t>机并排式布局调整为圆弧式布置，本次改造内容分为拆除及地面恢复和迁移两部分构成：</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仿宋_GBK" w:hAnsi="方正仿宋_GBK" w:eastAsia="方正仿宋_GBK" w:cs="方正仿宋_GBK"/>
          <w:b w:val="0"/>
          <w:bCs/>
          <w:color w:val="auto"/>
          <w:sz w:val="32"/>
          <w:szCs w:val="32"/>
          <w:highlight w:val="none"/>
          <w:u w:val="none"/>
          <w:lang w:val="en-US" w:eastAsia="zh-CN"/>
        </w:rPr>
      </w:pPr>
      <w:r>
        <w:rPr>
          <w:rFonts w:hint="eastAsia" w:ascii="方正仿宋_GBK" w:hAnsi="方正仿宋_GBK" w:eastAsia="方正仿宋_GBK" w:cs="方正仿宋_GBK"/>
          <w:b w:val="0"/>
          <w:bCs/>
          <w:color w:val="auto"/>
          <w:sz w:val="32"/>
          <w:szCs w:val="32"/>
          <w:highlight w:val="none"/>
          <w:u w:val="none"/>
          <w:lang w:val="en-US" w:eastAsia="zh-CN"/>
        </w:rPr>
        <w:t>1.原有不锈钢线槽拆除及地面恢复：原有不锈钢线槽拆除和部分线缆清理以及地面胶体清除，并将原有开孔地砖更换和空洞封堵；</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仿宋_GBK" w:hAnsi="方正仿宋_GBK" w:eastAsia="方正仿宋_GBK" w:cs="方正仿宋_GBK"/>
          <w:b w:val="0"/>
          <w:bCs/>
          <w:color w:val="auto"/>
          <w:sz w:val="32"/>
          <w:szCs w:val="32"/>
          <w:highlight w:val="none"/>
          <w:u w:val="none"/>
          <w:lang w:val="en-US" w:eastAsia="zh-CN"/>
        </w:rPr>
      </w:pPr>
      <w:r>
        <w:rPr>
          <w:rFonts w:hint="eastAsia" w:ascii="方正仿宋_GBK" w:hAnsi="方正仿宋_GBK" w:eastAsia="方正仿宋_GBK" w:cs="方正仿宋_GBK"/>
          <w:b w:val="0"/>
          <w:bCs/>
          <w:color w:val="auto"/>
          <w:sz w:val="32"/>
          <w:szCs w:val="32"/>
          <w:highlight w:val="none"/>
          <w:u w:val="none"/>
          <w:lang w:val="en-US" w:eastAsia="zh-CN"/>
        </w:rPr>
        <w:t>2.</w:t>
      </w:r>
      <w:r>
        <w:rPr>
          <w:rFonts w:hint="eastAsia" w:ascii="方正仿宋_GBK" w:hAnsi="方正仿宋_GBK" w:eastAsia="方正仿宋_GBK" w:cs="方正仿宋_GBK"/>
          <w:b w:val="0"/>
          <w:bCs/>
          <w:color w:val="auto"/>
          <w:sz w:val="32"/>
          <w:szCs w:val="32"/>
          <w:highlight w:val="none"/>
          <w:u w:val="none"/>
          <w:lang w:val="en-US" w:eastAsia="zh-CN"/>
        </w:rPr>
        <w:t>自助值</w:t>
      </w:r>
      <w:r>
        <w:rPr>
          <w:rFonts w:hint="eastAsia" w:ascii="方正仿宋_GBK" w:hAnsi="方正仿宋_GBK" w:eastAsia="方正仿宋_GBK" w:cs="方正仿宋_GBK"/>
          <w:b w:val="0"/>
          <w:bCs/>
          <w:color w:val="auto"/>
          <w:sz w:val="32"/>
          <w:szCs w:val="32"/>
          <w:highlight w:val="none"/>
          <w:u w:val="none"/>
          <w:lang w:val="en-US" w:eastAsia="zh-CN"/>
        </w:rPr>
        <w:t>机迁移：</w:t>
      </w:r>
      <w:r>
        <w:rPr>
          <w:rFonts w:hint="eastAsia" w:ascii="方正仿宋_GBK" w:hAnsi="方正仿宋_GBK" w:eastAsia="方正仿宋_GBK" w:cs="方正仿宋_GBK"/>
          <w:b w:val="0"/>
          <w:bCs/>
          <w:color w:val="auto"/>
          <w:sz w:val="32"/>
          <w:szCs w:val="32"/>
          <w:highlight w:val="none"/>
          <w:u w:val="none"/>
          <w:lang w:val="en-US" w:eastAsia="zh-CN"/>
        </w:rPr>
        <w:t>自助值</w:t>
      </w:r>
      <w:r>
        <w:rPr>
          <w:rFonts w:hint="eastAsia" w:ascii="方正仿宋_GBK" w:hAnsi="方正仿宋_GBK" w:eastAsia="方正仿宋_GBK" w:cs="方正仿宋_GBK"/>
          <w:b w:val="0"/>
          <w:bCs/>
          <w:color w:val="auto"/>
          <w:sz w:val="32"/>
          <w:szCs w:val="32"/>
          <w:highlight w:val="none"/>
          <w:u w:val="none"/>
          <w:lang w:val="en-US" w:eastAsia="zh-CN"/>
        </w:rPr>
        <w:t>机迁移至目标点位后，用新增圆弧式不锈钢U型线槽将新增信息点位以及强电面板进行遮挡和保护，不锈钢U型线槽分段式安装并用结构胶进行固定，便于后期维护检修。</w:t>
      </w:r>
      <w:r>
        <w:rPr>
          <w:rFonts w:hint="eastAsia" w:ascii="方正仿宋_GBK" w:hAnsi="方正仿宋_GBK" w:eastAsia="方正仿宋_GBK" w:cs="方正仿宋_GBK"/>
          <w:b w:val="0"/>
          <w:bCs/>
          <w:color w:val="auto"/>
          <w:sz w:val="32"/>
          <w:szCs w:val="32"/>
          <w:highlight w:val="none"/>
          <w:u w:val="none"/>
          <w:lang w:val="en-US" w:eastAsia="zh-CN"/>
        </w:rPr>
        <w:t>自助值</w:t>
      </w:r>
      <w:r>
        <w:rPr>
          <w:rFonts w:hint="eastAsia" w:ascii="方正仿宋_GBK" w:hAnsi="方正仿宋_GBK" w:eastAsia="方正仿宋_GBK" w:cs="方正仿宋_GBK"/>
          <w:b w:val="0"/>
          <w:bCs/>
          <w:color w:val="auto"/>
          <w:sz w:val="32"/>
          <w:szCs w:val="32"/>
          <w:highlight w:val="none"/>
          <w:u w:val="none"/>
          <w:lang w:val="en-US" w:eastAsia="zh-CN"/>
        </w:rPr>
        <w:t>机位进行调整后布置图和效果图如下图所示：</w:t>
      </w:r>
    </w:p>
    <w:p>
      <w:pPr>
        <w:rPr>
          <w:rFonts w:hint="eastAsia"/>
          <w:lang w:val="en-US" w:eastAsia="zh-CN"/>
        </w:rPr>
      </w:pPr>
    </w:p>
    <w:p>
      <w:pPr>
        <w:spacing w:line="360" w:lineRule="auto"/>
        <w:jc w:val="both"/>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drawing>
          <wp:inline distT="0" distB="0" distL="114300" distR="114300">
            <wp:extent cx="5273675" cy="3214370"/>
            <wp:effectExtent l="0" t="0" r="3175" b="5080"/>
            <wp:docPr id="1" name="图片 1" descr="170980292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9802923692"/>
                    <pic:cNvPicPr>
                      <a:picLocks noChangeAspect="1"/>
                    </pic:cNvPicPr>
                  </pic:nvPicPr>
                  <pic:blipFill>
                    <a:blip r:embed="rId4"/>
                    <a:stretch>
                      <a:fillRect/>
                    </a:stretch>
                  </pic:blipFill>
                  <pic:spPr>
                    <a:xfrm>
                      <a:off x="0" y="0"/>
                      <a:ext cx="5273675" cy="3214370"/>
                    </a:xfrm>
                    <a:prstGeom prst="rect">
                      <a:avLst/>
                    </a:prstGeom>
                  </pic:spPr>
                </pic:pic>
              </a:graphicData>
            </a:graphic>
          </wp:inline>
        </w:drawing>
      </w:r>
    </w:p>
    <w:p>
      <w:pPr>
        <w:pStyle w:val="2"/>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平面布置图</w:t>
      </w:r>
    </w:p>
    <w:p>
      <w:pPr>
        <w:spacing w:line="360" w:lineRule="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271135" cy="2976245"/>
            <wp:effectExtent l="0" t="0" r="5715" b="14605"/>
            <wp:docPr id="2" name="图片 2" descr="bcc6f2bb0174bc5428b73d05436a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cc6f2bb0174bc5428b73d05436ac68"/>
                    <pic:cNvPicPr>
                      <a:picLocks noChangeAspect="1"/>
                    </pic:cNvPicPr>
                  </pic:nvPicPr>
                  <pic:blipFill>
                    <a:blip r:embed="rId5"/>
                    <a:stretch>
                      <a:fillRect/>
                    </a:stretch>
                  </pic:blipFill>
                  <pic:spPr>
                    <a:xfrm>
                      <a:off x="0" y="0"/>
                      <a:ext cx="5271135" cy="2976245"/>
                    </a:xfrm>
                    <a:prstGeom prst="rect">
                      <a:avLst/>
                    </a:prstGeom>
                  </pic:spPr>
                </pic:pic>
              </a:graphicData>
            </a:graphic>
          </wp:inline>
        </w:drawing>
      </w:r>
    </w:p>
    <w:p>
      <w:pPr>
        <w:pStyle w:val="2"/>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效果图</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黑体_GBK" w:hAnsi="方正黑体_GBK" w:eastAsia="方正黑体_GBK" w:cs="方正黑体_GBK"/>
          <w:b w:val="0"/>
          <w:bCs/>
          <w:color w:val="auto"/>
          <w:sz w:val="32"/>
          <w:szCs w:val="32"/>
          <w:highlight w:val="none"/>
          <w:u w:val="none"/>
          <w:lang w:val="en-US" w:eastAsia="zh-CN"/>
        </w:rPr>
      </w:pPr>
      <w:r>
        <w:rPr>
          <w:rFonts w:hint="eastAsia" w:ascii="方正黑体_GBK" w:hAnsi="方正黑体_GBK" w:eastAsia="方正黑体_GBK" w:cs="方正黑体_GBK"/>
          <w:b w:val="0"/>
          <w:bCs/>
          <w:color w:val="auto"/>
          <w:sz w:val="32"/>
          <w:szCs w:val="32"/>
          <w:highlight w:val="none"/>
          <w:u w:val="none"/>
          <w:lang w:val="en-US" w:eastAsia="zh-CN"/>
        </w:rPr>
        <w:t>三</w:t>
      </w:r>
      <w:r>
        <w:rPr>
          <w:rFonts w:hint="eastAsia" w:ascii="方正黑体_GBK" w:hAnsi="方正黑体_GBK" w:eastAsia="方正黑体_GBK" w:cs="方正黑体_GBK"/>
          <w:b w:val="0"/>
          <w:bCs/>
          <w:color w:val="auto"/>
          <w:sz w:val="32"/>
          <w:szCs w:val="32"/>
          <w:highlight w:val="none"/>
          <w:u w:val="none"/>
          <w:lang w:val="en-US" w:eastAsia="zh-CN"/>
        </w:rPr>
        <w:t>、技术要求及安全文明措施</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baseline"/>
        <w:rPr>
          <w:rFonts w:hint="eastAsia" w:ascii="仿宋" w:hAnsi="仿宋" w:eastAsia="仿宋" w:cs="仿宋"/>
          <w:bCs w:val="0"/>
          <w:color w:val="auto"/>
          <w:sz w:val="28"/>
          <w:szCs w:val="28"/>
          <w:highlight w:val="none"/>
          <w:lang w:val="en-US" w:eastAsia="zh-CN"/>
        </w:rPr>
      </w:pPr>
      <w:r>
        <w:rPr>
          <w:rFonts w:hint="eastAsia" w:ascii="仿宋" w:hAnsi="仿宋" w:eastAsia="仿宋" w:cs="仿宋"/>
          <w:bCs w:val="0"/>
          <w:color w:val="auto"/>
          <w:sz w:val="28"/>
          <w:szCs w:val="28"/>
          <w:highlight w:val="none"/>
          <w:lang w:val="en-US" w:eastAsia="zh-CN"/>
        </w:rPr>
        <w:t>3.1技术要求</w:t>
      </w:r>
    </w:p>
    <w:p>
      <w:pPr>
        <w:widowControl/>
        <w:spacing w:line="460" w:lineRule="exact"/>
        <w:ind w:firstLine="560" w:firstLineChars="200"/>
        <w:jc w:val="left"/>
        <w:rPr>
          <w:rFonts w:hint="eastAsia"/>
          <w:lang w:val="en-US" w:eastAsia="zh-CN"/>
        </w:rPr>
      </w:pPr>
      <w:r>
        <w:rPr>
          <w:rFonts w:hint="eastAsia" w:ascii="仿宋" w:hAnsi="仿宋" w:eastAsia="仿宋" w:cs="仿宋"/>
          <w:color w:val="auto"/>
          <w:sz w:val="28"/>
          <w:szCs w:val="28"/>
          <w:highlight w:val="none"/>
          <w:lang w:val="en-US" w:eastAsia="zh-CN"/>
        </w:rPr>
        <w:t>3.1.1</w:t>
      </w:r>
      <w:r>
        <w:rPr>
          <w:rFonts w:hint="default" w:ascii="仿宋" w:hAnsi="仿宋" w:eastAsia="仿宋" w:cs="仿宋"/>
          <w:color w:val="auto"/>
          <w:sz w:val="28"/>
          <w:szCs w:val="28"/>
          <w:highlight w:val="none"/>
        </w:rPr>
        <w:t>严格按现行相关规范及标准执行</w:t>
      </w:r>
      <w:r>
        <w:rPr>
          <w:rFonts w:hint="default" w:ascii="仿宋" w:hAnsi="仿宋" w:eastAsia="仿宋" w:cs="仿宋"/>
          <w:color w:val="auto"/>
          <w:sz w:val="28"/>
          <w:szCs w:val="28"/>
          <w:highlight w:val="none"/>
          <w:lang w:eastAsia="zh-CN"/>
        </w:rPr>
        <w:t>，需满足行业、地方和国家标准</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eastAsia" w:ascii="仿宋" w:hAnsi="仿宋" w:eastAsia="仿宋" w:cs="仿宋"/>
          <w:b w:val="0"/>
          <w:bCs/>
          <w:color w:val="auto"/>
          <w:sz w:val="28"/>
          <w:szCs w:val="28"/>
          <w:highlight w:val="none"/>
          <w:u w:val="none"/>
          <w:lang w:val="en-US" w:eastAsia="zh-CN"/>
        </w:rPr>
      </w:pPr>
      <w:r>
        <w:rPr>
          <w:rFonts w:hint="eastAsia" w:ascii="仿宋" w:hAnsi="仿宋" w:eastAsia="仿宋" w:cs="仿宋"/>
          <w:b w:val="0"/>
          <w:bCs w:val="0"/>
          <w:color w:val="auto"/>
          <w:kern w:val="0"/>
          <w:sz w:val="28"/>
          <w:szCs w:val="28"/>
          <w:highlight w:val="none"/>
          <w:lang w:val="en-US" w:eastAsia="zh-CN"/>
        </w:rPr>
        <w:t>3.1.1.1</w:t>
      </w:r>
      <w:r>
        <w:rPr>
          <w:rFonts w:hint="eastAsia" w:ascii="仿宋" w:hAnsi="仿宋" w:eastAsia="仿宋" w:cs="仿宋"/>
          <w:b w:val="0"/>
          <w:bCs/>
          <w:color w:val="auto"/>
          <w:sz w:val="28"/>
          <w:szCs w:val="28"/>
          <w:highlight w:val="none"/>
          <w:u w:val="none"/>
          <w:lang w:val="en-US" w:eastAsia="zh-CN"/>
        </w:rPr>
        <w:t>《民用建筑电气设计标准GB 51348-2019》</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eastAsia" w:ascii="仿宋" w:hAnsi="仿宋" w:eastAsia="仿宋" w:cs="仿宋"/>
          <w:b w:val="0"/>
          <w:bCs/>
          <w:color w:val="auto"/>
          <w:sz w:val="28"/>
          <w:szCs w:val="28"/>
          <w:highlight w:val="none"/>
          <w:u w:val="none"/>
          <w:lang w:val="en-US" w:eastAsia="zh-CN"/>
        </w:rPr>
      </w:pPr>
      <w:r>
        <w:rPr>
          <w:rFonts w:hint="eastAsia" w:ascii="仿宋" w:hAnsi="仿宋" w:eastAsia="仿宋" w:cs="仿宋"/>
          <w:b w:val="0"/>
          <w:bCs w:val="0"/>
          <w:color w:val="auto"/>
          <w:kern w:val="0"/>
          <w:sz w:val="28"/>
          <w:szCs w:val="28"/>
          <w:highlight w:val="none"/>
          <w:lang w:val="en-US" w:eastAsia="zh-CN"/>
        </w:rPr>
        <w:t>3.1.1.</w:t>
      </w:r>
      <w:r>
        <w:rPr>
          <w:rFonts w:hint="eastAsia" w:ascii="仿宋" w:hAnsi="仿宋" w:eastAsia="仿宋" w:cs="仿宋"/>
          <w:b w:val="0"/>
          <w:bCs/>
          <w:color w:val="auto"/>
          <w:sz w:val="28"/>
          <w:szCs w:val="28"/>
          <w:highlight w:val="none"/>
          <w:u w:val="none"/>
          <w:lang w:val="en-US" w:eastAsia="zh-CN"/>
        </w:rPr>
        <w:t>2《建筑设计防火规范GB 50016-2014（2018版）》</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eastAsia" w:ascii="仿宋" w:hAnsi="仿宋" w:eastAsia="仿宋" w:cs="仿宋"/>
          <w:b w:val="0"/>
          <w:bCs/>
          <w:color w:val="auto"/>
          <w:sz w:val="28"/>
          <w:szCs w:val="28"/>
          <w:highlight w:val="none"/>
          <w:u w:val="none"/>
          <w:lang w:val="en-US" w:eastAsia="zh-CN"/>
        </w:rPr>
      </w:pPr>
      <w:r>
        <w:rPr>
          <w:rFonts w:hint="eastAsia" w:ascii="仿宋" w:hAnsi="仿宋" w:eastAsia="仿宋" w:cs="仿宋"/>
          <w:b w:val="0"/>
          <w:bCs w:val="0"/>
          <w:color w:val="auto"/>
          <w:kern w:val="0"/>
          <w:sz w:val="28"/>
          <w:szCs w:val="28"/>
          <w:highlight w:val="none"/>
          <w:lang w:val="en-US" w:eastAsia="zh-CN"/>
        </w:rPr>
        <w:t>3.1.1.</w:t>
      </w:r>
      <w:r>
        <w:rPr>
          <w:rFonts w:hint="eastAsia" w:ascii="仿宋" w:hAnsi="仿宋" w:eastAsia="仿宋" w:cs="仿宋"/>
          <w:b w:val="0"/>
          <w:bCs/>
          <w:color w:val="auto"/>
          <w:sz w:val="28"/>
          <w:szCs w:val="28"/>
          <w:highlight w:val="none"/>
          <w:u w:val="none"/>
          <w:lang w:val="en-US" w:eastAsia="zh-CN"/>
        </w:rPr>
        <w:t>3《公共建筑节能设计标准GB 50189-2005》</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eastAsia" w:ascii="仿宋" w:hAnsi="仿宋" w:eastAsia="仿宋" w:cs="仿宋"/>
          <w:b w:val="0"/>
          <w:bCs/>
          <w:color w:val="auto"/>
          <w:sz w:val="28"/>
          <w:szCs w:val="28"/>
          <w:highlight w:val="none"/>
          <w:u w:val="none"/>
          <w:lang w:val="en-US" w:eastAsia="zh-CN"/>
        </w:rPr>
      </w:pPr>
      <w:r>
        <w:rPr>
          <w:rFonts w:hint="eastAsia" w:ascii="仿宋" w:hAnsi="仿宋" w:eastAsia="仿宋" w:cs="仿宋"/>
          <w:b w:val="0"/>
          <w:bCs w:val="0"/>
          <w:color w:val="auto"/>
          <w:kern w:val="0"/>
          <w:sz w:val="28"/>
          <w:szCs w:val="28"/>
          <w:highlight w:val="none"/>
          <w:lang w:val="en-US" w:eastAsia="zh-CN"/>
        </w:rPr>
        <w:t>3.1.1.</w:t>
      </w:r>
      <w:r>
        <w:rPr>
          <w:rFonts w:hint="eastAsia" w:ascii="仿宋" w:hAnsi="仿宋" w:eastAsia="仿宋" w:cs="仿宋"/>
          <w:b w:val="0"/>
          <w:bCs/>
          <w:color w:val="auto"/>
          <w:sz w:val="28"/>
          <w:szCs w:val="28"/>
          <w:highlight w:val="none"/>
          <w:u w:val="none"/>
          <w:lang w:val="en-US" w:eastAsia="zh-CN"/>
        </w:rPr>
        <w:t>4《民用运输机场航站楼综合布线系统工程设计规范MH／T 5021-2016》</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 w:val="0"/>
          <w:bCs w:val="0"/>
          <w:color w:val="auto"/>
          <w:kern w:val="0"/>
          <w:sz w:val="28"/>
          <w:szCs w:val="28"/>
          <w:highlight w:val="none"/>
          <w:lang w:val="en-US" w:eastAsia="zh-CN"/>
        </w:rPr>
        <w:t>3.1.1.</w:t>
      </w:r>
      <w:r>
        <w:rPr>
          <w:rFonts w:hint="eastAsia" w:ascii="仿宋" w:hAnsi="仿宋" w:eastAsia="仿宋" w:cs="仿宋"/>
          <w:b w:val="0"/>
          <w:bCs/>
          <w:color w:val="auto"/>
          <w:sz w:val="28"/>
          <w:szCs w:val="28"/>
          <w:highlight w:val="none"/>
          <w:u w:val="none"/>
          <w:lang w:val="en-US" w:eastAsia="zh-CN"/>
        </w:rPr>
        <w:t>5《建筑电气工程施工质量验收规范GB 50303-2015》</w:t>
      </w:r>
    </w:p>
    <w:p>
      <w:pPr>
        <w:widowControl/>
        <w:numPr>
          <w:ilvl w:val="0"/>
          <w:numId w:val="0"/>
        </w:numPr>
        <w:spacing w:line="460" w:lineRule="exact"/>
        <w:ind w:firstLine="560" w:firstLineChars="200"/>
        <w:jc w:val="left"/>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default" w:ascii="仿宋" w:hAnsi="仿宋" w:eastAsia="仿宋" w:cs="仿宋"/>
          <w:color w:val="auto"/>
          <w:sz w:val="28"/>
          <w:szCs w:val="28"/>
          <w:highlight w:val="none"/>
        </w:rPr>
        <w:t>质量要求</w:t>
      </w:r>
    </w:p>
    <w:p>
      <w:pPr>
        <w:widowControl/>
        <w:numPr>
          <w:ilvl w:val="0"/>
          <w:numId w:val="0"/>
        </w:numPr>
        <w:spacing w:line="460" w:lineRule="exact"/>
        <w:ind w:firstLine="560" w:firstLineChars="200"/>
        <w:jc w:val="left"/>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default" w:ascii="仿宋" w:hAnsi="仿宋" w:eastAsia="仿宋" w:cs="仿宋"/>
          <w:color w:val="auto"/>
          <w:sz w:val="28"/>
          <w:szCs w:val="28"/>
          <w:highlight w:val="none"/>
        </w:rPr>
        <w:t>1管材质量：采用</w:t>
      </w:r>
      <w:r>
        <w:rPr>
          <w:rFonts w:hint="default" w:ascii="仿宋" w:hAnsi="仿宋" w:eastAsia="仿宋" w:cs="仿宋"/>
          <w:color w:val="auto"/>
          <w:sz w:val="28"/>
          <w:szCs w:val="28"/>
          <w:highlight w:val="none"/>
          <w:lang w:eastAsia="zh-CN"/>
        </w:rPr>
        <w:t>国际扣压式导线管</w:t>
      </w:r>
      <w:r>
        <w:rPr>
          <w:rFonts w:hint="default" w:ascii="仿宋" w:hAnsi="仿宋" w:eastAsia="仿宋" w:cs="仿宋"/>
          <w:color w:val="auto"/>
          <w:sz w:val="28"/>
          <w:szCs w:val="28"/>
          <w:highlight w:val="none"/>
        </w:rPr>
        <w:t>，</w:t>
      </w:r>
      <w:r>
        <w:rPr>
          <w:rFonts w:hint="default" w:ascii="仿宋" w:hAnsi="仿宋" w:eastAsia="仿宋" w:cs="仿宋"/>
          <w:color w:val="auto"/>
          <w:sz w:val="28"/>
          <w:szCs w:val="28"/>
          <w:highlight w:val="none"/>
          <w:lang w:eastAsia="zh-CN"/>
        </w:rPr>
        <w:t>杜绝使用</w:t>
      </w:r>
      <w:r>
        <w:rPr>
          <w:rFonts w:hint="default" w:ascii="仿宋" w:hAnsi="仿宋" w:eastAsia="仿宋" w:cs="仿宋"/>
          <w:color w:val="auto"/>
          <w:sz w:val="28"/>
          <w:szCs w:val="28"/>
          <w:highlight w:val="none"/>
          <w:lang w:val="en-US" w:eastAsia="zh-CN"/>
        </w:rPr>
        <w:t>UPVC套管，</w:t>
      </w:r>
      <w:r>
        <w:rPr>
          <w:rFonts w:hint="default" w:ascii="仿宋" w:hAnsi="仿宋" w:eastAsia="仿宋" w:cs="仿宋"/>
          <w:color w:val="auto"/>
          <w:sz w:val="28"/>
          <w:szCs w:val="28"/>
          <w:highlight w:val="none"/>
        </w:rPr>
        <w:t>其管身光滑无伤痕、管孔无变形，孔径、壁厚应符合规范要求。</w:t>
      </w:r>
    </w:p>
    <w:p>
      <w:pPr>
        <w:widowControl/>
        <w:numPr>
          <w:ilvl w:val="0"/>
          <w:numId w:val="0"/>
        </w:numPr>
        <w:spacing w:line="460" w:lineRule="exact"/>
        <w:ind w:firstLine="560" w:firstLineChars="200"/>
        <w:jc w:val="left"/>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default" w:ascii="仿宋" w:hAnsi="仿宋" w:eastAsia="仿宋" w:cs="仿宋"/>
          <w:color w:val="auto"/>
          <w:sz w:val="28"/>
          <w:szCs w:val="28"/>
          <w:highlight w:val="none"/>
        </w:rPr>
        <w:t>2线材质量：电源线采用RVV3*1.5，信号线采用</w:t>
      </w:r>
      <w:r>
        <w:rPr>
          <w:rFonts w:hint="default" w:ascii="仿宋" w:hAnsi="仿宋" w:eastAsia="仿宋" w:cs="仿宋"/>
          <w:color w:val="auto"/>
          <w:sz w:val="28"/>
          <w:szCs w:val="28"/>
          <w:highlight w:val="none"/>
          <w:lang w:val="en-US" w:eastAsia="zh-CN"/>
        </w:rPr>
        <w:t>6</w:t>
      </w:r>
      <w:r>
        <w:rPr>
          <w:rFonts w:hint="default" w:ascii="仿宋" w:hAnsi="仿宋" w:eastAsia="仿宋" w:cs="仿宋"/>
          <w:color w:val="auto"/>
          <w:sz w:val="28"/>
          <w:szCs w:val="28"/>
          <w:highlight w:val="none"/>
        </w:rPr>
        <w:t>类4对双绞线，</w:t>
      </w:r>
      <w:r>
        <w:rPr>
          <w:rFonts w:hint="default" w:ascii="仿宋" w:hAnsi="仿宋" w:eastAsia="仿宋" w:cs="仿宋"/>
          <w:color w:val="auto"/>
          <w:sz w:val="28"/>
          <w:szCs w:val="28"/>
          <w:highlight w:val="none"/>
          <w:lang w:eastAsia="zh-CN"/>
        </w:rPr>
        <w:t>光纤跳线采用</w:t>
      </w:r>
      <w:r>
        <w:rPr>
          <w:rFonts w:hint="default" w:ascii="仿宋" w:hAnsi="仿宋" w:eastAsia="仿宋" w:cs="仿宋"/>
          <w:color w:val="auto"/>
          <w:sz w:val="28"/>
          <w:szCs w:val="28"/>
          <w:highlight w:val="none"/>
          <w:lang w:val="en-US" w:eastAsia="zh-CN"/>
        </w:rPr>
        <w:t>FC-FC型，</w:t>
      </w:r>
      <w:r>
        <w:rPr>
          <w:rFonts w:hint="default" w:ascii="仿宋" w:hAnsi="仿宋" w:eastAsia="仿宋" w:cs="仿宋"/>
          <w:color w:val="auto"/>
          <w:sz w:val="28"/>
          <w:szCs w:val="28"/>
          <w:highlight w:val="none"/>
        </w:rPr>
        <w:t>应符合规范要求</w:t>
      </w:r>
      <w:r>
        <w:rPr>
          <w:rFonts w:hint="default" w:ascii="仿宋" w:hAnsi="仿宋" w:eastAsia="仿宋" w:cs="仿宋"/>
          <w:color w:val="auto"/>
          <w:sz w:val="28"/>
          <w:szCs w:val="28"/>
          <w:highlight w:val="none"/>
          <w:lang w:eastAsia="zh-CN"/>
        </w:rPr>
        <w:t>，禁止使用近</w:t>
      </w:r>
      <w:r>
        <w:rPr>
          <w:rFonts w:hint="default" w:ascii="仿宋" w:hAnsi="仿宋" w:eastAsia="仿宋" w:cs="仿宋"/>
          <w:color w:val="auto"/>
          <w:sz w:val="28"/>
          <w:szCs w:val="28"/>
          <w:highlight w:val="none"/>
          <w:lang w:val="en-US" w:eastAsia="zh-CN"/>
        </w:rPr>
        <w:t>3年政府抽检不合格产品品牌</w:t>
      </w:r>
      <w:r>
        <w:rPr>
          <w:rFonts w:hint="default" w:ascii="仿宋" w:hAnsi="仿宋" w:eastAsia="仿宋" w:cs="仿宋"/>
          <w:color w:val="auto"/>
          <w:sz w:val="28"/>
          <w:szCs w:val="28"/>
          <w:highlight w:val="none"/>
        </w:rPr>
        <w:t>。</w:t>
      </w:r>
    </w:p>
    <w:p>
      <w:pPr>
        <w:widowControl/>
        <w:numPr>
          <w:ilvl w:val="0"/>
          <w:numId w:val="0"/>
        </w:numPr>
        <w:spacing w:line="46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3.3</w:t>
      </w:r>
      <w:r>
        <w:rPr>
          <w:rFonts w:hint="default" w:ascii="仿宋" w:hAnsi="仿宋" w:eastAsia="仿宋" w:cs="仿宋"/>
          <w:color w:val="auto"/>
          <w:sz w:val="28"/>
          <w:szCs w:val="28"/>
          <w:highlight w:val="none"/>
        </w:rPr>
        <w:t>施工及安装要求</w:t>
      </w:r>
    </w:p>
    <w:p>
      <w:pPr>
        <w:widowControl/>
        <w:spacing w:line="460" w:lineRule="exact"/>
        <w:ind w:firstLine="560" w:firstLineChars="200"/>
        <w:jc w:val="lef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w:t>
      </w:r>
      <w:r>
        <w:rPr>
          <w:rFonts w:hint="default" w:ascii="仿宋" w:hAnsi="仿宋" w:eastAsia="仿宋" w:cs="仿宋"/>
          <w:color w:val="auto"/>
          <w:sz w:val="28"/>
          <w:szCs w:val="28"/>
          <w:highlight w:val="none"/>
          <w:lang w:val="en-US" w:eastAsia="zh-CN"/>
        </w:rPr>
        <w:t>.1线路按最短途径集中敷设，横平竖直、整齐美观、不宜交叉。</w:t>
      </w:r>
    </w:p>
    <w:p>
      <w:pPr>
        <w:widowControl/>
        <w:spacing w:line="460" w:lineRule="exact"/>
        <w:ind w:firstLine="560" w:firstLineChars="200"/>
        <w:jc w:val="left"/>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3.3</w:t>
      </w:r>
      <w:r>
        <w:rPr>
          <w:rFonts w:hint="default" w:ascii="仿宋" w:hAnsi="仿宋" w:eastAsia="仿宋" w:cs="仿宋"/>
          <w:color w:val="auto"/>
          <w:sz w:val="28"/>
          <w:szCs w:val="28"/>
          <w:highlight w:val="none"/>
          <w:u w:val="none"/>
          <w:lang w:val="en-US" w:eastAsia="zh-CN"/>
        </w:rPr>
        <w:t>.2线路不应敷设在易受机械损伤、有腐蚀性介质排放、潮湿以及有强磁场和强静电场干扰的区域；必要时采取相应保护或屏蔽措施。</w:t>
      </w:r>
    </w:p>
    <w:p>
      <w:pPr>
        <w:keepNext w:val="0"/>
        <w:keepLines w:val="0"/>
        <w:pageBreakBefore w:val="0"/>
        <w:widowControl/>
        <w:kinsoku/>
        <w:wordWrap/>
        <w:overflowPunct/>
        <w:topLinePunct w:val="0"/>
        <w:autoSpaceDE/>
        <w:autoSpaceDN/>
        <w:bidi w:val="0"/>
        <w:adjustRightInd/>
        <w:spacing w:line="460" w:lineRule="exact"/>
        <w:ind w:firstLine="560" w:firstLineChars="200"/>
        <w:jc w:val="left"/>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3.3</w:t>
      </w:r>
      <w:r>
        <w:rPr>
          <w:rFonts w:hint="default" w:ascii="仿宋" w:hAnsi="仿宋" w:eastAsia="仿宋" w:cs="仿宋"/>
          <w:color w:val="auto"/>
          <w:sz w:val="28"/>
          <w:szCs w:val="28"/>
          <w:highlight w:val="none"/>
          <w:u w:val="none"/>
          <w:lang w:val="en-US" w:eastAsia="zh-CN"/>
        </w:rPr>
        <w:t>.3线路不应有中间接头，当无法避免时，应在分线箱或接线盒内接线，接头宜采用压接。</w:t>
      </w:r>
    </w:p>
    <w:p>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3.4</w:t>
      </w:r>
      <w:r>
        <w:rPr>
          <w:rFonts w:hint="default" w:ascii="仿宋" w:hAnsi="仿宋" w:eastAsia="仿宋" w:cs="仿宋"/>
          <w:b w:val="0"/>
          <w:bCs w:val="0"/>
          <w:color w:val="auto"/>
          <w:sz w:val="28"/>
          <w:szCs w:val="28"/>
          <w:highlight w:val="none"/>
          <w:u w:val="none"/>
          <w:lang w:val="en-US" w:eastAsia="zh-CN"/>
        </w:rPr>
        <w:t>系统调试</w:t>
      </w:r>
    </w:p>
    <w:p>
      <w:pPr>
        <w:keepNext w:val="0"/>
        <w:keepLines w:val="0"/>
        <w:pageBreakBefore w:val="0"/>
        <w:widowControl/>
        <w:kinsoku/>
        <w:wordWrap/>
        <w:overflowPunct/>
        <w:topLinePunct w:val="0"/>
        <w:autoSpaceDE/>
        <w:autoSpaceDN/>
        <w:bidi w:val="0"/>
        <w:adjustRightInd/>
        <w:snapToGrid/>
        <w:spacing w:line="460" w:lineRule="exact"/>
        <w:ind w:left="0" w:leftChars="0" w:firstLine="560" w:firstLineChars="200"/>
        <w:jc w:val="left"/>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安装完成后，对新增、迁移设备进行调试,达到使用单位需求。</w:t>
      </w:r>
    </w:p>
    <w:p>
      <w:pPr>
        <w:keepNext w:val="0"/>
        <w:keepLines w:val="0"/>
        <w:pageBreakBefore w:val="0"/>
        <w:widowControl/>
        <w:kinsoku/>
        <w:wordWrap/>
        <w:overflowPunct/>
        <w:topLinePunct w:val="0"/>
        <w:autoSpaceDE/>
        <w:autoSpaceDN/>
        <w:bidi w:val="0"/>
        <w:adjustRightInd/>
        <w:snapToGrid/>
        <w:spacing w:line="460" w:lineRule="exact"/>
        <w:ind w:left="0" w:leftChars="0" w:firstLine="560" w:firstLineChars="200"/>
        <w:jc w:val="left"/>
        <w:textAlignment w:val="auto"/>
        <w:rPr>
          <w:rFonts w:hint="default"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3</w:t>
      </w:r>
      <w:r>
        <w:rPr>
          <w:rFonts w:hint="default" w:ascii="仿宋" w:hAnsi="仿宋" w:eastAsia="仿宋" w:cs="仿宋"/>
          <w:b w:val="0"/>
          <w:bCs w:val="0"/>
          <w:color w:val="auto"/>
          <w:sz w:val="28"/>
          <w:szCs w:val="28"/>
          <w:highlight w:val="none"/>
          <w:u w:val="none"/>
          <w:lang w:val="en-US" w:eastAsia="zh-CN"/>
        </w:rPr>
        <w:t>.</w:t>
      </w:r>
      <w:r>
        <w:rPr>
          <w:rFonts w:hint="eastAsia" w:ascii="仿宋" w:hAnsi="仿宋" w:eastAsia="仿宋" w:cs="仿宋"/>
          <w:b w:val="0"/>
          <w:bCs w:val="0"/>
          <w:color w:val="auto"/>
          <w:sz w:val="28"/>
          <w:szCs w:val="28"/>
          <w:highlight w:val="none"/>
          <w:u w:val="none"/>
          <w:lang w:val="en-US" w:eastAsia="zh-CN"/>
        </w:rPr>
        <w:t>5</w:t>
      </w:r>
      <w:r>
        <w:rPr>
          <w:rFonts w:hint="default" w:ascii="仿宋" w:hAnsi="仿宋" w:eastAsia="仿宋" w:cs="仿宋"/>
          <w:b w:val="0"/>
          <w:bCs w:val="0"/>
          <w:color w:val="auto"/>
          <w:sz w:val="28"/>
          <w:szCs w:val="28"/>
          <w:highlight w:val="none"/>
          <w:u w:val="none"/>
          <w:lang w:val="en-US" w:eastAsia="zh-CN"/>
        </w:rPr>
        <w:t>其他要求</w:t>
      </w:r>
    </w:p>
    <w:p>
      <w:pPr>
        <w:keepNext w:val="0"/>
        <w:keepLines w:val="0"/>
        <w:pageBreakBefore w:val="0"/>
        <w:widowControl/>
        <w:kinsoku/>
        <w:wordWrap/>
        <w:overflowPunct/>
        <w:topLinePunct w:val="0"/>
        <w:bidi w:val="0"/>
        <w:spacing w:line="460" w:lineRule="exact"/>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Cs w:val="0"/>
          <w:color w:val="auto"/>
          <w:sz w:val="28"/>
          <w:szCs w:val="28"/>
          <w:highlight w:val="none"/>
          <w:lang w:val="en-US" w:eastAsia="zh-CN"/>
        </w:rPr>
        <w:t>3.5.1</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lang w:val="en-US" w:eastAsia="zh-CN"/>
        </w:rPr>
        <w:t>应为施工场地及其周边现有的设施和建筑物提供足够的临时保护措施，确保作业过程中这些设施和建筑物不会受到污染和破坏。</w:t>
      </w:r>
    </w:p>
    <w:p>
      <w:pPr>
        <w:widowControl/>
        <w:snapToGrid/>
        <w:spacing w:line="460" w:lineRule="exact"/>
        <w:ind w:firstLine="560" w:firstLineChars="200"/>
        <w:jc w:val="left"/>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3.5.2</w:t>
      </w:r>
      <w:r>
        <w:rPr>
          <w:rFonts w:hint="eastAsia" w:ascii="仿宋" w:hAnsi="仿宋" w:eastAsia="仿宋" w:cs="仿宋"/>
          <w:b w:val="0"/>
          <w:bCs w:val="0"/>
          <w:color w:val="auto"/>
          <w:sz w:val="28"/>
          <w:szCs w:val="28"/>
          <w:highlight w:val="none"/>
          <w:lang w:eastAsia="zh-CN"/>
        </w:rPr>
        <w:t>供应商</w:t>
      </w:r>
      <w:r>
        <w:rPr>
          <w:rFonts w:hint="eastAsia" w:ascii="仿宋" w:hAnsi="仿宋" w:eastAsia="仿宋" w:cs="仿宋"/>
          <w:b w:val="0"/>
          <w:bCs w:val="0"/>
          <w:color w:val="auto"/>
          <w:sz w:val="28"/>
          <w:szCs w:val="28"/>
          <w:highlight w:val="none"/>
          <w:lang w:val="en-US" w:eastAsia="zh-CN"/>
        </w:rPr>
        <w:t>完成所有施工、验收并合格后，</w:t>
      </w:r>
      <w:r>
        <w:rPr>
          <w:rFonts w:hint="eastAsia" w:ascii="仿宋" w:hAnsi="仿宋" w:eastAsia="仿宋" w:cs="仿宋"/>
          <w:b w:val="0"/>
          <w:bCs w:val="0"/>
          <w:color w:val="auto"/>
          <w:sz w:val="28"/>
          <w:szCs w:val="28"/>
          <w:highlight w:val="none"/>
          <w:lang w:eastAsia="zh-CN"/>
        </w:rPr>
        <w:t>供应商</w:t>
      </w:r>
      <w:r>
        <w:rPr>
          <w:rFonts w:hint="eastAsia" w:ascii="仿宋" w:hAnsi="仿宋" w:eastAsia="仿宋" w:cs="仿宋"/>
          <w:b w:val="0"/>
          <w:bCs w:val="0"/>
          <w:color w:val="auto"/>
          <w:sz w:val="28"/>
          <w:szCs w:val="28"/>
          <w:highlight w:val="none"/>
          <w:lang w:val="en-US" w:eastAsia="zh-CN"/>
        </w:rPr>
        <w:t>应立即按以下要求对施工场地进行清理：</w:t>
      </w:r>
    </w:p>
    <w:p>
      <w:pPr>
        <w:widowControl/>
        <w:snapToGrid/>
        <w:spacing w:line="460" w:lineRule="exact"/>
        <w:ind w:firstLine="560" w:firstLineChars="200"/>
        <w:jc w:val="left"/>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3.5.2.1施工场地清除所有杂物和垃圾等；</w:t>
      </w:r>
    </w:p>
    <w:p>
      <w:pPr>
        <w:widowControl/>
        <w:snapToGrid/>
        <w:spacing w:line="460" w:lineRule="exact"/>
        <w:ind w:firstLine="560" w:firstLineChars="200"/>
        <w:jc w:val="left"/>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3.5.2.2施工场</w:t>
      </w:r>
      <w:r>
        <w:rPr>
          <w:rFonts w:hint="eastAsia" w:ascii="仿宋" w:hAnsi="仿宋" w:eastAsia="仿宋" w:cs="仿宋"/>
          <w:b w:val="0"/>
          <w:bCs/>
          <w:color w:val="auto"/>
          <w:sz w:val="28"/>
          <w:szCs w:val="28"/>
          <w:highlight w:val="none"/>
          <w:lang w:val="en-US" w:eastAsia="zh-CN"/>
        </w:rPr>
        <w:t>地现场拆除所有的临时工程和临时设施并恢复原状；</w:t>
      </w:r>
    </w:p>
    <w:p>
      <w:pPr>
        <w:pStyle w:val="2"/>
        <w:snapToGrid w:val="0"/>
        <w:spacing w:line="460" w:lineRule="exact"/>
        <w:ind w:firstLine="560" w:firstLineChars="200"/>
        <w:jc w:val="left"/>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3.5.2.3撤离所有作业设备和剩余材料。</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560" w:firstLineChars="200"/>
        <w:jc w:val="both"/>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color w:val="auto"/>
          <w:sz w:val="28"/>
          <w:szCs w:val="28"/>
          <w:highlight w:val="none"/>
          <w:lang w:val="en-US" w:eastAsia="zh-CN"/>
        </w:rPr>
        <w:t>3.5.3对于拆除的石材等设施应及时恢复原状。</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both"/>
        <w:textAlignment w:val="auto"/>
        <w:rPr>
          <w:rFonts w:hint="eastAsia" w:ascii="方正黑体_GBK" w:hAnsi="方正黑体_GBK" w:eastAsia="方正黑体_GBK" w:cs="方正黑体_GBK"/>
          <w:b w:val="0"/>
          <w:bCs/>
          <w:color w:val="auto"/>
          <w:sz w:val="32"/>
          <w:szCs w:val="32"/>
          <w:highlight w:val="none"/>
          <w:u w:val="none"/>
          <w:lang w:val="en-US" w:eastAsia="zh-CN"/>
        </w:rPr>
      </w:pPr>
      <w:r>
        <w:rPr>
          <w:rFonts w:hint="eastAsia" w:ascii="方正黑体_GBK" w:hAnsi="方正黑体_GBK" w:eastAsia="方正黑体_GBK" w:cs="方正黑体_GBK"/>
          <w:b w:val="0"/>
          <w:bCs/>
          <w:color w:val="auto"/>
          <w:sz w:val="32"/>
          <w:szCs w:val="32"/>
          <w:highlight w:val="none"/>
          <w:u w:val="none"/>
          <w:lang w:val="en-US" w:eastAsia="zh-CN"/>
        </w:rPr>
        <w:t>四</w:t>
      </w:r>
      <w:r>
        <w:rPr>
          <w:rFonts w:hint="eastAsia" w:ascii="方正黑体_GBK" w:hAnsi="方正黑体_GBK" w:eastAsia="方正黑体_GBK" w:cs="方正黑体_GBK"/>
          <w:b w:val="0"/>
          <w:bCs/>
          <w:color w:val="auto"/>
          <w:sz w:val="32"/>
          <w:szCs w:val="32"/>
          <w:highlight w:val="none"/>
          <w:u w:val="none"/>
          <w:lang w:val="en-US" w:eastAsia="zh-CN"/>
        </w:rPr>
        <w:t>、设备调试</w:t>
      </w:r>
    </w:p>
    <w:p>
      <w:pPr>
        <w:keepNext w:val="0"/>
        <w:keepLines w:val="0"/>
        <w:pageBreakBefore w:val="0"/>
        <w:widowControl/>
        <w:kinsoku/>
        <w:wordWrap/>
        <w:overflowPunct/>
        <w:topLinePunct w:val="0"/>
        <w:autoSpaceDE/>
        <w:autoSpaceDN/>
        <w:bidi w:val="0"/>
        <w:adjustRightInd/>
        <w:snapToGrid/>
        <w:spacing w:line="460" w:lineRule="exact"/>
        <w:ind w:left="0" w:leftChars="0" w:firstLine="560" w:firstLineChars="200"/>
        <w:jc w:val="left"/>
        <w:textAlignment w:val="auto"/>
        <w:rPr>
          <w:rFonts w:hint="eastAsia" w:ascii="宋体" w:hAnsi="宋体" w:eastAsia="宋体" w:cs="宋体"/>
          <w:sz w:val="28"/>
          <w:szCs w:val="28"/>
        </w:rPr>
      </w:pPr>
      <w:r>
        <w:rPr>
          <w:rFonts w:hint="eastAsia" w:ascii="仿宋" w:hAnsi="仿宋" w:eastAsia="仿宋" w:cs="仿宋"/>
          <w:b w:val="0"/>
          <w:bCs w:val="0"/>
          <w:color w:val="auto"/>
          <w:sz w:val="28"/>
          <w:szCs w:val="28"/>
          <w:highlight w:val="none"/>
          <w:u w:val="none"/>
          <w:lang w:val="en-US" w:eastAsia="zh-CN"/>
        </w:rPr>
        <w:t>迁移至目标位置后，配合信息公司生产部进行开机联网测试，达到正常使用要求后方能撤离现场。</w:t>
      </w:r>
    </w:p>
    <w:sectPr>
      <w:pgSz w:w="11906" w:h="16838"/>
      <w:pgMar w:top="567"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lYjVhMjczZjAwNGZlZDI1YzgwOTZjNTQ5ZTk1NzgifQ=="/>
  </w:docVars>
  <w:rsids>
    <w:rsidRoot w:val="0065667B"/>
    <w:rsid w:val="00036C7E"/>
    <w:rsid w:val="000D2305"/>
    <w:rsid w:val="001D1DE6"/>
    <w:rsid w:val="00214D08"/>
    <w:rsid w:val="00323804"/>
    <w:rsid w:val="00373646"/>
    <w:rsid w:val="003E69A7"/>
    <w:rsid w:val="00555421"/>
    <w:rsid w:val="0065667B"/>
    <w:rsid w:val="00676F8E"/>
    <w:rsid w:val="006A48CF"/>
    <w:rsid w:val="00771029"/>
    <w:rsid w:val="008A129B"/>
    <w:rsid w:val="009D2B99"/>
    <w:rsid w:val="00B35DA0"/>
    <w:rsid w:val="00B91280"/>
    <w:rsid w:val="00B91BBC"/>
    <w:rsid w:val="00CC7511"/>
    <w:rsid w:val="00F434BB"/>
    <w:rsid w:val="01787946"/>
    <w:rsid w:val="042C6ACB"/>
    <w:rsid w:val="045521C0"/>
    <w:rsid w:val="056749DF"/>
    <w:rsid w:val="05D43F90"/>
    <w:rsid w:val="07EC6998"/>
    <w:rsid w:val="08752E31"/>
    <w:rsid w:val="0A79447B"/>
    <w:rsid w:val="0A8F6BA7"/>
    <w:rsid w:val="0D9A0C44"/>
    <w:rsid w:val="0FF3288D"/>
    <w:rsid w:val="11222F37"/>
    <w:rsid w:val="14A449C1"/>
    <w:rsid w:val="15E84A93"/>
    <w:rsid w:val="160475A2"/>
    <w:rsid w:val="19EE2A43"/>
    <w:rsid w:val="1AFA368C"/>
    <w:rsid w:val="1E716503"/>
    <w:rsid w:val="1F413615"/>
    <w:rsid w:val="226264CA"/>
    <w:rsid w:val="231073C7"/>
    <w:rsid w:val="24895BA1"/>
    <w:rsid w:val="260C212C"/>
    <w:rsid w:val="268165C3"/>
    <w:rsid w:val="268B06AB"/>
    <w:rsid w:val="297E036A"/>
    <w:rsid w:val="2ED3590C"/>
    <w:rsid w:val="320F0AE1"/>
    <w:rsid w:val="32F00926"/>
    <w:rsid w:val="34CE47E3"/>
    <w:rsid w:val="35DF103A"/>
    <w:rsid w:val="38995E18"/>
    <w:rsid w:val="3A5A43D8"/>
    <w:rsid w:val="3E682515"/>
    <w:rsid w:val="3FA806EF"/>
    <w:rsid w:val="409B67D4"/>
    <w:rsid w:val="40B57568"/>
    <w:rsid w:val="42BA0B13"/>
    <w:rsid w:val="462A2713"/>
    <w:rsid w:val="4A491105"/>
    <w:rsid w:val="4CC44806"/>
    <w:rsid w:val="4DB43081"/>
    <w:rsid w:val="4F756840"/>
    <w:rsid w:val="4FC926E8"/>
    <w:rsid w:val="54596730"/>
    <w:rsid w:val="55E4027B"/>
    <w:rsid w:val="57E24C8E"/>
    <w:rsid w:val="591C5F7E"/>
    <w:rsid w:val="59CA7788"/>
    <w:rsid w:val="5E507999"/>
    <w:rsid w:val="622247BC"/>
    <w:rsid w:val="65EB11B2"/>
    <w:rsid w:val="66991DC7"/>
    <w:rsid w:val="676F7DE5"/>
    <w:rsid w:val="6BBB3A18"/>
    <w:rsid w:val="6CBE42B5"/>
    <w:rsid w:val="6CDC023A"/>
    <w:rsid w:val="732053E4"/>
    <w:rsid w:val="74634609"/>
    <w:rsid w:val="74F02341"/>
    <w:rsid w:val="750951B1"/>
    <w:rsid w:val="77692DCA"/>
    <w:rsid w:val="7A9F3DFF"/>
    <w:rsid w:val="7E284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jc w:val="center"/>
    </w:pPr>
    <w:rPr>
      <w:rFonts w:ascii="幼圆" w:eastAsia="幼圆"/>
      <w:b/>
      <w:sz w:val="44"/>
    </w:rPr>
  </w:style>
  <w:style w:type="character" w:customStyle="1" w:styleId="5">
    <w:name w:val="font71"/>
    <w:basedOn w:val="4"/>
    <w:qFormat/>
    <w:uiPriority w:val="0"/>
    <w:rPr>
      <w:rFonts w:ascii="Arial" w:hAnsi="Arial" w:cs="Arial"/>
      <w:b/>
      <w:bCs/>
      <w:color w:val="000000"/>
      <w:sz w:val="28"/>
      <w:szCs w:val="28"/>
      <w:u w:val="none"/>
    </w:rPr>
  </w:style>
  <w:style w:type="character" w:customStyle="1" w:styleId="6">
    <w:name w:val="font01"/>
    <w:basedOn w:val="4"/>
    <w:qFormat/>
    <w:uiPriority w:val="0"/>
    <w:rPr>
      <w:rFonts w:hint="default" w:ascii="Arial" w:hAnsi="Arial" w:cs="Arial"/>
      <w:color w:val="000000"/>
      <w:sz w:val="21"/>
      <w:szCs w:val="21"/>
      <w:u w:val="none"/>
    </w:rPr>
  </w:style>
  <w:style w:type="character" w:customStyle="1" w:styleId="7">
    <w:name w:val="font61"/>
    <w:basedOn w:val="4"/>
    <w:qFormat/>
    <w:uiPriority w:val="0"/>
    <w:rPr>
      <w:rFonts w:hint="default" w:ascii="楷体_GB2312" w:eastAsia="楷体_GB2312" w:cs="楷体_GB2312"/>
      <w:color w:val="000000"/>
      <w:sz w:val="21"/>
      <w:szCs w:val="21"/>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53</Words>
  <Characters>306</Characters>
  <Lines>2</Lines>
  <Paragraphs>1</Paragraphs>
  <TotalTime>2</TotalTime>
  <ScaleCrop>false</ScaleCrop>
  <LinksUpToDate>false</LinksUpToDate>
  <CharactersWithSpaces>358</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75798</dc:creator>
  <cp:lastModifiedBy>吕</cp:lastModifiedBy>
  <dcterms:modified xsi:type="dcterms:W3CDTF">2024-03-13T06:36:52Z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8CB7F040D9FF4ADB9171E60E2E9EEEB4_12</vt:lpwstr>
  </property>
</Properties>
</file>