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5A28" w14:textId="77777777" w:rsidR="007C7CF9" w:rsidRDefault="007C7CF9" w:rsidP="007C7CF9">
      <w:pPr>
        <w:snapToGrid w:val="0"/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一、工程概况</w:t>
      </w:r>
    </w:p>
    <w:p w14:paraId="5E59AA5D" w14:textId="7D4D21A0" w:rsidR="007C7CF9" w:rsidRDefault="007C7CF9" w:rsidP="007C7CF9">
      <w:pPr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本次防水维修工程位于重庆江北机场，安全检查站办公楼为</w:t>
      </w:r>
      <w:r>
        <w:rPr>
          <w:rFonts w:ascii="宋体" w:hAnsi="宋体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层公共建筑，耐火等级为二级。</w:t>
      </w:r>
    </w:p>
    <w:p w14:paraId="30E998F6" w14:textId="11804900" w:rsidR="007C7CF9" w:rsidRDefault="007C7CF9" w:rsidP="007C7CF9">
      <w:pPr>
        <w:snapToGrid w:val="0"/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因</w:t>
      </w:r>
      <w:r w:rsidR="00E54A29" w:rsidRPr="00E54A29">
        <w:rPr>
          <w:rFonts w:ascii="宋体" w:hAnsi="宋体" w:hint="eastAsia"/>
          <w:bCs/>
          <w:sz w:val="24"/>
        </w:rPr>
        <w:t>安</w:t>
      </w:r>
      <w:r w:rsidR="00E54A29">
        <w:rPr>
          <w:rFonts w:ascii="宋体" w:hAnsi="宋体" w:hint="eastAsia"/>
          <w:bCs/>
          <w:sz w:val="24"/>
        </w:rPr>
        <w:t>全</w:t>
      </w:r>
      <w:r w:rsidR="00E54A29" w:rsidRPr="00E54A29">
        <w:rPr>
          <w:rFonts w:ascii="宋体" w:hAnsi="宋体" w:hint="eastAsia"/>
          <w:bCs/>
          <w:sz w:val="24"/>
        </w:rPr>
        <w:t>检</w:t>
      </w:r>
      <w:r w:rsidR="00E54A29">
        <w:rPr>
          <w:rFonts w:ascii="宋体" w:hAnsi="宋体" w:hint="eastAsia"/>
          <w:bCs/>
          <w:sz w:val="24"/>
        </w:rPr>
        <w:t>查站</w:t>
      </w:r>
      <w:r w:rsidR="00E54A29" w:rsidRPr="00E54A29">
        <w:rPr>
          <w:rFonts w:ascii="宋体" w:hAnsi="宋体" w:hint="eastAsia"/>
          <w:bCs/>
          <w:sz w:val="24"/>
        </w:rPr>
        <w:t>办公楼顶女儿墙根部处防水层老化失效，</w:t>
      </w:r>
      <w:r w:rsidR="00E54A29">
        <w:rPr>
          <w:rFonts w:ascii="宋体" w:hAnsi="宋体" w:hint="eastAsia"/>
          <w:bCs/>
          <w:sz w:val="24"/>
        </w:rPr>
        <w:t>加上</w:t>
      </w:r>
      <w:r w:rsidR="00E54A29" w:rsidRPr="00E54A29">
        <w:rPr>
          <w:rFonts w:ascii="宋体" w:hAnsi="宋体" w:hint="eastAsia"/>
          <w:bCs/>
          <w:sz w:val="24"/>
        </w:rPr>
        <w:t>结构沉降造成防水层及混凝土产生裂缝，存在一定程度的渗漏水情况。漏点主要分布在女儿墙根部及外墙空鼓区域，导致501电教室防静电地板下方积水严重，存在电教室设施设备运行安全风险隐患。</w:t>
      </w:r>
      <w:r>
        <w:rPr>
          <w:rFonts w:ascii="宋体" w:hAnsi="宋体" w:hint="eastAsia"/>
          <w:bCs/>
          <w:sz w:val="24"/>
        </w:rPr>
        <w:t>在本次维修</w:t>
      </w:r>
      <w:r w:rsidR="00E54A29">
        <w:rPr>
          <w:rFonts w:ascii="宋体" w:hAnsi="宋体" w:hint="eastAsia"/>
          <w:bCs/>
          <w:sz w:val="24"/>
        </w:rPr>
        <w:t>女儿墙</w:t>
      </w:r>
      <w:r>
        <w:rPr>
          <w:rFonts w:ascii="宋体" w:hAnsi="宋体" w:hint="eastAsia"/>
          <w:bCs/>
          <w:sz w:val="24"/>
        </w:rPr>
        <w:t>防水</w:t>
      </w:r>
      <w:r w:rsidR="00E54A29">
        <w:rPr>
          <w:rFonts w:ascii="宋体" w:hAnsi="宋体" w:hint="eastAsia"/>
          <w:bCs/>
          <w:sz w:val="24"/>
        </w:rPr>
        <w:t>层</w:t>
      </w:r>
      <w:r>
        <w:rPr>
          <w:rFonts w:ascii="宋体" w:hAnsi="宋体" w:hint="eastAsia"/>
          <w:bCs/>
          <w:sz w:val="24"/>
        </w:rPr>
        <w:t>做法参照西南集18J517卫生间的墙地面、西南集18J112墙面防水做法施工。</w:t>
      </w:r>
    </w:p>
    <w:p w14:paraId="0C9DF3C8" w14:textId="3A4ED5E4" w:rsidR="007C7CF9" w:rsidRDefault="007C7CF9" w:rsidP="007C7CF9">
      <w:pPr>
        <w:snapToGrid w:val="0"/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本次</w:t>
      </w:r>
      <w:r w:rsidR="00E54A29">
        <w:rPr>
          <w:rFonts w:ascii="宋体" w:hAnsi="宋体" w:hint="eastAsia"/>
          <w:bCs/>
          <w:sz w:val="24"/>
        </w:rPr>
        <w:t>女儿墙</w:t>
      </w:r>
      <w:r>
        <w:rPr>
          <w:rFonts w:ascii="宋体" w:hAnsi="宋体" w:hint="eastAsia"/>
          <w:bCs/>
          <w:sz w:val="24"/>
        </w:rPr>
        <w:t>防水</w:t>
      </w:r>
      <w:r w:rsidR="00E54A29">
        <w:rPr>
          <w:rFonts w:ascii="宋体" w:hAnsi="宋体" w:hint="eastAsia"/>
          <w:bCs/>
          <w:sz w:val="24"/>
        </w:rPr>
        <w:t>层</w:t>
      </w:r>
      <w:r>
        <w:rPr>
          <w:rFonts w:ascii="宋体" w:hAnsi="宋体" w:hint="eastAsia"/>
          <w:bCs/>
          <w:sz w:val="24"/>
        </w:rPr>
        <w:t>维修工程不涉及对原建筑物的定性、平面功能、消防设施等的调整。</w:t>
      </w:r>
    </w:p>
    <w:p w14:paraId="229DEE0A" w14:textId="77777777" w:rsidR="007C7CF9" w:rsidRPr="00E54A29" w:rsidRDefault="007C7CF9" w:rsidP="007C7CF9">
      <w:pPr>
        <w:snapToGrid w:val="0"/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</w:rPr>
      </w:pPr>
    </w:p>
    <w:p w14:paraId="1FC1B9D2" w14:textId="7ED64E99" w:rsidR="007C7CF9" w:rsidRDefault="007C7CF9" w:rsidP="007C7CF9">
      <w:pPr>
        <w:snapToGrid w:val="0"/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</w:rPr>
      </w:pPr>
      <w:bookmarkStart w:id="0" w:name="_Toc16424"/>
      <w:bookmarkStart w:id="1" w:name="_Toc10771"/>
      <w:r>
        <w:rPr>
          <w:rFonts w:ascii="宋体" w:hAnsi="宋体" w:hint="eastAsia"/>
          <w:bCs/>
          <w:sz w:val="24"/>
        </w:rPr>
        <w:t>二、工程维修方案的主要依据</w:t>
      </w:r>
      <w:bookmarkEnd w:id="0"/>
      <w:bookmarkEnd w:id="1"/>
    </w:p>
    <w:p w14:paraId="66026C01" w14:textId="77777777" w:rsidR="007C7CF9" w:rsidRDefault="007C7CF9" w:rsidP="007C7CF9">
      <w:pPr>
        <w:snapToGrid w:val="0"/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</w:rPr>
      </w:pPr>
      <w:bookmarkStart w:id="2" w:name="_Toc30295"/>
      <w:r>
        <w:rPr>
          <w:rFonts w:ascii="宋体" w:hAnsi="宋体" w:hint="eastAsia"/>
          <w:bCs/>
          <w:sz w:val="24"/>
        </w:rPr>
        <w:t>（一）　主要设计规范和标准</w:t>
      </w:r>
      <w:bookmarkEnd w:id="2"/>
    </w:p>
    <w:p w14:paraId="05F63D7B" w14:textId="77777777" w:rsidR="007C7CF9" w:rsidRDefault="007C7CF9" w:rsidP="007C7CF9">
      <w:pPr>
        <w:snapToGrid w:val="0"/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1.国家和地方与本工程有关的其它现行设计规范、标准、法规和条例</w:t>
      </w:r>
    </w:p>
    <w:p w14:paraId="52A1465D" w14:textId="77777777" w:rsidR="007C7CF9" w:rsidRDefault="007C7CF9" w:rsidP="007C7CF9">
      <w:pPr>
        <w:snapToGrid w:val="0"/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《既有建筑维护与改造通用规范》GB55022-2021</w:t>
      </w:r>
    </w:p>
    <w:p w14:paraId="10153DD9" w14:textId="77777777" w:rsidR="007C7CF9" w:rsidRDefault="007C7CF9" w:rsidP="007C7CF9">
      <w:pPr>
        <w:snapToGrid w:val="0"/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《建筑与市政工程防水通用规范》GB55030-2022</w:t>
      </w:r>
    </w:p>
    <w:p w14:paraId="19F25C11" w14:textId="77777777" w:rsidR="007C7CF9" w:rsidRDefault="007C7CF9" w:rsidP="007C7CF9">
      <w:pPr>
        <w:snapToGrid w:val="0"/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《建筑与市政工程施工质量控制通用规范》GB55032-2022</w:t>
      </w:r>
    </w:p>
    <w:p w14:paraId="01C2AE6E" w14:textId="77777777" w:rsidR="007C7CF9" w:rsidRDefault="007C7CF9" w:rsidP="007C7CF9">
      <w:pPr>
        <w:snapToGrid w:val="0"/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《平屋面建筑构造》12J201</w:t>
      </w:r>
    </w:p>
    <w:p w14:paraId="24AA528F" w14:textId="77777777" w:rsidR="007C7CF9" w:rsidRDefault="007C7CF9" w:rsidP="007C7CF9">
      <w:pPr>
        <w:snapToGrid w:val="0"/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《西南18J合订本》西南18J</w:t>
      </w:r>
    </w:p>
    <w:p w14:paraId="352DEBF4" w14:textId="77777777" w:rsidR="007C7CF9" w:rsidRDefault="007C7CF9" w:rsidP="007C7CF9">
      <w:pPr>
        <w:snapToGrid w:val="0"/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《重庆市建设领域禁止、限制使用落后技术通告》（2019年）</w:t>
      </w:r>
    </w:p>
    <w:p w14:paraId="30DD495F" w14:textId="58330091" w:rsidR="007C7CF9" w:rsidRPr="00E54A29" w:rsidRDefault="007C7CF9" w:rsidP="00E54A29">
      <w:pPr>
        <w:snapToGrid w:val="0"/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《重庆市房屋建筑和市政基础设施工程质量常见问题防治要点》（2019年版）</w:t>
      </w:r>
      <w:bookmarkStart w:id="3" w:name="_Toc53"/>
      <w:bookmarkStart w:id="4" w:name="_Toc20609"/>
    </w:p>
    <w:p w14:paraId="6621120F" w14:textId="77777777" w:rsidR="00E54A29" w:rsidRPr="00E54A29" w:rsidRDefault="00E54A29" w:rsidP="00E54A29">
      <w:pPr>
        <w:snapToGrid w:val="0"/>
        <w:spacing w:line="360" w:lineRule="auto"/>
        <w:ind w:firstLineChars="100" w:firstLine="240"/>
        <w:outlineLvl w:val="0"/>
        <w:rPr>
          <w:rFonts w:ascii="宋体" w:hAnsi="宋体"/>
          <w:bCs/>
          <w:sz w:val="24"/>
        </w:rPr>
      </w:pPr>
    </w:p>
    <w:p w14:paraId="34549A9A" w14:textId="35AD9E01" w:rsidR="007C7CF9" w:rsidRPr="00E54A29" w:rsidRDefault="00E54A29" w:rsidP="00E54A29">
      <w:pPr>
        <w:snapToGrid w:val="0"/>
        <w:spacing w:line="360" w:lineRule="auto"/>
        <w:ind w:firstLineChars="200" w:firstLine="480"/>
        <w:outlineLvl w:val="0"/>
        <w:rPr>
          <w:rFonts w:ascii="宋体" w:hAnsi="宋体"/>
          <w:bCs/>
          <w:sz w:val="24"/>
        </w:rPr>
      </w:pPr>
      <w:r w:rsidRPr="00E54A29">
        <w:rPr>
          <w:rFonts w:ascii="宋体" w:hAnsi="宋体" w:hint="eastAsia"/>
          <w:bCs/>
          <w:sz w:val="24"/>
        </w:rPr>
        <w:t>三、</w:t>
      </w:r>
      <w:r w:rsidR="007C7CF9" w:rsidRPr="00E54A29">
        <w:rPr>
          <w:rFonts w:ascii="宋体" w:hAnsi="宋体" w:hint="eastAsia"/>
          <w:bCs/>
          <w:sz w:val="24"/>
        </w:rPr>
        <w:t>主要内容</w:t>
      </w:r>
      <w:bookmarkEnd w:id="3"/>
      <w:bookmarkEnd w:id="4"/>
    </w:p>
    <w:p w14:paraId="2CBBDEA9" w14:textId="22B3838E" w:rsidR="007C7CF9" w:rsidRDefault="007C7CF9" w:rsidP="007C7CF9">
      <w:pPr>
        <w:snapToGrid w:val="0"/>
        <w:spacing w:line="360" w:lineRule="auto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  </w:t>
      </w:r>
      <w:r w:rsidR="00E54A29">
        <w:rPr>
          <w:rFonts w:ascii="宋体" w:hAnsi="宋体" w:cs="宋体"/>
          <w:b/>
          <w:bCs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 xml:space="preserve">表1.4-1 </w:t>
      </w:r>
    </w:p>
    <w:tbl>
      <w:tblPr>
        <w:tblW w:w="8320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2388"/>
        <w:gridCol w:w="2264"/>
        <w:gridCol w:w="1786"/>
        <w:gridCol w:w="1882"/>
      </w:tblGrid>
      <w:tr w:rsidR="007C7CF9" w14:paraId="2541D27E" w14:textId="77777777" w:rsidTr="007C7CF9">
        <w:trPr>
          <w:trHeight w:val="330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9D5A2" w14:textId="77777777" w:rsidR="007C7CF9" w:rsidRDefault="007C7CF9" w:rsidP="007865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位置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7255" w14:textId="77777777" w:rsidR="007C7CF9" w:rsidRDefault="007C7CF9" w:rsidP="007865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工程名称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FEF7C" w14:textId="77777777" w:rsidR="007C7CF9" w:rsidRDefault="007C7CF9" w:rsidP="007865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工程量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34244" w14:textId="77777777" w:rsidR="007C7CF9" w:rsidRDefault="007C7CF9" w:rsidP="00786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处理面</w:t>
            </w:r>
            <w:proofErr w:type="gramEnd"/>
          </w:p>
        </w:tc>
      </w:tr>
      <w:tr w:rsidR="007C7CF9" w14:paraId="1495B89F" w14:textId="77777777" w:rsidTr="007C7CF9">
        <w:trPr>
          <w:trHeight w:val="357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802A4" w14:textId="1687AE54" w:rsidR="007C7CF9" w:rsidRDefault="007C7CF9" w:rsidP="007865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4"/>
              </w:rPr>
              <w:t>安全检查站楼</w:t>
            </w:r>
            <w:proofErr w:type="gram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A392C" w14:textId="0FD369F3" w:rsidR="007C7CF9" w:rsidRDefault="007C7CF9" w:rsidP="007865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女儿墙防水层维修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046E4" w14:textId="6222322B" w:rsidR="007C7CF9" w:rsidRDefault="007C7CF9" w:rsidP="00786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约1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C870D" w14:textId="6BDA3570" w:rsidR="007C7CF9" w:rsidRDefault="007C7CF9" w:rsidP="007865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女儿墙</w:t>
            </w:r>
          </w:p>
        </w:tc>
      </w:tr>
    </w:tbl>
    <w:p w14:paraId="4ED85665" w14:textId="77777777" w:rsidR="007C7CF9" w:rsidRDefault="007C7CF9" w:rsidP="007C7CF9">
      <w:pPr>
        <w:snapToGrid w:val="0"/>
        <w:spacing w:line="360" w:lineRule="auto"/>
        <w:rPr>
          <w:rFonts w:ascii="宋体" w:hAnsi="宋体" w:hint="eastAsia"/>
          <w:szCs w:val="21"/>
        </w:rPr>
      </w:pPr>
    </w:p>
    <w:p w14:paraId="5C774817" w14:textId="68DD1F88" w:rsidR="007C7CF9" w:rsidRPr="00E54A29" w:rsidRDefault="00E54A29" w:rsidP="00E54A29">
      <w:pPr>
        <w:snapToGrid w:val="0"/>
        <w:spacing w:line="360" w:lineRule="auto"/>
        <w:ind w:firstLineChars="200" w:firstLine="480"/>
        <w:outlineLvl w:val="0"/>
        <w:rPr>
          <w:rFonts w:ascii="宋体" w:hAnsi="宋体" w:hint="eastAsia"/>
          <w:bCs/>
          <w:sz w:val="24"/>
        </w:rPr>
      </w:pPr>
      <w:bookmarkStart w:id="5" w:name="_Toc979"/>
      <w:bookmarkStart w:id="6" w:name="_Toc26697"/>
      <w:r>
        <w:rPr>
          <w:rFonts w:ascii="宋体" w:hAnsi="宋体" w:hint="eastAsia"/>
          <w:bCs/>
          <w:sz w:val="24"/>
        </w:rPr>
        <w:t>四、</w:t>
      </w:r>
      <w:r w:rsidR="007C7CF9" w:rsidRPr="00E54A29">
        <w:rPr>
          <w:rFonts w:ascii="宋体" w:hAnsi="宋体" w:hint="eastAsia"/>
          <w:bCs/>
          <w:sz w:val="24"/>
        </w:rPr>
        <w:t>屋面改造翻新技术方案</w:t>
      </w:r>
      <w:bookmarkEnd w:id="5"/>
      <w:bookmarkEnd w:id="6"/>
    </w:p>
    <w:p w14:paraId="67158DAB" w14:textId="4E68D27C" w:rsidR="007C7CF9" w:rsidRDefault="007C7CF9" w:rsidP="007C7CF9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屋面改造翻新技术方案：本工程</w:t>
      </w:r>
      <w:r w:rsidR="00E54A29">
        <w:rPr>
          <w:rFonts w:ascii="宋体" w:hAnsi="宋体" w:hint="eastAsia"/>
          <w:sz w:val="24"/>
        </w:rPr>
        <w:t>女儿墙</w:t>
      </w:r>
      <w:r>
        <w:rPr>
          <w:rFonts w:ascii="宋体" w:hAnsi="宋体" w:hint="eastAsia"/>
          <w:sz w:val="24"/>
        </w:rPr>
        <w:t>防水</w:t>
      </w:r>
      <w:r w:rsidR="00E54A29">
        <w:rPr>
          <w:rFonts w:ascii="宋体" w:hAnsi="宋体" w:hint="eastAsia"/>
          <w:sz w:val="24"/>
        </w:rPr>
        <w:t>层维修</w:t>
      </w:r>
      <w:r>
        <w:rPr>
          <w:rFonts w:ascii="宋体" w:hAnsi="宋体" w:hint="eastAsia"/>
          <w:sz w:val="24"/>
        </w:rPr>
        <w:t>现场均不存在临时设施</w:t>
      </w:r>
      <w:r>
        <w:rPr>
          <w:rFonts w:ascii="宋体" w:hAnsi="宋体" w:hint="eastAsia"/>
          <w:sz w:val="24"/>
        </w:rPr>
        <w:lastRenderedPageBreak/>
        <w:t>拆除复位工序。屋面防雷保护措施</w:t>
      </w:r>
      <w:proofErr w:type="gramStart"/>
      <w:r>
        <w:rPr>
          <w:rFonts w:ascii="宋体" w:hAnsi="宋体" w:hint="eastAsia"/>
          <w:sz w:val="24"/>
        </w:rPr>
        <w:t>遵循利旧原则</w:t>
      </w:r>
      <w:proofErr w:type="gramEnd"/>
      <w:r>
        <w:rPr>
          <w:rFonts w:ascii="宋体" w:hAnsi="宋体" w:hint="eastAsia"/>
          <w:sz w:val="24"/>
        </w:rPr>
        <w:t>，保障整个屋面原防雷与建筑物主体钢筋及基础可靠贯通连接。施工工序及工艺以中标施工单位编制的施工组织设计方案为准，并需满足《既有建筑维修与改造通用规范》等适用于本工程施工的相关国家规范要求。</w:t>
      </w:r>
    </w:p>
    <w:p w14:paraId="40E8C7DE" w14:textId="758B6FD3" w:rsidR="007C7CF9" w:rsidRDefault="007C7CF9" w:rsidP="007C7CF9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改造前需由施工单位对</w:t>
      </w:r>
      <w:r w:rsidR="00E54A29">
        <w:rPr>
          <w:rFonts w:ascii="宋体" w:hAnsi="宋体" w:hint="eastAsia"/>
          <w:sz w:val="24"/>
        </w:rPr>
        <w:t>女儿墙</w:t>
      </w:r>
      <w:r w:rsidR="00C167AC">
        <w:rPr>
          <w:rFonts w:ascii="宋体" w:hAnsi="宋体" w:hint="eastAsia"/>
          <w:sz w:val="24"/>
        </w:rPr>
        <w:t>防水层</w:t>
      </w:r>
      <w:r>
        <w:rPr>
          <w:rFonts w:ascii="宋体" w:hAnsi="宋体" w:hint="eastAsia"/>
          <w:sz w:val="24"/>
        </w:rPr>
        <w:t>区域原有老旧防水构造进行剔除，剔除面积与改造翻新面积等同。如施工时期遇天气恶劣情况，建议施工单位采用相应的施工保护措施，详细措施以施工组织设计方案为准。</w:t>
      </w:r>
    </w:p>
    <w:p w14:paraId="53249377" w14:textId="77777777" w:rsidR="00E54A29" w:rsidRDefault="00E54A29" w:rsidP="007C7CF9">
      <w:pPr>
        <w:spacing w:line="360" w:lineRule="auto"/>
        <w:ind w:firstLineChars="200" w:firstLine="480"/>
        <w:jc w:val="left"/>
        <w:rPr>
          <w:sz w:val="24"/>
        </w:rPr>
      </w:pPr>
    </w:p>
    <w:p w14:paraId="3D4854F5" w14:textId="0812C537" w:rsidR="007C7CF9" w:rsidRDefault="007C7CF9" w:rsidP="007C7CF9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附屋面改造翻新构造做法：</w:t>
      </w:r>
    </w:p>
    <w:p w14:paraId="1AF01585" w14:textId="77777777" w:rsidR="007C7CF9" w:rsidRDefault="007C7CF9" w:rsidP="007C7CF9">
      <w:pPr>
        <w:numPr>
          <w:ilvl w:val="0"/>
          <w:numId w:val="3"/>
        </w:numPr>
        <w:tabs>
          <w:tab w:val="left" w:pos="312"/>
        </w:tabs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保护层：最薄处</w:t>
      </w:r>
      <w:r>
        <w:rPr>
          <w:sz w:val="24"/>
        </w:rPr>
        <w:t>40mm</w:t>
      </w:r>
      <w:r>
        <w:rPr>
          <w:sz w:val="24"/>
        </w:rPr>
        <w:t>厚</w:t>
      </w:r>
      <w:r>
        <w:rPr>
          <w:sz w:val="24"/>
        </w:rPr>
        <w:t>C20</w:t>
      </w:r>
      <w:r>
        <w:rPr>
          <w:sz w:val="24"/>
        </w:rPr>
        <w:t>细石混凝土，内配单层双向</w:t>
      </w:r>
      <w:r>
        <w:rPr>
          <w:rFonts w:hint="eastAsia"/>
          <w:sz w:val="24"/>
        </w:rPr>
        <w:t>φ</w:t>
      </w:r>
      <w:r>
        <w:rPr>
          <w:sz w:val="24"/>
        </w:rPr>
        <w:t>6.5@200</w:t>
      </w:r>
      <w:r>
        <w:rPr>
          <w:sz w:val="24"/>
        </w:rPr>
        <w:t>钢丝网片，设不大于</w:t>
      </w:r>
      <w:r>
        <w:rPr>
          <w:sz w:val="24"/>
        </w:rPr>
        <w:t>6mx6m</w:t>
      </w:r>
      <w:r>
        <w:rPr>
          <w:sz w:val="24"/>
        </w:rPr>
        <w:t>分隔缝，</w:t>
      </w:r>
      <w:proofErr w:type="gramStart"/>
      <w:r>
        <w:rPr>
          <w:sz w:val="24"/>
        </w:rPr>
        <w:t>缝宽</w:t>
      </w:r>
      <w:proofErr w:type="gramEnd"/>
      <w:r>
        <w:rPr>
          <w:sz w:val="24"/>
        </w:rPr>
        <w:t>20mm</w:t>
      </w:r>
      <w:r>
        <w:rPr>
          <w:sz w:val="24"/>
        </w:rPr>
        <w:t>，缝内</w:t>
      </w:r>
      <w:proofErr w:type="gramStart"/>
      <w:r>
        <w:rPr>
          <w:sz w:val="24"/>
        </w:rPr>
        <w:t>嵌</w:t>
      </w:r>
      <w:proofErr w:type="gramEnd"/>
      <w:r>
        <w:rPr>
          <w:sz w:val="24"/>
        </w:rPr>
        <w:t>建筑密封胶。</w:t>
      </w:r>
    </w:p>
    <w:p w14:paraId="077652FB" w14:textId="77777777" w:rsidR="007C7CF9" w:rsidRDefault="007C7CF9" w:rsidP="007C7CF9">
      <w:pPr>
        <w:numPr>
          <w:ilvl w:val="0"/>
          <w:numId w:val="3"/>
        </w:numPr>
        <w:tabs>
          <w:tab w:val="left" w:pos="312"/>
        </w:tabs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隔离层：无纺布一道，</w:t>
      </w:r>
      <w:r>
        <w:rPr>
          <w:rFonts w:hint="eastAsia"/>
          <w:sz w:val="24"/>
        </w:rPr>
        <w:t>≥</w:t>
      </w:r>
      <w:r>
        <w:rPr>
          <w:sz w:val="24"/>
        </w:rPr>
        <w:t>200g/</w:t>
      </w:r>
      <w:r>
        <w:rPr>
          <w:rFonts w:hint="eastAsia"/>
          <w:sz w:val="24"/>
        </w:rPr>
        <w:t>㎡。</w:t>
      </w:r>
    </w:p>
    <w:p w14:paraId="615A1B7B" w14:textId="77777777" w:rsidR="007C7CF9" w:rsidRDefault="007C7CF9" w:rsidP="007C7CF9">
      <w:pPr>
        <w:numPr>
          <w:ilvl w:val="0"/>
          <w:numId w:val="3"/>
        </w:numPr>
        <w:tabs>
          <w:tab w:val="left" w:pos="312"/>
        </w:tabs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防水层</w:t>
      </w:r>
      <w:r>
        <w:rPr>
          <w:rFonts w:hint="eastAsia"/>
          <w:sz w:val="24"/>
        </w:rPr>
        <w:t>3</w:t>
      </w:r>
      <w:r>
        <w:rPr>
          <w:sz w:val="24"/>
        </w:rPr>
        <w:t>：</w:t>
      </w:r>
      <w:r>
        <w:rPr>
          <w:rFonts w:hint="eastAsia"/>
          <w:sz w:val="24"/>
        </w:rPr>
        <w:t>3mm</w:t>
      </w:r>
      <w:r>
        <w:rPr>
          <w:rFonts w:hint="eastAsia"/>
          <w:sz w:val="24"/>
        </w:rPr>
        <w:t>厚</w:t>
      </w:r>
      <w:r>
        <w:rPr>
          <w:rFonts w:hint="eastAsia"/>
          <w:sz w:val="24"/>
        </w:rPr>
        <w:t>SBS</w:t>
      </w:r>
      <w:r>
        <w:rPr>
          <w:rFonts w:hint="eastAsia"/>
          <w:sz w:val="24"/>
        </w:rPr>
        <w:t>改性沥青防水卷材，上表面采用银色抗辐照膜</w:t>
      </w:r>
      <w:r>
        <w:rPr>
          <w:sz w:val="24"/>
        </w:rPr>
        <w:t>。</w:t>
      </w:r>
    </w:p>
    <w:p w14:paraId="58DD35A5" w14:textId="77777777" w:rsidR="007C7CF9" w:rsidRDefault="007C7CF9" w:rsidP="007C7CF9">
      <w:pPr>
        <w:numPr>
          <w:ilvl w:val="0"/>
          <w:numId w:val="3"/>
        </w:numPr>
        <w:tabs>
          <w:tab w:val="left" w:pos="312"/>
        </w:tabs>
        <w:spacing w:line="360" w:lineRule="auto"/>
        <w:ind w:firstLineChars="200" w:firstLine="480"/>
        <w:jc w:val="left"/>
        <w:rPr>
          <w:sz w:val="24"/>
        </w:rPr>
      </w:pPr>
      <w:proofErr w:type="gramStart"/>
      <w:r>
        <w:rPr>
          <w:rFonts w:hint="eastAsia"/>
          <w:sz w:val="24"/>
        </w:rPr>
        <w:t>找坡层</w:t>
      </w:r>
      <w:proofErr w:type="gramEnd"/>
      <w:r>
        <w:rPr>
          <w:rFonts w:hint="eastAsia"/>
          <w:sz w:val="24"/>
        </w:rPr>
        <w:t>：最薄处</w:t>
      </w:r>
      <w:r>
        <w:rPr>
          <w:rFonts w:hint="eastAsia"/>
          <w:sz w:val="24"/>
        </w:rPr>
        <w:t>30</w:t>
      </w:r>
      <w:r>
        <w:rPr>
          <w:sz w:val="24"/>
        </w:rPr>
        <w:t>mm</w:t>
      </w:r>
      <w:r>
        <w:rPr>
          <w:rFonts w:hint="eastAsia"/>
          <w:sz w:val="24"/>
        </w:rPr>
        <w:t>厚</w:t>
      </w:r>
      <w:r>
        <w:rPr>
          <w:rFonts w:hint="eastAsia"/>
          <w:sz w:val="24"/>
        </w:rPr>
        <w:t>LC7.5</w:t>
      </w:r>
      <w:r>
        <w:rPr>
          <w:rFonts w:hint="eastAsia"/>
          <w:sz w:val="24"/>
        </w:rPr>
        <w:t>轻集料混凝土</w:t>
      </w:r>
      <w:proofErr w:type="gramStart"/>
      <w:r>
        <w:rPr>
          <w:rFonts w:hint="eastAsia"/>
          <w:sz w:val="24"/>
        </w:rPr>
        <w:t>找坡兼</w:t>
      </w:r>
      <w:proofErr w:type="gramEnd"/>
      <w:r>
        <w:rPr>
          <w:rFonts w:hint="eastAsia"/>
          <w:sz w:val="24"/>
        </w:rPr>
        <w:t>找平（坡度</w:t>
      </w:r>
      <w:r>
        <w:rPr>
          <w:rFonts w:hint="eastAsia"/>
          <w:sz w:val="24"/>
        </w:rPr>
        <w:t>2%</w:t>
      </w:r>
      <w:r>
        <w:rPr>
          <w:rFonts w:hint="eastAsia"/>
          <w:sz w:val="24"/>
        </w:rPr>
        <w:t>），</w:t>
      </w:r>
      <w:proofErr w:type="gramStart"/>
      <w:r>
        <w:rPr>
          <w:rFonts w:hint="eastAsia"/>
          <w:sz w:val="24"/>
        </w:rPr>
        <w:t>随打随抹平</w:t>
      </w:r>
      <w:proofErr w:type="gramEnd"/>
      <w:r>
        <w:rPr>
          <w:rFonts w:hint="eastAsia"/>
          <w:sz w:val="24"/>
        </w:rPr>
        <w:t>。</w:t>
      </w:r>
    </w:p>
    <w:p w14:paraId="395FCD5D" w14:textId="77777777" w:rsidR="007C7CF9" w:rsidRDefault="007C7CF9" w:rsidP="007C7CF9">
      <w:pPr>
        <w:numPr>
          <w:ilvl w:val="0"/>
          <w:numId w:val="3"/>
        </w:numPr>
        <w:tabs>
          <w:tab w:val="left" w:pos="312"/>
        </w:tabs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保温层：</w:t>
      </w:r>
      <w:r>
        <w:rPr>
          <w:rFonts w:hint="eastAsia"/>
          <w:sz w:val="24"/>
        </w:rPr>
        <w:t>5</w:t>
      </w:r>
      <w:r>
        <w:rPr>
          <w:sz w:val="24"/>
        </w:rPr>
        <w:t>0</w:t>
      </w:r>
      <w:r>
        <w:rPr>
          <w:rFonts w:hint="eastAsia"/>
          <w:sz w:val="24"/>
        </w:rPr>
        <w:t>mm</w:t>
      </w:r>
      <w:r>
        <w:rPr>
          <w:sz w:val="24"/>
        </w:rPr>
        <w:t>厚难燃型挤塑聚苯板</w:t>
      </w:r>
      <w:r>
        <w:rPr>
          <w:sz w:val="24"/>
        </w:rPr>
        <w:t xml:space="preserve"> </w:t>
      </w:r>
      <w:r>
        <w:rPr>
          <w:sz w:val="24"/>
        </w:rPr>
        <w:t>，错缝搭接。</w:t>
      </w:r>
    </w:p>
    <w:p w14:paraId="2B563B22" w14:textId="77777777" w:rsidR="007C7CF9" w:rsidRDefault="007C7CF9" w:rsidP="007C7CF9">
      <w:pPr>
        <w:numPr>
          <w:ilvl w:val="0"/>
          <w:numId w:val="3"/>
        </w:numPr>
        <w:tabs>
          <w:tab w:val="left" w:pos="312"/>
        </w:tabs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防水层</w:t>
      </w:r>
      <w:r>
        <w:rPr>
          <w:rFonts w:hint="eastAsia"/>
          <w:sz w:val="24"/>
        </w:rPr>
        <w:t>2: 1.5mm</w:t>
      </w:r>
      <w:r>
        <w:rPr>
          <w:rFonts w:hint="eastAsia"/>
          <w:sz w:val="24"/>
        </w:rPr>
        <w:t>厚纤维增强型高分子膜基自粘沥青防水卷材。</w:t>
      </w:r>
    </w:p>
    <w:p w14:paraId="262752BB" w14:textId="77777777" w:rsidR="007C7CF9" w:rsidRDefault="007C7CF9" w:rsidP="007C7CF9">
      <w:pPr>
        <w:numPr>
          <w:ilvl w:val="0"/>
          <w:numId w:val="3"/>
        </w:numPr>
        <w:tabs>
          <w:tab w:val="left" w:pos="312"/>
        </w:tabs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防水层</w:t>
      </w:r>
      <w:r>
        <w:rPr>
          <w:sz w:val="24"/>
        </w:rPr>
        <w:t>1</w:t>
      </w:r>
      <w:r>
        <w:rPr>
          <w:sz w:val="24"/>
        </w:rPr>
        <w:t>：</w:t>
      </w:r>
      <w:r>
        <w:rPr>
          <w:sz w:val="24"/>
        </w:rPr>
        <w:t>2.0mm</w:t>
      </w:r>
      <w:r>
        <w:rPr>
          <w:sz w:val="24"/>
        </w:rPr>
        <w:t>厚</w:t>
      </w:r>
      <w:r>
        <w:rPr>
          <w:rFonts w:hint="eastAsia"/>
          <w:sz w:val="24"/>
        </w:rPr>
        <w:t>高强水性橡胶沥青防水涂料</w:t>
      </w:r>
      <w:r>
        <w:rPr>
          <w:sz w:val="24"/>
        </w:rPr>
        <w:t xml:space="preserve">, </w:t>
      </w:r>
      <w:r>
        <w:rPr>
          <w:rFonts w:hint="eastAsia"/>
          <w:sz w:val="24"/>
        </w:rPr>
        <w:t>耐热度</w:t>
      </w:r>
      <w:r>
        <w:rPr>
          <w:rFonts w:hint="eastAsia"/>
          <w:sz w:val="24"/>
        </w:rPr>
        <w:t>140</w:t>
      </w:r>
      <w:r>
        <w:rPr>
          <w:rFonts w:hint="eastAsia"/>
          <w:sz w:val="24"/>
        </w:rPr>
        <w:t>°。</w:t>
      </w:r>
    </w:p>
    <w:p w14:paraId="4D9D9F6F" w14:textId="77777777" w:rsidR="007C7CF9" w:rsidRDefault="007C7CF9" w:rsidP="007C7CF9">
      <w:pPr>
        <w:numPr>
          <w:ilvl w:val="0"/>
          <w:numId w:val="3"/>
        </w:numPr>
        <w:tabs>
          <w:tab w:val="left" w:pos="312"/>
        </w:tabs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找平层：</w:t>
      </w:r>
      <w:r>
        <w:rPr>
          <w:sz w:val="24"/>
        </w:rPr>
        <w:t>20mm</w:t>
      </w:r>
      <w:r>
        <w:rPr>
          <w:sz w:val="24"/>
        </w:rPr>
        <w:t>厚</w:t>
      </w:r>
      <w:r>
        <w:rPr>
          <w:sz w:val="24"/>
        </w:rPr>
        <w:t>1:3</w:t>
      </w:r>
      <w:r>
        <w:rPr>
          <w:sz w:val="24"/>
        </w:rPr>
        <w:t>水泥砂浆</w:t>
      </w:r>
      <w:r>
        <w:rPr>
          <w:rFonts w:hint="eastAsia"/>
          <w:sz w:val="24"/>
        </w:rPr>
        <w:t>。</w:t>
      </w:r>
    </w:p>
    <w:p w14:paraId="1A38FD04" w14:textId="77777777" w:rsidR="004D5608" w:rsidRDefault="004D5608" w:rsidP="00353216">
      <w:pPr>
        <w:spacing w:line="360" w:lineRule="auto"/>
        <w:jc w:val="left"/>
        <w:rPr>
          <w:sz w:val="24"/>
        </w:rPr>
      </w:pPr>
    </w:p>
    <w:p w14:paraId="49C7EB63" w14:textId="2F70ECCB" w:rsidR="007C7CF9" w:rsidRPr="00353216" w:rsidRDefault="007C7CF9" w:rsidP="0035321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备注：</w:t>
      </w:r>
      <w:r w:rsidR="00E54A29">
        <w:rPr>
          <w:rFonts w:hint="eastAsia"/>
          <w:sz w:val="24"/>
        </w:rPr>
        <w:t>女儿墙</w:t>
      </w:r>
      <w:r>
        <w:rPr>
          <w:rFonts w:hint="eastAsia"/>
          <w:sz w:val="24"/>
        </w:rPr>
        <w:t>防水</w:t>
      </w:r>
      <w:r w:rsidR="00E54A29">
        <w:rPr>
          <w:rFonts w:hint="eastAsia"/>
          <w:sz w:val="24"/>
        </w:rPr>
        <w:t>层</w:t>
      </w:r>
      <w:r>
        <w:rPr>
          <w:rFonts w:hint="eastAsia"/>
          <w:sz w:val="24"/>
        </w:rPr>
        <w:t>施工图中涉及屋面变形缝</w:t>
      </w:r>
      <w:r w:rsidR="00E54A29">
        <w:rPr>
          <w:rFonts w:hint="eastAsia"/>
          <w:sz w:val="24"/>
        </w:rPr>
        <w:t>，</w:t>
      </w:r>
      <w:r>
        <w:rPr>
          <w:rFonts w:hint="eastAsia"/>
          <w:sz w:val="24"/>
        </w:rPr>
        <w:t>落水口（直立式、横式）的施工详图详见图纸大样。</w:t>
      </w:r>
    </w:p>
    <w:sectPr w:rsidR="007C7CF9" w:rsidRPr="00353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40EC93"/>
    <w:multiLevelType w:val="singleLevel"/>
    <w:tmpl w:val="AD40EC9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B54472D8"/>
    <w:multiLevelType w:val="singleLevel"/>
    <w:tmpl w:val="B54472D8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EC53F1A"/>
    <w:multiLevelType w:val="singleLevel"/>
    <w:tmpl w:val="3EC53F1A"/>
    <w:lvl w:ilvl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3" w15:restartNumberingAfterBreak="0">
    <w:nsid w:val="6F99C4DE"/>
    <w:multiLevelType w:val="singleLevel"/>
    <w:tmpl w:val="6F99C4DE"/>
    <w:lvl w:ilvl="0">
      <w:start w:val="5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F9"/>
    <w:rsid w:val="00353216"/>
    <w:rsid w:val="004D5608"/>
    <w:rsid w:val="007C7CF9"/>
    <w:rsid w:val="00C167AC"/>
    <w:rsid w:val="00E5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AAB8D"/>
  <w15:chartTrackingRefBased/>
  <w15:docId w15:val="{77FE8832-70C5-4C47-BC3F-1CBF461E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C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Lynn</cp:lastModifiedBy>
  <cp:revision>1</cp:revision>
  <dcterms:created xsi:type="dcterms:W3CDTF">2023-12-08T08:20:00Z</dcterms:created>
  <dcterms:modified xsi:type="dcterms:W3CDTF">2023-12-08T10:56:00Z</dcterms:modified>
</cp:coreProperties>
</file>