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420"/>
        </w:tabs>
        <w:kinsoku/>
        <w:overflowPunct/>
        <w:bidi w:val="0"/>
        <w:spacing w:line="560" w:lineRule="exact"/>
        <w:jc w:val="center"/>
        <w:rPr>
          <w:rFonts w:hint="default" w:ascii="Times New Roman" w:hAnsi="Times New Roman" w:eastAsia="方正小标宋_GBK" w:cs="Times New Roman"/>
          <w:color w:val="auto"/>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52"/>
          <w:szCs w:val="52"/>
        </w:rPr>
      </w:pPr>
      <w:r>
        <w:rPr>
          <w:rFonts w:hint="default" w:ascii="Times New Roman" w:hAnsi="Times New Roman" w:eastAsia="方正小标宋_GBK" w:cs="Times New Roman"/>
          <w:color w:val="auto"/>
          <w:sz w:val="52"/>
          <w:szCs w:val="52"/>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color w:val="auto"/>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u w:val="single"/>
          <w:lang w:val="en-US" w:eastAsia="zh-CN"/>
        </w:rPr>
        <w:t>航站区</w:t>
      </w:r>
      <w:r>
        <w:rPr>
          <w:rFonts w:hint="default" w:ascii="Times New Roman" w:hAnsi="Times New Roman" w:eastAsia="方正小标宋_GBK" w:cs="Times New Roman"/>
          <w:color w:val="auto"/>
          <w:sz w:val="44"/>
          <w:szCs w:val="44"/>
          <w:u w:val="single"/>
        </w:rPr>
        <w:t>消防安全评估和消防系统年度检测项目</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r>
        <w:rPr>
          <w:rFonts w:hint="default" w:ascii="Times New Roman" w:hAnsi="Times New Roman" w:eastAsia="方正小标宋_GBK" w:cs="Times New Roman"/>
          <w:color w:val="auto"/>
          <w:sz w:val="44"/>
          <w:szCs w:val="44"/>
        </w:rPr>
        <w:t>比选文件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u w:val="single"/>
          <w:lang w:val="en-US" w:eastAsia="zh-CN"/>
        </w:rPr>
      </w:pPr>
      <w:r>
        <w:rPr>
          <w:rFonts w:hint="default" w:ascii="Times New Roman" w:hAnsi="Times New Roman" w:eastAsia="方正小标宋_GBK" w:cs="Times New Roman"/>
          <w:color w:val="auto"/>
          <w:sz w:val="32"/>
        </w:rPr>
        <w:t>编号：</w:t>
      </w:r>
      <w:r>
        <w:rPr>
          <w:rFonts w:hint="eastAsia" w:ascii="Times New Roman" w:hAnsi="Times New Roman" w:eastAsia="方正小标宋_GBK" w:cs="Times New Roman"/>
          <w:color w:val="auto"/>
          <w:sz w:val="32"/>
          <w:lang w:val="en-US" w:eastAsia="zh-CN"/>
        </w:rPr>
        <w:t>BX-2023-011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b/>
          <w:color w:val="auto"/>
          <w:sz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重庆江北国际机场有限公司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lang w:val="en-US" w:eastAsia="zh-CN"/>
        </w:rPr>
        <w:t>航站区</w:t>
      </w:r>
      <w:r>
        <w:rPr>
          <w:rFonts w:hint="default" w:ascii="Times New Roman" w:hAnsi="Times New Roman" w:eastAsia="方正小标宋_GBK" w:cs="Times New Roman"/>
          <w:color w:val="auto"/>
          <w:sz w:val="32"/>
          <w:szCs w:val="32"/>
        </w:rPr>
        <w:t>管理部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小标宋_GBK"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_GBK" w:cs="Times New Roman"/>
          <w:color w:val="auto"/>
          <w:sz w:val="32"/>
          <w:szCs w:val="32"/>
        </w:rPr>
        <w:sectPr>
          <w:pgSz w:w="11906" w:h="16838"/>
          <w:pgMar w:top="1701" w:right="1219" w:bottom="1701" w:left="1219" w:header="851" w:footer="992" w:gutter="0"/>
          <w:cols w:space="425" w:num="1"/>
          <w:docGrid w:type="lines" w:linePitch="312" w:charSpace="0"/>
        </w:sectPr>
      </w:pPr>
      <w:r>
        <w:rPr>
          <w:rFonts w:hint="default" w:ascii="Times New Roman" w:hAnsi="Times New Roman" w:eastAsia="方正小标宋_GBK" w:cs="Times New Roman"/>
          <w:color w:val="auto"/>
          <w:sz w:val="32"/>
          <w:szCs w:val="32"/>
        </w:rPr>
        <w:t>二〇二</w:t>
      </w:r>
      <w:r>
        <w:rPr>
          <w:rFonts w:hint="default" w:ascii="Times New Roman" w:hAnsi="Times New Roman" w:eastAsia="方正小标宋_GBK" w:cs="Times New Roman"/>
          <w:color w:val="auto"/>
          <w:sz w:val="32"/>
          <w:szCs w:val="32"/>
          <w:lang w:val="en-US" w:eastAsia="zh-CN"/>
        </w:rPr>
        <w:t>三</w:t>
      </w:r>
      <w:r>
        <w:rPr>
          <w:rFonts w:hint="default" w:ascii="Times New Roman" w:hAnsi="Times New Roman" w:eastAsia="方正小标宋_GBK" w:cs="Times New Roman"/>
          <w:color w:val="auto"/>
          <w:sz w:val="32"/>
          <w:szCs w:val="32"/>
        </w:rPr>
        <w:t>年</w:t>
      </w:r>
      <w:r>
        <w:rPr>
          <w:rFonts w:hint="eastAsia" w:ascii="Times New Roman" w:hAnsi="Times New Roman" w:eastAsia="方正小标宋_GBK" w:cs="Times New Roman"/>
          <w:color w:val="auto"/>
          <w:sz w:val="32"/>
          <w:szCs w:val="32"/>
          <w:lang w:eastAsia="zh-CN"/>
        </w:rPr>
        <w:t>八</w:t>
      </w:r>
      <w:r>
        <w:rPr>
          <w:rFonts w:hint="default" w:ascii="Times New Roman" w:hAnsi="Times New Roman" w:eastAsia="方正小标宋_GBK" w:cs="Times New Roman"/>
          <w:color w:val="auto"/>
          <w:sz w:val="32"/>
          <w:szCs w:val="32"/>
        </w:rPr>
        <w:t>月</w:t>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第一章  比选要求</w:t>
      </w:r>
    </w:p>
    <w:p>
      <w:pPr>
        <w:pageBreakBefore w:val="0"/>
        <w:kinsoku/>
        <w:overflowPunct/>
        <w:bidi w:val="0"/>
        <w:spacing w:line="560" w:lineRule="exact"/>
        <w:rPr>
          <w:rFonts w:hint="default" w:ascii="Times New Roman" w:hAnsi="Times New Roman" w:eastAsia="方正小标宋_GBK" w:cs="Times New Roman"/>
          <w:bCs/>
          <w:color w:val="auto"/>
          <w:sz w:val="28"/>
          <w:szCs w:val="28"/>
        </w:rPr>
      </w:pP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重庆江北国际机场有限公司决定于近期对</w:t>
      </w:r>
      <w:r>
        <w:rPr>
          <w:rFonts w:hint="default" w:ascii="Times New Roman" w:hAnsi="Times New Roman" w:eastAsia="仿宋" w:cs="Times New Roman"/>
          <w:b w:val="0"/>
          <w:bCs/>
          <w:color w:val="auto"/>
          <w:sz w:val="28"/>
          <w:szCs w:val="28"/>
          <w:u w:val="single"/>
          <w:lang w:val="en-US" w:eastAsia="zh-CN"/>
        </w:rPr>
        <w:t>航站区</w:t>
      </w:r>
      <w:r>
        <w:rPr>
          <w:rFonts w:hint="default" w:ascii="Times New Roman" w:hAnsi="Times New Roman" w:eastAsia="仿宋" w:cs="Times New Roman"/>
          <w:b w:val="0"/>
          <w:bCs/>
          <w:color w:val="auto"/>
          <w:sz w:val="28"/>
          <w:szCs w:val="28"/>
          <w:u w:val="single"/>
        </w:rPr>
        <w:t>消防安全评估和消防系统年度检测项目</w:t>
      </w:r>
      <w:r>
        <w:rPr>
          <w:rFonts w:hint="default" w:ascii="Times New Roman" w:hAnsi="Times New Roman" w:eastAsia="仿宋" w:cs="Times New Roman"/>
          <w:b w:val="0"/>
          <w:bCs/>
          <w:color w:val="auto"/>
          <w:sz w:val="28"/>
          <w:szCs w:val="28"/>
        </w:rPr>
        <w:t>实施采购，邀请符合相应条件的供应商就本项目进行比选。</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一、项目内容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1.1 项目名称：</w:t>
      </w:r>
      <w:r>
        <w:rPr>
          <w:rFonts w:hint="default" w:ascii="Times New Roman" w:hAnsi="Times New Roman" w:eastAsia="仿宋" w:cs="Times New Roman"/>
          <w:b w:val="0"/>
          <w:bCs/>
          <w:color w:val="auto"/>
          <w:sz w:val="28"/>
          <w:szCs w:val="28"/>
          <w:lang w:val="en-US" w:eastAsia="zh-CN"/>
        </w:rPr>
        <w:t>航站区</w:t>
      </w:r>
      <w:r>
        <w:rPr>
          <w:rFonts w:hint="default" w:ascii="Times New Roman" w:hAnsi="Times New Roman" w:eastAsia="仿宋" w:cs="Times New Roman"/>
          <w:b w:val="0"/>
          <w:bCs/>
          <w:color w:val="auto"/>
          <w:sz w:val="28"/>
          <w:szCs w:val="28"/>
        </w:rPr>
        <w:t>消防安全评估和消防系统年度检测项目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 项目区域：</w:t>
      </w:r>
      <w:r>
        <w:rPr>
          <w:rFonts w:hint="default" w:ascii="Times New Roman" w:hAnsi="Times New Roman" w:eastAsia="仿宋" w:cs="Times New Roman"/>
          <w:b w:val="0"/>
          <w:bCs/>
          <w:color w:val="auto"/>
          <w:sz w:val="28"/>
          <w:szCs w:val="28"/>
          <w:lang w:val="en-US" w:eastAsia="zh-CN"/>
        </w:rPr>
        <w:t>详</w:t>
      </w:r>
      <w:r>
        <w:rPr>
          <w:rFonts w:hint="default" w:ascii="Times New Roman" w:hAnsi="Times New Roman" w:eastAsia="仿宋" w:cs="Times New Roman"/>
          <w:b w:val="0"/>
          <w:bCs/>
          <w:color w:val="auto"/>
          <w:sz w:val="28"/>
          <w:szCs w:val="28"/>
        </w:rPr>
        <w:t>见下表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345"/>
        <w:gridCol w:w="2394"/>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1"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序号</w:t>
            </w:r>
          </w:p>
        </w:tc>
        <w:tc>
          <w:tcPr>
            <w:tcW w:w="3345"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建（构）筑名称</w:t>
            </w:r>
          </w:p>
        </w:tc>
        <w:tc>
          <w:tcPr>
            <w:tcW w:w="2394"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建筑面积（万平方米）</w:t>
            </w:r>
          </w:p>
        </w:tc>
        <w:tc>
          <w:tcPr>
            <w:tcW w:w="2535"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restart"/>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综合服务</w:t>
            </w:r>
            <w:r>
              <w:rPr>
                <w:rFonts w:hint="default" w:ascii="Times New Roman" w:hAnsi="Times New Roman" w:eastAsia="仿宋" w:cs="Times New Roman"/>
                <w:color w:val="auto"/>
                <w:sz w:val="24"/>
                <w:lang w:val="en-US" w:eastAsia="zh-CN"/>
              </w:rPr>
              <w:t>中心</w:t>
            </w:r>
          </w:p>
        </w:tc>
        <w:tc>
          <w:tcPr>
            <w:tcW w:w="2394" w:type="dxa"/>
            <w:vMerge w:val="restart"/>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w:t>
            </w:r>
          </w:p>
        </w:tc>
        <w:tc>
          <w:tcPr>
            <w:tcW w:w="2535" w:type="dxa"/>
            <w:vMerge w:val="restart"/>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continue"/>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T2航站楼</w:t>
            </w:r>
          </w:p>
        </w:tc>
        <w:tc>
          <w:tcPr>
            <w:tcW w:w="2394" w:type="dxa"/>
            <w:vMerge w:val="continue"/>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c>
          <w:tcPr>
            <w:tcW w:w="2535" w:type="dxa"/>
            <w:vMerge w:val="continue"/>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T3A航站楼</w:t>
            </w:r>
          </w:p>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（含APM通道及服务车道）</w:t>
            </w:r>
          </w:p>
        </w:tc>
        <w:tc>
          <w:tcPr>
            <w:tcW w:w="2394"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53.63</w:t>
            </w:r>
          </w:p>
        </w:tc>
        <w:tc>
          <w:tcPr>
            <w:tcW w:w="253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含对</w:t>
            </w:r>
            <w:r>
              <w:rPr>
                <w:rFonts w:hint="default" w:ascii="Times New Roman" w:hAnsi="Times New Roman" w:eastAsia="仿宋" w:cs="Times New Roman"/>
                <w:color w:val="auto"/>
                <w:sz w:val="24"/>
              </w:rPr>
              <w:t>L5层出具消防</w:t>
            </w:r>
          </w:p>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安全评估专篇报告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w:t>
            </w: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综合交通枢纽</w:t>
            </w:r>
          </w:p>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（含延伸区、客运站站场）</w:t>
            </w:r>
          </w:p>
        </w:tc>
        <w:tc>
          <w:tcPr>
            <w:tcW w:w="2394"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w:t>
            </w:r>
          </w:p>
        </w:tc>
        <w:tc>
          <w:tcPr>
            <w:tcW w:w="253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r>
    </w:tbl>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二、项目要求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2.1 对所列建筑的消防安全状态进行评估，出具具有法律效力的检测报告和评估报告（一式两份）。</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2.2 对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的检测任务全部委托给服务商检测</w:t>
      </w:r>
      <w:r>
        <w:rPr>
          <w:rFonts w:hint="default"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服务商按照国家和地方相关技术标准规定的工艺、流程等要求进行检测</w:t>
      </w:r>
      <w:r>
        <w:rPr>
          <w:rFonts w:hint="default"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出具具有法律效力的检测报告和评估报告（一式两份）。</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三、资质要求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 xml:space="preserve">3.1 </w:t>
      </w:r>
      <w:r>
        <w:rPr>
          <w:rFonts w:hint="eastAsia" w:ascii="Times New Roman" w:hAnsi="Times New Roman" w:eastAsia="仿宋" w:cs="Times New Roman"/>
          <w:b w:val="0"/>
          <w:bCs/>
          <w:color w:val="auto"/>
          <w:sz w:val="28"/>
          <w:szCs w:val="28"/>
          <w:lang w:val="en-US" w:eastAsia="zh-CN"/>
        </w:rPr>
        <w:t>比选</w:t>
      </w:r>
      <w:r>
        <w:rPr>
          <w:rFonts w:hint="default" w:ascii="Times New Roman" w:hAnsi="Times New Roman" w:eastAsia="仿宋" w:cs="Times New Roman"/>
          <w:b w:val="0"/>
          <w:bCs/>
          <w:color w:val="auto"/>
          <w:sz w:val="28"/>
          <w:szCs w:val="28"/>
        </w:rPr>
        <w:t>响应人必须是中华人民共和国依法注册，具有独立法人资格，具有有效营业执照（注：提供营业执照复印件加盖鲜章）。</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rPr>
        <w:t xml:space="preserve">3.2 </w:t>
      </w:r>
      <w:r>
        <w:rPr>
          <w:rFonts w:hint="eastAsia" w:ascii="Times New Roman" w:hAnsi="Times New Roman" w:eastAsia="仿宋" w:cs="Times New Roman"/>
          <w:b w:val="0"/>
          <w:bCs/>
          <w:color w:val="auto"/>
          <w:sz w:val="28"/>
          <w:szCs w:val="28"/>
          <w:highlight w:val="none"/>
          <w:lang w:val="en-US" w:eastAsia="zh-CN"/>
        </w:rPr>
        <w:t>比选</w:t>
      </w:r>
      <w:r>
        <w:rPr>
          <w:rFonts w:hint="default" w:ascii="Times New Roman" w:hAnsi="Times New Roman" w:eastAsia="仿宋" w:cs="Times New Roman"/>
          <w:b w:val="0"/>
          <w:bCs/>
          <w:color w:val="auto"/>
          <w:sz w:val="28"/>
          <w:szCs w:val="28"/>
          <w:highlight w:val="none"/>
          <w:lang w:val="en-US" w:eastAsia="zh-CN"/>
        </w:rPr>
        <w:t>响应人应具有消防设施维护保养检测和消防安全评估资质</w:t>
      </w:r>
      <w:r>
        <w:rPr>
          <w:rFonts w:hint="eastAsia" w:ascii="Times New Roman" w:hAnsi="Times New Roman" w:eastAsia="仿宋" w:cs="Times New Roman"/>
          <w:b w:val="0"/>
          <w:bCs/>
          <w:color w:val="auto"/>
          <w:sz w:val="28"/>
          <w:szCs w:val="28"/>
          <w:highlight w:val="none"/>
          <w:lang w:val="en-US" w:eastAsia="zh-CN"/>
        </w:rPr>
        <w:t>，</w:t>
      </w:r>
      <w:r>
        <w:rPr>
          <w:rFonts w:hint="default" w:ascii="Times New Roman" w:hAnsi="Times New Roman" w:eastAsia="仿宋" w:cs="Times New Roman"/>
          <w:b w:val="0"/>
          <w:bCs/>
          <w:color w:val="auto"/>
          <w:sz w:val="28"/>
          <w:szCs w:val="28"/>
          <w:highlight w:val="none"/>
        </w:rPr>
        <w:t>单位从业人员数量和人员资格须满足《社会消防技术服务管理规定》（中华人民共和国应急管理部令第7号）相关要求</w:t>
      </w:r>
      <w:r>
        <w:rPr>
          <w:rFonts w:hint="eastAsia"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3.</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en-US" w:eastAsia="zh-CN"/>
        </w:rPr>
        <w:t>.1</w:t>
      </w:r>
      <w:r>
        <w:rPr>
          <w:rFonts w:hint="default" w:ascii="Times New Roman" w:hAnsi="Times New Roman" w:eastAsia="仿宋" w:cs="Times New Roman"/>
          <w:b w:val="0"/>
          <w:bCs/>
          <w:color w:val="auto"/>
          <w:sz w:val="28"/>
          <w:szCs w:val="28"/>
          <w:highlight w:val="none"/>
        </w:rPr>
        <w:t>注册消防工程师不少于2人，且企业技术负责人由一级注册消防工程师担任；</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3.</w:t>
      </w:r>
      <w:r>
        <w:rPr>
          <w:rFonts w:hint="eastAsia"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lang w:val="en-US" w:eastAsia="zh-CN"/>
        </w:rPr>
        <w:t>.2</w:t>
      </w:r>
      <w:r>
        <w:rPr>
          <w:rFonts w:hint="default" w:ascii="Times New Roman" w:hAnsi="Times New Roman" w:eastAsia="仿宋" w:cs="Times New Roman"/>
          <w:b w:val="0"/>
          <w:bCs/>
          <w:color w:val="auto"/>
          <w:sz w:val="28"/>
          <w:szCs w:val="28"/>
          <w:highlight w:val="none"/>
        </w:rPr>
        <w:t>取得消防设施操作员国家职业资格证书的人员不少于6人，其中中级技能等级以上的不少于2人。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注：提供单位账户登录全国</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社会消防技术服务信息系统</w:t>
      </w:r>
      <w:r>
        <w:rPr>
          <w:rFonts w:hint="eastAsia"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后相关人员的查询截图，截图</w:t>
      </w:r>
      <w:r>
        <w:rPr>
          <w:rFonts w:hint="default" w:ascii="Times New Roman" w:hAnsi="Times New Roman" w:eastAsia="仿宋" w:cs="Times New Roman"/>
          <w:b w:val="0"/>
          <w:bCs/>
          <w:color w:val="auto"/>
          <w:sz w:val="28"/>
          <w:szCs w:val="28"/>
          <w:highlight w:val="none"/>
          <w:lang w:val="en-US" w:eastAsia="zh-CN"/>
        </w:rPr>
        <w:t>应</w:t>
      </w:r>
      <w:r>
        <w:rPr>
          <w:rFonts w:hint="default" w:ascii="Times New Roman" w:hAnsi="Times New Roman" w:eastAsia="仿宋" w:cs="Times New Roman"/>
          <w:b w:val="0"/>
          <w:bCs/>
          <w:color w:val="auto"/>
          <w:sz w:val="28"/>
          <w:szCs w:val="28"/>
          <w:highlight w:val="none"/>
        </w:rPr>
        <w:t>包括单位基本情况、执业的注册消防工程师、消防设施操作员，截图须加盖单位鲜章；提供上述人员的执业（职业）资格证书复印件，复印件加盖单位鲜章；提供202</w:t>
      </w:r>
      <w:r>
        <w:rPr>
          <w:rFonts w:hint="default"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年1月至202</w:t>
      </w:r>
      <w:r>
        <w:rPr>
          <w:rFonts w:hint="default"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年6月上述人员的社会保险参保证明，参保证明要能体现自202</w:t>
      </w:r>
      <w:r>
        <w:rPr>
          <w:rFonts w:hint="default"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rPr>
        <w:t>年1月起</w:t>
      </w:r>
      <w:r>
        <w:rPr>
          <w:rFonts w:hint="default" w:ascii="Times New Roman" w:hAnsi="Times New Roman" w:eastAsia="仿宋" w:cs="Times New Roman"/>
          <w:b w:val="0"/>
          <w:bCs/>
          <w:color w:val="auto"/>
          <w:sz w:val="28"/>
          <w:szCs w:val="28"/>
          <w:highlight w:val="none"/>
          <w:lang w:val="en-US" w:eastAsia="zh-CN"/>
        </w:rPr>
        <w:t>上述</w:t>
      </w:r>
      <w:r>
        <w:rPr>
          <w:rFonts w:hint="default" w:ascii="Times New Roman" w:hAnsi="Times New Roman" w:eastAsia="仿宋" w:cs="Times New Roman"/>
          <w:b w:val="0"/>
          <w:bCs/>
          <w:color w:val="auto"/>
          <w:sz w:val="28"/>
          <w:szCs w:val="28"/>
          <w:highlight w:val="none"/>
        </w:rPr>
        <w:t>人员是本单位的正式职工。</w:t>
      </w:r>
      <w:r>
        <w:rPr>
          <w:rFonts w:hint="default" w:ascii="Times New Roman" w:hAnsi="Times New Roman" w:eastAsia="仿宋" w:cs="Times New Roman"/>
          <w:b w:val="0"/>
          <w:bCs/>
          <w:color w:val="auto"/>
          <w:sz w:val="28"/>
          <w:szCs w:val="28"/>
          <w:highlight w:val="none"/>
          <w:lang w:eastAsia="zh-CN"/>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eastAsia="zh-CN"/>
        </w:rPr>
      </w:pPr>
      <w:r>
        <w:rPr>
          <w:rFonts w:hint="default" w:ascii="Times New Roman" w:hAnsi="Times New Roman" w:eastAsia="仿宋" w:cs="Times New Roman"/>
          <w:b w:val="0"/>
          <w:bCs/>
          <w:color w:val="auto"/>
          <w:sz w:val="28"/>
          <w:szCs w:val="28"/>
        </w:rPr>
        <w:t>3.</w:t>
      </w:r>
      <w:r>
        <w:rPr>
          <w:rFonts w:hint="eastAsia" w:ascii="Times New Roman" w:hAnsi="Times New Roman" w:eastAsia="仿宋"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rPr>
        <w:t xml:space="preserve"> 业绩要求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lang w:val="en-US" w:eastAsia="zh-CN"/>
        </w:rPr>
        <w:t>3.</w:t>
      </w:r>
      <w:r>
        <w:rPr>
          <w:rFonts w:hint="eastAsia" w:ascii="Times New Roman" w:hAnsi="Times New Roman" w:eastAsia="仿宋" w:cs="Times New Roman"/>
          <w:b w:val="0"/>
          <w:bCs/>
          <w:color w:val="auto"/>
          <w:sz w:val="28"/>
          <w:szCs w:val="28"/>
          <w:lang w:val="en-US" w:eastAsia="zh-CN"/>
        </w:rPr>
        <w:t>3</w:t>
      </w:r>
      <w:r>
        <w:rPr>
          <w:rFonts w:hint="default" w:ascii="Times New Roman" w:hAnsi="Times New Roman" w:eastAsia="仿宋" w:cs="Times New Roman"/>
          <w:b w:val="0"/>
          <w:bCs/>
          <w:color w:val="auto"/>
          <w:sz w:val="28"/>
          <w:szCs w:val="28"/>
          <w:lang w:val="en-US" w:eastAsia="zh-CN"/>
        </w:rPr>
        <w:t>.1</w:t>
      </w:r>
      <w:r>
        <w:rPr>
          <w:rFonts w:hint="default" w:ascii="Times New Roman" w:hAnsi="Times New Roman" w:eastAsia="仿宋" w:cs="Times New Roman"/>
          <w:b w:val="0"/>
          <w:bCs/>
          <w:color w:val="auto"/>
          <w:sz w:val="28"/>
          <w:szCs w:val="28"/>
          <w:highlight w:val="none"/>
          <w:lang w:val="en-US" w:eastAsia="zh-CN"/>
        </w:rPr>
        <w:t xml:space="preserve"> </w:t>
      </w:r>
      <w:r>
        <w:rPr>
          <w:rFonts w:hint="default" w:ascii="Times New Roman" w:hAnsi="Times New Roman" w:eastAsia="仿宋" w:cs="Times New Roman"/>
          <w:b w:val="0"/>
          <w:bCs/>
          <w:color w:val="auto"/>
          <w:sz w:val="28"/>
          <w:szCs w:val="28"/>
          <w:highlight w:val="none"/>
        </w:rPr>
        <w:t>20</w:t>
      </w:r>
      <w:r>
        <w:rPr>
          <w:rFonts w:hint="eastAsia" w:ascii="Times New Roman" w:hAnsi="Times New Roman" w:eastAsia="仿宋" w:cs="Times New Roman"/>
          <w:b w:val="0"/>
          <w:bCs/>
          <w:color w:val="auto"/>
          <w:sz w:val="28"/>
          <w:szCs w:val="28"/>
          <w:highlight w:val="none"/>
          <w:lang w:val="en-US" w:eastAsia="zh-CN"/>
        </w:rPr>
        <w:t>20</w:t>
      </w:r>
      <w:r>
        <w:rPr>
          <w:rFonts w:hint="default" w:ascii="Times New Roman" w:hAnsi="Times New Roman" w:eastAsia="仿宋" w:cs="Times New Roman"/>
          <w:b w:val="0"/>
          <w:bCs/>
          <w:color w:val="auto"/>
          <w:sz w:val="28"/>
          <w:szCs w:val="28"/>
          <w:highlight w:val="none"/>
        </w:rPr>
        <w:t>年1月1日至今（以合同签订时间为准）具有大型公共基础设施（指：机场航站楼、火车站、地铁、轻轨站、交通项目、大型公共医院、商场、商业楼、邮政大楼、会展中心）</w:t>
      </w:r>
      <w:r>
        <w:rPr>
          <w:rFonts w:hint="eastAsia" w:ascii="Times New Roman" w:hAnsi="Times New Roman" w:eastAsia="仿宋" w:cs="Times New Roman"/>
          <w:b w:val="0"/>
          <w:bCs/>
          <w:color w:val="auto"/>
          <w:sz w:val="28"/>
          <w:szCs w:val="28"/>
          <w:highlight w:val="none"/>
          <w:lang w:val="en-US" w:eastAsia="zh-CN"/>
        </w:rPr>
        <w:t>单体</w:t>
      </w:r>
      <w:r>
        <w:rPr>
          <w:rFonts w:hint="default" w:ascii="Times New Roman" w:hAnsi="Times New Roman" w:eastAsia="仿宋" w:cs="Times New Roman"/>
          <w:b w:val="0"/>
          <w:bCs/>
          <w:color w:val="auto"/>
          <w:sz w:val="28"/>
          <w:szCs w:val="28"/>
          <w:highlight w:val="none"/>
        </w:rPr>
        <w:t>建筑面积达5万平方米（含）以上的建筑消防设施评估的业绩至少一个。（</w:t>
      </w:r>
      <w:r>
        <w:rPr>
          <w:rFonts w:hint="default" w:ascii="Times New Roman" w:hAnsi="Times New Roman" w:eastAsia="仿宋" w:cs="Times New Roman"/>
          <w:b w:val="0"/>
          <w:bCs/>
          <w:color w:val="auto"/>
          <w:sz w:val="28"/>
          <w:szCs w:val="28"/>
          <w:highlight w:val="none"/>
          <w:lang w:val="en-US" w:eastAsia="zh-CN"/>
        </w:rPr>
        <w:t>注：</w:t>
      </w:r>
      <w:r>
        <w:rPr>
          <w:rFonts w:hint="default" w:ascii="Times New Roman" w:hAnsi="Times New Roman" w:eastAsia="仿宋" w:cs="Times New Roman"/>
          <w:b w:val="0"/>
          <w:bCs/>
          <w:color w:val="auto"/>
          <w:sz w:val="28"/>
          <w:szCs w:val="28"/>
          <w:highlight w:val="none"/>
        </w:rPr>
        <w:t>提供业绩合同</w:t>
      </w:r>
      <w:r>
        <w:rPr>
          <w:rFonts w:ascii="Times New Roman" w:hAnsi="Times New Roman" w:eastAsia="仿宋"/>
          <w:b w:val="0"/>
          <w:bCs/>
          <w:color w:val="auto"/>
          <w:sz w:val="28"/>
          <w:szCs w:val="28"/>
        </w:rPr>
        <w:t>，合同中须明确建筑类型为单体，如合同无法证明项目建筑类型为单体时</w:t>
      </w:r>
      <w:r>
        <w:rPr>
          <w:rFonts w:hint="eastAsia" w:ascii="Times New Roman" w:hAnsi="Times New Roman" w:eastAsia="仿宋"/>
          <w:b w:val="0"/>
          <w:bCs/>
          <w:color w:val="auto"/>
          <w:sz w:val="28"/>
          <w:szCs w:val="28"/>
          <w:lang w:eastAsia="zh-CN"/>
        </w:rPr>
        <w:t>，</w:t>
      </w:r>
      <w:r>
        <w:rPr>
          <w:rFonts w:ascii="Times New Roman" w:hAnsi="Times New Roman" w:eastAsia="仿宋"/>
          <w:b w:val="0"/>
          <w:bCs/>
          <w:color w:val="auto"/>
          <w:sz w:val="28"/>
          <w:szCs w:val="28"/>
        </w:rPr>
        <w:t>还需提供甲方或甲方委托物管公司开具的证明资料，并加盖投标人公章</w:t>
      </w:r>
      <w:r>
        <w:rPr>
          <w:rFonts w:hint="eastAsia" w:ascii="Times New Roman" w:hAnsi="Times New Roman" w:eastAsia="仿宋"/>
          <w:b w:val="0"/>
          <w:bCs/>
          <w:color w:val="auto"/>
          <w:sz w:val="28"/>
          <w:szCs w:val="28"/>
          <w:lang w:eastAsia="zh-CN"/>
        </w:rPr>
        <w:t>；</w:t>
      </w:r>
      <w:r>
        <w:rPr>
          <w:rFonts w:hint="eastAsia" w:ascii="Times New Roman" w:hAnsi="Times New Roman" w:eastAsia="仿宋"/>
          <w:b w:val="0"/>
          <w:bCs/>
          <w:color w:val="auto"/>
          <w:sz w:val="28"/>
          <w:szCs w:val="28"/>
          <w:lang w:val="en-US" w:eastAsia="zh-CN"/>
        </w:rPr>
        <w:t>业绩合同原件备查。</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3.</w:t>
      </w:r>
      <w:r>
        <w:rPr>
          <w:rFonts w:hint="eastAsia" w:ascii="Times New Roman" w:hAnsi="Times New Roman" w:eastAsia="仿宋" w:cs="Times New Roman"/>
          <w:b w:val="0"/>
          <w:bCs/>
          <w:color w:val="auto"/>
          <w:sz w:val="28"/>
          <w:szCs w:val="28"/>
          <w:highlight w:val="none"/>
          <w:lang w:val="en-US" w:eastAsia="zh-CN"/>
        </w:rPr>
        <w:t>3</w:t>
      </w:r>
      <w:r>
        <w:rPr>
          <w:rFonts w:hint="default" w:ascii="Times New Roman" w:hAnsi="Times New Roman" w:eastAsia="仿宋" w:cs="Times New Roman"/>
          <w:b w:val="0"/>
          <w:bCs/>
          <w:color w:val="auto"/>
          <w:sz w:val="28"/>
          <w:szCs w:val="28"/>
          <w:highlight w:val="none"/>
          <w:lang w:val="en-US" w:eastAsia="zh-CN"/>
        </w:rPr>
        <w:t xml:space="preserve">.2 </w:t>
      </w:r>
      <w:r>
        <w:rPr>
          <w:rFonts w:hint="default" w:ascii="Times New Roman" w:hAnsi="Times New Roman" w:eastAsia="仿宋" w:cs="Times New Roman"/>
          <w:b w:val="0"/>
          <w:bCs/>
          <w:color w:val="auto"/>
          <w:sz w:val="28"/>
          <w:szCs w:val="28"/>
          <w:highlight w:val="none"/>
        </w:rPr>
        <w:t>20</w:t>
      </w:r>
      <w:r>
        <w:rPr>
          <w:rFonts w:hint="eastAsia" w:ascii="Times New Roman" w:hAnsi="Times New Roman" w:eastAsia="仿宋" w:cs="Times New Roman"/>
          <w:b w:val="0"/>
          <w:bCs/>
          <w:color w:val="auto"/>
          <w:sz w:val="28"/>
          <w:szCs w:val="28"/>
          <w:highlight w:val="none"/>
          <w:lang w:val="en-US" w:eastAsia="zh-CN"/>
        </w:rPr>
        <w:t>20</w:t>
      </w:r>
      <w:r>
        <w:rPr>
          <w:rFonts w:hint="default" w:ascii="Times New Roman" w:hAnsi="Times New Roman" w:eastAsia="仿宋" w:cs="Times New Roman"/>
          <w:b w:val="0"/>
          <w:bCs/>
          <w:color w:val="auto"/>
          <w:sz w:val="28"/>
          <w:szCs w:val="28"/>
          <w:highlight w:val="none"/>
        </w:rPr>
        <w:t>年1月1日至今（以合同签订时间为</w:t>
      </w:r>
      <w:r>
        <w:rPr>
          <w:rFonts w:hint="default" w:ascii="Times New Roman" w:hAnsi="Times New Roman" w:eastAsia="仿宋" w:cs="Times New Roman"/>
          <w:b w:val="0"/>
          <w:bCs/>
          <w:color w:val="auto"/>
          <w:sz w:val="28"/>
          <w:szCs w:val="28"/>
        </w:rPr>
        <w:t>准）具有大型公共基础设施（指：机场航站楼、火车站、地铁、轻轨站、交通项目、大型公共医院、商场、商业楼、邮政大楼、会展中心</w:t>
      </w:r>
      <w:r>
        <w:rPr>
          <w:rFonts w:hint="default" w:ascii="Times New Roman" w:hAnsi="Times New Roman" w:eastAsia="仿宋" w:cs="Times New Roman"/>
          <w:b w:val="0"/>
          <w:bCs/>
          <w:color w:val="auto"/>
          <w:sz w:val="28"/>
          <w:szCs w:val="28"/>
          <w:lang w:eastAsia="zh-CN"/>
        </w:rPr>
        <w:t>）</w:t>
      </w:r>
      <w:r>
        <w:rPr>
          <w:rFonts w:hint="default" w:ascii="Times New Roman" w:hAnsi="Times New Roman" w:eastAsia="仿宋" w:cs="Times New Roman"/>
          <w:b w:val="0"/>
          <w:bCs/>
          <w:color w:val="auto"/>
          <w:sz w:val="28"/>
          <w:szCs w:val="28"/>
        </w:rPr>
        <w:t>建筑面积达10万平方米（含）以上的建筑消防设施检测的业绩至少一个。（</w:t>
      </w:r>
      <w:r>
        <w:rPr>
          <w:rFonts w:hint="default" w:ascii="Times New Roman" w:hAnsi="Times New Roman" w:eastAsia="仿宋" w:cs="Times New Roman"/>
          <w:b w:val="0"/>
          <w:bCs/>
          <w:color w:val="auto"/>
          <w:sz w:val="28"/>
          <w:szCs w:val="28"/>
          <w:highlight w:val="none"/>
        </w:rPr>
        <w:t>提供业绩合同</w:t>
      </w:r>
      <w:r>
        <w:rPr>
          <w:rFonts w:ascii="Times New Roman" w:hAnsi="Times New Roman" w:eastAsia="仿宋"/>
          <w:b w:val="0"/>
          <w:bCs/>
          <w:color w:val="auto"/>
          <w:sz w:val="28"/>
          <w:szCs w:val="28"/>
        </w:rPr>
        <w:t>，合同中须明确建筑类型为单体，如合同无法证明项目建筑类型为单体时</w:t>
      </w:r>
      <w:r>
        <w:rPr>
          <w:rFonts w:hint="eastAsia" w:ascii="Times New Roman" w:hAnsi="Times New Roman" w:eastAsia="仿宋"/>
          <w:b w:val="0"/>
          <w:bCs/>
          <w:color w:val="auto"/>
          <w:sz w:val="28"/>
          <w:szCs w:val="28"/>
          <w:lang w:eastAsia="zh-CN"/>
        </w:rPr>
        <w:t>，</w:t>
      </w:r>
      <w:r>
        <w:rPr>
          <w:rFonts w:ascii="Times New Roman" w:hAnsi="Times New Roman" w:eastAsia="仿宋"/>
          <w:b w:val="0"/>
          <w:bCs/>
          <w:color w:val="auto"/>
          <w:sz w:val="28"/>
          <w:szCs w:val="28"/>
        </w:rPr>
        <w:t>还需提供甲方或甲方委托物管公司开具的证明资料，并加盖投标人公章</w:t>
      </w:r>
      <w:r>
        <w:rPr>
          <w:rFonts w:hint="eastAsia" w:ascii="Times New Roman" w:hAnsi="Times New Roman" w:eastAsia="仿宋"/>
          <w:b w:val="0"/>
          <w:bCs/>
          <w:color w:val="auto"/>
          <w:sz w:val="28"/>
          <w:szCs w:val="28"/>
          <w:lang w:eastAsia="zh-CN"/>
        </w:rPr>
        <w:t>；</w:t>
      </w:r>
      <w:r>
        <w:rPr>
          <w:rFonts w:hint="eastAsia" w:ascii="Times New Roman" w:hAnsi="Times New Roman" w:eastAsia="仿宋"/>
          <w:b w:val="0"/>
          <w:bCs/>
          <w:color w:val="auto"/>
          <w:sz w:val="28"/>
          <w:szCs w:val="28"/>
          <w:lang w:val="en-US" w:eastAsia="zh-CN"/>
        </w:rPr>
        <w:t>业绩合同原件备查。</w:t>
      </w:r>
      <w:r>
        <w:rPr>
          <w:rFonts w:hint="default" w:ascii="Times New Roman" w:hAnsi="Times New Roman" w:eastAsia="仿宋" w:cs="Times New Roman"/>
          <w:b w:val="0"/>
          <w:bCs/>
          <w:color w:val="auto"/>
          <w:sz w:val="28"/>
          <w:szCs w:val="28"/>
          <w:highlight w:val="none"/>
        </w:rPr>
        <w:t>）</w:t>
      </w:r>
    </w:p>
    <w:p>
      <w:pPr>
        <w:pStyle w:val="2"/>
        <w:pageBreakBefore w:val="0"/>
        <w:kinsoku/>
        <w:overflowPunct/>
        <w:bidi w:val="0"/>
        <w:spacing w:line="560" w:lineRule="exact"/>
        <w:ind w:firstLine="560" w:firstLineChars="200"/>
        <w:jc w:val="both"/>
        <w:rPr>
          <w:rFonts w:hint="default" w:ascii="Times New Roman" w:hAnsi="Times New Roman" w:cs="Times New Roman"/>
        </w:rPr>
      </w:pPr>
      <w:r>
        <w:rPr>
          <w:rFonts w:hint="default" w:ascii="Times New Roman" w:hAnsi="Times New Roman" w:eastAsia="仿宋" w:cs="Times New Roman"/>
          <w:b w:val="0"/>
          <w:bCs/>
          <w:color w:val="auto"/>
          <w:sz w:val="28"/>
          <w:szCs w:val="28"/>
        </w:rPr>
        <w:t>3.</w:t>
      </w:r>
      <w:r>
        <w:rPr>
          <w:rFonts w:hint="eastAsia" w:ascii="Times New Roman" w:hAnsi="Times New Roman" w:eastAsia="仿宋" w:cs="Times New Roman"/>
          <w:b w:val="0"/>
          <w:bCs/>
          <w:color w:val="auto"/>
          <w:sz w:val="28"/>
          <w:szCs w:val="28"/>
          <w:lang w:val="en-US" w:eastAsia="zh-CN"/>
        </w:rPr>
        <w:t>4</w:t>
      </w:r>
      <w:r>
        <w:rPr>
          <w:rFonts w:hint="default" w:ascii="Times New Roman" w:hAnsi="Times New Roman" w:eastAsia="仿宋" w:cs="Times New Roman"/>
          <w:b w:val="0"/>
          <w:bCs/>
          <w:color w:val="auto"/>
          <w:sz w:val="28"/>
          <w:szCs w:val="28"/>
        </w:rPr>
        <w:t xml:space="preserve"> 正在为本项目涉及建（构）筑物消防设施提供维护保养服务的单位不得参与比选。</w:t>
      </w:r>
    </w:p>
    <w:p>
      <w:pPr>
        <w:pageBreakBefore w:val="0"/>
        <w:kinsoku/>
        <w:overflowPunct/>
        <w:bidi w:val="0"/>
        <w:spacing w:line="56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val="en-US" w:eastAsia="zh-CN"/>
        </w:rPr>
        <w:t xml:space="preserve"> 比选响应人未被“中国执行信息公开网”网站（zxgk.court.gov.cn）列为失信被执行人，未被“信用中国”网站（www.creditchina.gov.cn）列入严重失信主体名单。在响应文件资格审查资料中提供相关查询截图并加盖比选响应人公章。</w:t>
      </w:r>
    </w:p>
    <w:p>
      <w:pPr>
        <w:pageBreakBefore w:val="0"/>
        <w:kinsoku/>
        <w:overflowPunct/>
        <w:bidi w:val="0"/>
        <w:spacing w:line="560" w:lineRule="exact"/>
        <w:ind w:firstLine="560" w:firstLineChars="20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法定代表人为同一个人的两个及两个以上法人，母公司、全资子公司及其控股公司，以及其他形式有管理关系的响应人，都不得参与同一比选项目。</w:t>
      </w:r>
    </w:p>
    <w:p>
      <w:pPr>
        <w:pageBreakBefore w:val="0"/>
        <w:widowControl/>
        <w:kinsoku/>
        <w:overflowPunct/>
        <w:bidi w:val="0"/>
        <w:spacing w:line="560" w:lineRule="exact"/>
        <w:ind w:firstLine="560" w:firstLineChars="200"/>
        <w:jc w:val="left"/>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3.</w:t>
      </w:r>
      <w:r>
        <w:rPr>
          <w:rFonts w:hint="eastAsia" w:ascii="Times New Roman" w:hAnsi="Times New Roman" w:eastAsia="仿宋" w:cs="Times New Roman"/>
          <w:b w:val="0"/>
          <w:bCs w:val="0"/>
          <w:kern w:val="2"/>
          <w:sz w:val="28"/>
          <w:szCs w:val="28"/>
          <w:lang w:val="en-US" w:eastAsia="zh-CN" w:bidi="ar-SA"/>
        </w:rPr>
        <w:t>7</w:t>
      </w:r>
      <w:r>
        <w:rPr>
          <w:rFonts w:hint="default" w:ascii="Times New Roman" w:hAnsi="Times New Roman" w:eastAsia="仿宋" w:cs="Times New Roman"/>
          <w:b w:val="0"/>
          <w:bCs w:val="0"/>
          <w:kern w:val="2"/>
          <w:sz w:val="28"/>
          <w:szCs w:val="28"/>
          <w:lang w:val="en-US" w:eastAsia="zh-CN" w:bidi="ar-SA"/>
        </w:rPr>
        <w:t xml:space="preserve"> 本项目不接受联合体投标，不得转包、分包。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四、比选时间及地点安排</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4.1 文件发布的时间</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比选文件及相关资料于202</w:t>
      </w:r>
      <w:r>
        <w:rPr>
          <w:rFonts w:hint="eastAsia" w:ascii="Times New Roman" w:hAnsi="Times New Roman" w:eastAsia="仿宋" w:cs="Times New Roman"/>
          <w:b w:val="0"/>
          <w:bCs w:val="0"/>
          <w:color w:val="auto"/>
          <w:sz w:val="28"/>
          <w:szCs w:val="28"/>
          <w:u w:val="single"/>
          <w:lang w:val="en-US" w:eastAsia="zh-CN"/>
        </w:rPr>
        <w:t>3</w:t>
      </w:r>
      <w:r>
        <w:rPr>
          <w:rFonts w:hint="default"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u w:val="single"/>
          <w:lang w:val="en-US" w:eastAsia="zh-CN"/>
        </w:rPr>
        <w:t>8</w:t>
      </w:r>
      <w:r>
        <w:rPr>
          <w:rFonts w:hint="default"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u w:val="single"/>
          <w:lang w:val="en-US" w:eastAsia="zh-CN"/>
        </w:rPr>
        <w:t>24</w:t>
      </w:r>
      <w:r>
        <w:rPr>
          <w:rFonts w:hint="default" w:ascii="Times New Roman" w:hAnsi="Times New Roman" w:eastAsia="仿宋" w:cs="Times New Roman"/>
          <w:b w:val="0"/>
          <w:bCs w:val="0"/>
          <w:color w:val="auto"/>
          <w:sz w:val="28"/>
          <w:szCs w:val="28"/>
        </w:rPr>
        <w:t>日在重庆江北机场官网（www.cqa.cn）发布。</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4.2 提出问题的截止时间及比选采购人澄清时间：</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比选响应人对比选采购文件如有疑问，须于202</w:t>
      </w:r>
      <w:r>
        <w:rPr>
          <w:rFonts w:hint="eastAsia" w:ascii="Times New Roman" w:hAnsi="Times New Roman" w:eastAsia="仿宋" w:cs="Times New Roman"/>
          <w:b w:val="0"/>
          <w:bCs w:val="0"/>
          <w:color w:val="auto"/>
          <w:sz w:val="28"/>
          <w:szCs w:val="28"/>
          <w:u w:val="single"/>
          <w:lang w:val="en-US" w:eastAsia="zh-CN"/>
        </w:rPr>
        <w:t>3</w:t>
      </w:r>
      <w:r>
        <w:rPr>
          <w:rFonts w:hint="default" w:ascii="Times New Roman" w:hAnsi="Times New Roman" w:eastAsia="仿宋" w:cs="Times New Roman"/>
          <w:b w:val="0"/>
          <w:bCs w:val="0"/>
          <w:color w:val="auto"/>
          <w:sz w:val="28"/>
          <w:szCs w:val="28"/>
        </w:rPr>
        <w:t>年</w:t>
      </w:r>
      <w:r>
        <w:rPr>
          <w:rFonts w:hint="eastAsia" w:ascii="Times New Roman" w:hAnsi="Times New Roman" w:eastAsia="仿宋" w:cs="Times New Roman"/>
          <w:b w:val="0"/>
          <w:bCs w:val="0"/>
          <w:color w:val="auto"/>
          <w:sz w:val="28"/>
          <w:szCs w:val="28"/>
          <w:u w:val="single"/>
          <w:lang w:val="en-US" w:eastAsia="zh-CN"/>
        </w:rPr>
        <w:t>8</w:t>
      </w:r>
      <w:r>
        <w:rPr>
          <w:rFonts w:hint="default" w:ascii="Times New Roman" w:hAnsi="Times New Roman" w:eastAsia="仿宋" w:cs="Times New Roman"/>
          <w:b w:val="0"/>
          <w:bCs w:val="0"/>
          <w:color w:val="auto"/>
          <w:sz w:val="28"/>
          <w:szCs w:val="28"/>
        </w:rPr>
        <w:t>月</w:t>
      </w:r>
      <w:r>
        <w:rPr>
          <w:rFonts w:hint="eastAsia" w:ascii="Times New Roman" w:hAnsi="Times New Roman" w:eastAsia="仿宋" w:cs="Times New Roman"/>
          <w:b w:val="0"/>
          <w:bCs w:val="0"/>
          <w:color w:val="auto"/>
          <w:sz w:val="28"/>
          <w:szCs w:val="28"/>
          <w:u w:val="single"/>
          <w:lang w:val="en-US" w:eastAsia="zh-CN"/>
        </w:rPr>
        <w:t>29</w:t>
      </w:r>
      <w:r>
        <w:rPr>
          <w:rFonts w:hint="default" w:ascii="Times New Roman" w:hAnsi="Times New Roman" w:eastAsia="仿宋" w:cs="Times New Roman"/>
          <w:b w:val="0"/>
          <w:bCs w:val="0"/>
          <w:color w:val="auto"/>
          <w:sz w:val="28"/>
          <w:szCs w:val="28"/>
        </w:rPr>
        <w:t>日</w:t>
      </w:r>
      <w:r>
        <w:rPr>
          <w:rFonts w:hint="eastAsia" w:ascii="Times New Roman" w:hAnsi="Times New Roman" w:eastAsia="仿宋" w:cs="Times New Roman"/>
          <w:b w:val="0"/>
          <w:bCs w:val="0"/>
          <w:color w:val="auto"/>
          <w:sz w:val="28"/>
          <w:szCs w:val="28"/>
          <w:u w:val="single"/>
          <w:lang w:val="en-US" w:eastAsia="zh-CN"/>
        </w:rPr>
        <w:t>16</w:t>
      </w:r>
      <w:r>
        <w:rPr>
          <w:rFonts w:hint="default" w:ascii="Times New Roman" w:hAnsi="Times New Roman" w:eastAsia="仿宋" w:cs="Times New Roman"/>
          <w:b w:val="0"/>
          <w:bCs w:val="0"/>
          <w:color w:val="auto"/>
          <w:sz w:val="28"/>
          <w:szCs w:val="28"/>
        </w:rPr>
        <w:t>时前将疑问（需盖单位鲜章）以电子邮件形式发至比选采购人电子邮箱</w:t>
      </w:r>
      <w:r>
        <w:rPr>
          <w:rFonts w:hint="eastAsia" w:ascii="Times New Roman" w:hAnsi="Times New Roman" w:eastAsia="仿宋" w:cs="Times New Roman"/>
          <w:b w:val="0"/>
          <w:bCs w:val="0"/>
          <w:color w:val="auto"/>
          <w:sz w:val="28"/>
          <w:szCs w:val="28"/>
          <w:lang w:val="en-US" w:eastAsia="zh-CN"/>
        </w:rPr>
        <w:t>huanghy01</w:t>
      </w:r>
      <w:r>
        <w:rPr>
          <w:rFonts w:hint="default" w:ascii="Times New Roman" w:hAnsi="Times New Roman" w:eastAsia="仿宋" w:cs="Times New Roman"/>
          <w:b w:val="0"/>
          <w:bCs w:val="0"/>
          <w:color w:val="auto"/>
          <w:sz w:val="28"/>
          <w:szCs w:val="28"/>
        </w:rPr>
        <w:t>@cqa.c</w:t>
      </w:r>
      <w:r>
        <w:rPr>
          <w:rFonts w:hint="eastAsia" w:ascii="Times New Roman" w:hAnsi="Times New Roman" w:eastAsia="仿宋" w:cs="Times New Roman"/>
          <w:b w:val="0"/>
          <w:bCs w:val="0"/>
          <w:color w:val="auto"/>
          <w:sz w:val="28"/>
          <w:szCs w:val="28"/>
          <w:lang w:val="en-US" w:eastAsia="zh-CN"/>
        </w:rPr>
        <w:t>n</w:t>
      </w:r>
      <w:r>
        <w:rPr>
          <w:rFonts w:hint="default" w:ascii="Times New Roman" w:hAnsi="Times New Roman" w:eastAsia="仿宋" w:cs="Times New Roman"/>
          <w:b w:val="0"/>
          <w:bCs w:val="0"/>
          <w:color w:val="auto"/>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4.3 比选时间</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4.3.1</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lang w:val="zh-CN"/>
        </w:rPr>
        <w:t>响应文件</w:t>
      </w:r>
      <w:r>
        <w:rPr>
          <w:rFonts w:hint="default" w:ascii="Times New Roman" w:hAnsi="Times New Roman" w:eastAsia="仿宋" w:cs="Times New Roman"/>
          <w:color w:val="auto"/>
          <w:kern w:val="0"/>
          <w:sz w:val="28"/>
          <w:szCs w:val="28"/>
        </w:rPr>
        <w:t>必须在</w:t>
      </w:r>
      <w:r>
        <w:rPr>
          <w:rFonts w:hint="default" w:ascii="Times New Roman" w:hAnsi="Times New Roman" w:eastAsia="仿宋" w:cs="Times New Roman"/>
          <w:color w:val="auto"/>
          <w:kern w:val="0"/>
          <w:sz w:val="28"/>
          <w:szCs w:val="28"/>
          <w:u w:val="single"/>
        </w:rPr>
        <w:t>202</w:t>
      </w:r>
      <w:r>
        <w:rPr>
          <w:rFonts w:hint="eastAsia" w:ascii="Times New Roman" w:hAnsi="Times New Roman" w:eastAsia="仿宋" w:cs="Times New Roman"/>
          <w:color w:val="auto"/>
          <w:kern w:val="0"/>
          <w:sz w:val="28"/>
          <w:szCs w:val="28"/>
          <w:u w:val="single"/>
          <w:lang w:val="en-US" w:eastAsia="zh-CN"/>
        </w:rPr>
        <w:t>3</w:t>
      </w:r>
      <w:r>
        <w:rPr>
          <w:rFonts w:hint="default" w:ascii="Times New Roman" w:hAnsi="Times New Roman" w:eastAsia="仿宋" w:cs="Times New Roman"/>
          <w:color w:val="auto"/>
          <w:kern w:val="0"/>
          <w:sz w:val="28"/>
          <w:szCs w:val="28"/>
          <w:u w:val="single"/>
        </w:rPr>
        <w:t>年</w:t>
      </w:r>
      <w:r>
        <w:rPr>
          <w:rFonts w:hint="eastAsia" w:ascii="Times New Roman" w:hAnsi="Times New Roman" w:eastAsia="仿宋" w:cs="Times New Roman"/>
          <w:color w:val="auto"/>
          <w:kern w:val="0"/>
          <w:sz w:val="28"/>
          <w:szCs w:val="28"/>
          <w:u w:val="single"/>
          <w:lang w:val="en-US" w:eastAsia="zh-CN"/>
        </w:rPr>
        <w:t>9</w:t>
      </w:r>
      <w:r>
        <w:rPr>
          <w:rFonts w:hint="default" w:ascii="Times New Roman" w:hAnsi="Times New Roman" w:eastAsia="仿宋" w:cs="Times New Roman"/>
          <w:color w:val="auto"/>
          <w:kern w:val="0"/>
          <w:sz w:val="28"/>
          <w:szCs w:val="28"/>
          <w:u w:val="single"/>
        </w:rPr>
        <w:t>月</w:t>
      </w:r>
      <w:r>
        <w:rPr>
          <w:rFonts w:hint="eastAsia" w:ascii="Times New Roman" w:hAnsi="Times New Roman" w:eastAsia="仿宋" w:cs="Times New Roman"/>
          <w:color w:val="auto"/>
          <w:kern w:val="0"/>
          <w:sz w:val="28"/>
          <w:szCs w:val="28"/>
          <w:u w:val="single"/>
          <w:lang w:val="en-US" w:eastAsia="zh-CN"/>
        </w:rPr>
        <w:t>4</w:t>
      </w:r>
      <w:r>
        <w:rPr>
          <w:rFonts w:hint="default" w:ascii="Times New Roman" w:hAnsi="Times New Roman" w:eastAsia="仿宋" w:cs="Times New Roman"/>
          <w:color w:val="auto"/>
          <w:kern w:val="0"/>
          <w:sz w:val="28"/>
          <w:szCs w:val="28"/>
          <w:u w:val="single"/>
        </w:rPr>
        <w:t>日</w:t>
      </w:r>
      <w:r>
        <w:rPr>
          <w:rFonts w:hint="eastAsia" w:ascii="Times New Roman" w:hAnsi="Times New Roman" w:eastAsia="仿宋" w:cs="Times New Roman"/>
          <w:color w:val="auto"/>
          <w:kern w:val="0"/>
          <w:sz w:val="28"/>
          <w:szCs w:val="28"/>
          <w:u w:val="single"/>
          <w:lang w:val="en-US" w:eastAsia="zh-CN"/>
        </w:rPr>
        <w:t>10</w:t>
      </w:r>
      <w:r>
        <w:rPr>
          <w:rFonts w:hint="default" w:ascii="Times New Roman" w:hAnsi="Times New Roman" w:eastAsia="仿宋" w:cs="Times New Roman"/>
          <w:color w:val="auto"/>
          <w:kern w:val="0"/>
          <w:sz w:val="28"/>
          <w:szCs w:val="28"/>
        </w:rPr>
        <w:t>时</w:t>
      </w:r>
      <w:r>
        <w:rPr>
          <w:rFonts w:hint="eastAsia" w:ascii="Times New Roman" w:hAnsi="Times New Roman" w:eastAsia="仿宋" w:cs="Times New Roman"/>
          <w:color w:val="auto"/>
          <w:kern w:val="0"/>
          <w:sz w:val="28"/>
          <w:szCs w:val="28"/>
          <w:lang w:eastAsia="zh-CN"/>
        </w:rPr>
        <w:t>前</w:t>
      </w:r>
      <w:bookmarkStart w:id="201" w:name="_GoBack"/>
      <w:bookmarkEnd w:id="201"/>
      <w:r>
        <w:rPr>
          <w:rFonts w:hint="default" w:ascii="Times New Roman" w:hAnsi="Times New Roman" w:eastAsia="仿宋" w:cs="Times New Roman"/>
          <w:color w:val="auto"/>
          <w:kern w:val="0"/>
          <w:sz w:val="28"/>
          <w:szCs w:val="28"/>
        </w:rPr>
        <w:t>送到重庆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，过期不予受理。</w:t>
      </w:r>
    </w:p>
    <w:p>
      <w:pPr>
        <w:pageBreakBefore w:val="0"/>
        <w:widowControl/>
        <w:kinsoku/>
        <w:overflowPunct/>
        <w:bidi w:val="0"/>
        <w:adjustRightInd w:val="0"/>
        <w:snapToGrid w:val="0"/>
        <w:spacing w:line="560" w:lineRule="exact"/>
        <w:ind w:firstLine="560" w:firstLineChars="200"/>
        <w:jc w:val="left"/>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4.3.2</w:t>
      </w: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lang w:val="en-US" w:eastAsia="zh-CN"/>
        </w:rPr>
        <w:t>202</w:t>
      </w:r>
      <w:r>
        <w:rPr>
          <w:rFonts w:hint="eastAsia" w:ascii="Times New Roman" w:hAnsi="Times New Roman" w:eastAsia="仿宋" w:cs="Times New Roman"/>
          <w:color w:val="auto"/>
          <w:sz w:val="28"/>
          <w:szCs w:val="28"/>
          <w:u w:val="single"/>
          <w:lang w:val="en-US" w:eastAsia="zh-CN"/>
        </w:rPr>
        <w:t>3</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eastAsia" w:ascii="Times New Roman" w:hAnsi="Times New Roman" w:eastAsia="仿宋" w:cs="Times New Roman"/>
          <w:color w:val="auto"/>
          <w:sz w:val="28"/>
          <w:szCs w:val="28"/>
          <w:u w:val="single"/>
          <w:lang w:val="en-US" w:eastAsia="zh-CN"/>
        </w:rPr>
        <w:t>9</w:t>
      </w:r>
      <w:r>
        <w:rPr>
          <w:rFonts w:hint="default"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u w:val="single"/>
          <w:lang w:val="en-US" w:eastAsia="zh-CN"/>
        </w:rPr>
        <w:t>4</w:t>
      </w:r>
      <w:r>
        <w:rPr>
          <w:rFonts w:hint="default" w:ascii="Times New Roman" w:hAnsi="Times New Roman" w:eastAsia="仿宋" w:cs="Times New Roman"/>
          <w:color w:val="auto"/>
          <w:sz w:val="28"/>
          <w:szCs w:val="28"/>
        </w:rPr>
        <w:t>日</w:t>
      </w:r>
      <w:r>
        <w:rPr>
          <w:rFonts w:hint="eastAsia" w:ascii="Times New Roman" w:hAnsi="Times New Roman" w:eastAsia="仿宋" w:cs="Times New Roman"/>
          <w:color w:val="auto"/>
          <w:sz w:val="28"/>
          <w:szCs w:val="28"/>
          <w:u w:val="single"/>
          <w:lang w:val="en-US" w:eastAsia="zh-CN"/>
        </w:rPr>
        <w:t>10</w:t>
      </w:r>
      <w:r>
        <w:rPr>
          <w:rFonts w:hint="default" w:ascii="Times New Roman" w:hAnsi="Times New Roman" w:eastAsia="仿宋" w:cs="Times New Roman"/>
          <w:color w:val="auto"/>
          <w:sz w:val="28"/>
          <w:szCs w:val="28"/>
        </w:rPr>
        <w:t>时在</w:t>
      </w:r>
      <w:r>
        <w:rPr>
          <w:rFonts w:hint="default" w:ascii="Times New Roman" w:hAnsi="Times New Roman" w:eastAsia="仿宋" w:cs="Times New Roman"/>
          <w:color w:val="auto"/>
          <w:kern w:val="0"/>
          <w:sz w:val="28"/>
          <w:szCs w:val="28"/>
        </w:rPr>
        <w:t>重庆</w:t>
      </w:r>
      <w:r>
        <w:rPr>
          <w:rFonts w:hint="default" w:ascii="Times New Roman" w:hAnsi="Times New Roman" w:eastAsia="仿宋" w:cs="Times New Roman"/>
          <w:color w:val="auto"/>
          <w:kern w:val="0"/>
          <w:sz w:val="28"/>
          <w:szCs w:val="28"/>
          <w:lang w:val="en-US" w:eastAsia="zh-CN"/>
        </w:rPr>
        <w:t>江北国际</w:t>
      </w:r>
      <w:r>
        <w:rPr>
          <w:rFonts w:hint="default" w:ascii="Times New Roman" w:hAnsi="Times New Roman" w:eastAsia="仿宋" w:cs="Times New Roman"/>
          <w:color w:val="auto"/>
          <w:kern w:val="0"/>
          <w:sz w:val="28"/>
          <w:szCs w:val="28"/>
        </w:rPr>
        <w:t>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sz w:val="28"/>
          <w:szCs w:val="28"/>
        </w:rPr>
        <w:t>对本项目进行</w:t>
      </w:r>
      <w:r>
        <w:rPr>
          <w:rFonts w:hint="default" w:ascii="Times New Roman" w:hAnsi="Times New Roman" w:eastAsia="仿宋" w:cs="Times New Roman"/>
          <w:color w:val="auto"/>
          <w:sz w:val="28"/>
          <w:szCs w:val="28"/>
          <w:lang w:eastAsia="zh-CN"/>
        </w:rPr>
        <w:t>比选</w:t>
      </w:r>
      <w:r>
        <w:rPr>
          <w:rFonts w:hint="default" w:ascii="Times New Roman" w:hAnsi="Times New Roman" w:eastAsia="仿宋" w:cs="Times New Roman"/>
          <w:color w:val="auto"/>
          <w:sz w:val="28"/>
          <w:szCs w:val="28"/>
        </w:rPr>
        <w:t>，各响应人须参加。</w:t>
      </w:r>
      <w:r>
        <w:rPr>
          <w:rFonts w:hint="default" w:ascii="Times New Roman" w:hAnsi="Times New Roman" w:eastAsia="仿宋" w:cs="Times New Roman"/>
          <w:color w:val="auto"/>
          <w:kern w:val="0"/>
          <w:sz w:val="28"/>
          <w:szCs w:val="28"/>
        </w:rPr>
        <w:t>注：比选开始前，各比选响应人须在</w:t>
      </w:r>
      <w:r>
        <w:rPr>
          <w:rFonts w:hint="default" w:ascii="Times New Roman" w:hAnsi="Times New Roman" w:eastAsia="仿宋" w:cs="Times New Roman"/>
          <w:color w:val="auto"/>
          <w:kern w:val="0"/>
          <w:sz w:val="28"/>
          <w:szCs w:val="28"/>
          <w:lang w:eastAsia="zh-CN"/>
        </w:rPr>
        <w:t>重庆江北国际机场</w:t>
      </w:r>
      <w:r>
        <w:rPr>
          <w:rFonts w:hint="default" w:ascii="Times New Roman" w:hAnsi="Times New Roman" w:eastAsia="仿宋" w:cs="Times New Roman"/>
          <w:color w:val="auto"/>
          <w:kern w:val="0"/>
          <w:sz w:val="28"/>
          <w:szCs w:val="28"/>
          <w:lang w:val="en-US" w:eastAsia="zh-CN"/>
        </w:rPr>
        <w:t>T3A航站楼</w:t>
      </w:r>
      <w:r>
        <w:rPr>
          <w:rFonts w:hint="default" w:ascii="Times New Roman" w:hAnsi="Times New Roman" w:eastAsia="仿宋" w:cs="Times New Roman"/>
          <w:color w:val="auto"/>
          <w:kern w:val="0"/>
          <w:sz w:val="28"/>
          <w:szCs w:val="28"/>
          <w:lang w:eastAsia="zh-CN"/>
        </w:rPr>
        <w:t>综合交通枢纽</w:t>
      </w:r>
      <w:r>
        <w:rPr>
          <w:rFonts w:hint="default" w:ascii="Times New Roman" w:hAnsi="Times New Roman" w:eastAsia="仿宋" w:cs="Times New Roman"/>
          <w:color w:val="auto"/>
          <w:kern w:val="0"/>
          <w:sz w:val="28"/>
          <w:szCs w:val="28"/>
          <w:lang w:val="en-US" w:eastAsia="zh-CN"/>
        </w:rPr>
        <w:t>3C014办公室（长途换乘中心）</w:t>
      </w:r>
      <w:r>
        <w:rPr>
          <w:rFonts w:hint="default" w:ascii="Times New Roman" w:hAnsi="Times New Roman" w:eastAsia="仿宋" w:cs="Times New Roman"/>
          <w:color w:val="auto"/>
          <w:kern w:val="0"/>
          <w:sz w:val="28"/>
          <w:szCs w:val="28"/>
        </w:rPr>
        <w:t>等候通知具体比选地点。</w:t>
      </w:r>
    </w:p>
    <w:p>
      <w:pPr>
        <w:pageBreakBefore w:val="0"/>
        <w:kinsoku/>
        <w:overflowPunct/>
        <w:autoSpaceDE w:val="0"/>
        <w:autoSpaceDN w:val="0"/>
        <w:bidi w:val="0"/>
        <w:adjustRightInd w:val="0"/>
        <w:snapToGrid w:val="0"/>
        <w:spacing w:line="560" w:lineRule="exact"/>
        <w:ind w:firstLine="560" w:firstLineChars="200"/>
        <w:textAlignment w:val="bottom"/>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4.3.3 参加比选唱价会议的比选响应人的法定代表人或其授权的代理人应当随身携带本人身份证（原件），授权的代理人还应当随身携带法定代表人授权委托书（原件），以备核验其合法身份。（注：</w:t>
      </w:r>
      <w:r>
        <w:rPr>
          <w:rFonts w:hint="default" w:ascii="Times New Roman" w:hAnsi="Times New Roman" w:eastAsia="仿宋" w:cs="Times New Roman"/>
          <w:color w:val="auto"/>
          <w:sz w:val="28"/>
          <w:szCs w:val="28"/>
        </w:rPr>
        <w:t>因公司财务要求，请各单位在缴纳比选保证金前务必登录https://zc.cqa.cn/eip/websit/index.do网站，点击网页左上方“注册”按钮，录入公司相关信息。</w:t>
      </w:r>
      <w:r>
        <w:rPr>
          <w:rFonts w:hint="default" w:ascii="Times New Roman" w:hAnsi="Times New Roman" w:eastAsia="仿宋" w:cs="Times New Roman"/>
          <w:color w:val="auto"/>
          <w:sz w:val="28"/>
          <w:szCs w:val="28"/>
          <w:lang w:val="en-US" w:eastAsia="zh-CN"/>
        </w:rPr>
        <w:t>）</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4.4 比选结果通知</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拟成交结果将公示在重庆江北机场官网，待结果确定后会及时通知，原则上只通知被选中的比选响应人，对未被选中的比选响应人不通知、不解释，响应文件不予退还。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五、报价要求</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rPr>
        <w:t>报价应</w:t>
      </w:r>
      <w:r>
        <w:rPr>
          <w:rFonts w:hint="default" w:ascii="Times New Roman" w:hAnsi="Times New Roman" w:eastAsia="仿宋" w:cs="Times New Roman"/>
          <w:b w:val="0"/>
          <w:bCs w:val="0"/>
          <w:color w:val="auto"/>
          <w:sz w:val="28"/>
          <w:szCs w:val="28"/>
          <w:lang w:val="en-US" w:eastAsia="zh-CN"/>
        </w:rPr>
        <w:t>包括：</w:t>
      </w:r>
      <w:r>
        <w:rPr>
          <w:rFonts w:hint="default" w:ascii="Times New Roman" w:hAnsi="Times New Roman" w:eastAsia="仿宋" w:cs="Times New Roman"/>
          <w:b w:val="0"/>
          <w:bCs w:val="0"/>
          <w:color w:val="auto"/>
          <w:sz w:val="28"/>
          <w:szCs w:val="28"/>
        </w:rPr>
        <w:t>消防安全评估和消防系统年度检测涉及到的人员、工器具、咨询、税金</w:t>
      </w:r>
      <w:r>
        <w:rPr>
          <w:rFonts w:hint="default" w:ascii="Times New Roman" w:hAnsi="Times New Roman" w:eastAsia="仿宋" w:cs="Times New Roman"/>
          <w:b w:val="0"/>
          <w:color w:val="auto"/>
          <w:sz w:val="28"/>
          <w:szCs w:val="28"/>
        </w:rPr>
        <w:t>等一切与项目内容相关的费用</w:t>
      </w:r>
      <w:r>
        <w:rPr>
          <w:rFonts w:hint="default" w:ascii="Times New Roman" w:hAnsi="Times New Roman" w:eastAsia="仿宋" w:cs="Times New Roman"/>
          <w:b w:val="0"/>
          <w:bCs w:val="0"/>
          <w:color w:val="auto"/>
          <w:sz w:val="28"/>
          <w:szCs w:val="28"/>
        </w:rPr>
        <w:t>，本项目为包干价，不再另行增加费用。</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本项目最高总限价为人民币</w:t>
      </w:r>
      <w:r>
        <w:rPr>
          <w:rFonts w:hint="default" w:ascii="Times New Roman" w:hAnsi="Times New Roman" w:eastAsia="仿宋" w:cs="Times New Roman"/>
          <w:b w:val="0"/>
          <w:bCs w:val="0"/>
          <w:color w:val="auto"/>
          <w:sz w:val="28"/>
          <w:szCs w:val="28"/>
          <w:highlight w:val="none"/>
          <w:u w:val="single"/>
        </w:rPr>
        <w:t>¥3</w:t>
      </w:r>
      <w:r>
        <w:rPr>
          <w:rFonts w:hint="eastAsia" w:ascii="Times New Roman" w:hAnsi="Times New Roman" w:eastAsia="仿宋" w:cs="Times New Roman"/>
          <w:b w:val="0"/>
          <w:bCs w:val="0"/>
          <w:color w:val="auto"/>
          <w:sz w:val="28"/>
          <w:szCs w:val="28"/>
          <w:highlight w:val="none"/>
          <w:u w:val="single"/>
          <w:lang w:val="en-US" w:eastAsia="zh-CN"/>
        </w:rPr>
        <w:t>16000</w:t>
      </w:r>
      <w:r>
        <w:rPr>
          <w:rFonts w:hint="default" w:ascii="Times New Roman" w:hAnsi="Times New Roman" w:eastAsia="仿宋" w:cs="Times New Roman"/>
          <w:b w:val="0"/>
          <w:bCs w:val="0"/>
          <w:color w:val="auto"/>
          <w:sz w:val="28"/>
          <w:szCs w:val="28"/>
          <w:highlight w:val="none"/>
          <w:u w:val="single"/>
        </w:rPr>
        <w:t>.00元（大写：</w:t>
      </w:r>
      <w:r>
        <w:rPr>
          <w:rFonts w:hint="eastAsia" w:ascii="Times New Roman" w:hAnsi="Times New Roman" w:eastAsia="仿宋" w:cs="Times New Roman"/>
          <w:b w:val="0"/>
          <w:bCs w:val="0"/>
          <w:color w:val="auto"/>
          <w:sz w:val="28"/>
          <w:szCs w:val="28"/>
          <w:highlight w:val="none"/>
          <w:u w:val="single"/>
          <w:lang w:val="en-US" w:eastAsia="zh-CN"/>
        </w:rPr>
        <w:t>人民币</w:t>
      </w:r>
      <w:r>
        <w:rPr>
          <w:rFonts w:hint="default" w:ascii="Times New Roman" w:hAnsi="Times New Roman" w:eastAsia="仿宋" w:cs="Times New Roman"/>
          <w:b w:val="0"/>
          <w:bCs/>
          <w:color w:val="auto"/>
          <w:sz w:val="28"/>
          <w:szCs w:val="28"/>
          <w:highlight w:val="none"/>
          <w:u w:val="single"/>
        </w:rPr>
        <w:t>叁拾壹万陆仟元整</w:t>
      </w:r>
      <w:r>
        <w:rPr>
          <w:rFonts w:hint="default" w:ascii="Times New Roman" w:hAnsi="Times New Roman" w:eastAsia="仿宋" w:cs="Times New Roman"/>
          <w:b w:val="0"/>
          <w:bCs w:val="0"/>
          <w:color w:val="auto"/>
          <w:sz w:val="28"/>
          <w:szCs w:val="28"/>
          <w:highlight w:val="none"/>
          <w:u w:val="single"/>
          <w:lang w:eastAsia="zh-CN"/>
        </w:rPr>
        <w:t>，</w:t>
      </w:r>
      <w:r>
        <w:rPr>
          <w:rFonts w:hint="default" w:ascii="Times New Roman" w:hAnsi="Times New Roman" w:eastAsia="仿宋" w:cs="Times New Roman"/>
          <w:b w:val="0"/>
          <w:bCs w:val="0"/>
          <w:color w:val="auto"/>
          <w:sz w:val="28"/>
          <w:szCs w:val="28"/>
          <w:highlight w:val="none"/>
          <w:u w:val="single"/>
          <w:lang w:val="en-US" w:eastAsia="zh-CN"/>
        </w:rPr>
        <w:t>此费用不含税</w:t>
      </w:r>
      <w:r>
        <w:rPr>
          <w:rFonts w:hint="default" w:ascii="Times New Roman" w:hAnsi="Times New Roman" w:eastAsia="仿宋" w:cs="Times New Roman"/>
          <w:b w:val="0"/>
          <w:bCs w:val="0"/>
          <w:color w:val="auto"/>
          <w:sz w:val="28"/>
          <w:szCs w:val="28"/>
          <w:highlight w:val="none"/>
          <w:u w:val="single"/>
        </w:rPr>
        <w:t>）</w:t>
      </w:r>
      <w:r>
        <w:rPr>
          <w:rFonts w:hint="default" w:ascii="Times New Roman" w:hAnsi="Times New Roman" w:eastAsia="仿宋" w:cs="Times New Roman"/>
          <w:b w:val="0"/>
          <w:bCs w:val="0"/>
          <w:color w:val="auto"/>
          <w:sz w:val="28"/>
          <w:szCs w:val="28"/>
          <w:highlight w:val="none"/>
          <w:lang w:eastAsia="zh-CN"/>
        </w:rPr>
        <w:t>，</w:t>
      </w:r>
      <w:r>
        <w:rPr>
          <w:rFonts w:hint="default" w:ascii="Times New Roman" w:hAnsi="Times New Roman" w:eastAsia="仿宋" w:cs="Times New Roman"/>
          <w:b w:val="0"/>
          <w:bCs w:val="0"/>
          <w:color w:val="auto"/>
          <w:sz w:val="28"/>
          <w:szCs w:val="28"/>
          <w:highlight w:val="none"/>
        </w:rPr>
        <w:t>报价超过限价的，将取消响应人的比选资格。</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在修正范围内的以下情形不作为比选响应文件作废的依据：</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（1）比选响应文件中的大写金额与小写金额不一致的，以大写金额为准；</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（2）数字表示的数额与用文字表示的数额不一致时，以文字数额为准；</w:t>
      </w:r>
    </w:p>
    <w:p>
      <w:pPr>
        <w:pStyle w:val="7"/>
        <w:pageBreakBefore w:val="0"/>
        <w:kinsoku/>
        <w:overflowPunct/>
        <w:bidi w:val="0"/>
        <w:spacing w:before="0" w:after="0" w:line="560" w:lineRule="exact"/>
        <w:ind w:firstLine="560" w:firstLineChars="200"/>
        <w:jc w:val="both"/>
        <w:outlineLvl w:val="9"/>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（3）总价金额与依据单价计算出的结果不一致的，以单价金额为准修正总价，但单价金额小数点有明显错误的除外。</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六、成交标准</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本次比选采用综合评估法成交（评分方法详见第三章）。</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eastAsia" w:ascii="Times New Roman" w:hAnsi="Times New Roman" w:eastAsia="仿宋" w:cs="Times New Roman"/>
          <w:b w:val="0"/>
          <w:bCs/>
          <w:color w:val="auto"/>
          <w:sz w:val="28"/>
          <w:szCs w:val="28"/>
          <w:lang w:val="en-US" w:eastAsia="zh-CN"/>
        </w:rPr>
        <w:t>如果因投标人原因造成单价与总价不一致的，按有利于招标人原则调整单价及总价，中标人必须无条件接受，否则按中标人违约处理。</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比选规则如下：</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6.1 递交比选响应文件截止时，送达的比选响应文件少于3个的，应停止比选活动，将递交的比选响应文件退还比选响应人，并重新组织比选。重新比选时仍然不足3个响应人的，可以继续进行比选。</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6.2 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6.3 项目重新比选时，经评审有有效比选响应人的，应当按规定程序确定成交候选人，无有效比选响应人的，由采购人出具书面说明告知项目单位，由项目单位另行研究。</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七、比选响应保证金及履约保证金</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 xml:space="preserve">7.1 </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响应保证金：金额为人民币</w:t>
      </w:r>
      <w:r>
        <w:rPr>
          <w:rFonts w:hint="eastAsia" w:ascii="Times New Roman" w:hAnsi="Times New Roman" w:eastAsia="仿宋" w:cs="Times New Roman"/>
          <w:color w:val="auto"/>
          <w:kern w:val="0"/>
          <w:sz w:val="28"/>
          <w:szCs w:val="28"/>
          <w:highlight w:val="none"/>
          <w:u w:val="single"/>
          <w:lang w:val="en-US" w:eastAsia="zh-CN"/>
        </w:rPr>
        <w:t>6</w:t>
      </w:r>
      <w:r>
        <w:rPr>
          <w:rFonts w:hint="default" w:ascii="Times New Roman" w:hAnsi="Times New Roman" w:eastAsia="仿宋" w:cs="Times New Roman"/>
          <w:color w:val="auto"/>
          <w:kern w:val="0"/>
          <w:sz w:val="28"/>
          <w:szCs w:val="28"/>
          <w:highlight w:val="none"/>
          <w:u w:val="single"/>
          <w:lang w:val="en-US" w:eastAsia="zh-CN"/>
        </w:rPr>
        <w:t>000.00元</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highlight w:val="none"/>
          <w:u w:val="single"/>
          <w:lang w:val="en-US" w:eastAsia="zh-CN"/>
        </w:rPr>
        <w:t>大写：人民币</w:t>
      </w:r>
      <w:r>
        <w:rPr>
          <w:rFonts w:hint="eastAsia" w:ascii="Times New Roman" w:hAnsi="Times New Roman" w:eastAsia="仿宋" w:cs="Times New Roman"/>
          <w:color w:val="auto"/>
          <w:kern w:val="0"/>
          <w:sz w:val="28"/>
          <w:szCs w:val="28"/>
          <w:highlight w:val="none"/>
          <w:u w:val="single"/>
          <w:lang w:val="en-US" w:eastAsia="zh-CN"/>
        </w:rPr>
        <w:t>陆</w:t>
      </w:r>
      <w:r>
        <w:rPr>
          <w:rFonts w:hint="default" w:ascii="Times New Roman" w:hAnsi="Times New Roman" w:eastAsia="仿宋" w:cs="Times New Roman"/>
          <w:color w:val="auto"/>
          <w:kern w:val="0"/>
          <w:sz w:val="28"/>
          <w:szCs w:val="28"/>
          <w:highlight w:val="none"/>
          <w:u w:val="single"/>
          <w:lang w:val="en-US" w:eastAsia="zh-CN"/>
        </w:rPr>
        <w:t>仟元整</w:t>
      </w:r>
      <w:r>
        <w:rPr>
          <w:rFonts w:hint="eastAsia" w:ascii="Times New Roman" w:hAnsi="Times New Roman" w:eastAsia="仿宋" w:cs="Times New Roman"/>
          <w:color w:val="auto"/>
          <w:kern w:val="0"/>
          <w:sz w:val="28"/>
          <w:szCs w:val="28"/>
          <w:highlight w:val="none"/>
          <w:u w:val="single"/>
          <w:lang w:val="en-US" w:eastAsia="zh-CN"/>
        </w:rPr>
        <w:t>）</w:t>
      </w:r>
      <w:r>
        <w:rPr>
          <w:rFonts w:hint="default" w:ascii="Times New Roman" w:hAnsi="Times New Roman" w:eastAsia="仿宋" w:cs="Times New Roman"/>
          <w:color w:val="auto"/>
          <w:kern w:val="0"/>
          <w:sz w:val="28"/>
          <w:szCs w:val="28"/>
        </w:rPr>
        <w:t>。</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u w:val="none"/>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.1.1 提交方式：由比选响应人企业基本账户银行转账，应在“付款备注”中写明本项目名称+比选响应保证金。比选响应人提交比选响应保证金后应到采购人计财部（重庆市渝北区机场西路26号重庆江北国际机场有限公司办公楼1楼）换取保证金收据，并</w:t>
      </w:r>
      <w:r>
        <w:rPr>
          <w:rFonts w:hint="default" w:ascii="Times New Roman" w:hAnsi="Times New Roman" w:eastAsia="仿宋" w:cs="Times New Roman"/>
          <w:color w:val="000000"/>
          <w:kern w:val="0"/>
          <w:sz w:val="28"/>
          <w:szCs w:val="28"/>
          <w:u w:val="none"/>
        </w:rPr>
        <w:t>在比选开始前，递交比选响应文件时应出示采购人计财部开具的项目比选响应保证金收据原件，否则，采购人将拒收比选响应文件。</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rPr>
        <w:t>开户名：重庆江北国际机场有限公司</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开户银行：中国建设银行股份有限公司重庆渝北机场支行</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highlight w:val="none"/>
        </w:rPr>
        <w:t>账号：5005</w:t>
      </w:r>
      <w:r>
        <w:rPr>
          <w:rFonts w:hint="default" w:ascii="Times New Roman" w:hAnsi="Times New Roman" w:eastAsia="仿宋" w:cs="Times New Roman"/>
          <w:color w:val="000000"/>
          <w:kern w:val="0"/>
          <w:sz w:val="28"/>
          <w:szCs w:val="28"/>
        </w:rPr>
        <w:t xml:space="preserve"> 0108 3800 0000 0060</w:t>
      </w:r>
    </w:p>
    <w:p>
      <w:pPr>
        <w:pageBreakBefore w:val="0"/>
        <w:kinsoku/>
        <w:overflowPunct/>
        <w:bidi w:val="0"/>
        <w:adjustRightInd w:val="0"/>
        <w:snapToGrid w:val="0"/>
        <w:spacing w:line="560" w:lineRule="exact"/>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.1.2 提交时间：</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开始前</w:t>
      </w:r>
    </w:p>
    <w:p>
      <w:pPr>
        <w:pageBreakBefore w:val="0"/>
        <w:kinsoku/>
        <w:overflowPunct/>
        <w:bidi w:val="0"/>
        <w:adjustRightInd w:val="0"/>
        <w:snapToGrid w:val="0"/>
        <w:spacing w:line="560" w:lineRule="exact"/>
        <w:ind w:left="1"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color w:val="000000"/>
          <w:kern w:val="0"/>
          <w:sz w:val="28"/>
          <w:szCs w:val="28"/>
          <w:lang w:val="en-US" w:eastAsia="zh-CN"/>
        </w:rPr>
        <w:t>7</w:t>
      </w:r>
      <w:r>
        <w:rPr>
          <w:rFonts w:hint="default" w:ascii="Times New Roman" w:hAnsi="Times New Roman" w:eastAsia="仿宋" w:cs="Times New Roman"/>
          <w:color w:val="000000"/>
          <w:kern w:val="0"/>
          <w:sz w:val="28"/>
          <w:szCs w:val="28"/>
        </w:rPr>
        <w:t>.1.3 项目</w:t>
      </w:r>
      <w:r>
        <w:rPr>
          <w:rFonts w:hint="default" w:ascii="Times New Roman" w:hAnsi="Times New Roman" w:eastAsia="仿宋" w:cs="Times New Roman"/>
          <w:color w:val="000000"/>
          <w:kern w:val="0"/>
          <w:sz w:val="28"/>
          <w:szCs w:val="28"/>
          <w:lang w:eastAsia="zh-CN"/>
        </w:rPr>
        <w:t>比选</w:t>
      </w:r>
      <w:r>
        <w:rPr>
          <w:rFonts w:hint="default" w:ascii="Times New Roman" w:hAnsi="Times New Roman" w:eastAsia="仿宋" w:cs="Times New Roman"/>
          <w:color w:val="000000"/>
          <w:kern w:val="0"/>
          <w:sz w:val="28"/>
          <w:szCs w:val="28"/>
        </w:rPr>
        <w:t>响应保证金的退还：成交候选人以外的项目比选响应保证金在成交结果公示期结束且无异议后，</w:t>
      </w:r>
      <w:r>
        <w:rPr>
          <w:rFonts w:hint="default" w:ascii="Times New Roman" w:hAnsi="Times New Roman" w:eastAsia="仿宋" w:cs="Times New Roman"/>
          <w:b/>
          <w:color w:val="000000"/>
          <w:kern w:val="0"/>
          <w:sz w:val="28"/>
          <w:szCs w:val="28"/>
        </w:rPr>
        <w:t>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开具收据（加盖比选响应</w:t>
      </w:r>
      <w:r>
        <w:rPr>
          <w:rFonts w:hint="default" w:ascii="Times New Roman" w:hAnsi="Times New Roman" w:eastAsia="仿宋" w:cs="Times New Roman"/>
          <w:b/>
          <w:color w:val="000000"/>
          <w:kern w:val="0"/>
          <w:sz w:val="28"/>
          <w:szCs w:val="28"/>
          <w:lang w:val="en-US" w:eastAsia="zh-CN"/>
        </w:rPr>
        <w:t>人</w:t>
      </w:r>
      <w:r>
        <w:rPr>
          <w:rFonts w:hint="default" w:ascii="Times New Roman" w:hAnsi="Times New Roman" w:eastAsia="仿宋" w:cs="Times New Roman"/>
          <w:b/>
          <w:color w:val="000000"/>
          <w:kern w:val="0"/>
          <w:sz w:val="28"/>
          <w:szCs w:val="28"/>
        </w:rPr>
        <w:t>财务专用章），附比选</w:t>
      </w:r>
      <w:r>
        <w:rPr>
          <w:rFonts w:hint="default" w:ascii="Times New Roman" w:hAnsi="Times New Roman" w:eastAsia="仿宋" w:cs="Times New Roman"/>
          <w:b/>
          <w:color w:val="000000"/>
          <w:kern w:val="0"/>
          <w:sz w:val="28"/>
          <w:szCs w:val="28"/>
          <w:lang w:val="en-US" w:eastAsia="zh-CN"/>
        </w:rPr>
        <w:t>响应保证金退还申请</w:t>
      </w:r>
      <w:r>
        <w:rPr>
          <w:rFonts w:hint="default" w:ascii="Times New Roman" w:hAnsi="Times New Roman" w:eastAsia="仿宋" w:cs="Times New Roman"/>
          <w:b/>
          <w:color w:val="000000"/>
          <w:kern w:val="0"/>
          <w:sz w:val="28"/>
          <w:szCs w:val="28"/>
        </w:rPr>
        <w:t>（加盖公章）</w:t>
      </w:r>
      <w:r>
        <w:rPr>
          <w:rFonts w:hint="default" w:ascii="Times New Roman" w:hAnsi="Times New Roman" w:eastAsia="仿宋" w:cs="Times New Roman"/>
          <w:color w:val="000000"/>
          <w:kern w:val="0"/>
          <w:sz w:val="28"/>
          <w:szCs w:val="28"/>
        </w:rPr>
        <w:t>一并递交</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0"/>
          <w:sz w:val="28"/>
          <w:szCs w:val="28"/>
          <w:lang w:eastAsia="zh-CN"/>
        </w:rPr>
        <w:t>采购部门</w:t>
      </w:r>
      <w:r>
        <w:rPr>
          <w:rFonts w:hint="default" w:ascii="Times New Roman" w:hAnsi="Times New Roman" w:eastAsia="仿宋" w:cs="Times New Roman"/>
          <w:color w:val="000000"/>
          <w:kern w:val="0"/>
          <w:sz w:val="28"/>
          <w:szCs w:val="28"/>
        </w:rPr>
        <w:t>凭借该收据根据相关规定在</w:t>
      </w:r>
      <w:r>
        <w:rPr>
          <w:rFonts w:hint="default" w:ascii="Times New Roman" w:hAnsi="Times New Roman" w:eastAsia="仿宋" w:cs="Times New Roman"/>
          <w:color w:val="000000"/>
          <w:kern w:val="0"/>
          <w:sz w:val="28"/>
          <w:szCs w:val="28"/>
          <w:lang w:val="en-US" w:eastAsia="zh-CN"/>
        </w:rPr>
        <w:t>3</w:t>
      </w:r>
      <w:r>
        <w:rPr>
          <w:rFonts w:hint="default" w:ascii="Times New Roman" w:hAnsi="Times New Roman" w:eastAsia="仿宋" w:cs="Times New Roman"/>
          <w:color w:val="000000"/>
          <w:kern w:val="0"/>
          <w:sz w:val="28"/>
          <w:szCs w:val="28"/>
        </w:rPr>
        <w:t>0个工作日内将项目比选响应保证金以银行转账方式退还至比选响应人，该项目比选响应保证金递交期间不计利息。</w:t>
      </w:r>
      <w:r>
        <w:rPr>
          <w:rFonts w:hint="default" w:ascii="Times New Roman" w:hAnsi="Times New Roman" w:eastAsia="仿宋" w:cs="Times New Roman"/>
          <w:color w:val="000000"/>
          <w:sz w:val="28"/>
          <w:szCs w:val="28"/>
        </w:rPr>
        <w:t>成交的比选</w:t>
      </w:r>
      <w:r>
        <w:rPr>
          <w:rFonts w:hint="default" w:ascii="Times New Roman" w:hAnsi="Times New Roman" w:eastAsia="仿宋" w:cs="Times New Roman"/>
          <w:color w:val="000000"/>
          <w:sz w:val="28"/>
          <w:szCs w:val="28"/>
          <w:lang w:val="en-US" w:eastAsia="zh-CN"/>
        </w:rPr>
        <w:t>响应</w:t>
      </w:r>
      <w:r>
        <w:rPr>
          <w:rFonts w:hint="default" w:ascii="Times New Roman" w:hAnsi="Times New Roman" w:eastAsia="仿宋" w:cs="Times New Roman"/>
          <w:color w:val="000000"/>
          <w:sz w:val="28"/>
          <w:szCs w:val="28"/>
        </w:rPr>
        <w:t>人交纳的比选响应保证金将</w:t>
      </w:r>
      <w:r>
        <w:rPr>
          <w:rFonts w:hint="default" w:ascii="Times New Roman" w:hAnsi="Times New Roman" w:eastAsia="仿宋" w:cs="Times New Roman"/>
          <w:color w:val="000000"/>
          <w:sz w:val="28"/>
          <w:szCs w:val="28"/>
          <w:lang w:val="en-US" w:eastAsia="zh-CN"/>
        </w:rPr>
        <w:t>自动</w:t>
      </w:r>
      <w:r>
        <w:rPr>
          <w:rFonts w:hint="default" w:ascii="Times New Roman" w:hAnsi="Times New Roman" w:eastAsia="仿宋" w:cs="Times New Roman"/>
          <w:color w:val="000000"/>
          <w:sz w:val="28"/>
          <w:szCs w:val="28"/>
        </w:rPr>
        <w:t>转为</w:t>
      </w:r>
      <w:r>
        <w:rPr>
          <w:rFonts w:hint="default" w:ascii="Times New Roman" w:hAnsi="Times New Roman" w:eastAsia="仿宋" w:cs="Times New Roman"/>
          <w:sz w:val="28"/>
          <w:szCs w:val="28"/>
        </w:rPr>
        <w:t>履约保证金。</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7.2 履约保证金为合同总金额（含税）</w:t>
      </w:r>
      <w:r>
        <w:rPr>
          <w:rFonts w:hint="default" w:ascii="Times New Roman" w:hAnsi="Times New Roman" w:eastAsia="仿宋" w:cs="Times New Roman"/>
          <w:color w:val="auto"/>
          <w:sz w:val="28"/>
          <w:szCs w:val="28"/>
          <w:u w:val="single"/>
        </w:rPr>
        <w:t>10%</w:t>
      </w:r>
      <w:r>
        <w:rPr>
          <w:rFonts w:hint="default" w:ascii="Times New Roman" w:hAnsi="Times New Roman" w:eastAsia="仿宋" w:cs="Times New Roman"/>
          <w:color w:val="auto"/>
          <w:sz w:val="28"/>
          <w:szCs w:val="28"/>
        </w:rPr>
        <w:t>，在收到成交通知书1</w:t>
      </w:r>
      <w:r>
        <w:rPr>
          <w:rFonts w:hint="default"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日内且在合同签订前缴齐</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sz w:val="28"/>
          <w:szCs w:val="28"/>
          <w:lang w:eastAsia="zh-CN"/>
        </w:rPr>
        <w:t>合同履行完毕后，若中标人在本合同有效期内严格履行本合同条款，服从采购人监督考核，无违反合同约定等要求</w:t>
      </w:r>
      <w:r>
        <w:rPr>
          <w:rFonts w:hint="default" w:ascii="Times New Roman" w:hAnsi="Times New Roman" w:eastAsia="仿宋" w:cs="Times New Roman"/>
          <w:sz w:val="28"/>
          <w:szCs w:val="28"/>
          <w:highlight w:val="none"/>
          <w:lang w:eastAsia="zh-CN"/>
        </w:rPr>
        <w:t>的，采购人在收到退还保证金的收据后，30个工作日内将履约保证金无息退还。</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八、支付方式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8.1 </w:t>
      </w:r>
      <w:r>
        <w:rPr>
          <w:rFonts w:hint="default" w:ascii="Times New Roman" w:hAnsi="Times New Roman" w:eastAsia="仿宋" w:cs="Times New Roman"/>
          <w:color w:val="auto"/>
          <w:sz w:val="28"/>
          <w:szCs w:val="28"/>
          <w:lang w:val="en-US" w:eastAsia="zh-CN"/>
        </w:rPr>
        <w:t>乙方按约完成项目，</w:t>
      </w:r>
      <w:r>
        <w:rPr>
          <w:rFonts w:hint="default" w:ascii="Times New Roman" w:hAnsi="Times New Roman" w:eastAsia="仿宋" w:cs="Times New Roman"/>
          <w:color w:val="auto"/>
          <w:sz w:val="28"/>
          <w:szCs w:val="28"/>
        </w:rPr>
        <w:t>出具建筑消防设施检测报告和消防安全评估报告，甲方在收到乙方开具的发票后30个工作日内支付项目款</w:t>
      </w:r>
      <w:r>
        <w:rPr>
          <w:rFonts w:hint="default" w:ascii="Times New Roman" w:hAnsi="Times New Roman" w:eastAsia="仿宋" w:cs="Times New Roman"/>
          <w:color w:val="000000"/>
          <w:sz w:val="28"/>
          <w:szCs w:val="28"/>
          <w:lang w:val="en-US" w:eastAsia="zh-CN"/>
        </w:rPr>
        <w:t>；付款方式为银行转账或银行承兑汇票。</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8.2 乙方需向甲方提供正规增值税发票。如果乙方提供增值税普通发票，甲方支付金额为不含增值税金额；如果乙方提供增值税专用发票，甲方支付金额=不含增值税金额+增值税税额。</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8.3 付款方式为银行转账或银行承兑汇票。</w:t>
      </w:r>
    </w:p>
    <w:p>
      <w:pPr>
        <w:pageBreakBefore w:val="0"/>
        <w:kinsoku/>
        <w:overflowPunct/>
        <w:bidi w:val="0"/>
        <w:adjustRightInd w:val="0"/>
        <w:snapToGrid w:val="0"/>
        <w:spacing w:line="560" w:lineRule="exact"/>
        <w:ind w:left="1" w:firstLine="560" w:firstLineChars="200"/>
        <w:jc w:val="both"/>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8.4 如税率发生国家法规调整，折算为不含税价后以新适用税率结算。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九、项目工期</w:t>
      </w:r>
    </w:p>
    <w:p>
      <w:pPr>
        <w:pageBreakBefore w:val="0"/>
        <w:kinsoku/>
        <w:overflowPunct/>
        <w:bidi w:val="0"/>
        <w:adjustRightInd w:val="0"/>
        <w:snapToGrid w:val="0"/>
        <w:spacing w:line="560" w:lineRule="exact"/>
        <w:ind w:left="1"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自合同签订后45个自然日。</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十、比选响应有效期</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90天（自</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响应人提交</w:t>
      </w:r>
      <w:r>
        <w:rPr>
          <w:rFonts w:hint="default" w:ascii="Times New Roman" w:hAnsi="Times New Roman" w:eastAsia="仿宋" w:cs="Times New Roman"/>
          <w:color w:val="auto"/>
          <w:kern w:val="0"/>
          <w:sz w:val="28"/>
          <w:szCs w:val="28"/>
        </w:rPr>
        <w:t>比选</w:t>
      </w:r>
      <w:r>
        <w:rPr>
          <w:rFonts w:hint="default" w:ascii="Times New Roman" w:hAnsi="Times New Roman" w:eastAsia="仿宋" w:cs="Times New Roman"/>
          <w:color w:val="auto"/>
          <w:sz w:val="28"/>
          <w:szCs w:val="28"/>
        </w:rPr>
        <w:t>响应文件截止之日起计算）。</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十一、比选响应文件的编制和提交</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11.1 比选响应人应当按照比选采购文件的要求编制比选响应文件，比选响应文件应当对比选采购文件提出的要求和条件作出实质性应答。</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11.2 比选响应文件应用A4规格纸编制并装订成册，主要由以下几个部分组成：</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11.2.1 </w:t>
      </w:r>
      <w:r>
        <w:rPr>
          <w:rFonts w:hint="default" w:ascii="Times New Roman" w:hAnsi="Times New Roman" w:eastAsia="仿宋" w:cs="Times New Roman"/>
          <w:color w:val="auto"/>
          <w:sz w:val="28"/>
          <w:szCs w:val="28"/>
        </w:rPr>
        <w:t>封面。</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11.2.2 </w:t>
      </w:r>
      <w:r>
        <w:rPr>
          <w:rFonts w:hint="default" w:ascii="Times New Roman" w:hAnsi="Times New Roman" w:eastAsia="仿宋" w:cs="Times New Roman"/>
          <w:color w:val="auto"/>
          <w:sz w:val="28"/>
          <w:szCs w:val="28"/>
        </w:rPr>
        <w:t>报价部分。比选响应人应按照比选</w:t>
      </w:r>
      <w:r>
        <w:rPr>
          <w:rFonts w:hint="default" w:ascii="Times New Roman" w:hAnsi="Times New Roman" w:eastAsia="仿宋" w:cs="Times New Roman"/>
          <w:color w:val="auto"/>
          <w:sz w:val="28"/>
          <w:szCs w:val="28"/>
          <w:highlight w:val="none"/>
        </w:rPr>
        <w:t>文件要求及格式报出</w:t>
      </w:r>
      <w:r>
        <w:rPr>
          <w:rFonts w:hint="default" w:ascii="Times New Roman" w:hAnsi="Times New Roman" w:eastAsia="仿宋" w:cs="Times New Roman"/>
          <w:color w:val="auto"/>
          <w:sz w:val="28"/>
          <w:szCs w:val="28"/>
          <w:highlight w:val="none"/>
          <w:lang w:val="en-US" w:eastAsia="zh-CN"/>
        </w:rPr>
        <w:t>相关</w:t>
      </w:r>
      <w:r>
        <w:rPr>
          <w:rFonts w:hint="default" w:ascii="Times New Roman" w:hAnsi="Times New Roman" w:eastAsia="仿宋" w:cs="Times New Roman"/>
          <w:color w:val="auto"/>
          <w:sz w:val="28"/>
          <w:szCs w:val="28"/>
          <w:highlight w:val="none"/>
        </w:rPr>
        <w:t>内容，报价应包括消防安全评估和消防系统年度检测</w:t>
      </w:r>
      <w:r>
        <w:rPr>
          <w:rFonts w:hint="default" w:ascii="Times New Roman" w:hAnsi="Times New Roman" w:eastAsia="仿宋" w:cs="Times New Roman"/>
          <w:color w:val="auto"/>
          <w:sz w:val="28"/>
          <w:szCs w:val="28"/>
        </w:rPr>
        <w:t>涉及到的人员、工器具、咨询、税金</w:t>
      </w:r>
      <w:r>
        <w:rPr>
          <w:rFonts w:hint="default" w:ascii="Times New Roman" w:hAnsi="Times New Roman" w:eastAsia="仿宋" w:cs="Times New Roman"/>
          <w:bCs/>
          <w:color w:val="auto"/>
          <w:sz w:val="28"/>
          <w:szCs w:val="28"/>
        </w:rPr>
        <w:t>等一切与项目内容相关的费用</w:t>
      </w:r>
      <w:r>
        <w:rPr>
          <w:rFonts w:hint="default" w:ascii="Times New Roman" w:hAnsi="Times New Roman" w:eastAsia="仿宋" w:cs="Times New Roman"/>
          <w:color w:val="auto"/>
          <w:sz w:val="28"/>
          <w:szCs w:val="28"/>
        </w:rPr>
        <w:t>，报价为不含税</w:t>
      </w:r>
      <w:r>
        <w:rPr>
          <w:rFonts w:hint="default" w:ascii="Times New Roman" w:hAnsi="Times New Roman" w:eastAsia="仿宋" w:cs="Times New Roman"/>
          <w:color w:val="auto"/>
          <w:sz w:val="28"/>
          <w:szCs w:val="28"/>
          <w:lang w:val="en-US" w:eastAsia="zh-CN"/>
        </w:rPr>
        <w:t>报价</w:t>
      </w:r>
      <w:r>
        <w:rPr>
          <w:rFonts w:hint="default" w:ascii="Times New Roman" w:hAnsi="Times New Roman" w:eastAsia="仿宋" w:cs="Times New Roman"/>
          <w:color w:val="auto"/>
          <w:sz w:val="28"/>
          <w:szCs w:val="28"/>
        </w:rPr>
        <w:t>，增值税税率单列。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11.2.3 </w:t>
      </w:r>
      <w:r>
        <w:rPr>
          <w:rFonts w:hint="default" w:ascii="Times New Roman" w:hAnsi="Times New Roman" w:eastAsia="仿宋" w:cs="Times New Roman"/>
          <w:color w:val="auto"/>
          <w:sz w:val="28"/>
          <w:szCs w:val="28"/>
        </w:rPr>
        <w:t>技术部分。比选响应</w:t>
      </w:r>
      <w:r>
        <w:rPr>
          <w:rFonts w:hint="default" w:ascii="Times New Roman" w:hAnsi="Times New Roman" w:eastAsia="仿宋" w:cs="Times New Roman"/>
          <w:color w:val="auto"/>
          <w:sz w:val="28"/>
          <w:szCs w:val="28"/>
          <w:highlight w:val="none"/>
        </w:rPr>
        <w:t>人根据检测任务</w:t>
      </w:r>
      <w:r>
        <w:rPr>
          <w:rFonts w:hint="default" w:ascii="Times New Roman" w:hAnsi="Times New Roman" w:eastAsia="仿宋" w:cs="Times New Roman"/>
          <w:color w:val="auto"/>
          <w:sz w:val="28"/>
          <w:szCs w:val="28"/>
          <w:highlight w:val="none"/>
          <w:lang w:val="en-US" w:eastAsia="zh-CN"/>
        </w:rPr>
        <w:t>内容</w:t>
      </w:r>
      <w:r>
        <w:rPr>
          <w:rFonts w:hint="default" w:ascii="Times New Roman" w:hAnsi="Times New Roman" w:eastAsia="仿宋" w:cs="Times New Roman"/>
          <w:color w:val="auto"/>
          <w:sz w:val="28"/>
          <w:szCs w:val="28"/>
          <w:highlight w:val="none"/>
        </w:rPr>
        <w:t>，结合国家、行业、地方有关消防设施检测的标准规程，拟定航站区消防安全评估</w:t>
      </w:r>
      <w:r>
        <w:rPr>
          <w:rFonts w:hint="eastAsia" w:ascii="Times New Roman" w:hAnsi="Times New Roman" w:eastAsia="仿宋" w:cs="Times New Roman"/>
          <w:color w:val="auto"/>
          <w:sz w:val="28"/>
          <w:szCs w:val="28"/>
          <w:highlight w:val="none"/>
          <w:lang w:val="en-US" w:eastAsia="zh-CN"/>
        </w:rPr>
        <w:t>方案</w:t>
      </w:r>
      <w:r>
        <w:rPr>
          <w:rFonts w:hint="default" w:ascii="Times New Roman" w:hAnsi="Times New Roman" w:eastAsia="仿宋" w:cs="Times New Roman"/>
          <w:color w:val="auto"/>
          <w:sz w:val="28"/>
          <w:szCs w:val="28"/>
          <w:highlight w:val="none"/>
        </w:rPr>
        <w:t>和消防系统年度检测</w:t>
      </w:r>
      <w:r>
        <w:rPr>
          <w:rFonts w:hint="eastAsia" w:ascii="Times New Roman" w:hAnsi="Times New Roman" w:eastAsia="仿宋" w:cs="Times New Roman"/>
          <w:color w:val="auto"/>
          <w:sz w:val="28"/>
          <w:szCs w:val="28"/>
          <w:highlight w:val="none"/>
          <w:lang w:val="en-US" w:eastAsia="zh-CN"/>
        </w:rPr>
        <w:t>方案</w:t>
      </w:r>
      <w:r>
        <w:rPr>
          <w:rFonts w:hint="default" w:ascii="Times New Roman" w:hAnsi="Times New Roman" w:eastAsia="仿宋" w:cs="Times New Roman"/>
          <w:color w:val="auto"/>
          <w:sz w:val="28"/>
          <w:szCs w:val="28"/>
          <w:highlight w:val="none"/>
        </w:rPr>
        <w:t>，才能作为比选响应人的实质性响应。</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11.2.4 </w:t>
      </w:r>
      <w:r>
        <w:rPr>
          <w:rFonts w:hint="default" w:ascii="Times New Roman" w:hAnsi="Times New Roman" w:eastAsia="仿宋" w:cs="Times New Roman"/>
          <w:color w:val="auto"/>
          <w:sz w:val="28"/>
          <w:szCs w:val="28"/>
        </w:rPr>
        <w:t>商务部分。主要包括营业执照（复印件）、法人代表委托书（原件）、业绩证明、信誉要求证明、其它资格证明（如企业资信证明、质量体系认证等）以及服务承诺等。</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0"/>
          <w:sz w:val="28"/>
          <w:szCs w:val="28"/>
          <w:lang w:val="en-US" w:eastAsia="zh-CN"/>
        </w:rPr>
        <w:t xml:space="preserve">11.2.5 </w:t>
      </w:r>
      <w:r>
        <w:rPr>
          <w:rFonts w:hint="default" w:ascii="Times New Roman" w:hAnsi="Times New Roman" w:eastAsia="仿宋" w:cs="Times New Roman"/>
          <w:color w:val="auto"/>
          <w:sz w:val="28"/>
          <w:szCs w:val="28"/>
        </w:rPr>
        <w:t>比选响应文件包括：</w:t>
      </w:r>
      <w:r>
        <w:rPr>
          <w:rFonts w:hint="default" w:ascii="Times New Roman" w:hAnsi="Times New Roman" w:eastAsia="仿宋" w:cs="Times New Roman"/>
          <w:b/>
          <w:bCs/>
          <w:color w:val="auto"/>
          <w:sz w:val="28"/>
          <w:szCs w:val="28"/>
          <w:u w:val="single"/>
        </w:rPr>
        <w:t>纸质文件一式3份，其中正本1份，副本2份；电子比选响应文件1份、盖</w:t>
      </w:r>
      <w:r>
        <w:rPr>
          <w:rFonts w:hint="eastAsia" w:ascii="Times New Roman" w:hAnsi="Times New Roman" w:eastAsia="仿宋" w:cs="Times New Roman"/>
          <w:b/>
          <w:bCs/>
          <w:color w:val="auto"/>
          <w:sz w:val="28"/>
          <w:szCs w:val="28"/>
          <w:u w:val="single"/>
          <w:lang w:val="en-US" w:eastAsia="zh-CN"/>
        </w:rPr>
        <w:t>鲜</w:t>
      </w:r>
      <w:r>
        <w:rPr>
          <w:rFonts w:hint="default" w:ascii="Times New Roman" w:hAnsi="Times New Roman" w:eastAsia="仿宋" w:cs="Times New Roman"/>
          <w:b/>
          <w:bCs/>
          <w:color w:val="auto"/>
          <w:sz w:val="28"/>
          <w:szCs w:val="28"/>
          <w:u w:val="single"/>
        </w:rPr>
        <w:t>章的比选文件扫描版1份（U盘形式）。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CN"/>
        </w:rPr>
        <w:t>十</w:t>
      </w:r>
      <w:r>
        <w:rPr>
          <w:rFonts w:hint="default" w:ascii="Times New Roman" w:hAnsi="Times New Roman" w:eastAsia="仿宋" w:cs="Times New Roman"/>
          <w:color w:val="auto"/>
          <w:sz w:val="28"/>
          <w:szCs w:val="28"/>
          <w:highlight w:val="none"/>
        </w:rPr>
        <w:t>二</w:t>
      </w:r>
      <w:r>
        <w:rPr>
          <w:rFonts w:hint="default" w:ascii="Times New Roman" w:hAnsi="Times New Roman" w:eastAsia="仿宋" w:cs="Times New Roman"/>
          <w:color w:val="auto"/>
          <w:sz w:val="28"/>
          <w:szCs w:val="28"/>
          <w:highlight w:val="none"/>
          <w:lang w:val="zh-CN"/>
        </w:rPr>
        <w:t>、</w:t>
      </w:r>
      <w:r>
        <w:rPr>
          <w:rFonts w:hint="default" w:ascii="Times New Roman" w:hAnsi="Times New Roman" w:eastAsia="仿宋" w:cs="Times New Roman"/>
          <w:color w:val="auto"/>
          <w:sz w:val="28"/>
          <w:szCs w:val="28"/>
          <w:highlight w:val="none"/>
        </w:rPr>
        <w:t>比选须知</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12.1 比选响应人有以下情形之一的，采购人有权拒收比选响应人文件：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12.1.1 </w:t>
      </w:r>
      <w:r>
        <w:rPr>
          <w:rFonts w:hint="default" w:ascii="Times New Roman" w:hAnsi="Times New Roman" w:eastAsia="仿宋" w:cs="Times New Roman"/>
          <w:color w:val="auto"/>
          <w:sz w:val="28"/>
          <w:szCs w:val="28"/>
        </w:rPr>
        <w:t>未在递交比选响应文件时出示采购人计财部开具的比选响应保证金收据的；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12.1.2 </w:t>
      </w:r>
      <w:r>
        <w:rPr>
          <w:rFonts w:hint="default" w:ascii="Times New Roman" w:hAnsi="Times New Roman" w:eastAsia="仿宋" w:cs="Times New Roman"/>
          <w:color w:val="auto"/>
          <w:sz w:val="28"/>
          <w:szCs w:val="28"/>
        </w:rPr>
        <w:t>未在递交比选响应文件截止时间前递交响应文件的；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12.1.3 </w:t>
      </w:r>
      <w:r>
        <w:rPr>
          <w:rFonts w:hint="default" w:ascii="Times New Roman" w:hAnsi="Times New Roman" w:eastAsia="仿宋" w:cs="Times New Roman"/>
          <w:color w:val="auto"/>
          <w:sz w:val="28"/>
          <w:szCs w:val="28"/>
          <w:lang w:val="zh-CN"/>
        </w:rPr>
        <w:t>比选响应人未派法定代表人或</w:t>
      </w:r>
      <w:r>
        <w:rPr>
          <w:rFonts w:hint="default" w:ascii="Times New Roman" w:hAnsi="Times New Roman" w:eastAsia="仿宋" w:cs="Times New Roman"/>
          <w:color w:val="auto"/>
          <w:sz w:val="28"/>
          <w:szCs w:val="28"/>
        </w:rPr>
        <w:t>法定代表人</w:t>
      </w:r>
      <w:r>
        <w:rPr>
          <w:rFonts w:hint="default" w:ascii="Times New Roman" w:hAnsi="Times New Roman" w:eastAsia="仿宋" w:cs="Times New Roman"/>
          <w:color w:val="auto"/>
          <w:sz w:val="28"/>
          <w:szCs w:val="28"/>
          <w:lang w:val="zh-CN"/>
        </w:rPr>
        <w:t>委托代理人出席比选唱价</w:t>
      </w:r>
      <w:r>
        <w:rPr>
          <w:rFonts w:hint="default" w:ascii="Times New Roman" w:hAnsi="Times New Roman" w:eastAsia="仿宋" w:cs="Times New Roman"/>
          <w:color w:val="auto"/>
          <w:sz w:val="28"/>
          <w:szCs w:val="28"/>
        </w:rPr>
        <w:t>环节，或出席唱价环节的比选响应人未能提供有效身份证原件、提供身份证原件与比选文件中不符的；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kern w:val="0"/>
          <w:sz w:val="28"/>
          <w:szCs w:val="28"/>
          <w:lang w:val="en-US" w:eastAsia="zh-CN"/>
        </w:rPr>
        <w:t xml:space="preserve">12.1.4 </w:t>
      </w:r>
      <w:r>
        <w:rPr>
          <w:rFonts w:hint="default" w:ascii="Times New Roman" w:hAnsi="Times New Roman" w:eastAsia="仿宋" w:cs="Times New Roman"/>
          <w:color w:val="auto"/>
          <w:sz w:val="28"/>
          <w:szCs w:val="28"/>
        </w:rPr>
        <w:t>未按要求密封比选响应文件的。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十三、比选</w:t>
      </w:r>
      <w:r>
        <w:rPr>
          <w:rFonts w:hint="default" w:ascii="Times New Roman" w:hAnsi="Times New Roman" w:eastAsia="仿宋" w:cs="Times New Roman"/>
          <w:color w:val="auto"/>
          <w:sz w:val="28"/>
          <w:szCs w:val="28"/>
          <w:lang w:val="zh-CN"/>
        </w:rPr>
        <w:t>响应文件作废条款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13.1 </w:t>
      </w:r>
      <w:r>
        <w:rPr>
          <w:rFonts w:hint="default" w:ascii="Times New Roman" w:hAnsi="Times New Roman" w:eastAsia="仿宋" w:cs="Times New Roman"/>
          <w:color w:val="auto"/>
          <w:sz w:val="28"/>
          <w:szCs w:val="28"/>
          <w:lang w:val="zh-CN"/>
        </w:rPr>
        <w:t>无报价或两个以上报价的；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13.2 </w:t>
      </w:r>
      <w:r>
        <w:rPr>
          <w:rFonts w:hint="default" w:ascii="Times New Roman" w:hAnsi="Times New Roman" w:eastAsia="仿宋" w:cs="Times New Roman"/>
          <w:color w:val="auto"/>
          <w:sz w:val="28"/>
          <w:szCs w:val="28"/>
          <w:lang w:val="zh-CN"/>
        </w:rPr>
        <w:t>资格条件不符合国家有关规定和</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文件要求的，或者拒不按照要求对</w:t>
      </w:r>
      <w:r>
        <w:rPr>
          <w:rFonts w:hint="default" w:ascii="Times New Roman" w:hAnsi="Times New Roman" w:eastAsia="仿宋" w:cs="Times New Roman"/>
          <w:color w:val="auto"/>
          <w:sz w:val="28"/>
          <w:szCs w:val="28"/>
        </w:rPr>
        <w:t>响应</w:t>
      </w:r>
      <w:r>
        <w:rPr>
          <w:rFonts w:hint="default" w:ascii="Times New Roman" w:hAnsi="Times New Roman" w:eastAsia="仿宋" w:cs="Times New Roman"/>
          <w:color w:val="auto"/>
          <w:sz w:val="28"/>
          <w:szCs w:val="28"/>
          <w:lang w:val="zh-CN"/>
        </w:rPr>
        <w:t>文件进行澄清、说明或者补正的；</w:t>
      </w:r>
    </w:p>
    <w:p>
      <w:pPr>
        <w:pageBreakBefore w:val="0"/>
        <w:kinsoku/>
        <w:overflowPunct/>
        <w:autoSpaceDE w:val="0"/>
        <w:autoSpaceDN w:val="0"/>
        <w:bidi w:val="0"/>
        <w:adjustRightInd w:val="0"/>
        <w:spacing w:line="560" w:lineRule="exact"/>
        <w:ind w:firstLine="630" w:firstLineChars="225"/>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13.3 比选响应人</w:t>
      </w:r>
      <w:r>
        <w:rPr>
          <w:rFonts w:hint="default" w:ascii="Times New Roman" w:hAnsi="Times New Roman" w:eastAsia="仿宋" w:cs="Times New Roman"/>
          <w:bCs/>
          <w:color w:val="auto"/>
          <w:sz w:val="28"/>
          <w:szCs w:val="28"/>
        </w:rPr>
        <w:t>正在为本项目涉及的建（构）筑物消防设施提供维护保养服务的</w:t>
      </w:r>
      <w:r>
        <w:rPr>
          <w:rFonts w:hint="eastAsia" w:ascii="Times New Roman" w:hAnsi="Times New Roman" w:eastAsia="仿宋" w:cs="Times New Roman"/>
          <w:bCs/>
          <w:color w:val="auto"/>
          <w:sz w:val="28"/>
          <w:szCs w:val="28"/>
          <w:lang w:eastAsia="zh-CN"/>
        </w:rPr>
        <w:t>；</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13.4 </w:t>
      </w:r>
      <w:r>
        <w:rPr>
          <w:rFonts w:hint="default" w:ascii="Times New Roman" w:hAnsi="Times New Roman" w:eastAsia="仿宋" w:cs="Times New Roman"/>
          <w:color w:val="auto"/>
          <w:sz w:val="28"/>
          <w:szCs w:val="28"/>
          <w:lang w:val="zh-CN"/>
        </w:rPr>
        <w:t>报价超过比选最高限价的；</w:t>
      </w:r>
    </w:p>
    <w:p>
      <w:pPr>
        <w:pageBreakBefore w:val="0"/>
        <w:kinsoku/>
        <w:overflowPunct/>
        <w:autoSpaceDE w:val="0"/>
        <w:autoSpaceDN w:val="0"/>
        <w:bidi w:val="0"/>
        <w:adjustRightInd w:val="0"/>
        <w:spacing w:line="560" w:lineRule="exact"/>
        <w:ind w:firstLine="630" w:firstLineChars="225"/>
        <w:rPr>
          <w:rFonts w:hint="eastAsia" w:ascii="仿宋" w:hAnsi="仿宋" w:eastAsia="仿宋" w:cs="仿宋"/>
          <w:color w:val="000000"/>
          <w:sz w:val="28"/>
          <w:szCs w:val="28"/>
          <w:lang w:val="zh-CN" w:eastAsia="zh-CN"/>
        </w:rPr>
      </w:pPr>
      <w:r>
        <w:rPr>
          <w:rFonts w:hint="default" w:ascii="Times New Roman" w:hAnsi="Times New Roman" w:eastAsia="仿宋" w:cs="Times New Roman"/>
          <w:color w:val="auto"/>
          <w:sz w:val="28"/>
          <w:szCs w:val="28"/>
        </w:rPr>
        <w:t xml:space="preserve">13.5 </w:t>
      </w:r>
      <w:r>
        <w:rPr>
          <w:rFonts w:hint="default" w:ascii="Times New Roman" w:hAnsi="Times New Roman" w:eastAsia="仿宋" w:cs="Times New Roman"/>
          <w:color w:val="auto"/>
          <w:sz w:val="28"/>
          <w:szCs w:val="28"/>
          <w:lang w:val="zh-CN"/>
        </w:rPr>
        <w:t>比选响应文件封面及密封袋封面上</w:t>
      </w:r>
      <w:r>
        <w:rPr>
          <w:rFonts w:hint="default" w:ascii="Times New Roman" w:hAnsi="Times New Roman" w:eastAsia="仿宋" w:cs="Times New Roman"/>
          <w:color w:val="auto"/>
          <w:sz w:val="28"/>
          <w:szCs w:val="28"/>
        </w:rPr>
        <w:t>未</w:t>
      </w:r>
      <w:r>
        <w:rPr>
          <w:rFonts w:hint="default" w:ascii="Times New Roman" w:hAnsi="Times New Roman" w:eastAsia="仿宋" w:cs="Times New Roman"/>
          <w:color w:val="auto"/>
          <w:sz w:val="28"/>
          <w:szCs w:val="28"/>
          <w:lang w:val="zh-CN"/>
        </w:rPr>
        <w:t>注明</w:t>
      </w:r>
      <w:r>
        <w:rPr>
          <w:rFonts w:hint="eastAsia" w:ascii="仿宋" w:hAnsi="仿宋" w:eastAsia="仿宋" w:cs="仿宋"/>
          <w:color w:val="000000"/>
          <w:sz w:val="28"/>
          <w:szCs w:val="28"/>
          <w:lang w:val="zh-CN" w:eastAsia="zh-CN"/>
        </w:rPr>
        <w:t>“项目名称”“项目编号”“比选响应单位名称”，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13.6 </w:t>
      </w:r>
      <w:r>
        <w:rPr>
          <w:rFonts w:hint="default" w:ascii="Times New Roman" w:hAnsi="Times New Roman" w:eastAsia="仿宋" w:cs="Times New Roman"/>
          <w:color w:val="auto"/>
          <w:sz w:val="28"/>
          <w:szCs w:val="28"/>
          <w:lang w:val="zh-CN"/>
        </w:rPr>
        <w:t>比选响应文件</w:t>
      </w:r>
      <w:r>
        <w:rPr>
          <w:rFonts w:hint="default" w:ascii="Times New Roman" w:hAnsi="Times New Roman" w:eastAsia="仿宋" w:cs="Times New Roman"/>
          <w:color w:val="auto"/>
          <w:sz w:val="28"/>
          <w:szCs w:val="28"/>
        </w:rPr>
        <w:t>中</w:t>
      </w:r>
      <w:r>
        <w:rPr>
          <w:rFonts w:hint="default" w:ascii="Times New Roman" w:hAnsi="Times New Roman" w:eastAsia="仿宋" w:cs="Times New Roman"/>
          <w:color w:val="auto"/>
          <w:sz w:val="28"/>
          <w:szCs w:val="28"/>
          <w:lang w:val="zh-CN"/>
        </w:rPr>
        <w:t>字迹或提供的复印件模糊、无法辨认的；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13.7 </w:t>
      </w:r>
      <w:r>
        <w:rPr>
          <w:rFonts w:hint="default" w:ascii="Times New Roman" w:hAnsi="Times New Roman" w:eastAsia="仿宋" w:cs="Times New Roman"/>
          <w:color w:val="auto"/>
          <w:sz w:val="28"/>
          <w:szCs w:val="28"/>
          <w:lang w:val="zh-CN"/>
        </w:rPr>
        <w:t>比选响应文件散装或者活页装订的；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13.8 </w:t>
      </w:r>
      <w:r>
        <w:rPr>
          <w:rFonts w:hint="default" w:ascii="Times New Roman" w:hAnsi="Times New Roman" w:eastAsia="仿宋" w:cs="Times New Roman"/>
          <w:color w:val="auto"/>
          <w:sz w:val="28"/>
          <w:szCs w:val="28"/>
          <w:lang w:val="zh-CN"/>
        </w:rPr>
        <w:t>比选响应文件份数不足；</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13.9 </w:t>
      </w:r>
      <w:r>
        <w:rPr>
          <w:rFonts w:hint="default" w:ascii="Times New Roman" w:hAnsi="Times New Roman" w:eastAsia="仿宋" w:cs="Times New Roman"/>
          <w:color w:val="auto"/>
          <w:sz w:val="28"/>
          <w:szCs w:val="28"/>
          <w:lang w:val="zh-CN"/>
        </w:rPr>
        <w:t>比选响应文件封面未标注正副本（密封袋封面无需标注正副本）；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13.10 </w:t>
      </w:r>
      <w:r>
        <w:rPr>
          <w:rFonts w:hint="default" w:ascii="Times New Roman" w:hAnsi="Times New Roman" w:eastAsia="仿宋" w:cs="Times New Roman"/>
          <w:color w:val="auto"/>
          <w:sz w:val="28"/>
          <w:szCs w:val="28"/>
          <w:lang w:val="zh-CN"/>
        </w:rPr>
        <w:t>比选响应文件中报价函部分、授权部分未盖章，或无法定代表人签字，或签字人无有效授权书的；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 xml:space="preserve">13.11 </w:t>
      </w:r>
      <w:r>
        <w:rPr>
          <w:rFonts w:hint="default" w:ascii="Times New Roman" w:hAnsi="Times New Roman" w:eastAsia="仿宋" w:cs="Times New Roman"/>
          <w:color w:val="auto"/>
          <w:sz w:val="28"/>
          <w:szCs w:val="28"/>
          <w:lang w:val="zh-CN"/>
        </w:rPr>
        <w:t>报价函部分未按规定的格式完整填写（增项填写不作为作废条款）；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rPr>
        <w:t>13.12 未</w:t>
      </w:r>
      <w:r>
        <w:rPr>
          <w:rFonts w:hint="default" w:ascii="Times New Roman" w:hAnsi="Times New Roman" w:eastAsia="仿宋" w:cs="Times New Roman"/>
          <w:color w:val="auto"/>
          <w:sz w:val="28"/>
          <w:szCs w:val="28"/>
          <w:lang w:val="zh-CN"/>
        </w:rPr>
        <w:t>对</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文件有关工期、</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有效期、质量要求、技术标准和要求、</w:t>
      </w:r>
      <w:r>
        <w:rPr>
          <w:rFonts w:hint="default" w:ascii="Times New Roman" w:hAnsi="Times New Roman" w:eastAsia="仿宋" w:cs="Times New Roman"/>
          <w:color w:val="auto"/>
          <w:sz w:val="28"/>
          <w:szCs w:val="28"/>
        </w:rPr>
        <w:t>比选</w:t>
      </w:r>
      <w:r>
        <w:rPr>
          <w:rFonts w:hint="default" w:ascii="Times New Roman" w:hAnsi="Times New Roman" w:eastAsia="仿宋" w:cs="Times New Roman"/>
          <w:color w:val="auto"/>
          <w:sz w:val="28"/>
          <w:szCs w:val="28"/>
          <w:lang w:val="zh-CN"/>
        </w:rPr>
        <w:t>范围等实质性内容响应的；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13.13 未按比选文件要求编制的、明显不符合技术规范和标准的要求、对比选文件中主要条款未响应的；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13.14 比选响应文件附有采购人不能接受的条件；</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 xml:space="preserve">13.15 </w:t>
      </w:r>
      <w:r>
        <w:rPr>
          <w:rFonts w:hint="eastAsia" w:ascii="Times New Roman" w:hAnsi="Times New Roman" w:eastAsia="仿宋" w:cs="Times New Roman"/>
          <w:color w:val="auto"/>
          <w:sz w:val="28"/>
          <w:szCs w:val="28"/>
          <w:lang w:val="en-US" w:eastAsia="zh-CN"/>
        </w:rPr>
        <w:t>比选相应文件中单位名称与单位公章不一致的；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eastAsia" w:ascii="Times New Roman" w:hAnsi="Times New Roman" w:eastAsia="仿宋" w:cs="Times New Roman"/>
          <w:color w:val="auto"/>
          <w:sz w:val="28"/>
          <w:szCs w:val="28"/>
          <w:lang w:val="en-US" w:eastAsia="zh-CN"/>
        </w:rPr>
        <w:t xml:space="preserve">13.16 </w:t>
      </w:r>
      <w:r>
        <w:rPr>
          <w:rFonts w:hint="default" w:ascii="Times New Roman" w:hAnsi="Times New Roman" w:eastAsia="仿宋" w:cs="Times New Roman"/>
          <w:color w:val="auto"/>
          <w:sz w:val="28"/>
          <w:szCs w:val="28"/>
          <w:lang w:val="zh-CN"/>
        </w:rPr>
        <w:t>有串通比选或弄虚作假或有其他违法行为的。</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十四、响应人违规行为处罚条款</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比选响应人有以下情形之一的，采购人有权取消其比选资格，并纳入重庆江北国际机场有限公司供应商黑名单，其比选保证金不予退还：</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 在比选期间发现比选响应人提供了虚假资料、伪造、变造、借用或者冒用他人资质证书或营业执照等证明材料的。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14.2 比选过程中发现存在贿赂行为的。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14.3 采用非正常手段，干扰评审工作的。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14.4 在比选有效期内，撤销比选响应文件的。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14.5 成交人在合同签订期间违背比选响应文件承诺的。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14.6 在比选有效期内，响应人无故放弃中标候选人资格的或在领取成交通知书后拒签合同，不缴纳履约保证金的。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14.7 在比选过程中存在围标或相互串通投标、非法以他人名义参与比选或以其他方式影响比选公正性的行为。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14.8 严重违反采购承诺或合同约定，提高价格、降低质量、拖延工期或供货时间的不诚信行为。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14.9 在履行采购承诺或合同过程中，出现严重的工程、设备质量问题或给招标方造成经济损失、安全事故以及不良社会影响的，或在履约过程中出现严重不诚信情况的。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14.10 不遵守招投标法律法规，在采购过程中有恶意诽谤、诬告或陷害其他竟争对手的不良行为的。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14.11</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有其他违反国家法律法规或采购文件相关规定的不诚信行为。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14.12 黑名单供应商惩诫标准及措施</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14.12.1 </w:t>
      </w:r>
      <w:r>
        <w:rPr>
          <w:rFonts w:hint="default" w:ascii="Times New Roman" w:hAnsi="Times New Roman" w:eastAsia="仿宋" w:cs="Times New Roman"/>
          <w:color w:val="auto"/>
          <w:sz w:val="28"/>
          <w:szCs w:val="28"/>
        </w:rPr>
        <w:t>列入黑名单的供应商将在</w:t>
      </w:r>
      <w:r>
        <w:rPr>
          <w:rFonts w:hint="default" w:ascii="Times New Roman" w:hAnsi="Times New Roman" w:eastAsia="仿宋" w:cs="Times New Roman"/>
          <w:color w:val="auto"/>
          <w:sz w:val="28"/>
          <w:szCs w:val="28"/>
          <w:lang w:val="zh-CN"/>
        </w:rPr>
        <w:t>重庆江北机场官网</w:t>
      </w:r>
      <w:r>
        <w:rPr>
          <w:rFonts w:hint="default" w:ascii="Times New Roman" w:hAnsi="Times New Roman" w:eastAsia="仿宋" w:cs="Times New Roman"/>
          <w:color w:val="auto"/>
          <w:sz w:val="28"/>
          <w:szCs w:val="28"/>
          <w:lang w:val="en-US"/>
        </w:rPr>
        <w:t>（www.cqa.cn）</w:t>
      </w:r>
      <w:r>
        <w:rPr>
          <w:rFonts w:hint="default" w:ascii="Times New Roman" w:hAnsi="Times New Roman" w:eastAsia="仿宋" w:cs="Times New Roman"/>
          <w:color w:val="auto"/>
          <w:sz w:val="28"/>
          <w:szCs w:val="28"/>
        </w:rPr>
        <w:t>进行公布和公示。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14.12.2 </w:t>
      </w:r>
      <w:r>
        <w:rPr>
          <w:rFonts w:hint="default" w:ascii="Times New Roman" w:hAnsi="Times New Roman" w:eastAsia="仿宋" w:cs="Times New Roman"/>
          <w:color w:val="auto"/>
          <w:sz w:val="28"/>
          <w:szCs w:val="28"/>
        </w:rPr>
        <w:t>被列入黑名单的供应商及相关人员，从被确认之日起3年内，取消其参与重庆江北国际机场有限公司采购项目的资格。</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五</w:t>
      </w:r>
      <w:r>
        <w:rPr>
          <w:rFonts w:hint="default" w:ascii="Times New Roman" w:hAnsi="Times New Roman" w:eastAsia="仿宋" w:cs="Times New Roman"/>
          <w:color w:val="auto"/>
          <w:sz w:val="28"/>
          <w:szCs w:val="28"/>
          <w:lang w:val="zh-CN"/>
        </w:rPr>
        <w:t>、异议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.1 比选响应人或其他利害关系人认为采购活动不符合法律、行政等规定的，应当在采购结果公示期之内以书面形式向采购人提出异议（以采购人收到书面异议之日为准）。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.2 异议提出人向采购人提起异议时，应当提交异议书。异议书应当包括下列内容：</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zh-CN"/>
        </w:rPr>
        <w:t>）异议提出人的名称、地址及有效联系方式。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lang w:val="zh-CN"/>
        </w:rPr>
        <w:t>）异议事项的基本事实。</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3</w:t>
      </w:r>
      <w:r>
        <w:rPr>
          <w:rFonts w:hint="default" w:ascii="Times New Roman" w:hAnsi="Times New Roman" w:eastAsia="仿宋" w:cs="Times New Roman"/>
          <w:color w:val="auto"/>
          <w:sz w:val="28"/>
          <w:szCs w:val="28"/>
          <w:lang w:val="zh-CN"/>
        </w:rPr>
        <w:t>）异议请求及主张。</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lang w:val="zh-CN"/>
        </w:rPr>
        <w:t>）有效线索和相关证据、证明材料。</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.3 异议提出人对异议事项提出的请求和主张，有责任提供证据；只有自己陈述而不能提出其他相关证据的，对其请求和主张不予支持。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.4 异议提出人不得虚假异议、恶意异议，不得以异议为名排挤竞争对手，阻碍采购活动的正常进行。若出现该情况，视为无效异议，不再受理。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zh-CN"/>
        </w:rPr>
        <w:t>）招标投标法第二十二条规定的招标投标保密信息。</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lang w:val="zh-CN"/>
        </w:rPr>
        <w:t>）应当保密的采购响应文件（但采购人提起异议时，采购响应文件不作为非法证据）。</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3</w:t>
      </w:r>
      <w:r>
        <w:rPr>
          <w:rFonts w:hint="default" w:ascii="Times New Roman" w:hAnsi="Times New Roman" w:eastAsia="仿宋" w:cs="Times New Roman"/>
          <w:color w:val="auto"/>
          <w:sz w:val="28"/>
          <w:szCs w:val="28"/>
          <w:lang w:val="zh-CN"/>
        </w:rPr>
        <w:t>）招标投标法第四十四条规定保密的投标文件评审和比较情况、中标候选人推荐情况和评标有关的其他情况。</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lang w:val="zh-CN"/>
        </w:rPr>
        <w:t>）其他依法应当保密的信息和资料。</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.6 有下列情形之一的异议，不予受理：</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lang w:val="zh-CN"/>
        </w:rPr>
        <w:t>）异议事项不具体，且未提供有效线索、相关证据和证明材料，难以查证。</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lang w:val="zh-CN"/>
        </w:rPr>
        <w:t>）未署异议提出人真实姓名、签字和有效联系方式。</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3</w:t>
      </w:r>
      <w:r>
        <w:rPr>
          <w:rFonts w:hint="default" w:ascii="Times New Roman" w:hAnsi="Times New Roman" w:eastAsia="仿宋" w:cs="Times New Roman"/>
          <w:color w:val="auto"/>
          <w:sz w:val="28"/>
          <w:szCs w:val="28"/>
          <w:lang w:val="zh-CN"/>
        </w:rPr>
        <w:t>）未经法定代表人或授权的委托代理人签字并加盖公章，或未经主要负责人或异议提出人本人签字。</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lang w:val="zh-CN"/>
        </w:rPr>
        <w:t>）不在结果公示期内的。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）已对异议事项做出答复的。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注：对比选文件内容的异议应在比选文件规定的质疑期内提出；对比选唱价环节的异议应在比选唱价环节提出。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1</w:t>
      </w: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zh-CN"/>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六</w:t>
      </w:r>
      <w:r>
        <w:rPr>
          <w:rFonts w:hint="default" w:ascii="Times New Roman" w:hAnsi="Times New Roman" w:eastAsia="仿宋" w:cs="Times New Roman"/>
          <w:color w:val="auto"/>
          <w:sz w:val="28"/>
          <w:szCs w:val="28"/>
          <w:lang w:val="zh-CN"/>
        </w:rPr>
        <w:t>、监督部门</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航站</w:t>
      </w:r>
      <w:r>
        <w:rPr>
          <w:rFonts w:hint="eastAsia" w:ascii="Times New Roman" w:hAnsi="Times New Roman" w:eastAsia="仿宋" w:cs="Times New Roman"/>
          <w:color w:val="auto"/>
          <w:sz w:val="28"/>
          <w:szCs w:val="28"/>
          <w:lang w:val="en-US" w:eastAsia="zh-CN"/>
        </w:rPr>
        <w:t>区</w:t>
      </w:r>
      <w:r>
        <w:rPr>
          <w:rFonts w:hint="default" w:ascii="Times New Roman" w:hAnsi="Times New Roman" w:eastAsia="仿宋" w:cs="Times New Roman"/>
          <w:color w:val="auto"/>
          <w:sz w:val="28"/>
          <w:szCs w:val="28"/>
          <w:lang w:val="zh-CN"/>
        </w:rPr>
        <w:t>管理部监督小组</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地址：重庆江北国际机场</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电话：023-6715</w:t>
      </w:r>
      <w:r>
        <w:rPr>
          <w:rFonts w:hint="default" w:ascii="Times New Roman" w:hAnsi="Times New Roman" w:eastAsia="仿宋" w:cs="Times New Roman"/>
          <w:color w:val="auto"/>
          <w:sz w:val="28"/>
          <w:szCs w:val="28"/>
        </w:rPr>
        <w:t>5511</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七</w:t>
      </w:r>
      <w:r>
        <w:rPr>
          <w:rFonts w:hint="default" w:ascii="Times New Roman" w:hAnsi="Times New Roman" w:eastAsia="仿宋" w:cs="Times New Roman"/>
          <w:color w:val="auto"/>
          <w:sz w:val="28"/>
          <w:szCs w:val="28"/>
          <w:lang w:val="zh-CN"/>
        </w:rPr>
        <w:t>、结果异议提交渠道</w:t>
      </w:r>
    </w:p>
    <w:p>
      <w:pPr>
        <w:pageBreakBefore w:val="0"/>
        <w:kinsoku/>
        <w:overflowPunct/>
        <w:autoSpaceDE w:val="0"/>
        <w:autoSpaceDN w:val="0"/>
        <w:bidi w:val="0"/>
        <w:adjustRightInd w:val="0"/>
        <w:spacing w:line="560" w:lineRule="exact"/>
        <w:ind w:firstLine="630" w:firstLineChars="225"/>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正式结果异议函件应同步提交采购人及监督部门。</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十</w:t>
      </w:r>
      <w:r>
        <w:rPr>
          <w:rFonts w:hint="default" w:ascii="Times New Roman" w:hAnsi="Times New Roman" w:eastAsia="仿宋" w:cs="Times New Roman"/>
          <w:color w:val="auto"/>
          <w:sz w:val="28"/>
          <w:szCs w:val="28"/>
        </w:rPr>
        <w:t>八</w:t>
      </w:r>
      <w:r>
        <w:rPr>
          <w:rFonts w:hint="default" w:ascii="Times New Roman" w:hAnsi="Times New Roman" w:eastAsia="仿宋" w:cs="Times New Roman"/>
          <w:color w:val="auto"/>
          <w:sz w:val="28"/>
          <w:szCs w:val="28"/>
          <w:lang w:val="zh-CN"/>
        </w:rPr>
        <w:t>、联系方式</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业主：重庆江北国际机场有限公司</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联系人：</w:t>
      </w:r>
      <w:r>
        <w:rPr>
          <w:rFonts w:hint="default" w:ascii="Times New Roman" w:hAnsi="Times New Roman" w:eastAsia="仿宋" w:cs="Times New Roman"/>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lang w:val="zh-CN"/>
        </w:rPr>
      </w:pPr>
      <w:r>
        <w:rPr>
          <w:rFonts w:hint="default" w:ascii="Times New Roman" w:hAnsi="Times New Roman" w:eastAsia="仿宋" w:cs="Times New Roman"/>
          <w:color w:val="auto"/>
          <w:sz w:val="28"/>
          <w:szCs w:val="28"/>
          <w:lang w:val="zh-CN"/>
        </w:rPr>
        <w:t>电话：</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邮箱：</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30" w:firstLineChars="225"/>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zh-CN"/>
        </w:rPr>
        <w:t xml:space="preserve">传真：    </w:t>
      </w:r>
      <w:r>
        <w:rPr>
          <w:rFonts w:hint="default" w:ascii="Times New Roman" w:hAnsi="Times New Roman" w:eastAsia="仿宋" w:cs="Times New Roman"/>
          <w:color w:val="auto"/>
          <w:sz w:val="28"/>
          <w:szCs w:val="28"/>
        </w:rPr>
        <w:t xml:space="preserve">          </w:t>
      </w:r>
    </w:p>
    <w:p>
      <w:pPr>
        <w:pageBreakBefore w:val="0"/>
        <w:kinsoku/>
        <w:overflowPunct/>
        <w:bidi w:val="0"/>
        <w:spacing w:line="560" w:lineRule="exact"/>
        <w:rPr>
          <w:rFonts w:hint="default" w:ascii="Times New Roman" w:hAnsi="Times New Roman" w:cs="Times New Roman"/>
          <w:color w:val="auto"/>
        </w:rPr>
      </w:pPr>
      <w:r>
        <w:rPr>
          <w:rFonts w:hint="default" w:ascii="Times New Roman" w:hAnsi="Times New Roman" w:cs="Times New Roman"/>
          <w:color w:val="auto"/>
        </w:rPr>
        <w:br w:type="page"/>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第二章 服务要求与技术标准</w:t>
      </w:r>
    </w:p>
    <w:p>
      <w:pPr>
        <w:pageBreakBefore w:val="0"/>
        <w:kinsoku/>
        <w:overflowPunct/>
        <w:bidi w:val="0"/>
        <w:spacing w:line="560" w:lineRule="exact"/>
        <w:rPr>
          <w:rFonts w:hint="default" w:ascii="Times New Roman" w:hAnsi="Times New Roman" w:eastAsia="方正小标宋_GBK" w:cs="Times New Roman"/>
          <w:bCs/>
          <w:color w:val="auto"/>
        </w:rPr>
      </w:pP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bookmarkStart w:id="0" w:name="_Toc18799"/>
      <w:bookmarkStart w:id="1" w:name="_Toc31278"/>
      <w:bookmarkStart w:id="2" w:name="_Toc14342"/>
      <w:bookmarkStart w:id="3" w:name="_Toc18412"/>
      <w:bookmarkStart w:id="4" w:name="_Toc21424"/>
      <w:bookmarkStart w:id="5" w:name="_Toc10740"/>
      <w:bookmarkStart w:id="6" w:name="_Toc6944"/>
      <w:bookmarkStart w:id="7" w:name="_Toc27485"/>
      <w:bookmarkStart w:id="8" w:name="_Toc78202994"/>
      <w:r>
        <w:rPr>
          <w:rFonts w:hint="default" w:ascii="Times New Roman" w:hAnsi="Times New Roman" w:eastAsia="仿宋" w:cs="Times New Roman"/>
          <w:color w:val="auto"/>
          <w:sz w:val="28"/>
          <w:szCs w:val="28"/>
        </w:rPr>
        <w:t>一、</w:t>
      </w:r>
      <w:bookmarkEnd w:id="0"/>
      <w:bookmarkEnd w:id="1"/>
      <w:bookmarkEnd w:id="2"/>
      <w:bookmarkEnd w:id="3"/>
      <w:bookmarkEnd w:id="4"/>
      <w:bookmarkEnd w:id="5"/>
      <w:bookmarkEnd w:id="6"/>
      <w:bookmarkEnd w:id="7"/>
      <w:r>
        <w:rPr>
          <w:rFonts w:hint="default" w:ascii="Times New Roman" w:hAnsi="Times New Roman" w:eastAsia="仿宋" w:cs="Times New Roman"/>
          <w:color w:val="auto"/>
          <w:sz w:val="28"/>
          <w:szCs w:val="28"/>
        </w:rPr>
        <w:t>基本情况</w:t>
      </w:r>
      <w:bookmarkEnd w:id="8"/>
    </w:p>
    <w:p>
      <w:pPr>
        <w:pageBreakBefore w:val="0"/>
        <w:kinsoku/>
        <w:overflowPunct/>
        <w:bidi w:val="0"/>
        <w:spacing w:line="560" w:lineRule="exact"/>
        <w:ind w:firstLine="560" w:firstLineChars="200"/>
        <w:rPr>
          <w:rFonts w:hint="eastAsia" w:ascii="Times New Roman" w:hAnsi="Times New Roman" w:eastAsia="方正仿宋_GBK" w:cs="Times New Roman"/>
          <w:color w:val="auto"/>
          <w:sz w:val="28"/>
          <w:szCs w:val="28"/>
          <w:highlight w:val="none"/>
          <w:lang w:eastAsia="zh-CN"/>
        </w:rPr>
      </w:pPr>
      <w:bookmarkStart w:id="9" w:name="_Toc23299"/>
      <w:bookmarkStart w:id="10" w:name="_Toc14993"/>
      <w:bookmarkStart w:id="11" w:name="_Toc22932"/>
      <w:bookmarkStart w:id="12" w:name="_Toc15320"/>
      <w:bookmarkStart w:id="13" w:name="_Toc16889"/>
      <w:bookmarkStart w:id="14" w:name="_Toc6041"/>
      <w:r>
        <w:rPr>
          <w:rFonts w:hint="default" w:ascii="Times New Roman" w:hAnsi="Times New Roman" w:eastAsia="方正仿宋_GBK" w:cs="Times New Roman"/>
          <w:color w:val="auto"/>
          <w:sz w:val="28"/>
          <w:szCs w:val="28"/>
          <w:highlight w:val="none"/>
        </w:rPr>
        <w:t xml:space="preserve">1.1 </w:t>
      </w:r>
      <w:bookmarkEnd w:id="9"/>
      <w:bookmarkEnd w:id="10"/>
      <w:bookmarkEnd w:id="11"/>
      <w:bookmarkEnd w:id="12"/>
      <w:bookmarkEnd w:id="13"/>
      <w:bookmarkEnd w:id="14"/>
      <w:r>
        <w:rPr>
          <w:rFonts w:hint="eastAsia" w:ascii="Times New Roman" w:hAnsi="Times New Roman" w:eastAsia="方正仿宋_GBK" w:cs="Times New Roman"/>
          <w:color w:val="auto"/>
          <w:sz w:val="28"/>
          <w:szCs w:val="28"/>
          <w:highlight w:val="none"/>
          <w:lang w:val="en-US" w:eastAsia="zh-CN"/>
        </w:rPr>
        <w:t>综合服务中心</w:t>
      </w:r>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val="en-US" w:eastAsia="zh-CN"/>
        </w:rPr>
        <w:t>综合服务中心</w:t>
      </w:r>
      <w:r>
        <w:rPr>
          <w:rFonts w:hint="default" w:ascii="Times New Roman" w:hAnsi="Times New Roman" w:eastAsia="方正仿宋_GBK" w:cs="Times New Roman"/>
          <w:color w:val="auto"/>
          <w:sz w:val="28"/>
          <w:szCs w:val="28"/>
          <w:highlight w:val="none"/>
        </w:rPr>
        <w:t>总建筑面积0.44万平方米，消防设施设备有报警主机1台，烟感175 个，温感7个，手报17个，输入输出模块28个，消防电话主机1台，消防电话分机1个，七氟丙烷无管网气体灭火装置2个，水泵接合器4套；湿式报警阀组</w:t>
      </w:r>
      <w:r>
        <w:rPr>
          <w:rFonts w:hint="eastAsia"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套、喷淋分区</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个，喷头1200余个；消火栓箱17个、灭火器30余具、自救呼吸器17个，排烟风机3台，疏散控制柜2台，EPS控制柜及电源2套，疏散指示标志7</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个，常闭防火门2樘，防火卷帘门1樘。</w:t>
      </w:r>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bookmarkStart w:id="15" w:name="_Toc741"/>
      <w:bookmarkStart w:id="16" w:name="_Toc26495"/>
      <w:bookmarkStart w:id="17" w:name="_Toc32519"/>
      <w:bookmarkStart w:id="18" w:name="_Toc2232"/>
      <w:bookmarkStart w:id="19" w:name="_Toc13408"/>
      <w:bookmarkStart w:id="20" w:name="_Toc27924"/>
      <w:r>
        <w:rPr>
          <w:rFonts w:hint="default" w:ascii="Times New Roman" w:hAnsi="Times New Roman" w:eastAsia="方正仿宋_GBK" w:cs="Times New Roman"/>
          <w:color w:val="auto"/>
          <w:sz w:val="28"/>
          <w:szCs w:val="28"/>
          <w:highlight w:val="none"/>
        </w:rPr>
        <w:t>1.2</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T2航站楼</w:t>
      </w:r>
      <w:bookmarkEnd w:id="15"/>
      <w:bookmarkEnd w:id="16"/>
      <w:bookmarkEnd w:id="17"/>
      <w:bookmarkEnd w:id="18"/>
      <w:bookmarkEnd w:id="19"/>
      <w:bookmarkEnd w:id="20"/>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T2航站楼由</w:t>
      </w:r>
      <w:r>
        <w:rPr>
          <w:rFonts w:hint="default" w:ascii="Times New Roman" w:hAnsi="Times New Roman" w:eastAsia="方正仿宋_GBK" w:cs="Times New Roman"/>
          <w:color w:val="auto"/>
          <w:sz w:val="28"/>
          <w:szCs w:val="28"/>
          <w:highlight w:val="none"/>
        </w:rPr>
        <w:t>T2A航站楼和T2B航站楼</w:t>
      </w:r>
      <w:r>
        <w:rPr>
          <w:rFonts w:hint="default" w:ascii="Times New Roman" w:hAnsi="Times New Roman" w:eastAsia="方正仿宋_GBK" w:cs="Times New Roman"/>
          <w:color w:val="auto"/>
          <w:sz w:val="28"/>
          <w:szCs w:val="28"/>
          <w:highlight w:val="none"/>
          <w:lang w:val="en-US" w:eastAsia="zh-CN"/>
        </w:rPr>
        <w:t>组成，</w:t>
      </w:r>
      <w:r>
        <w:rPr>
          <w:rFonts w:hint="default" w:ascii="Times New Roman" w:hAnsi="Times New Roman" w:eastAsia="方正仿宋_GBK" w:cs="Times New Roman"/>
          <w:color w:val="auto"/>
          <w:sz w:val="28"/>
          <w:szCs w:val="28"/>
          <w:highlight w:val="none"/>
        </w:rPr>
        <w:t>总建筑面积1</w:t>
      </w:r>
      <w:r>
        <w:rPr>
          <w:rFonts w:hint="eastAsia" w:ascii="Times New Roman" w:hAnsi="Times New Roman" w:eastAsia="方正仿宋_GBK" w:cs="Times New Roman"/>
          <w:color w:val="auto"/>
          <w:sz w:val="28"/>
          <w:szCs w:val="28"/>
          <w:highlight w:val="none"/>
          <w:lang w:val="en-US" w:eastAsia="zh-CN"/>
        </w:rPr>
        <w:t>7.56</w:t>
      </w:r>
      <w:r>
        <w:rPr>
          <w:rFonts w:hint="default" w:ascii="Times New Roman" w:hAnsi="Times New Roman" w:eastAsia="方正仿宋_GBK" w:cs="Times New Roman"/>
          <w:color w:val="auto"/>
          <w:sz w:val="28"/>
          <w:szCs w:val="28"/>
          <w:highlight w:val="none"/>
        </w:rPr>
        <w:t>万平方米。T2A航站楼消防设施设备有报警主机</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台（西门子）、烟感2</w:t>
      </w:r>
      <w:r>
        <w:rPr>
          <w:rFonts w:hint="eastAsia" w:ascii="Times New Roman" w:hAnsi="Times New Roman" w:eastAsia="方正仿宋_GBK" w:cs="Times New Roman"/>
          <w:color w:val="auto"/>
          <w:sz w:val="28"/>
          <w:szCs w:val="28"/>
          <w:highlight w:val="none"/>
          <w:lang w:val="en-US" w:eastAsia="zh-CN"/>
        </w:rPr>
        <w:t>032</w:t>
      </w:r>
      <w:r>
        <w:rPr>
          <w:rFonts w:hint="default" w:ascii="Times New Roman" w:hAnsi="Times New Roman" w:eastAsia="方正仿宋_GBK" w:cs="Times New Roman"/>
          <w:color w:val="auto"/>
          <w:sz w:val="28"/>
          <w:szCs w:val="28"/>
          <w:highlight w:val="none"/>
        </w:rPr>
        <w:t>套、温感</w:t>
      </w:r>
      <w:r>
        <w:rPr>
          <w:rFonts w:hint="eastAsia" w:ascii="Times New Roman" w:hAnsi="Times New Roman" w:eastAsia="方正仿宋_GBK" w:cs="Times New Roman"/>
          <w:color w:val="auto"/>
          <w:sz w:val="28"/>
          <w:szCs w:val="28"/>
          <w:highlight w:val="none"/>
          <w:lang w:val="en-US" w:eastAsia="zh-CN"/>
        </w:rPr>
        <w:t>194</w:t>
      </w:r>
      <w:r>
        <w:rPr>
          <w:rFonts w:hint="default" w:ascii="Times New Roman" w:hAnsi="Times New Roman" w:eastAsia="方正仿宋_GBK" w:cs="Times New Roman"/>
          <w:color w:val="auto"/>
          <w:sz w:val="28"/>
          <w:szCs w:val="28"/>
          <w:highlight w:val="none"/>
        </w:rPr>
        <w:t>套、手报1</w:t>
      </w:r>
      <w:r>
        <w:rPr>
          <w:rFonts w:hint="eastAsia" w:ascii="Times New Roman" w:hAnsi="Times New Roman" w:eastAsia="方正仿宋_GBK" w:cs="Times New Roman"/>
          <w:color w:val="auto"/>
          <w:sz w:val="28"/>
          <w:szCs w:val="28"/>
          <w:highlight w:val="none"/>
          <w:lang w:val="en-US" w:eastAsia="zh-CN"/>
        </w:rPr>
        <w:t>76</w:t>
      </w:r>
      <w:r>
        <w:rPr>
          <w:rFonts w:hint="default" w:ascii="Times New Roman" w:hAnsi="Times New Roman" w:eastAsia="方正仿宋_GBK" w:cs="Times New Roman"/>
          <w:color w:val="auto"/>
          <w:sz w:val="28"/>
          <w:szCs w:val="28"/>
          <w:highlight w:val="none"/>
        </w:rPr>
        <w:t>套、联动点位数量</w:t>
      </w:r>
      <w:r>
        <w:rPr>
          <w:rFonts w:hint="eastAsia" w:ascii="Times New Roman" w:hAnsi="Times New Roman" w:eastAsia="方正仿宋_GBK" w:cs="Times New Roman"/>
          <w:color w:val="auto"/>
          <w:sz w:val="28"/>
          <w:szCs w:val="28"/>
          <w:highlight w:val="none"/>
          <w:lang w:val="en-US" w:eastAsia="zh-CN"/>
        </w:rPr>
        <w:t>563</w:t>
      </w:r>
      <w:r>
        <w:rPr>
          <w:rFonts w:hint="default" w:ascii="Times New Roman" w:hAnsi="Times New Roman" w:eastAsia="方正仿宋_GBK" w:cs="Times New Roman"/>
          <w:color w:val="auto"/>
          <w:sz w:val="28"/>
          <w:szCs w:val="28"/>
          <w:highlight w:val="none"/>
        </w:rPr>
        <w:t>个、喷淋头7500个、室内栓260个、消防水炮16套、消防水炮视频监控器2套、消防水炮报警联动主机1台（科大立安）、水泵</w:t>
      </w:r>
      <w:r>
        <w:rPr>
          <w:rFonts w:hint="eastAsia" w:ascii="Times New Roman" w:hAnsi="Times New Roman" w:eastAsia="方正仿宋_GBK" w:cs="Times New Roman"/>
          <w:color w:val="auto"/>
          <w:sz w:val="28"/>
          <w:szCs w:val="28"/>
          <w:highlight w:val="none"/>
          <w:lang w:val="en-US" w:eastAsia="zh-CN"/>
        </w:rPr>
        <w:t>接合器6</w:t>
      </w:r>
      <w:r>
        <w:rPr>
          <w:rFonts w:hint="default" w:ascii="Times New Roman" w:hAnsi="Times New Roman" w:eastAsia="方正仿宋_GBK" w:cs="Times New Roman"/>
          <w:color w:val="auto"/>
          <w:sz w:val="28"/>
          <w:szCs w:val="28"/>
          <w:highlight w:val="none"/>
        </w:rPr>
        <w:t>套、防火分区16个、防火卷帘37樘、灭火器600具、自救式呼吸器260具、启动钢瓶62个、储气钢瓶164个（类型：IG541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容量：90L/瓶）、消防广播1套、防排烟风机</w:t>
      </w:r>
      <w:r>
        <w:rPr>
          <w:rFonts w:hint="eastAsia" w:ascii="Times New Roman" w:hAnsi="Times New Roman" w:eastAsia="方正仿宋_GBK" w:cs="Times New Roman"/>
          <w:color w:val="auto"/>
          <w:sz w:val="28"/>
          <w:szCs w:val="28"/>
          <w:highlight w:val="none"/>
          <w:lang w:val="en-US" w:eastAsia="zh-CN"/>
        </w:rPr>
        <w:t>42</w:t>
      </w:r>
      <w:r>
        <w:rPr>
          <w:rFonts w:hint="default" w:ascii="Times New Roman" w:hAnsi="Times New Roman" w:eastAsia="方正仿宋_GBK" w:cs="Times New Roman"/>
          <w:color w:val="auto"/>
          <w:sz w:val="28"/>
          <w:szCs w:val="28"/>
          <w:highlight w:val="none"/>
        </w:rPr>
        <w:t>台、防火排烟阀</w:t>
      </w:r>
      <w:r>
        <w:rPr>
          <w:rFonts w:hint="eastAsia" w:ascii="Times New Roman" w:hAnsi="Times New Roman" w:eastAsia="方正仿宋_GBK" w:cs="Times New Roman"/>
          <w:color w:val="auto"/>
          <w:sz w:val="28"/>
          <w:szCs w:val="28"/>
          <w:highlight w:val="none"/>
          <w:lang w:val="en-US" w:eastAsia="zh-CN"/>
        </w:rPr>
        <w:t>98</w:t>
      </w:r>
      <w:r>
        <w:rPr>
          <w:rFonts w:hint="default" w:ascii="Times New Roman" w:hAnsi="Times New Roman" w:eastAsia="方正仿宋_GBK" w:cs="Times New Roman"/>
          <w:color w:val="auto"/>
          <w:sz w:val="28"/>
          <w:szCs w:val="28"/>
          <w:highlight w:val="none"/>
        </w:rPr>
        <w:t>台、疏散指示应急照明</w:t>
      </w:r>
      <w:r>
        <w:rPr>
          <w:rFonts w:hint="eastAsia" w:ascii="Times New Roman" w:hAnsi="Times New Roman" w:eastAsia="方正仿宋_GBK" w:cs="Times New Roman"/>
          <w:color w:val="auto"/>
          <w:sz w:val="28"/>
          <w:szCs w:val="28"/>
          <w:highlight w:val="none"/>
          <w:lang w:val="en-US" w:eastAsia="zh-CN"/>
        </w:rPr>
        <w:t>945</w:t>
      </w:r>
      <w:r>
        <w:rPr>
          <w:rFonts w:hint="default" w:ascii="Times New Roman" w:hAnsi="Times New Roman" w:eastAsia="方正仿宋_GBK" w:cs="Times New Roman"/>
          <w:color w:val="auto"/>
          <w:sz w:val="28"/>
          <w:szCs w:val="28"/>
          <w:highlight w:val="none"/>
        </w:rPr>
        <w:t>个、电梯1</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部、防火门420樘、消防电源52个、稳压罐6台、消防泵6套等。</w:t>
      </w:r>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T2B航站楼报警主机</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台（西门子）、烟感1</w:t>
      </w:r>
      <w:r>
        <w:rPr>
          <w:rFonts w:hint="eastAsia" w:ascii="Times New Roman" w:hAnsi="Times New Roman" w:eastAsia="方正仿宋_GBK" w:cs="Times New Roman"/>
          <w:color w:val="auto"/>
          <w:sz w:val="28"/>
          <w:szCs w:val="28"/>
          <w:highlight w:val="none"/>
          <w:lang w:val="en-US" w:eastAsia="zh-CN"/>
        </w:rPr>
        <w:t>49</w:t>
      </w:r>
      <w:r>
        <w:rPr>
          <w:rFonts w:hint="default" w:ascii="Times New Roman" w:hAnsi="Times New Roman" w:eastAsia="方正仿宋_GBK" w:cs="Times New Roman"/>
          <w:color w:val="auto"/>
          <w:sz w:val="28"/>
          <w:szCs w:val="28"/>
          <w:highlight w:val="none"/>
        </w:rPr>
        <w:t>5套、温感</w:t>
      </w:r>
      <w:r>
        <w:rPr>
          <w:rFonts w:hint="eastAsia" w:ascii="Times New Roman" w:hAnsi="Times New Roman" w:eastAsia="方正仿宋_GBK" w:cs="Times New Roman"/>
          <w:color w:val="auto"/>
          <w:sz w:val="28"/>
          <w:szCs w:val="28"/>
          <w:highlight w:val="none"/>
          <w:lang w:val="en-US" w:eastAsia="zh-CN"/>
        </w:rPr>
        <w:t>323</w:t>
      </w:r>
      <w:r>
        <w:rPr>
          <w:rFonts w:hint="default" w:ascii="Times New Roman" w:hAnsi="Times New Roman" w:eastAsia="方正仿宋_GBK" w:cs="Times New Roman"/>
          <w:color w:val="auto"/>
          <w:sz w:val="28"/>
          <w:szCs w:val="28"/>
          <w:highlight w:val="none"/>
        </w:rPr>
        <w:t>套、手报20</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套、联动点位数量4</w:t>
      </w:r>
      <w:r>
        <w:rPr>
          <w:rFonts w:hint="eastAsia" w:ascii="Times New Roman" w:hAnsi="Times New Roman" w:eastAsia="方正仿宋_GBK" w:cs="Times New Roman"/>
          <w:color w:val="auto"/>
          <w:sz w:val="28"/>
          <w:szCs w:val="28"/>
          <w:highlight w:val="none"/>
          <w:lang w:val="en-US" w:eastAsia="zh-CN"/>
        </w:rPr>
        <w:t>18</w:t>
      </w:r>
      <w:r>
        <w:rPr>
          <w:rFonts w:hint="default" w:ascii="Times New Roman" w:hAnsi="Times New Roman" w:eastAsia="方正仿宋_GBK" w:cs="Times New Roman"/>
          <w:color w:val="auto"/>
          <w:sz w:val="28"/>
          <w:szCs w:val="28"/>
          <w:highlight w:val="none"/>
        </w:rPr>
        <w:t>个、喷淋头5214个、室内栓245个、水泵</w:t>
      </w:r>
      <w:r>
        <w:rPr>
          <w:rFonts w:hint="eastAsia" w:ascii="Times New Roman" w:hAnsi="Times New Roman" w:eastAsia="方正仿宋_GBK" w:cs="Times New Roman"/>
          <w:color w:val="auto"/>
          <w:sz w:val="28"/>
          <w:szCs w:val="28"/>
          <w:highlight w:val="none"/>
          <w:lang w:eastAsia="zh-CN"/>
        </w:rPr>
        <w:t>接合器</w:t>
      </w:r>
      <w:r>
        <w:rPr>
          <w:rFonts w:hint="default" w:ascii="Times New Roman" w:hAnsi="Times New Roman" w:eastAsia="方正仿宋_GBK" w:cs="Times New Roman"/>
          <w:color w:val="auto"/>
          <w:sz w:val="28"/>
          <w:szCs w:val="28"/>
          <w:highlight w:val="none"/>
        </w:rPr>
        <w:t>4套、防火分区3</w:t>
      </w:r>
      <w:r>
        <w:rPr>
          <w:rFonts w:hint="eastAsia" w:ascii="Times New Roman" w:hAnsi="Times New Roman" w:eastAsia="方正仿宋_GBK" w:cs="Times New Roman"/>
          <w:color w:val="auto"/>
          <w:sz w:val="28"/>
          <w:szCs w:val="28"/>
          <w:highlight w:val="none"/>
          <w:lang w:val="en-US" w:eastAsia="zh-CN"/>
        </w:rPr>
        <w:t>0</w:t>
      </w:r>
      <w:r>
        <w:rPr>
          <w:rFonts w:hint="default" w:ascii="Times New Roman" w:hAnsi="Times New Roman" w:eastAsia="方正仿宋_GBK" w:cs="Times New Roman"/>
          <w:color w:val="auto"/>
          <w:sz w:val="28"/>
          <w:szCs w:val="28"/>
          <w:highlight w:val="none"/>
        </w:rPr>
        <w:t>个、防火卷帘</w:t>
      </w:r>
      <w:r>
        <w:rPr>
          <w:rFonts w:hint="eastAsia" w:ascii="Times New Roman" w:hAnsi="Times New Roman" w:eastAsia="方正仿宋_GBK" w:cs="Times New Roman"/>
          <w:color w:val="auto"/>
          <w:sz w:val="28"/>
          <w:szCs w:val="28"/>
          <w:highlight w:val="none"/>
          <w:lang w:val="en-US" w:eastAsia="zh-CN"/>
        </w:rPr>
        <w:t>30</w:t>
      </w:r>
      <w:r>
        <w:rPr>
          <w:rFonts w:hint="default" w:ascii="Times New Roman" w:hAnsi="Times New Roman" w:eastAsia="方正仿宋_GBK" w:cs="Times New Roman"/>
          <w:color w:val="auto"/>
          <w:sz w:val="28"/>
          <w:szCs w:val="28"/>
          <w:highlight w:val="none"/>
        </w:rPr>
        <w:t>樘、灭火器 780具、自救式呼吸器200具、启动钢瓶28个，储气钢瓶111个（类型：IG541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容量：90L/瓶）、消防广播1套、防排烟风机</w:t>
      </w:r>
      <w:r>
        <w:rPr>
          <w:rFonts w:hint="eastAsia" w:ascii="Times New Roman" w:hAnsi="Times New Roman" w:eastAsia="方正仿宋_GBK" w:cs="Times New Roman"/>
          <w:color w:val="auto"/>
          <w:sz w:val="28"/>
          <w:szCs w:val="28"/>
          <w:highlight w:val="none"/>
          <w:lang w:val="en-US" w:eastAsia="zh-CN"/>
        </w:rPr>
        <w:t>12</w:t>
      </w:r>
      <w:r>
        <w:rPr>
          <w:rFonts w:hint="default" w:ascii="Times New Roman" w:hAnsi="Times New Roman" w:eastAsia="方正仿宋_GBK" w:cs="Times New Roman"/>
          <w:color w:val="auto"/>
          <w:sz w:val="28"/>
          <w:szCs w:val="28"/>
          <w:highlight w:val="none"/>
        </w:rPr>
        <w:t>台、防火排烟阀</w:t>
      </w:r>
      <w:r>
        <w:rPr>
          <w:rFonts w:hint="eastAsia" w:ascii="Times New Roman" w:hAnsi="Times New Roman" w:eastAsia="方正仿宋_GBK" w:cs="Times New Roman"/>
          <w:color w:val="auto"/>
          <w:sz w:val="28"/>
          <w:szCs w:val="28"/>
          <w:highlight w:val="none"/>
          <w:lang w:val="en-US" w:eastAsia="zh-CN"/>
        </w:rPr>
        <w:t>48</w:t>
      </w:r>
      <w:r>
        <w:rPr>
          <w:rFonts w:hint="default" w:ascii="Times New Roman" w:hAnsi="Times New Roman" w:eastAsia="方正仿宋_GBK" w:cs="Times New Roman"/>
          <w:color w:val="auto"/>
          <w:sz w:val="28"/>
          <w:szCs w:val="28"/>
          <w:highlight w:val="none"/>
        </w:rPr>
        <w:t>台、疏散指示应急照明</w:t>
      </w:r>
      <w:r>
        <w:rPr>
          <w:rFonts w:hint="eastAsia" w:ascii="Times New Roman" w:hAnsi="Times New Roman" w:eastAsia="方正仿宋_GBK" w:cs="Times New Roman"/>
          <w:color w:val="auto"/>
          <w:sz w:val="28"/>
          <w:szCs w:val="28"/>
          <w:highlight w:val="none"/>
          <w:lang w:val="en-US" w:eastAsia="zh-CN"/>
        </w:rPr>
        <w:t>761</w:t>
      </w:r>
      <w:r>
        <w:rPr>
          <w:rFonts w:hint="default" w:ascii="Times New Roman" w:hAnsi="Times New Roman" w:eastAsia="方正仿宋_GBK" w:cs="Times New Roman"/>
          <w:color w:val="auto"/>
          <w:sz w:val="28"/>
          <w:szCs w:val="28"/>
          <w:highlight w:val="none"/>
        </w:rPr>
        <w:t>个、电梯14部、防火门420樘、消防电源42个、稳压罐4台、消防泵4套等。</w:t>
      </w:r>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bookmarkStart w:id="21" w:name="_Toc5706"/>
      <w:bookmarkStart w:id="22" w:name="_Toc5146"/>
      <w:bookmarkStart w:id="23" w:name="_Toc13476"/>
      <w:r>
        <w:rPr>
          <w:rFonts w:hint="default" w:ascii="Times New Roman" w:hAnsi="Times New Roman" w:eastAsia="方正仿宋_GBK" w:cs="Times New Roman"/>
          <w:color w:val="auto"/>
          <w:sz w:val="28"/>
          <w:szCs w:val="28"/>
          <w:highlight w:val="none"/>
        </w:rPr>
        <w:t>1.3</w:t>
      </w:r>
      <w:bookmarkEnd w:id="21"/>
      <w:bookmarkEnd w:id="22"/>
      <w:bookmarkEnd w:id="23"/>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T3A航站楼（含APM通道及服务车道）</w:t>
      </w:r>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T3A航站楼（含APM通道及服务车道）总建筑面积53.</w:t>
      </w:r>
      <w:r>
        <w:rPr>
          <w:rFonts w:hint="default" w:ascii="Times New Roman" w:hAnsi="Times New Roman" w:eastAsia="方正仿宋_GBK" w:cs="Times New Roman"/>
          <w:color w:val="auto"/>
          <w:sz w:val="28"/>
          <w:szCs w:val="28"/>
          <w:highlight w:val="none"/>
          <w:lang w:val="en-US" w:eastAsia="zh-CN"/>
        </w:rPr>
        <w:t>63</w:t>
      </w:r>
      <w:r>
        <w:rPr>
          <w:rFonts w:hint="default" w:ascii="Times New Roman" w:hAnsi="Times New Roman" w:eastAsia="方正仿宋_GBK" w:cs="Times New Roman"/>
          <w:color w:val="auto"/>
          <w:sz w:val="28"/>
          <w:szCs w:val="28"/>
          <w:highlight w:val="none"/>
        </w:rPr>
        <w:t>万平方米，消防设施设备有双波段信息处理主机1台、光截面信息处理主机1台、电气火灾监控系统信息处理主机</w:t>
      </w: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台、集中控制型应急照明系统控制主机</w:t>
      </w: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rPr>
        <w:t>台、火灾自动报警系统主机1</w:t>
      </w:r>
      <w:r>
        <w:rPr>
          <w:rFonts w:hint="eastAsia" w:ascii="Times New Roman" w:hAnsi="Times New Roman" w:eastAsia="方正仿宋_GBK" w:cs="Times New Roman"/>
          <w:color w:val="auto"/>
          <w:sz w:val="28"/>
          <w:szCs w:val="28"/>
          <w:highlight w:val="none"/>
          <w:lang w:val="en-US" w:eastAsia="zh-CN"/>
        </w:rPr>
        <w:t>8</w:t>
      </w:r>
      <w:r>
        <w:rPr>
          <w:rFonts w:hint="default" w:ascii="Times New Roman" w:hAnsi="Times New Roman" w:eastAsia="方正仿宋_GBK" w:cs="Times New Roman"/>
          <w:color w:val="auto"/>
          <w:sz w:val="28"/>
          <w:szCs w:val="28"/>
          <w:highlight w:val="none"/>
        </w:rPr>
        <w:t>台（安舍）、烟感15646套、温感1141套、手报709套、声光报警器752个、联动点位数量4000个、喷淋头7500个、室内消火栓2009个、消防水炮54套、消防水炮视频监控器1套、消防水炮报警联动主机1台（</w:t>
      </w:r>
      <w:r>
        <w:rPr>
          <w:rFonts w:hint="eastAsia" w:ascii="Times New Roman" w:hAnsi="Times New Roman" w:eastAsia="方正仿宋_GBK" w:cs="Times New Roman"/>
          <w:color w:val="auto"/>
          <w:sz w:val="28"/>
          <w:szCs w:val="28"/>
          <w:highlight w:val="none"/>
          <w:lang w:val="en-US" w:eastAsia="zh-CN"/>
        </w:rPr>
        <w:t>天雨</w:t>
      </w:r>
      <w:r>
        <w:rPr>
          <w:rFonts w:hint="default" w:ascii="Times New Roman" w:hAnsi="Times New Roman" w:eastAsia="方正仿宋_GBK" w:cs="Times New Roman"/>
          <w:color w:val="auto"/>
          <w:sz w:val="28"/>
          <w:szCs w:val="28"/>
          <w:highlight w:val="none"/>
        </w:rPr>
        <w:t>）、水泵</w:t>
      </w:r>
      <w:r>
        <w:rPr>
          <w:rFonts w:hint="eastAsia" w:ascii="Times New Roman" w:hAnsi="Times New Roman" w:eastAsia="方正仿宋_GBK" w:cs="Times New Roman"/>
          <w:color w:val="auto"/>
          <w:sz w:val="28"/>
          <w:szCs w:val="28"/>
          <w:highlight w:val="none"/>
          <w:lang w:eastAsia="zh-CN"/>
        </w:rPr>
        <w:t>接合器</w:t>
      </w:r>
      <w:r>
        <w:rPr>
          <w:rFonts w:hint="default" w:ascii="Times New Roman" w:hAnsi="Times New Roman" w:eastAsia="方正仿宋_GBK" w:cs="Times New Roman"/>
          <w:color w:val="auto"/>
          <w:sz w:val="28"/>
          <w:szCs w:val="28"/>
          <w:highlight w:val="none"/>
        </w:rPr>
        <w:t>22套、防火分区5</w:t>
      </w:r>
      <w:r>
        <w:rPr>
          <w:rFonts w:hint="eastAsia" w:ascii="Times New Roman" w:hAnsi="Times New Roman" w:eastAsia="方正仿宋_GBK" w:cs="Times New Roman"/>
          <w:color w:val="auto"/>
          <w:sz w:val="28"/>
          <w:szCs w:val="28"/>
          <w:highlight w:val="none"/>
          <w:lang w:val="en-US" w:eastAsia="zh-CN"/>
        </w:rPr>
        <w:t>2</w:t>
      </w:r>
      <w:r>
        <w:rPr>
          <w:rFonts w:hint="default" w:ascii="Times New Roman" w:hAnsi="Times New Roman" w:eastAsia="方正仿宋_GBK" w:cs="Times New Roman"/>
          <w:color w:val="auto"/>
          <w:sz w:val="28"/>
          <w:szCs w:val="28"/>
          <w:highlight w:val="none"/>
        </w:rPr>
        <w:t>个、防火控制区1</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个、防火卷帘1</w:t>
      </w:r>
      <w:r>
        <w:rPr>
          <w:rFonts w:hint="eastAsia" w:ascii="Times New Roman" w:hAnsi="Times New Roman" w:eastAsia="方正仿宋_GBK" w:cs="Times New Roman"/>
          <w:color w:val="auto"/>
          <w:sz w:val="28"/>
          <w:szCs w:val="28"/>
          <w:highlight w:val="none"/>
          <w:lang w:val="en-US" w:eastAsia="zh-CN"/>
        </w:rPr>
        <w:t>9</w:t>
      </w:r>
      <w:r>
        <w:rPr>
          <w:rFonts w:hint="default" w:ascii="Times New Roman" w:hAnsi="Times New Roman" w:eastAsia="方正仿宋_GBK" w:cs="Times New Roman"/>
          <w:color w:val="auto"/>
          <w:sz w:val="28"/>
          <w:szCs w:val="28"/>
          <w:highlight w:val="none"/>
        </w:rPr>
        <w:t>1樘、灭火器4018具、自救式呼吸器260具、启动钢瓶50个、储气钢瓶505个（类型：IG541</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容量：90L/瓶）、七氟丙烷初期钢瓶448个</w:t>
      </w:r>
      <w:r>
        <w:rPr>
          <w:rFonts w:hint="eastAsia"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消防广播1套、防排烟风机</w:t>
      </w:r>
      <w:r>
        <w:rPr>
          <w:rFonts w:hint="eastAsia" w:ascii="Times New Roman" w:hAnsi="Times New Roman" w:eastAsia="方正仿宋_GBK" w:cs="Times New Roman"/>
          <w:color w:val="auto"/>
          <w:sz w:val="28"/>
          <w:szCs w:val="28"/>
          <w:highlight w:val="none"/>
          <w:lang w:val="en-US" w:eastAsia="zh-CN"/>
        </w:rPr>
        <w:t>249</w:t>
      </w:r>
      <w:r>
        <w:rPr>
          <w:rFonts w:hint="default" w:ascii="Times New Roman" w:hAnsi="Times New Roman" w:eastAsia="方正仿宋_GBK" w:cs="Times New Roman"/>
          <w:color w:val="auto"/>
          <w:sz w:val="28"/>
          <w:szCs w:val="28"/>
          <w:highlight w:val="none"/>
        </w:rPr>
        <w:t>台、防火排烟阀2940台、疏散指示应急照明13052个、7部消防电梯、防火门416樘、消防电源152个、隔膜式气压罐3套、消防泵13套等。</w:t>
      </w:r>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1.4 综合交通枢纽楼（含延伸区、客运站站场）</w:t>
      </w:r>
    </w:p>
    <w:p>
      <w:pPr>
        <w:pageBreakBefore w:val="0"/>
        <w:kinsoku/>
        <w:overflowPunct/>
        <w:bidi w:val="0"/>
        <w:spacing w:line="560" w:lineRule="exact"/>
        <w:ind w:firstLine="560" w:firstLineChars="200"/>
        <w:rPr>
          <w:rFonts w:hint="default" w:ascii="Times New Roman" w:hAnsi="Times New Roman" w:eastAsia="方正仿宋_GBK" w:cs="Times New Roman"/>
          <w:color w:val="auto"/>
          <w:sz w:val="28"/>
          <w:szCs w:val="28"/>
          <w:highlight w:val="yellow"/>
        </w:rPr>
      </w:pPr>
      <w:r>
        <w:rPr>
          <w:rFonts w:hint="default" w:ascii="Times New Roman" w:hAnsi="Times New Roman" w:eastAsia="方正仿宋_GBK" w:cs="Times New Roman"/>
          <w:color w:val="auto"/>
          <w:sz w:val="28"/>
          <w:szCs w:val="28"/>
          <w:highlight w:val="none"/>
        </w:rPr>
        <w:t>综合交通枢纽总建筑面积24.</w:t>
      </w:r>
      <w:r>
        <w:rPr>
          <w:rFonts w:hint="default" w:ascii="Times New Roman" w:hAnsi="Times New Roman" w:eastAsia="方正仿宋_GBK" w:cs="Times New Roman"/>
          <w:color w:val="auto"/>
          <w:sz w:val="28"/>
          <w:szCs w:val="28"/>
          <w:highlight w:val="none"/>
          <w:lang w:val="en-US" w:eastAsia="zh-CN"/>
        </w:rPr>
        <w:t>1</w:t>
      </w:r>
      <w:r>
        <w:rPr>
          <w:rFonts w:hint="default" w:ascii="Times New Roman" w:hAnsi="Times New Roman" w:eastAsia="方正仿宋_GBK" w:cs="Times New Roman"/>
          <w:color w:val="auto"/>
          <w:sz w:val="28"/>
          <w:szCs w:val="28"/>
          <w:highlight w:val="none"/>
        </w:rPr>
        <w:t>万平方米，消防设施设备有双波段信息处理主机1台、电气火灾监控系统信息处理主机2台、电气火灾监控系统信息处理分机5台、电气火灾监控区域76个、集中控制型应急照明系统控制主机1台、智能疏散控制柜1台、EPS控制柜7</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台、火灾自动报警系统主机10台（西门子）、煤气探测器</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套、烟感</w:t>
      </w:r>
      <w:r>
        <w:rPr>
          <w:rFonts w:hint="eastAsia" w:ascii="Times New Roman" w:hAnsi="Times New Roman" w:eastAsia="方正仿宋_GBK" w:cs="Times New Roman"/>
          <w:color w:val="auto"/>
          <w:sz w:val="28"/>
          <w:szCs w:val="28"/>
          <w:highlight w:val="none"/>
          <w:lang w:val="en-US" w:eastAsia="zh-CN"/>
        </w:rPr>
        <w:t>6878</w:t>
      </w:r>
      <w:r>
        <w:rPr>
          <w:rFonts w:hint="default" w:ascii="Times New Roman" w:hAnsi="Times New Roman" w:eastAsia="方正仿宋_GBK" w:cs="Times New Roman"/>
          <w:color w:val="auto"/>
          <w:sz w:val="28"/>
          <w:szCs w:val="28"/>
          <w:highlight w:val="none"/>
        </w:rPr>
        <w:t>套、温感</w:t>
      </w:r>
      <w:r>
        <w:rPr>
          <w:rFonts w:hint="eastAsia" w:ascii="Times New Roman" w:hAnsi="Times New Roman" w:eastAsia="方正仿宋_GBK" w:cs="Times New Roman"/>
          <w:color w:val="auto"/>
          <w:sz w:val="28"/>
          <w:szCs w:val="28"/>
          <w:highlight w:val="none"/>
          <w:lang w:val="en-US" w:eastAsia="zh-CN"/>
        </w:rPr>
        <w:t>662</w:t>
      </w:r>
      <w:r>
        <w:rPr>
          <w:rFonts w:hint="default" w:ascii="Times New Roman" w:hAnsi="Times New Roman" w:eastAsia="方正仿宋_GBK" w:cs="Times New Roman"/>
          <w:color w:val="auto"/>
          <w:sz w:val="28"/>
          <w:szCs w:val="28"/>
          <w:highlight w:val="none"/>
        </w:rPr>
        <w:t>套、双波段探测器20个、线型光束探测感烟系统和分布式感温光纤24套、手报2</w:t>
      </w:r>
      <w:r>
        <w:rPr>
          <w:rFonts w:hint="eastAsia" w:ascii="Times New Roman" w:hAnsi="Times New Roman" w:eastAsia="方正仿宋_GBK" w:cs="Times New Roman"/>
          <w:color w:val="auto"/>
          <w:sz w:val="28"/>
          <w:szCs w:val="28"/>
          <w:highlight w:val="none"/>
          <w:lang w:val="en-US" w:eastAsia="zh-CN"/>
        </w:rPr>
        <w:t>90</w:t>
      </w:r>
      <w:r>
        <w:rPr>
          <w:rFonts w:hint="default" w:ascii="Times New Roman" w:hAnsi="Times New Roman" w:eastAsia="方正仿宋_GBK" w:cs="Times New Roman"/>
          <w:color w:val="auto"/>
          <w:sz w:val="28"/>
          <w:szCs w:val="28"/>
          <w:highlight w:val="none"/>
        </w:rPr>
        <w:t>套、声光报警器</w:t>
      </w:r>
      <w:r>
        <w:rPr>
          <w:rFonts w:hint="eastAsia" w:ascii="Times New Roman" w:hAnsi="Times New Roman" w:eastAsia="方正仿宋_GBK" w:cs="Times New Roman"/>
          <w:color w:val="auto"/>
          <w:sz w:val="28"/>
          <w:szCs w:val="28"/>
          <w:highlight w:val="none"/>
          <w:lang w:val="en-US" w:eastAsia="zh-CN"/>
        </w:rPr>
        <w:t>228</w:t>
      </w:r>
      <w:r>
        <w:rPr>
          <w:rFonts w:hint="default" w:ascii="Times New Roman" w:hAnsi="Times New Roman" w:eastAsia="方正仿宋_GBK" w:cs="Times New Roman"/>
          <w:color w:val="auto"/>
          <w:sz w:val="28"/>
          <w:szCs w:val="28"/>
          <w:highlight w:val="none"/>
        </w:rPr>
        <w:t>个、联动点位数量</w:t>
      </w:r>
      <w:r>
        <w:rPr>
          <w:rFonts w:hint="eastAsia" w:ascii="Times New Roman" w:hAnsi="Times New Roman" w:eastAsia="方正仿宋_GBK" w:cs="Times New Roman"/>
          <w:color w:val="auto"/>
          <w:sz w:val="28"/>
          <w:szCs w:val="28"/>
          <w:highlight w:val="none"/>
          <w:lang w:val="en-US" w:eastAsia="zh-CN"/>
        </w:rPr>
        <w:t>891</w:t>
      </w:r>
      <w:r>
        <w:rPr>
          <w:rFonts w:hint="default" w:ascii="Times New Roman" w:hAnsi="Times New Roman" w:eastAsia="方正仿宋_GBK" w:cs="Times New Roman"/>
          <w:color w:val="auto"/>
          <w:sz w:val="28"/>
          <w:szCs w:val="28"/>
          <w:highlight w:val="none"/>
        </w:rPr>
        <w:t>个、喷淋头</w:t>
      </w:r>
      <w:r>
        <w:rPr>
          <w:rFonts w:hint="eastAsia" w:ascii="Times New Roman" w:hAnsi="Times New Roman" w:eastAsia="方正仿宋_GBK" w:cs="Times New Roman"/>
          <w:color w:val="auto"/>
          <w:sz w:val="28"/>
          <w:szCs w:val="28"/>
          <w:highlight w:val="none"/>
          <w:lang w:val="en-US" w:eastAsia="zh-CN"/>
        </w:rPr>
        <w:t>30500</w:t>
      </w:r>
      <w:r>
        <w:rPr>
          <w:rFonts w:hint="default" w:ascii="Times New Roman" w:hAnsi="Times New Roman" w:eastAsia="方正仿宋_GBK" w:cs="Times New Roman"/>
          <w:color w:val="auto"/>
          <w:sz w:val="28"/>
          <w:szCs w:val="28"/>
          <w:highlight w:val="none"/>
        </w:rPr>
        <w:t>个、消火栓6</w:t>
      </w:r>
      <w:r>
        <w:rPr>
          <w:rFonts w:hint="eastAsia" w:ascii="Times New Roman" w:hAnsi="Times New Roman" w:eastAsia="方正仿宋_GBK" w:cs="Times New Roman"/>
          <w:color w:val="auto"/>
          <w:sz w:val="28"/>
          <w:szCs w:val="28"/>
          <w:highlight w:val="none"/>
          <w:lang w:val="en-US" w:eastAsia="zh-CN"/>
        </w:rPr>
        <w:t>53</w:t>
      </w:r>
      <w:r>
        <w:rPr>
          <w:rFonts w:hint="default" w:ascii="Times New Roman" w:hAnsi="Times New Roman" w:eastAsia="方正仿宋_GBK" w:cs="Times New Roman"/>
          <w:color w:val="auto"/>
          <w:sz w:val="28"/>
          <w:szCs w:val="28"/>
          <w:highlight w:val="none"/>
        </w:rPr>
        <w:t>个、消防水炮23套、消防水炮视频监控器1套、消防水炮报警联动主机1台（</w:t>
      </w:r>
      <w:r>
        <w:rPr>
          <w:rFonts w:hint="eastAsia" w:ascii="Times New Roman" w:hAnsi="Times New Roman" w:eastAsia="方正仿宋_GBK" w:cs="Times New Roman"/>
          <w:color w:val="auto"/>
          <w:sz w:val="28"/>
          <w:szCs w:val="28"/>
          <w:highlight w:val="none"/>
          <w:lang w:val="en-US" w:eastAsia="zh-CN"/>
        </w:rPr>
        <w:t>天雨</w:t>
      </w:r>
      <w:r>
        <w:rPr>
          <w:rFonts w:hint="default" w:ascii="Times New Roman" w:hAnsi="Times New Roman" w:eastAsia="方正仿宋_GBK" w:cs="Times New Roman"/>
          <w:color w:val="auto"/>
          <w:sz w:val="28"/>
          <w:szCs w:val="28"/>
          <w:highlight w:val="none"/>
        </w:rPr>
        <w:t>）、水泵</w:t>
      </w:r>
      <w:r>
        <w:rPr>
          <w:rFonts w:hint="eastAsia" w:ascii="Times New Roman" w:hAnsi="Times New Roman" w:eastAsia="方正仿宋_GBK" w:cs="Times New Roman"/>
          <w:color w:val="auto"/>
          <w:sz w:val="28"/>
          <w:szCs w:val="28"/>
          <w:highlight w:val="none"/>
          <w:lang w:eastAsia="zh-CN"/>
        </w:rPr>
        <w:t>接合器</w:t>
      </w:r>
      <w:r>
        <w:rPr>
          <w:rFonts w:hint="eastAsia" w:ascii="Times New Roman" w:hAnsi="Times New Roman" w:eastAsia="方正仿宋_GBK" w:cs="Times New Roman"/>
          <w:color w:val="auto"/>
          <w:sz w:val="28"/>
          <w:szCs w:val="28"/>
          <w:highlight w:val="none"/>
          <w:lang w:val="en-US" w:eastAsia="zh-CN"/>
        </w:rPr>
        <w:t>7</w:t>
      </w:r>
      <w:r>
        <w:rPr>
          <w:rFonts w:hint="default" w:ascii="Times New Roman" w:hAnsi="Times New Roman" w:eastAsia="方正仿宋_GBK" w:cs="Times New Roman"/>
          <w:color w:val="auto"/>
          <w:sz w:val="28"/>
          <w:szCs w:val="28"/>
          <w:highlight w:val="none"/>
        </w:rPr>
        <w:t>套、防火分区</w:t>
      </w:r>
      <w:r>
        <w:rPr>
          <w:rFonts w:hint="eastAsia" w:ascii="Times New Roman" w:hAnsi="Times New Roman" w:eastAsia="方正仿宋_GBK" w:cs="Times New Roman"/>
          <w:color w:val="auto"/>
          <w:sz w:val="28"/>
          <w:szCs w:val="28"/>
          <w:highlight w:val="none"/>
          <w:lang w:val="en-US" w:eastAsia="zh-CN"/>
        </w:rPr>
        <w:t>67</w:t>
      </w:r>
      <w:r>
        <w:rPr>
          <w:rFonts w:hint="default" w:ascii="Times New Roman" w:hAnsi="Times New Roman" w:eastAsia="方正仿宋_GBK" w:cs="Times New Roman"/>
          <w:color w:val="auto"/>
          <w:sz w:val="28"/>
          <w:szCs w:val="28"/>
          <w:highlight w:val="none"/>
        </w:rPr>
        <w:t>个、防火卷帘3</w:t>
      </w:r>
      <w:r>
        <w:rPr>
          <w:rFonts w:hint="eastAsia" w:ascii="Times New Roman" w:hAnsi="Times New Roman" w:eastAsia="方正仿宋_GBK" w:cs="Times New Roman"/>
          <w:color w:val="auto"/>
          <w:sz w:val="28"/>
          <w:szCs w:val="28"/>
          <w:highlight w:val="none"/>
          <w:lang w:val="en-US" w:eastAsia="zh-CN"/>
        </w:rPr>
        <w:t>31</w:t>
      </w:r>
      <w:r>
        <w:rPr>
          <w:rFonts w:hint="default" w:ascii="Times New Roman" w:hAnsi="Times New Roman" w:eastAsia="方正仿宋_GBK" w:cs="Times New Roman"/>
          <w:color w:val="auto"/>
          <w:sz w:val="28"/>
          <w:szCs w:val="28"/>
          <w:highlight w:val="none"/>
        </w:rPr>
        <w:t>樘、灭火器13</w:t>
      </w:r>
      <w:r>
        <w:rPr>
          <w:rFonts w:hint="eastAsia" w:ascii="Times New Roman" w:hAnsi="Times New Roman" w:eastAsia="方正仿宋_GBK" w:cs="Times New Roman"/>
          <w:color w:val="auto"/>
          <w:sz w:val="28"/>
          <w:szCs w:val="28"/>
          <w:highlight w:val="none"/>
          <w:lang w:val="en-US" w:eastAsia="zh-CN"/>
        </w:rPr>
        <w:t>31</w:t>
      </w:r>
      <w:r>
        <w:rPr>
          <w:rFonts w:hint="default" w:ascii="Times New Roman" w:hAnsi="Times New Roman" w:eastAsia="方正仿宋_GBK" w:cs="Times New Roman"/>
          <w:color w:val="auto"/>
          <w:sz w:val="28"/>
          <w:szCs w:val="28"/>
          <w:highlight w:val="none"/>
        </w:rPr>
        <w:t>具、自救式呼吸器</w:t>
      </w:r>
      <w:r>
        <w:rPr>
          <w:rFonts w:hint="eastAsia" w:ascii="Times New Roman" w:hAnsi="Times New Roman" w:eastAsia="方正仿宋_GBK" w:cs="Times New Roman"/>
          <w:color w:val="auto"/>
          <w:sz w:val="28"/>
          <w:szCs w:val="28"/>
          <w:highlight w:val="none"/>
          <w:lang w:val="en-US" w:eastAsia="zh-CN"/>
        </w:rPr>
        <w:t>684</w:t>
      </w:r>
      <w:r>
        <w:rPr>
          <w:rFonts w:hint="default" w:ascii="Times New Roman" w:hAnsi="Times New Roman" w:eastAsia="方正仿宋_GBK" w:cs="Times New Roman"/>
          <w:color w:val="auto"/>
          <w:sz w:val="28"/>
          <w:szCs w:val="28"/>
          <w:highlight w:val="none"/>
        </w:rPr>
        <w:t>具、柜式气体灭火系统22套、消防广播1套、防排烟风机</w:t>
      </w:r>
      <w:r>
        <w:rPr>
          <w:rFonts w:hint="eastAsia" w:ascii="Times New Roman" w:hAnsi="Times New Roman" w:eastAsia="方正仿宋_GBK" w:cs="Times New Roman"/>
          <w:color w:val="auto"/>
          <w:sz w:val="28"/>
          <w:szCs w:val="28"/>
          <w:highlight w:val="none"/>
          <w:lang w:val="en-US" w:eastAsia="zh-CN"/>
        </w:rPr>
        <w:t>184</w:t>
      </w:r>
      <w:r>
        <w:rPr>
          <w:rFonts w:hint="default" w:ascii="Times New Roman" w:hAnsi="Times New Roman" w:eastAsia="方正仿宋_GBK" w:cs="Times New Roman"/>
          <w:color w:val="auto"/>
          <w:sz w:val="28"/>
          <w:szCs w:val="28"/>
          <w:highlight w:val="none"/>
        </w:rPr>
        <w:t>台、防火排烟阀266台、疏散指示2210个、应急照明</w:t>
      </w:r>
      <w:r>
        <w:rPr>
          <w:rFonts w:hint="eastAsia" w:ascii="Times New Roman" w:hAnsi="Times New Roman" w:eastAsia="方正仿宋_GBK" w:cs="Times New Roman"/>
          <w:color w:val="auto"/>
          <w:sz w:val="28"/>
          <w:szCs w:val="28"/>
          <w:highlight w:val="none"/>
          <w:lang w:val="en-US" w:eastAsia="zh-CN"/>
        </w:rPr>
        <w:t>1790个、</w:t>
      </w:r>
      <w:r>
        <w:rPr>
          <w:rFonts w:hint="default" w:ascii="Times New Roman" w:hAnsi="Times New Roman" w:eastAsia="方正仿宋_GBK" w:cs="Times New Roman"/>
          <w:color w:val="auto"/>
          <w:sz w:val="28"/>
          <w:szCs w:val="28"/>
          <w:highlight w:val="none"/>
        </w:rPr>
        <w:t>防火门235樘、隔膜式气压罐3套、消防泵</w:t>
      </w:r>
      <w:r>
        <w:rPr>
          <w:rFonts w:hint="eastAsia" w:ascii="Times New Roman" w:hAnsi="Times New Roman" w:eastAsia="方正仿宋_GBK" w:cs="Times New Roman"/>
          <w:color w:val="auto"/>
          <w:sz w:val="28"/>
          <w:szCs w:val="28"/>
          <w:highlight w:val="none"/>
          <w:lang w:val="en-US" w:eastAsia="zh-CN"/>
        </w:rPr>
        <w:t>6</w:t>
      </w:r>
      <w:r>
        <w:rPr>
          <w:rFonts w:hint="default" w:ascii="Times New Roman" w:hAnsi="Times New Roman" w:eastAsia="方正仿宋_GBK" w:cs="Times New Roman"/>
          <w:color w:val="auto"/>
          <w:sz w:val="28"/>
          <w:szCs w:val="28"/>
          <w:highlight w:val="none"/>
        </w:rPr>
        <w:t>套等。</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二、作业要求</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24" w:name="_Toc3137"/>
      <w:bookmarkStart w:id="25" w:name="_Toc3018"/>
      <w:bookmarkStart w:id="26" w:name="_Toc6421"/>
      <w:bookmarkStart w:id="27" w:name="_Toc12931"/>
      <w:bookmarkStart w:id="28" w:name="_Toc9836"/>
      <w:bookmarkStart w:id="29" w:name="_Toc17827"/>
      <w:r>
        <w:rPr>
          <w:rFonts w:hint="default" w:ascii="Times New Roman" w:hAnsi="Times New Roman" w:eastAsia="仿宋" w:cs="Times New Roman"/>
          <w:color w:val="auto"/>
          <w:sz w:val="28"/>
          <w:szCs w:val="28"/>
        </w:rPr>
        <w:t>2.1 证件办理及管理</w:t>
      </w:r>
      <w:bookmarkEnd w:id="24"/>
      <w:bookmarkEnd w:id="25"/>
      <w:bookmarkEnd w:id="26"/>
      <w:bookmarkEnd w:id="27"/>
      <w:bookmarkEnd w:id="28"/>
      <w:bookmarkEnd w:id="29"/>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2.1.1 参与航站楼消防安全评估和消防系统年度检测的人员必须持有效证件上岗。</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2.1.2 人员进出机场控制区内应佩戴安全检查站印发的临时通行证，并有指定的专人负责管理。</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2.1.3 测试材料及工具等必须按相关要求办理限制物品申请，限制物品应有专人管理，因限制物品管理不当造成影响的，由比选响应人自行承担。</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2.1.4 所产生的一切证件办理费用由比选响应人自行承担。</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30" w:name="_Toc21765"/>
      <w:bookmarkStart w:id="31" w:name="_Toc24604"/>
      <w:bookmarkStart w:id="32" w:name="_Toc27545"/>
      <w:bookmarkStart w:id="33" w:name="_Toc28523"/>
      <w:bookmarkStart w:id="34" w:name="_Toc17810"/>
      <w:bookmarkStart w:id="35" w:name="_Toc29243"/>
      <w:r>
        <w:rPr>
          <w:rFonts w:hint="default" w:ascii="Times New Roman" w:hAnsi="Times New Roman" w:eastAsia="仿宋" w:cs="Times New Roman"/>
          <w:color w:val="auto"/>
          <w:sz w:val="28"/>
          <w:szCs w:val="28"/>
        </w:rPr>
        <w:t>2.2 安全文明措施</w:t>
      </w:r>
      <w:bookmarkEnd w:id="30"/>
      <w:bookmarkEnd w:id="31"/>
      <w:bookmarkEnd w:id="32"/>
      <w:bookmarkEnd w:id="33"/>
      <w:bookmarkEnd w:id="34"/>
      <w:bookmarkEnd w:id="35"/>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2.2.1 比选响应人应指定一名项目负责人，对整个服务过程的安全问题负责。</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2.2.2 严格按照安全防护措施要求做好检测现场安全防护，措施不到位不得进行检测工作。</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2.2.3 检测时间严格遵守比选采购人相关要求，检测前应取得相关比选采购人的许可，检测结束后应告知比选采购人。</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2.2.4 比选响应人应严格遵守相关的法律、法规的要求，负责检测过程中的人身安全、消防安全及第三方安全。接受比选响应人现场监管人员的安全管理、监督。若在检测过程中发生不安全事件，导致人员伤亡，其一切责任均由比选响应人自行负责并承担相应的法律责任。</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36" w:name="_Toc29713"/>
      <w:bookmarkStart w:id="37" w:name="_Toc27682"/>
      <w:bookmarkStart w:id="38" w:name="_Toc10594"/>
      <w:bookmarkStart w:id="39" w:name="_Toc27368"/>
      <w:bookmarkStart w:id="40" w:name="_Toc21893"/>
      <w:bookmarkStart w:id="41" w:name="_Toc26429"/>
      <w:r>
        <w:rPr>
          <w:rFonts w:hint="default" w:ascii="Times New Roman" w:hAnsi="Times New Roman" w:eastAsia="仿宋" w:cs="Times New Roman"/>
          <w:color w:val="auto"/>
          <w:sz w:val="28"/>
          <w:szCs w:val="28"/>
        </w:rPr>
        <w:t>2.3 不停航</w:t>
      </w:r>
      <w:bookmarkEnd w:id="36"/>
      <w:r>
        <w:rPr>
          <w:rFonts w:hint="default" w:ascii="Times New Roman" w:hAnsi="Times New Roman" w:eastAsia="仿宋" w:cs="Times New Roman"/>
          <w:color w:val="auto"/>
          <w:sz w:val="28"/>
          <w:szCs w:val="28"/>
        </w:rPr>
        <w:t>检测</w:t>
      </w:r>
      <w:bookmarkEnd w:id="37"/>
      <w:bookmarkEnd w:id="38"/>
      <w:bookmarkEnd w:id="39"/>
      <w:bookmarkEnd w:id="40"/>
      <w:bookmarkEnd w:id="41"/>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2.3.1 比选响应人应提前与比选采购人确认当日航班情况，对检测情况进行评估，提前做好检测准备（如检测人员安排、检测工具准备等），对于航班延误、取消导致旅客大面积滞留的情况做好相应的保障措施并自行测算相关延时误工费。</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2.3.2 检测前应确定被测设备的影响范围，将可能会造成的影响告知比选采购人现场管理人员。</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2.3.3</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出现消防系统误动作等情况时应及时联系比选采购人现场管理人员，做好应急保障措施，及时恢复系统正常运行状态，避免对机场运行造成影响。</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bookmarkStart w:id="42" w:name="_Toc29508"/>
      <w:bookmarkStart w:id="43" w:name="_Toc25017"/>
      <w:bookmarkStart w:id="44" w:name="_Toc14303"/>
      <w:bookmarkStart w:id="45" w:name="_Toc5747"/>
      <w:bookmarkStart w:id="46" w:name="_Toc2952"/>
      <w:bookmarkStart w:id="47" w:name="_Toc26257"/>
      <w:bookmarkStart w:id="48" w:name="_Toc18825"/>
      <w:bookmarkStart w:id="49" w:name="_Toc78202996"/>
      <w:bookmarkStart w:id="50" w:name="_Toc15017"/>
      <w:r>
        <w:rPr>
          <w:rFonts w:hint="default" w:ascii="Times New Roman" w:hAnsi="Times New Roman" w:eastAsia="仿宋" w:cs="Times New Roman"/>
          <w:color w:val="auto"/>
          <w:sz w:val="28"/>
          <w:szCs w:val="28"/>
        </w:rPr>
        <w:t>三、技术要求</w:t>
      </w:r>
      <w:bookmarkEnd w:id="42"/>
      <w:bookmarkEnd w:id="43"/>
      <w:bookmarkEnd w:id="44"/>
      <w:bookmarkEnd w:id="45"/>
      <w:bookmarkEnd w:id="46"/>
      <w:bookmarkEnd w:id="47"/>
      <w:bookmarkEnd w:id="48"/>
      <w:bookmarkEnd w:id="49"/>
      <w:bookmarkEnd w:id="50"/>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使用的标准应遵照本章3.1条中有关法律及规范要求，如果采用的法律及规范标准在本章3.1条中没有规定，须对采用的新标准加以说明，当推荐的标准与实施规则等效于或优于本比选文件技术要求时，该标准才可能为采购人接受。比选响应人应清楚的说明用于替代的标准或实际使用的标准和规范，并提交推荐标准或实施规范的中英文对照文本，对明显的差异点要做出说明。</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最新替代标准已颁布并正式实施的，则遵从替代标准。</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若下述法律及规范标准有不同之处，则应符合其中标准较高的一个。</w:t>
      </w:r>
    </w:p>
    <w:p>
      <w:pPr>
        <w:pageBreakBefore w:val="0"/>
        <w:kinsoku/>
        <w:overflowPunct/>
        <w:autoSpaceDE w:val="0"/>
        <w:autoSpaceDN w:val="0"/>
        <w:bidi w:val="0"/>
        <w:adjustRightInd w:val="0"/>
        <w:spacing w:line="56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3.1 比选响应人应采用的法律及规范标准，包括但不限于：</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51" w:name="_Toc5497"/>
      <w:bookmarkStart w:id="52" w:name="_Toc12688"/>
      <w:bookmarkStart w:id="53" w:name="_Toc31406"/>
      <w:bookmarkStart w:id="54" w:name="_Toc30300"/>
      <w:bookmarkStart w:id="55" w:name="_Toc28618"/>
      <w:bookmarkStart w:id="56" w:name="_Toc26300"/>
      <w:r>
        <w:rPr>
          <w:rFonts w:hint="default" w:ascii="Times New Roman" w:hAnsi="Times New Roman" w:eastAsia="仿宋" w:cs="Times New Roman"/>
          <w:color w:val="auto"/>
          <w:sz w:val="28"/>
          <w:szCs w:val="28"/>
        </w:rPr>
        <w:t>（1）《中华人民共和国安全生产法》</w:t>
      </w:r>
      <w:bookmarkEnd w:id="51"/>
      <w:bookmarkEnd w:id="52"/>
      <w:bookmarkEnd w:id="53"/>
      <w:bookmarkEnd w:id="54"/>
      <w:bookmarkEnd w:id="55"/>
      <w:bookmarkEnd w:id="56"/>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57" w:name="_Toc16484"/>
      <w:bookmarkStart w:id="58" w:name="_Toc14582"/>
      <w:bookmarkStart w:id="59" w:name="_Toc30323"/>
      <w:bookmarkStart w:id="60" w:name="_Toc20067"/>
      <w:bookmarkStart w:id="61" w:name="_Toc10475"/>
      <w:bookmarkStart w:id="62" w:name="_Toc7217"/>
      <w:r>
        <w:rPr>
          <w:rFonts w:hint="default" w:ascii="Times New Roman" w:hAnsi="Times New Roman" w:eastAsia="仿宋" w:cs="Times New Roman"/>
          <w:color w:val="auto"/>
          <w:sz w:val="28"/>
          <w:szCs w:val="28"/>
        </w:rPr>
        <w:t>（2）《中华人民共和国消防法》</w:t>
      </w:r>
      <w:bookmarkEnd w:id="57"/>
      <w:bookmarkEnd w:id="58"/>
      <w:bookmarkEnd w:id="59"/>
      <w:bookmarkEnd w:id="60"/>
      <w:bookmarkEnd w:id="61"/>
      <w:bookmarkEnd w:id="62"/>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63" w:name="_Toc18912"/>
      <w:bookmarkStart w:id="64" w:name="_Toc23922"/>
      <w:bookmarkStart w:id="65" w:name="_Toc22999"/>
      <w:bookmarkStart w:id="66" w:name="_Toc22476"/>
      <w:bookmarkStart w:id="67" w:name="_Toc222"/>
      <w:bookmarkStart w:id="68" w:name="_Toc13995"/>
      <w:r>
        <w:rPr>
          <w:rFonts w:hint="default" w:ascii="Times New Roman" w:hAnsi="Times New Roman" w:eastAsia="仿宋" w:cs="Times New Roman"/>
          <w:color w:val="auto"/>
          <w:sz w:val="28"/>
          <w:szCs w:val="28"/>
        </w:rPr>
        <w:t>（3）《重庆市安全生产条例》</w:t>
      </w:r>
      <w:bookmarkEnd w:id="63"/>
      <w:bookmarkEnd w:id="64"/>
      <w:bookmarkEnd w:id="65"/>
      <w:bookmarkEnd w:id="66"/>
      <w:bookmarkEnd w:id="67"/>
      <w:bookmarkEnd w:id="68"/>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69" w:name="_Toc7188"/>
      <w:bookmarkStart w:id="70" w:name="_Toc26205"/>
      <w:bookmarkStart w:id="71" w:name="_Toc12662"/>
      <w:bookmarkStart w:id="72" w:name="_Toc23060"/>
      <w:bookmarkStart w:id="73" w:name="_Toc4146"/>
      <w:bookmarkStart w:id="74" w:name="_Toc20489"/>
      <w:r>
        <w:rPr>
          <w:rFonts w:hint="default" w:ascii="Times New Roman" w:hAnsi="Times New Roman" w:eastAsia="仿宋" w:cs="Times New Roman"/>
          <w:color w:val="auto"/>
          <w:sz w:val="28"/>
          <w:szCs w:val="28"/>
        </w:rPr>
        <w:t>（4）《重庆市消防条例》</w:t>
      </w:r>
      <w:bookmarkEnd w:id="69"/>
      <w:bookmarkEnd w:id="70"/>
      <w:bookmarkEnd w:id="71"/>
      <w:bookmarkEnd w:id="72"/>
      <w:bookmarkEnd w:id="73"/>
      <w:bookmarkEnd w:id="74"/>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75" w:name="_Toc3866"/>
      <w:bookmarkStart w:id="76" w:name="_Toc30693"/>
      <w:bookmarkStart w:id="77" w:name="_Toc29346"/>
      <w:bookmarkStart w:id="78" w:name="_Toc11654"/>
      <w:bookmarkStart w:id="79" w:name="_Toc15803"/>
      <w:bookmarkStart w:id="80" w:name="_Toc2793"/>
      <w:r>
        <w:rPr>
          <w:rFonts w:hint="default" w:ascii="Times New Roman" w:hAnsi="Times New Roman" w:eastAsia="仿宋" w:cs="Times New Roman"/>
          <w:color w:val="auto"/>
          <w:sz w:val="28"/>
          <w:szCs w:val="28"/>
        </w:rPr>
        <w:t>（5）《机关、团体、企业、事业单位消防安全管理规定》</w:t>
      </w:r>
      <w:bookmarkEnd w:id="75"/>
      <w:bookmarkEnd w:id="76"/>
      <w:bookmarkEnd w:id="77"/>
      <w:bookmarkEnd w:id="78"/>
      <w:bookmarkEnd w:id="79"/>
      <w:bookmarkEnd w:id="80"/>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（6）《重庆市火灾高危单位消防安全管理规定》</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81" w:name="_Toc10642"/>
      <w:bookmarkStart w:id="82" w:name="_Toc23422"/>
      <w:bookmarkStart w:id="83" w:name="_Toc20986"/>
      <w:bookmarkStart w:id="84" w:name="_Toc9369"/>
      <w:bookmarkStart w:id="85" w:name="_Toc13387"/>
      <w:bookmarkStart w:id="86" w:name="_Toc21729"/>
      <w:r>
        <w:rPr>
          <w:rFonts w:hint="default" w:ascii="Times New Roman" w:hAnsi="Times New Roman" w:eastAsia="仿宋" w:cs="Times New Roman"/>
          <w:color w:val="auto"/>
          <w:sz w:val="28"/>
          <w:szCs w:val="28"/>
        </w:rPr>
        <w:t>（7）《建筑设计防火规范》（GB50016-2014）</w:t>
      </w:r>
      <w:bookmarkEnd w:id="81"/>
      <w:bookmarkEnd w:id="82"/>
      <w:bookmarkEnd w:id="83"/>
      <w:bookmarkEnd w:id="84"/>
      <w:bookmarkEnd w:id="85"/>
      <w:bookmarkEnd w:id="86"/>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87" w:name="_Toc10835"/>
      <w:bookmarkStart w:id="88" w:name="_Toc7494"/>
      <w:bookmarkStart w:id="89" w:name="_Toc30551"/>
      <w:bookmarkStart w:id="90" w:name="_Toc30648"/>
      <w:bookmarkStart w:id="91" w:name="_Toc14377"/>
      <w:bookmarkStart w:id="92" w:name="_Toc20002"/>
      <w:r>
        <w:rPr>
          <w:rFonts w:hint="default" w:ascii="Times New Roman" w:hAnsi="Times New Roman" w:eastAsia="仿宋" w:cs="Times New Roman"/>
          <w:color w:val="auto"/>
          <w:sz w:val="28"/>
          <w:szCs w:val="28"/>
        </w:rPr>
        <w:t>（8）《消防给水及消火栓系统技术规范》（GB50794-2014）</w:t>
      </w:r>
      <w:bookmarkEnd w:id="87"/>
      <w:bookmarkEnd w:id="88"/>
      <w:bookmarkEnd w:id="89"/>
      <w:bookmarkEnd w:id="90"/>
      <w:bookmarkEnd w:id="91"/>
      <w:bookmarkEnd w:id="92"/>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93" w:name="_Toc28570"/>
      <w:bookmarkStart w:id="94" w:name="_Toc13832"/>
      <w:bookmarkStart w:id="95" w:name="_Toc29793"/>
      <w:bookmarkStart w:id="96" w:name="_Toc3870"/>
      <w:bookmarkStart w:id="97" w:name="_Toc28775"/>
      <w:bookmarkStart w:id="98" w:name="_Toc8046"/>
      <w:r>
        <w:rPr>
          <w:rFonts w:hint="default" w:ascii="Times New Roman" w:hAnsi="Times New Roman" w:eastAsia="仿宋" w:cs="Times New Roman"/>
          <w:color w:val="auto"/>
          <w:sz w:val="28"/>
          <w:szCs w:val="28"/>
        </w:rPr>
        <w:t>（9）《火灾自动报警系统设计规范》（GB50116-2013）</w:t>
      </w:r>
      <w:bookmarkEnd w:id="93"/>
      <w:bookmarkEnd w:id="94"/>
      <w:bookmarkEnd w:id="95"/>
      <w:bookmarkEnd w:id="96"/>
      <w:bookmarkEnd w:id="97"/>
      <w:bookmarkEnd w:id="98"/>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99" w:name="_Toc24830"/>
      <w:bookmarkStart w:id="100" w:name="_Toc6674"/>
      <w:bookmarkStart w:id="101" w:name="_Toc13471"/>
      <w:bookmarkStart w:id="102" w:name="_Toc32097"/>
      <w:bookmarkStart w:id="103" w:name="_Toc25335"/>
      <w:bookmarkStart w:id="104" w:name="_Toc26038"/>
      <w:r>
        <w:rPr>
          <w:rFonts w:hint="default" w:ascii="Times New Roman" w:hAnsi="Times New Roman" w:eastAsia="仿宋" w:cs="Times New Roman"/>
          <w:color w:val="auto"/>
          <w:sz w:val="28"/>
          <w:szCs w:val="28"/>
        </w:rPr>
        <w:t>（10）《火灾自动报警系统施工及验收</w:t>
      </w:r>
      <w:r>
        <w:rPr>
          <w:rFonts w:hint="eastAsia" w:ascii="Times New Roman" w:hAnsi="Times New Roman" w:eastAsia="仿宋" w:cs="Times New Roman"/>
          <w:color w:val="auto"/>
          <w:sz w:val="28"/>
          <w:szCs w:val="28"/>
          <w:lang w:val="en-US" w:eastAsia="zh-CN"/>
        </w:rPr>
        <w:t>标准</w:t>
      </w:r>
      <w:r>
        <w:rPr>
          <w:rFonts w:hint="default" w:ascii="Times New Roman" w:hAnsi="Times New Roman" w:eastAsia="仿宋" w:cs="Times New Roman"/>
          <w:color w:val="auto"/>
          <w:sz w:val="28"/>
          <w:szCs w:val="28"/>
        </w:rPr>
        <w:t>》（GB501</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6-20</w:t>
      </w:r>
      <w:r>
        <w:rPr>
          <w:rFonts w:hint="eastAsia" w:ascii="Times New Roman" w:hAnsi="Times New Roman" w:eastAsia="仿宋" w:cs="Times New Roman"/>
          <w:color w:val="auto"/>
          <w:sz w:val="28"/>
          <w:szCs w:val="28"/>
          <w:lang w:val="en-US" w:eastAsia="zh-CN"/>
        </w:rPr>
        <w:t>19</w:t>
      </w:r>
      <w:r>
        <w:rPr>
          <w:rFonts w:hint="default" w:ascii="Times New Roman" w:hAnsi="Times New Roman" w:eastAsia="仿宋" w:cs="Times New Roman"/>
          <w:color w:val="auto"/>
          <w:sz w:val="28"/>
          <w:szCs w:val="28"/>
        </w:rPr>
        <w:t>）</w:t>
      </w:r>
      <w:bookmarkEnd w:id="99"/>
      <w:bookmarkEnd w:id="100"/>
      <w:bookmarkEnd w:id="101"/>
      <w:bookmarkEnd w:id="102"/>
      <w:bookmarkEnd w:id="103"/>
      <w:bookmarkEnd w:id="104"/>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05" w:name="_Toc501"/>
      <w:bookmarkStart w:id="106" w:name="_Toc28713"/>
      <w:bookmarkStart w:id="107" w:name="_Toc22577"/>
      <w:bookmarkStart w:id="108" w:name="_Toc30265"/>
      <w:bookmarkStart w:id="109" w:name="_Toc11649"/>
      <w:bookmarkStart w:id="110" w:name="_Toc25751"/>
      <w:r>
        <w:rPr>
          <w:rFonts w:hint="default" w:ascii="Times New Roman" w:hAnsi="Times New Roman" w:eastAsia="仿宋" w:cs="Times New Roman"/>
          <w:color w:val="auto"/>
          <w:sz w:val="28"/>
          <w:szCs w:val="28"/>
        </w:rPr>
        <w:t>（11）《自动喷水灭火系统设计规范》（GB50084-2017）</w:t>
      </w:r>
      <w:bookmarkEnd w:id="105"/>
      <w:bookmarkEnd w:id="106"/>
      <w:bookmarkEnd w:id="107"/>
      <w:bookmarkEnd w:id="108"/>
      <w:bookmarkEnd w:id="109"/>
      <w:bookmarkEnd w:id="110"/>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11" w:name="_Toc8686"/>
      <w:bookmarkStart w:id="112" w:name="_Toc2726"/>
      <w:bookmarkStart w:id="113" w:name="_Toc19971"/>
      <w:bookmarkStart w:id="114" w:name="_Toc10422"/>
      <w:bookmarkStart w:id="115" w:name="_Toc12748"/>
      <w:bookmarkStart w:id="116" w:name="_Toc15443"/>
      <w:r>
        <w:rPr>
          <w:rFonts w:hint="default" w:ascii="Times New Roman" w:hAnsi="Times New Roman" w:eastAsia="仿宋" w:cs="Times New Roman"/>
          <w:color w:val="auto"/>
          <w:sz w:val="28"/>
          <w:szCs w:val="28"/>
        </w:rPr>
        <w:t>（12）《自动喷水灭火系统施工及验收规范》（GB50261-2017）</w:t>
      </w:r>
      <w:bookmarkEnd w:id="111"/>
      <w:bookmarkEnd w:id="112"/>
      <w:bookmarkEnd w:id="113"/>
      <w:bookmarkEnd w:id="114"/>
      <w:bookmarkEnd w:id="115"/>
      <w:bookmarkEnd w:id="116"/>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17" w:name="_Toc25018"/>
      <w:bookmarkStart w:id="118" w:name="_Toc16703"/>
      <w:bookmarkStart w:id="119" w:name="_Toc1312"/>
      <w:bookmarkStart w:id="120" w:name="_Toc31470"/>
      <w:bookmarkStart w:id="121" w:name="_Toc5094"/>
      <w:bookmarkStart w:id="122" w:name="_Toc28763"/>
      <w:r>
        <w:rPr>
          <w:rFonts w:hint="default" w:ascii="Times New Roman" w:hAnsi="Times New Roman" w:eastAsia="仿宋" w:cs="Times New Roman"/>
          <w:color w:val="auto"/>
          <w:sz w:val="28"/>
          <w:szCs w:val="28"/>
        </w:rPr>
        <w:t>（13）《气体灭火系统设计规范》（GB50370-20</w:t>
      </w:r>
      <w:r>
        <w:rPr>
          <w:rFonts w:hint="eastAsia" w:ascii="Times New Roman" w:hAnsi="Times New Roman" w:eastAsia="仿宋" w:cs="Times New Roman"/>
          <w:color w:val="auto"/>
          <w:sz w:val="28"/>
          <w:szCs w:val="28"/>
          <w:lang w:val="en-US" w:eastAsia="zh-CN"/>
        </w:rPr>
        <w:t>05</w:t>
      </w:r>
      <w:r>
        <w:rPr>
          <w:rFonts w:hint="default" w:ascii="Times New Roman" w:hAnsi="Times New Roman" w:eastAsia="仿宋" w:cs="Times New Roman"/>
          <w:color w:val="auto"/>
          <w:sz w:val="28"/>
          <w:szCs w:val="28"/>
        </w:rPr>
        <w:t>）</w:t>
      </w:r>
      <w:bookmarkEnd w:id="117"/>
      <w:bookmarkEnd w:id="118"/>
      <w:bookmarkEnd w:id="119"/>
      <w:bookmarkEnd w:id="120"/>
      <w:bookmarkEnd w:id="121"/>
      <w:bookmarkEnd w:id="122"/>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23" w:name="_Toc19155"/>
      <w:bookmarkStart w:id="124" w:name="_Toc29937"/>
      <w:bookmarkStart w:id="125" w:name="_Toc14277"/>
      <w:bookmarkStart w:id="126" w:name="_Toc27284"/>
      <w:bookmarkStart w:id="127" w:name="_Toc9646"/>
      <w:bookmarkStart w:id="128" w:name="_Toc28481"/>
      <w:r>
        <w:rPr>
          <w:rFonts w:hint="default" w:ascii="Times New Roman" w:hAnsi="Times New Roman" w:eastAsia="仿宋" w:cs="Times New Roman"/>
          <w:color w:val="auto"/>
          <w:sz w:val="28"/>
          <w:szCs w:val="28"/>
        </w:rPr>
        <w:t>（14）《气体灭火系统施工及验收规范》（GB50263-2007）</w:t>
      </w:r>
      <w:bookmarkEnd w:id="123"/>
      <w:bookmarkEnd w:id="124"/>
      <w:bookmarkEnd w:id="125"/>
      <w:bookmarkEnd w:id="126"/>
      <w:bookmarkEnd w:id="127"/>
      <w:bookmarkEnd w:id="128"/>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29" w:name="_Toc13338"/>
      <w:bookmarkStart w:id="130" w:name="_Toc12538"/>
      <w:bookmarkStart w:id="131" w:name="_Toc4913"/>
      <w:bookmarkStart w:id="132" w:name="_Toc13379"/>
      <w:bookmarkStart w:id="133" w:name="_Toc22398"/>
      <w:bookmarkStart w:id="134" w:name="_Toc14171"/>
      <w:r>
        <w:rPr>
          <w:rFonts w:hint="default" w:ascii="Times New Roman" w:hAnsi="Times New Roman" w:eastAsia="仿宋" w:cs="Times New Roman"/>
          <w:color w:val="auto"/>
          <w:sz w:val="28"/>
          <w:szCs w:val="28"/>
        </w:rPr>
        <w:t>（15）《建筑灭火器配置设计规范》（GB50140-2005）</w:t>
      </w:r>
      <w:bookmarkEnd w:id="129"/>
      <w:bookmarkEnd w:id="130"/>
      <w:bookmarkEnd w:id="131"/>
      <w:bookmarkEnd w:id="132"/>
      <w:bookmarkEnd w:id="133"/>
      <w:bookmarkEnd w:id="134"/>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35" w:name="_Toc1780"/>
      <w:bookmarkStart w:id="136" w:name="_Toc21850"/>
      <w:bookmarkStart w:id="137" w:name="_Toc1247"/>
      <w:bookmarkStart w:id="138" w:name="_Toc14539"/>
      <w:bookmarkStart w:id="139" w:name="_Toc12336"/>
      <w:bookmarkStart w:id="140" w:name="_Toc21115"/>
      <w:r>
        <w:rPr>
          <w:rFonts w:hint="default" w:ascii="Times New Roman" w:hAnsi="Times New Roman" w:eastAsia="仿宋" w:cs="Times New Roman"/>
          <w:color w:val="auto"/>
          <w:sz w:val="28"/>
          <w:szCs w:val="28"/>
        </w:rPr>
        <w:t>（16）《建筑灭火器配置验收及检查规范》（GB50444-2008）</w:t>
      </w:r>
      <w:bookmarkEnd w:id="135"/>
      <w:bookmarkEnd w:id="136"/>
      <w:bookmarkEnd w:id="137"/>
      <w:bookmarkEnd w:id="138"/>
      <w:bookmarkEnd w:id="139"/>
      <w:bookmarkEnd w:id="140"/>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41" w:name="_Toc7212"/>
      <w:bookmarkStart w:id="142" w:name="_Toc11562"/>
      <w:bookmarkStart w:id="143" w:name="_Toc14009"/>
      <w:bookmarkStart w:id="144" w:name="_Toc7229"/>
      <w:bookmarkStart w:id="145" w:name="_Toc28373"/>
      <w:bookmarkStart w:id="146" w:name="_Toc1946"/>
      <w:r>
        <w:rPr>
          <w:rFonts w:hint="default" w:ascii="Times New Roman" w:hAnsi="Times New Roman" w:eastAsia="仿宋" w:cs="Times New Roman"/>
          <w:color w:val="auto"/>
          <w:sz w:val="28"/>
          <w:szCs w:val="28"/>
        </w:rPr>
        <w:t>（17）《建筑消防设施的维护管理》（GB25201-2010）</w:t>
      </w:r>
      <w:bookmarkEnd w:id="141"/>
      <w:bookmarkEnd w:id="142"/>
      <w:bookmarkEnd w:id="143"/>
      <w:bookmarkEnd w:id="144"/>
      <w:bookmarkEnd w:id="145"/>
      <w:bookmarkEnd w:id="146"/>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47" w:name="_Toc28714"/>
      <w:bookmarkStart w:id="148" w:name="_Toc11480"/>
      <w:bookmarkStart w:id="149" w:name="_Toc2772"/>
      <w:bookmarkStart w:id="150" w:name="_Toc26386"/>
      <w:bookmarkStart w:id="151" w:name="_Toc5483"/>
      <w:bookmarkStart w:id="152" w:name="_Toc20642"/>
      <w:r>
        <w:rPr>
          <w:rFonts w:hint="default" w:ascii="Times New Roman" w:hAnsi="Times New Roman" w:eastAsia="仿宋" w:cs="Times New Roman"/>
          <w:color w:val="auto"/>
          <w:sz w:val="28"/>
          <w:szCs w:val="28"/>
        </w:rPr>
        <w:t>（18）《建筑消防设施检测技术规程》（</w:t>
      </w:r>
      <w:r>
        <w:rPr>
          <w:rFonts w:hint="eastAsia" w:ascii="Times New Roman" w:hAnsi="Times New Roman" w:eastAsia="仿宋" w:cs="Times New Roman"/>
          <w:color w:val="auto"/>
          <w:sz w:val="28"/>
          <w:szCs w:val="28"/>
          <w:lang w:val="en-US" w:eastAsia="zh-CN"/>
        </w:rPr>
        <w:t>XF</w:t>
      </w:r>
      <w:r>
        <w:rPr>
          <w:rFonts w:hint="default" w:ascii="Times New Roman" w:hAnsi="Times New Roman" w:eastAsia="仿宋" w:cs="Times New Roman"/>
          <w:color w:val="auto"/>
          <w:sz w:val="28"/>
          <w:szCs w:val="28"/>
        </w:rPr>
        <w:t>503-2004）</w:t>
      </w:r>
      <w:bookmarkEnd w:id="147"/>
      <w:bookmarkEnd w:id="148"/>
      <w:bookmarkEnd w:id="149"/>
      <w:bookmarkEnd w:id="150"/>
      <w:bookmarkEnd w:id="151"/>
      <w:bookmarkEnd w:id="152"/>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bookmarkStart w:id="153" w:name="_Toc25819"/>
      <w:bookmarkStart w:id="154" w:name="_Toc26221"/>
      <w:bookmarkStart w:id="155" w:name="_Toc14577"/>
      <w:bookmarkStart w:id="156" w:name="_Toc17138"/>
      <w:bookmarkStart w:id="157" w:name="_Toc5990"/>
      <w:bookmarkStart w:id="158" w:name="_Toc27589"/>
      <w:r>
        <w:rPr>
          <w:rFonts w:hint="default" w:ascii="Times New Roman" w:hAnsi="Times New Roman" w:eastAsia="仿宋" w:cs="Times New Roman"/>
          <w:color w:val="auto"/>
          <w:sz w:val="28"/>
          <w:szCs w:val="28"/>
        </w:rPr>
        <w:t>（19）《建筑消防设施质量检测技术规程》（DB</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50/T</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24-2011）</w:t>
      </w:r>
      <w:bookmarkEnd w:id="153"/>
      <w:bookmarkEnd w:id="154"/>
      <w:bookmarkEnd w:id="155"/>
      <w:bookmarkEnd w:id="156"/>
      <w:bookmarkEnd w:id="157"/>
      <w:bookmarkEnd w:id="158"/>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（20）《</w:t>
      </w:r>
      <w:r>
        <w:rPr>
          <w:rFonts w:hint="eastAsia" w:ascii="Times New Roman" w:hAnsi="Times New Roman" w:eastAsia="仿宋" w:cs="Times New Roman"/>
          <w:color w:val="auto"/>
          <w:sz w:val="28"/>
          <w:szCs w:val="28"/>
          <w:lang w:val="en-US" w:eastAsia="zh-CN"/>
        </w:rPr>
        <w:t>重庆市</w:t>
      </w:r>
      <w:r>
        <w:rPr>
          <w:rFonts w:hint="default" w:ascii="Times New Roman" w:hAnsi="Times New Roman" w:eastAsia="仿宋" w:cs="Times New Roman"/>
          <w:color w:val="auto"/>
          <w:sz w:val="28"/>
          <w:szCs w:val="28"/>
        </w:rPr>
        <w:t>火灾高危单位消防安全评估</w:t>
      </w:r>
      <w:r>
        <w:rPr>
          <w:rFonts w:hint="eastAsia" w:ascii="Times New Roman" w:hAnsi="Times New Roman" w:eastAsia="仿宋" w:cs="Times New Roman"/>
          <w:color w:val="auto"/>
          <w:sz w:val="28"/>
          <w:szCs w:val="28"/>
          <w:lang w:val="en-US" w:eastAsia="zh-CN"/>
        </w:rPr>
        <w:t>规程</w:t>
      </w:r>
      <w:r>
        <w:rPr>
          <w:rFonts w:hint="default" w:ascii="Times New Roman" w:hAnsi="Times New Roman" w:eastAsia="仿宋" w:cs="Times New Roman"/>
          <w:color w:val="auto"/>
          <w:sz w:val="28"/>
          <w:szCs w:val="28"/>
        </w:rPr>
        <w:t>》（</w:t>
      </w:r>
      <w:r>
        <w:rPr>
          <w:rFonts w:hint="eastAsia" w:ascii="Times New Roman" w:hAnsi="Times New Roman" w:eastAsia="仿宋" w:cs="Times New Roman"/>
          <w:color w:val="auto"/>
          <w:sz w:val="28"/>
          <w:szCs w:val="28"/>
        </w:rPr>
        <w:t>DB50/T 632-2015</w:t>
      </w:r>
      <w:r>
        <w:rPr>
          <w:rFonts w:hint="default" w:ascii="Times New Roman" w:hAnsi="Times New Roman" w:eastAsia="仿宋" w:cs="Times New Roman"/>
          <w:color w:val="auto"/>
          <w:sz w:val="28"/>
          <w:szCs w:val="28"/>
        </w:rPr>
        <w:t>）</w:t>
      </w:r>
    </w:p>
    <w:p>
      <w:pPr>
        <w:pageBreakBefore w:val="0"/>
        <w:kinsoku/>
        <w:overflowPunct/>
        <w:autoSpaceDE w:val="0"/>
        <w:autoSpaceDN w:val="0"/>
        <w:bidi w:val="0"/>
        <w:adjustRightInd w:val="0"/>
        <w:spacing w:line="560" w:lineRule="exact"/>
        <w:ind w:firstLine="560" w:firstLineChars="200"/>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3.2 比选响应人所提供的消防服务均应符合上述所列的法律及规范标准要求，同时须符合但不限于下列单位提出的规范</w:t>
      </w:r>
      <w:bookmarkStart w:id="159" w:name="_Toc29921"/>
      <w:bookmarkStart w:id="160" w:name="_Toc601"/>
      <w:bookmarkStart w:id="161" w:name="_Toc14765"/>
      <w:bookmarkStart w:id="162" w:name="_Toc4631"/>
      <w:bookmarkStart w:id="163" w:name="_Toc28513"/>
      <w:bookmarkStart w:id="164" w:name="_Toc18122"/>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中国民用航空局</w:t>
      </w:r>
      <w:bookmarkEnd w:id="159"/>
      <w:bookmarkEnd w:id="160"/>
      <w:bookmarkEnd w:id="161"/>
      <w:bookmarkEnd w:id="162"/>
      <w:bookmarkEnd w:id="163"/>
      <w:bookmarkEnd w:id="164"/>
      <w:r>
        <w:rPr>
          <w:rFonts w:hint="eastAsia" w:ascii="Times New Roman" w:hAnsi="Times New Roman" w:eastAsia="仿宋" w:cs="Times New Roman"/>
          <w:color w:val="auto"/>
          <w:sz w:val="28"/>
          <w:szCs w:val="28"/>
          <w:lang w:eastAsia="zh-CN"/>
        </w:rPr>
        <w:t>、</w:t>
      </w:r>
      <w:bookmarkStart w:id="165" w:name="_Toc24289"/>
      <w:bookmarkStart w:id="166" w:name="_Toc24077"/>
      <w:bookmarkStart w:id="167" w:name="_Toc28238"/>
      <w:bookmarkStart w:id="168" w:name="_Toc6521"/>
      <w:bookmarkStart w:id="169" w:name="_Toc25775"/>
      <w:bookmarkStart w:id="170" w:name="_Toc16097"/>
      <w:r>
        <w:rPr>
          <w:rFonts w:hint="default" w:ascii="Times New Roman" w:hAnsi="Times New Roman" w:eastAsia="仿宋" w:cs="Times New Roman"/>
          <w:color w:val="auto"/>
          <w:sz w:val="28"/>
          <w:szCs w:val="28"/>
        </w:rPr>
        <w:t>重庆市卫生健康委</w:t>
      </w:r>
      <w:bookmarkEnd w:id="165"/>
      <w:bookmarkEnd w:id="166"/>
      <w:bookmarkEnd w:id="167"/>
      <w:bookmarkEnd w:id="168"/>
      <w:bookmarkEnd w:id="169"/>
      <w:bookmarkEnd w:id="170"/>
      <w:r>
        <w:rPr>
          <w:rFonts w:hint="eastAsia" w:ascii="Times New Roman" w:hAnsi="Times New Roman" w:eastAsia="仿宋" w:cs="Times New Roman"/>
          <w:color w:val="auto"/>
          <w:sz w:val="28"/>
          <w:szCs w:val="28"/>
          <w:lang w:eastAsia="zh-CN"/>
        </w:rPr>
        <w:t>、</w:t>
      </w:r>
      <w:bookmarkStart w:id="171" w:name="_Toc15430"/>
      <w:bookmarkStart w:id="172" w:name="_Toc29487"/>
      <w:bookmarkStart w:id="173" w:name="_Toc6587"/>
      <w:bookmarkStart w:id="174" w:name="_Toc13696"/>
      <w:bookmarkStart w:id="175" w:name="_Toc14873"/>
      <w:bookmarkStart w:id="176" w:name="_Toc5823"/>
      <w:r>
        <w:rPr>
          <w:rFonts w:hint="default" w:ascii="Times New Roman" w:hAnsi="Times New Roman" w:eastAsia="仿宋" w:cs="Times New Roman"/>
          <w:color w:val="auto"/>
          <w:sz w:val="28"/>
          <w:szCs w:val="28"/>
        </w:rPr>
        <w:t>重庆市市场监管局</w:t>
      </w:r>
      <w:bookmarkEnd w:id="171"/>
      <w:bookmarkEnd w:id="172"/>
      <w:bookmarkEnd w:id="173"/>
      <w:bookmarkEnd w:id="174"/>
      <w:bookmarkEnd w:id="175"/>
      <w:bookmarkEnd w:id="176"/>
      <w:r>
        <w:rPr>
          <w:rFonts w:hint="eastAsia" w:ascii="Times New Roman" w:hAnsi="Times New Roman" w:eastAsia="仿宋" w:cs="Times New Roman"/>
          <w:color w:val="auto"/>
          <w:sz w:val="28"/>
          <w:szCs w:val="28"/>
          <w:lang w:eastAsia="zh-CN"/>
        </w:rPr>
        <w:t>、</w:t>
      </w:r>
      <w:bookmarkStart w:id="177" w:name="_Toc24771"/>
      <w:bookmarkStart w:id="178" w:name="_Toc24082"/>
      <w:bookmarkStart w:id="179" w:name="_Toc1978"/>
      <w:bookmarkStart w:id="180" w:name="_Toc22656"/>
      <w:bookmarkStart w:id="181" w:name="_Toc9588"/>
      <w:bookmarkStart w:id="182" w:name="_Toc6707"/>
      <w:r>
        <w:rPr>
          <w:rFonts w:hint="default" w:ascii="Times New Roman" w:hAnsi="Times New Roman" w:eastAsia="仿宋" w:cs="Times New Roman"/>
          <w:color w:val="auto"/>
          <w:sz w:val="28"/>
          <w:szCs w:val="28"/>
        </w:rPr>
        <w:t>重庆市消防总队</w:t>
      </w:r>
      <w:bookmarkEnd w:id="177"/>
      <w:bookmarkEnd w:id="178"/>
      <w:bookmarkEnd w:id="179"/>
      <w:bookmarkEnd w:id="180"/>
      <w:bookmarkEnd w:id="181"/>
      <w:bookmarkEnd w:id="182"/>
      <w:bookmarkStart w:id="183" w:name="_Toc21252"/>
      <w:bookmarkStart w:id="184" w:name="_Toc21086"/>
      <w:bookmarkStart w:id="185" w:name="_Toc8719"/>
      <w:bookmarkStart w:id="186" w:name="_Toc18506"/>
      <w:bookmarkStart w:id="187" w:name="_Toc27302"/>
      <w:bookmarkStart w:id="188" w:name="_Toc29770"/>
      <w:r>
        <w:rPr>
          <w:rFonts w:hint="eastAsia" w:ascii="Times New Roman" w:hAnsi="Times New Roman" w:eastAsia="仿宋" w:cs="Times New Roman"/>
          <w:color w:val="auto"/>
          <w:sz w:val="28"/>
          <w:szCs w:val="28"/>
          <w:lang w:val="en-US" w:eastAsia="zh-CN"/>
        </w:rPr>
        <w:t>及</w:t>
      </w:r>
      <w:r>
        <w:rPr>
          <w:rFonts w:hint="default" w:ascii="Times New Roman" w:hAnsi="Times New Roman" w:eastAsia="仿宋" w:cs="Times New Roman"/>
          <w:color w:val="auto"/>
          <w:sz w:val="28"/>
          <w:szCs w:val="28"/>
        </w:rPr>
        <w:t>重庆市人力社保局</w:t>
      </w:r>
      <w:bookmarkEnd w:id="183"/>
      <w:bookmarkEnd w:id="184"/>
      <w:bookmarkEnd w:id="185"/>
      <w:bookmarkEnd w:id="186"/>
      <w:bookmarkEnd w:id="187"/>
      <w:bookmarkEnd w:id="188"/>
      <w:r>
        <w:rPr>
          <w:rFonts w:hint="eastAsia" w:ascii="Times New Roman" w:hAnsi="Times New Roman" w:eastAsia="仿宋" w:cs="Times New Roman"/>
          <w:color w:val="auto"/>
          <w:sz w:val="28"/>
          <w:szCs w:val="28"/>
          <w:lang w:eastAsia="zh-CN"/>
        </w:rPr>
        <w:t>。</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3.3 现场人员配备</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3.3.1 </w:t>
      </w:r>
      <w:r>
        <w:rPr>
          <w:rFonts w:hint="default" w:ascii="Times New Roman" w:hAnsi="Times New Roman" w:eastAsia="仿宋" w:cs="Times New Roman"/>
          <w:color w:val="auto"/>
          <w:sz w:val="28"/>
          <w:szCs w:val="28"/>
        </w:rPr>
        <w:t>比选响应人应至少安排1名项目经理、1名技术负责人和6名技术人员参与检测及评估工作，项目经理应具有一级注册消防工程师资格证书，技术人员必须取得建（构）筑物消防员（或消防设施操作员）中级及以上资质。</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3.3.2 </w:t>
      </w:r>
      <w:r>
        <w:rPr>
          <w:rFonts w:hint="default" w:ascii="Times New Roman" w:hAnsi="Times New Roman" w:eastAsia="仿宋" w:cs="Times New Roman"/>
          <w:color w:val="auto"/>
          <w:sz w:val="28"/>
          <w:szCs w:val="28"/>
        </w:rPr>
        <w:t>项目经理必须为比选文件明确的人员，其他人员可更换，但持有的资格证书数量和级别必须与比选文件一致，检测时项目经理必须在场。</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3.3.3 </w:t>
      </w:r>
      <w:r>
        <w:rPr>
          <w:rFonts w:hint="default" w:ascii="Times New Roman" w:hAnsi="Times New Roman" w:eastAsia="仿宋" w:cs="Times New Roman"/>
          <w:color w:val="auto"/>
          <w:sz w:val="28"/>
          <w:szCs w:val="28"/>
        </w:rPr>
        <w:t>比选响应人委派的检测人员必须具备相关系统设备的检测能力和检测经验。</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3.3.4 </w:t>
      </w:r>
      <w:r>
        <w:rPr>
          <w:rFonts w:hint="default" w:ascii="Times New Roman" w:hAnsi="Times New Roman" w:eastAsia="仿宋" w:cs="Times New Roman"/>
          <w:color w:val="auto"/>
          <w:sz w:val="28"/>
          <w:szCs w:val="28"/>
        </w:rPr>
        <w:t>比选响应人派遣人员应配合采购人安排及相关证件办理工作，费用自拟。</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3.3.5 </w:t>
      </w:r>
      <w:r>
        <w:rPr>
          <w:rFonts w:hint="default" w:ascii="Times New Roman" w:hAnsi="Times New Roman" w:eastAsia="仿宋" w:cs="Times New Roman"/>
          <w:color w:val="auto"/>
          <w:sz w:val="28"/>
          <w:szCs w:val="28"/>
        </w:rPr>
        <w:t>比选响应人派遣人员应穿着统一制服，制服应大方整洁。</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3.3.6 </w:t>
      </w:r>
      <w:r>
        <w:rPr>
          <w:rFonts w:hint="default" w:ascii="Times New Roman" w:hAnsi="Times New Roman" w:eastAsia="仿宋" w:cs="Times New Roman"/>
          <w:color w:val="auto"/>
          <w:sz w:val="28"/>
          <w:szCs w:val="28"/>
        </w:rPr>
        <w:t>比选响应人所有本项目人员须进行入场安全教育，并签字存档。</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3.4 工器具配备</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现场检测的实际需要，比选响应人应投入消防系统检测所必需的各种工具（如起子、螺丝刀）、器具（如：登高梯、激光测距仪等），投入的工器具必须满足安全作业条件和检测工作需要，不得以作业难度、行业惯例等原因减少检测项目、内容或降低检测质量。比选响应人应自行解决工器具运输、使用、管理工作；配合比选采购人办理相关工器具带入证明。</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3.5 检测现场管控措施</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3.5.1 </w:t>
      </w:r>
      <w:r>
        <w:rPr>
          <w:rFonts w:hint="default" w:ascii="Times New Roman" w:hAnsi="Times New Roman" w:eastAsia="仿宋" w:cs="Times New Roman"/>
          <w:color w:val="auto"/>
          <w:sz w:val="28"/>
          <w:szCs w:val="28"/>
        </w:rPr>
        <w:t>比选响应人应确保检测过程中被测系统设施设备的完好性。</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3.5.2 </w:t>
      </w:r>
      <w:r>
        <w:rPr>
          <w:rFonts w:hint="default" w:ascii="Times New Roman" w:hAnsi="Times New Roman" w:eastAsia="仿宋" w:cs="Times New Roman"/>
          <w:color w:val="auto"/>
          <w:sz w:val="28"/>
          <w:szCs w:val="28"/>
        </w:rPr>
        <w:t>比选响应人应按照比选采购人规定及要求开展检测工作，不得对比选采购人的日常生产及工作造成影响。</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3.5.3 </w:t>
      </w:r>
      <w:r>
        <w:rPr>
          <w:rFonts w:hint="default" w:ascii="Times New Roman" w:hAnsi="Times New Roman" w:eastAsia="仿宋" w:cs="Times New Roman"/>
          <w:color w:val="auto"/>
          <w:sz w:val="28"/>
          <w:szCs w:val="28"/>
        </w:rPr>
        <w:t>比选响应人检测期间不得遗留任何垃圾，保持环境整洁、干净。</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3.5.4 </w:t>
      </w:r>
      <w:r>
        <w:rPr>
          <w:rFonts w:hint="default" w:ascii="Times New Roman" w:hAnsi="Times New Roman" w:eastAsia="仿宋" w:cs="Times New Roman"/>
          <w:color w:val="auto"/>
          <w:sz w:val="28"/>
          <w:szCs w:val="28"/>
        </w:rPr>
        <w:t>比选响应人应进行专项安全技术教育及交底，落实所有安全技术措施和人身防护用品，未经落实不得进行工作。</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3.5.5 </w:t>
      </w:r>
      <w:r>
        <w:rPr>
          <w:rFonts w:hint="default" w:ascii="Times New Roman" w:hAnsi="Times New Roman" w:eastAsia="仿宋" w:cs="Times New Roman"/>
          <w:color w:val="auto"/>
          <w:sz w:val="28"/>
          <w:szCs w:val="28"/>
        </w:rPr>
        <w:t>比选响应人应严格按照《建筑消防设施质量检测技术规程》（DB</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50/T</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24-2011）要求对消防设施设备进行检测。</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 xml:space="preserve">3.5.6 </w:t>
      </w:r>
      <w:r>
        <w:rPr>
          <w:rFonts w:hint="default" w:ascii="Times New Roman" w:hAnsi="Times New Roman" w:eastAsia="仿宋" w:cs="Times New Roman"/>
          <w:color w:val="auto"/>
          <w:sz w:val="28"/>
          <w:szCs w:val="28"/>
        </w:rPr>
        <w:t>比选响应人应在检测结束后，向比选采购人提交国家、地方认可的检测报告，内容包括消防系统运行维保提升；消防设施设备巡检、维修；管理台账记录；消防系统硬件、软件提升；日常检测效率提升；消防设施设备改造等方面的内容。</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3.6 检测技术方案</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结合本项目比选的范围、内容和要求，编制消防系统检测服务提供过程中涉及到的各种检测、检测技术方案，并制定确保安全工作的具体实施细则。</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3.7 突发事件应急预案和保障措施</w:t>
      </w:r>
    </w:p>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本项目比选的范围和内容，充分认识重庆江北国际机场航站楼作为大公共交通基础设施的重要性，编制适宜、可靠的突发事件应急预案及消防测试的保障措施。包括机场停航后火灾自动报警系统、气体灭火系统、电气火灾监控的系统突遇重大突发性设施设备不正常动作事件（如：测试过程中消防联动设备误报、误动作、报警系统不正常联动等）时配合业主的应急处置办法。</w:t>
      </w:r>
    </w:p>
    <w:p>
      <w:pPr>
        <w:pageBreakBefore w:val="0"/>
        <w:kinsoku/>
        <w:overflowPunct/>
        <w:autoSpaceDE w:val="0"/>
        <w:autoSpaceDN w:val="0"/>
        <w:bidi w:val="0"/>
        <w:adjustRightInd w:val="0"/>
        <w:spacing w:line="560" w:lineRule="exact"/>
        <w:ind w:firstLine="560" w:firstLineChars="200"/>
        <w:outlineLvl w:val="2"/>
        <w:rPr>
          <w:rFonts w:hint="default" w:ascii="Times New Roman" w:hAnsi="Times New Roman" w:cs="Times New Roman"/>
          <w:b w:val="0"/>
          <w:bCs w:val="0"/>
          <w:color w:val="auto"/>
        </w:rPr>
      </w:pPr>
      <w:r>
        <w:rPr>
          <w:rFonts w:hint="default" w:ascii="Times New Roman" w:hAnsi="Times New Roman" w:eastAsia="仿宋" w:cs="Times New Roman"/>
          <w:b w:val="0"/>
          <w:bCs w:val="0"/>
          <w:color w:val="auto"/>
          <w:sz w:val="28"/>
          <w:szCs w:val="28"/>
        </w:rPr>
        <w:t>3.8 消防系统抽检比例</w:t>
      </w: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消防电话分机总数20%抽检，但不少于1</w:t>
            </w:r>
            <w:r>
              <w:rPr>
                <w:rFonts w:hint="eastAsia" w:ascii="Times New Roman" w:hAnsi="Times New Roman" w:eastAsia="方正仿宋_GBK" w:cs="Times New Roman"/>
                <w:color w:val="auto"/>
                <w:szCs w:val="21"/>
                <w:lang w:val="en-US" w:eastAsia="zh-CN" w:bidi="ar"/>
              </w:rPr>
              <w:t>0</w:t>
            </w:r>
            <w:r>
              <w:rPr>
                <w:rFonts w:hint="default" w:ascii="Times New Roman" w:hAnsi="Times New Roman" w:eastAsia="方正仿宋_GBK" w:cs="Times New Roman"/>
                <w:color w:val="auto"/>
                <w:szCs w:val="21"/>
                <w:lang w:bidi="ar"/>
              </w:rPr>
              <w:t>部</w:t>
            </w:r>
            <w:r>
              <w:rPr>
                <w:rFonts w:hint="eastAsia" w:ascii="Times New Roman" w:hAnsi="Times New Roman" w:eastAsia="方正仿宋_GBK" w:cs="Times New Roman"/>
                <w:color w:val="auto"/>
                <w:szCs w:val="21"/>
                <w:lang w:eastAsia="zh-CN" w:bidi="ar"/>
              </w:rPr>
              <w:t>；</w:t>
            </w:r>
            <w:r>
              <w:rPr>
                <w:rFonts w:hint="default" w:ascii="Times New Roman" w:hAnsi="Times New Roman" w:eastAsia="方正仿宋_GBK" w:cs="Times New Roman"/>
                <w:color w:val="auto"/>
                <w:szCs w:val="21"/>
                <w:lang w:bidi="ar"/>
              </w:rPr>
              <w:t>少于</w:t>
            </w:r>
            <w:r>
              <w:rPr>
                <w:rFonts w:hint="eastAsia" w:ascii="Times New Roman" w:hAnsi="Times New Roman" w:eastAsia="方正仿宋_GBK" w:cs="Times New Roman"/>
                <w:color w:val="auto"/>
                <w:szCs w:val="21"/>
                <w:lang w:val="en-US" w:eastAsia="zh-CN" w:bidi="ar"/>
              </w:rPr>
              <w:t>10</w:t>
            </w:r>
            <w:r>
              <w:rPr>
                <w:rFonts w:hint="default" w:ascii="Times New Roman" w:hAnsi="Times New Roman" w:eastAsia="方正仿宋_GBK" w:cs="Times New Roman"/>
                <w:color w:val="auto"/>
                <w:szCs w:val="21"/>
                <w:lang w:bidi="ar"/>
              </w:rPr>
              <w:t>部</w:t>
            </w:r>
            <w:r>
              <w:rPr>
                <w:rFonts w:hint="eastAsia" w:ascii="Times New Roman" w:hAnsi="Times New Roman" w:eastAsia="方正仿宋_GBK" w:cs="Times New Roman"/>
                <w:color w:val="auto"/>
                <w:szCs w:val="21"/>
                <w:lang w:eastAsia="zh-CN" w:bidi="ar"/>
              </w:rPr>
              <w:t>，</w:t>
            </w:r>
            <w:r>
              <w:rPr>
                <w:rFonts w:hint="eastAsia" w:ascii="Times New Roman" w:hAnsi="Times New Roman" w:eastAsia="方正仿宋_GBK" w:cs="Times New Roman"/>
                <w:color w:val="auto"/>
                <w:szCs w:val="21"/>
                <w:lang w:val="en-US" w:eastAsia="zh-CN" w:bidi="ar"/>
              </w:rPr>
              <w:t>则</w:t>
            </w:r>
            <w:r>
              <w:rPr>
                <w:rFonts w:hint="default" w:ascii="Times New Roman" w:hAnsi="Times New Roman" w:eastAsia="方正仿宋_GBK" w:cs="Times New Roman"/>
                <w:color w:val="auto"/>
                <w:szCs w:val="21"/>
                <w:lang w:bidi="ar"/>
              </w:rPr>
              <w:t>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每个防火分区至少1门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每个防火分区至少1处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全检</w:t>
            </w:r>
          </w:p>
        </w:tc>
      </w:tr>
    </w:tbl>
    <w:p>
      <w:pPr>
        <w:pageBreakBefore w:val="0"/>
        <w:kinsoku/>
        <w:overflowPunct/>
        <w:autoSpaceDE w:val="0"/>
        <w:autoSpaceDN w:val="0"/>
        <w:bidi w:val="0"/>
        <w:adjustRightInd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备注：上表未列举，且其他属于</w:t>
      </w:r>
      <w:r>
        <w:rPr>
          <w:rFonts w:hint="default" w:ascii="Times New Roman" w:hAnsi="Times New Roman" w:eastAsia="仿宋" w:cs="Times New Roman"/>
          <w:color w:val="auto"/>
          <w:sz w:val="28"/>
          <w:szCs w:val="28"/>
          <w:lang w:bidi="ar"/>
        </w:rPr>
        <w:t>重庆市地方标准</w:t>
      </w:r>
      <w:r>
        <w:rPr>
          <w:rFonts w:hint="default" w:ascii="Times New Roman" w:hAnsi="Times New Roman" w:eastAsia="仿宋" w:cs="Times New Roman"/>
          <w:color w:val="auto"/>
          <w:sz w:val="28"/>
          <w:szCs w:val="28"/>
        </w:rPr>
        <w:t>《建筑消防设施质量检测技术规程》（DB</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50/T</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24-2011）要求检测的消防设施设备也应按要求进行检测</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高于标准检测比例的以上表为准。</w:t>
      </w:r>
    </w:p>
    <w:p>
      <w:pPr>
        <w:pStyle w:val="2"/>
        <w:pageBreakBefore w:val="0"/>
        <w:kinsoku/>
        <w:overflowPunct/>
        <w:bidi w:val="0"/>
        <w:spacing w:line="560" w:lineRule="exact"/>
        <w:rPr>
          <w:rFonts w:hint="default" w:ascii="Times New Roman" w:hAnsi="Times New Roman" w:eastAsia="仿宋" w:cs="Times New Roman"/>
          <w:b w:val="0"/>
          <w:color w:val="auto"/>
          <w:sz w:val="28"/>
          <w:szCs w:val="28"/>
        </w:rPr>
      </w:pPr>
    </w:p>
    <w:p>
      <w:pPr>
        <w:pageBreakBefore w:val="0"/>
        <w:kinsoku/>
        <w:overflowPunct/>
        <w:bidi w:val="0"/>
        <w:spacing w:line="560" w:lineRule="exact"/>
        <w:rPr>
          <w:rFonts w:hint="default" w:ascii="Times New Roman" w:hAnsi="Times New Roman" w:eastAsia="仿宋" w:cs="Times New Roman"/>
          <w:color w:val="auto"/>
          <w:sz w:val="28"/>
          <w:szCs w:val="28"/>
        </w:rPr>
      </w:pPr>
    </w:p>
    <w:p>
      <w:pPr>
        <w:pageBreakBefore w:val="0"/>
        <w:kinsoku/>
        <w:overflowPunct/>
        <w:bidi w:val="0"/>
        <w:spacing w:line="560" w:lineRule="exact"/>
        <w:rPr>
          <w:rFonts w:hint="default" w:ascii="Times New Roman" w:hAnsi="Times New Roman" w:cs="Times New Roman"/>
          <w:color w:val="auto"/>
        </w:rPr>
      </w:pPr>
      <w:r>
        <w:rPr>
          <w:rFonts w:hint="default" w:ascii="Times New Roman" w:hAnsi="Times New Roman" w:cs="Times New Roman"/>
          <w:color w:val="auto"/>
        </w:rPr>
        <w:br w:type="page"/>
      </w:r>
    </w:p>
    <w:p>
      <w:pPr>
        <w:pStyle w:val="2"/>
        <w:pageBreakBefore w:val="0"/>
        <w:kinsoku/>
        <w:overflowPunct/>
        <w:bidi w:val="0"/>
        <w:spacing w:line="560" w:lineRule="exact"/>
        <w:outlineLvl w:val="0"/>
        <w:rPr>
          <w:rFonts w:hint="default" w:ascii="Times New Roman" w:hAnsi="Times New Roman" w:eastAsia="方正小标宋_GBK" w:cs="Times New Roman"/>
          <w:b w:val="0"/>
          <w:bCs/>
          <w:color w:val="auto"/>
        </w:rPr>
      </w:pPr>
      <w:r>
        <w:rPr>
          <w:rFonts w:hint="default" w:ascii="Times New Roman" w:hAnsi="Times New Roman" w:eastAsia="方正小标宋_GBK" w:cs="Times New Roman"/>
          <w:b w:val="0"/>
          <w:bCs/>
          <w:color w:val="auto"/>
        </w:rPr>
        <w:t>第三章  比选办法（综合评估法）</w:t>
      </w:r>
    </w:p>
    <w:p>
      <w:pPr>
        <w:pageBreakBefore w:val="0"/>
        <w:kinsoku/>
        <w:overflowPunct/>
        <w:bidi w:val="0"/>
        <w:spacing w:line="560" w:lineRule="exact"/>
        <w:rPr>
          <w:rFonts w:hint="default" w:ascii="Times New Roman" w:hAnsi="Times New Roman" w:eastAsia="方正小标宋_GBK" w:cs="Times New Roman"/>
          <w:bCs/>
          <w:color w:val="auto"/>
        </w:rPr>
      </w:pPr>
    </w:p>
    <w:p>
      <w:pPr>
        <w:pageBreakBefore w:val="0"/>
        <w:kinsoku/>
        <w:overflowPunct/>
        <w:autoSpaceDE w:val="0"/>
        <w:autoSpaceDN w:val="0"/>
        <w:bidi w:val="0"/>
        <w:adjustRightInd w:val="0"/>
        <w:spacing w:line="560" w:lineRule="exact"/>
        <w:ind w:firstLine="560" w:firstLineChars="200"/>
        <w:rPr>
          <w:rFonts w:hint="default" w:ascii="Times New Roman" w:hAnsi="Times New Roman" w:cs="Times New Roman"/>
          <w:color w:val="auto"/>
        </w:rPr>
      </w:pPr>
      <w:r>
        <w:rPr>
          <w:rFonts w:hint="default" w:ascii="Times New Roman" w:hAnsi="Times New Roman" w:eastAsia="仿宋" w:cs="Times New Roman"/>
          <w:color w:val="auto"/>
          <w:sz w:val="28"/>
          <w:szCs w:val="28"/>
        </w:rPr>
        <w:t>本次比选采取综合评估法。在经过响应性评审后对符合本文件基本要求的比选响应人进行详细评审，总得分为经济、技术、商务三种评定因素分别按照相应分值计算分项得分后相加，满分为100分，评审委员会根据综合得分从高到低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56"/>
        <w:gridCol w:w="1013"/>
        <w:gridCol w:w="873"/>
        <w:gridCol w:w="5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条款号</w:t>
            </w:r>
          </w:p>
        </w:tc>
        <w:tc>
          <w:tcPr>
            <w:tcW w:w="2069" w:type="dxa"/>
            <w:gridSpan w:val="2"/>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条款内容</w:t>
            </w:r>
          </w:p>
        </w:tc>
        <w:tc>
          <w:tcPr>
            <w:tcW w:w="6500" w:type="dxa"/>
            <w:gridSpan w:val="2"/>
            <w:vAlign w:val="center"/>
          </w:tcPr>
          <w:p>
            <w:pPr>
              <w:pageBreakBefore w:val="0"/>
              <w:tabs>
                <w:tab w:val="left" w:pos="1875"/>
              </w:tabs>
              <w:kinsoku/>
              <w:overflowPunct/>
              <w:bidi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8"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2069" w:type="dxa"/>
            <w:gridSpan w:val="2"/>
            <w:tcBorders>
              <w:bottom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分值构成</w:t>
            </w:r>
          </w:p>
          <w:p>
            <w:pPr>
              <w:pageBreakBefore w:val="0"/>
              <w:kinsoku/>
              <w:overflowPunct/>
              <w:bidi w:val="0"/>
              <w:snapToGrid w:val="0"/>
              <w:spacing w:line="240" w:lineRule="auto"/>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（总分100分）</w:t>
            </w:r>
          </w:p>
        </w:tc>
        <w:tc>
          <w:tcPr>
            <w:tcW w:w="65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rPr>
              <w:t>总分=经济部分得分</w:t>
            </w:r>
            <w:r>
              <w:rPr>
                <w:rFonts w:hint="default" w:ascii="Times New Roman" w:hAnsi="Times New Roman" w:eastAsia="仿宋" w:cs="Times New Roman"/>
                <w:color w:val="auto"/>
                <w:kern w:val="0"/>
                <w:sz w:val="21"/>
                <w:szCs w:val="21"/>
                <w:lang w:val="en-US" w:eastAsia="zh-CN"/>
              </w:rPr>
              <w:t>+商务部分得分</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rPr>
              <w:t>技术部分得分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经济部分：60分</w:t>
            </w:r>
            <w:r>
              <w:rPr>
                <w:rFonts w:hint="eastAsia" w:ascii="Times New Roman" w:hAnsi="Times New Roman" w:eastAsia="仿宋" w:cs="Times New Roman"/>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商务部分：</w:t>
            </w:r>
            <w:r>
              <w:rPr>
                <w:rFonts w:hint="default" w:ascii="Times New Roman" w:hAnsi="Times New Roman" w:eastAsia="仿宋" w:cs="Times New Roman"/>
                <w:color w:val="auto"/>
                <w:kern w:val="0"/>
                <w:sz w:val="21"/>
                <w:szCs w:val="21"/>
                <w:lang w:val="en-US" w:eastAsia="zh-CN"/>
              </w:rPr>
              <w:t>1</w:t>
            </w:r>
            <w:r>
              <w:rPr>
                <w:rFonts w:hint="eastAsia" w:ascii="Times New Roman" w:hAnsi="Times New Roman" w:eastAsia="仿宋" w:cs="Times New Roman"/>
                <w:color w:val="auto"/>
                <w:kern w:val="0"/>
                <w:sz w:val="21"/>
                <w:szCs w:val="21"/>
                <w:lang w:val="en-US" w:eastAsia="zh-CN"/>
              </w:rPr>
              <w:t>4</w:t>
            </w:r>
            <w:r>
              <w:rPr>
                <w:rFonts w:hint="default" w:ascii="Times New Roman" w:hAnsi="Times New Roman" w:eastAsia="仿宋" w:cs="Times New Roman"/>
                <w:color w:val="auto"/>
                <w:kern w:val="0"/>
                <w:sz w:val="21"/>
                <w:szCs w:val="21"/>
              </w:rPr>
              <w:t>分</w:t>
            </w:r>
            <w:r>
              <w:rPr>
                <w:rFonts w:hint="eastAsia" w:ascii="Times New Roman" w:hAnsi="Times New Roman" w:eastAsia="仿宋" w:cs="Times New Roman"/>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rPr>
            </w:pPr>
            <w:r>
              <w:rPr>
                <w:rFonts w:hint="default" w:ascii="Times New Roman" w:hAnsi="Times New Roman" w:eastAsia="仿宋" w:cs="Times New Roman"/>
                <w:color w:val="auto"/>
                <w:kern w:val="0"/>
                <w:sz w:val="21"/>
                <w:szCs w:val="21"/>
              </w:rPr>
              <w:t>技术部分：2</w:t>
            </w:r>
            <w:r>
              <w:rPr>
                <w:rFonts w:hint="eastAsia" w:ascii="Times New Roman" w:hAnsi="Times New Roman" w:eastAsia="仿宋" w:cs="Times New Roman"/>
                <w:color w:val="auto"/>
                <w:kern w:val="0"/>
                <w:sz w:val="21"/>
                <w:szCs w:val="21"/>
                <w:lang w:val="en-US" w:eastAsia="zh-CN"/>
              </w:rPr>
              <w:t>6</w:t>
            </w:r>
            <w:r>
              <w:rPr>
                <w:rFonts w:hint="default" w:ascii="Times New Roman" w:hAnsi="Times New Roman" w:eastAsia="仿宋" w:cs="Times New Roman"/>
                <w:color w:val="auto"/>
                <w:kern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b/>
                <w:color w:val="auto"/>
                <w:sz w:val="21"/>
                <w:szCs w:val="21"/>
              </w:rPr>
              <w:t>条款号</w:t>
            </w:r>
          </w:p>
        </w:tc>
        <w:tc>
          <w:tcPr>
            <w:tcW w:w="2069" w:type="dxa"/>
            <w:gridSpan w:val="2"/>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b/>
                <w:color w:val="auto"/>
                <w:sz w:val="21"/>
                <w:szCs w:val="21"/>
              </w:rPr>
              <w:t>评审因素</w:t>
            </w: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分值</w:t>
            </w:r>
          </w:p>
        </w:tc>
        <w:tc>
          <w:tcPr>
            <w:tcW w:w="5627" w:type="dxa"/>
            <w:tcBorders>
              <w:left w:val="single" w:color="auto" w:sz="4" w:space="0"/>
            </w:tcBorders>
            <w:vAlign w:val="center"/>
          </w:tcPr>
          <w:p>
            <w:pPr>
              <w:pageBreakBefore w:val="0"/>
              <w:kinsoku/>
              <w:overflowPunct/>
              <w:bidi w:val="0"/>
              <w:snapToGrid w:val="0"/>
              <w:spacing w:line="240" w:lineRule="auto"/>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3" w:hRule="exact"/>
          <w:jc w:val="center"/>
        </w:trPr>
        <w:tc>
          <w:tcPr>
            <w:tcW w:w="900" w:type="dxa"/>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2.1</w:t>
            </w:r>
          </w:p>
        </w:tc>
        <w:tc>
          <w:tcPr>
            <w:tcW w:w="2069" w:type="dxa"/>
            <w:gridSpan w:val="2"/>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经济部分</w:t>
            </w:r>
          </w:p>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（60分）</w:t>
            </w:r>
          </w:p>
          <w:p>
            <w:pPr>
              <w:pageBreakBefore w:val="0"/>
              <w:kinsoku/>
              <w:overflowPunct/>
              <w:bidi w:val="0"/>
              <w:spacing w:line="240" w:lineRule="auto"/>
              <w:jc w:val="center"/>
              <w:rPr>
                <w:rFonts w:hint="default" w:ascii="Times New Roman" w:hAnsi="Times New Roman" w:eastAsia="仿宋" w:cs="Times New Roman"/>
                <w:b/>
                <w:color w:val="auto"/>
                <w:sz w:val="21"/>
                <w:szCs w:val="21"/>
              </w:rPr>
            </w:pPr>
          </w:p>
        </w:tc>
        <w:tc>
          <w:tcPr>
            <w:tcW w:w="873"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Cs/>
                <w:color w:val="auto"/>
                <w:sz w:val="21"/>
                <w:szCs w:val="21"/>
              </w:rPr>
              <w:t>60分</w:t>
            </w:r>
          </w:p>
        </w:tc>
        <w:tc>
          <w:tcPr>
            <w:tcW w:w="5627" w:type="dxa"/>
            <w:tcBorders>
              <w:left w:val="single" w:color="auto" w:sz="4" w:space="0"/>
            </w:tcBorders>
            <w:vAlign w:val="center"/>
          </w:tcPr>
          <w:p>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r>
              <w:rPr>
                <w:rFonts w:hint="eastAsia" w:ascii="Times New Roman" w:hAnsi="Times New Roman" w:eastAsia="仿宋" w:cs="Times New Roman"/>
                <w:color w:val="auto"/>
                <w:sz w:val="21"/>
                <w:szCs w:val="21"/>
                <w:lang w:val="en-US" w:eastAsia="zh-CN"/>
              </w:rPr>
              <w:t>.</w:t>
            </w:r>
            <w:r>
              <w:rPr>
                <w:rFonts w:hint="default" w:ascii="Times New Roman" w:hAnsi="Times New Roman" w:eastAsia="仿宋" w:cs="Times New Roman"/>
                <w:color w:val="auto"/>
                <w:sz w:val="21"/>
                <w:szCs w:val="21"/>
              </w:rPr>
              <w:t>评标基准价计算方法：</w:t>
            </w:r>
          </w:p>
          <w:p>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在比选采购人公布的最高限价（比选控制价）内的所有经初步评审合格的比选响应人的不含增值税的比选报价中去掉1/6（不能整除的按小数前整数取整，不足六家（含）报价则不去掉）的最高价和相同家数的最低价后进行算术平均，所得的算术平均值即为投标总报价的评标基准价。</w:t>
            </w:r>
          </w:p>
          <w:p>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r>
              <w:rPr>
                <w:rFonts w:hint="eastAsia" w:ascii="Times New Roman" w:hAnsi="Times New Roman" w:eastAsia="仿宋" w:cs="Times New Roman"/>
                <w:color w:val="auto"/>
                <w:sz w:val="21"/>
                <w:szCs w:val="21"/>
                <w:lang w:val="en-US" w:eastAsia="zh-CN"/>
              </w:rPr>
              <w:t>.</w:t>
            </w:r>
            <w:r>
              <w:rPr>
                <w:rFonts w:hint="default" w:ascii="Times New Roman" w:hAnsi="Times New Roman" w:eastAsia="仿宋" w:cs="Times New Roman"/>
                <w:color w:val="auto"/>
                <w:sz w:val="21"/>
                <w:szCs w:val="21"/>
              </w:rPr>
              <w:t>比选响应人的比选报价得分：</w:t>
            </w:r>
          </w:p>
          <w:p>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比选响应人的报价与评标基准价相同时，得满分60分；在此基础上，投标总报价与评标基准价相比，每增加1%扣1分，每减少1%扣0.5分。扣完为止。</w:t>
            </w:r>
          </w:p>
          <w:p>
            <w:pPr>
              <w:pageBreakBefore w:val="0"/>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（比选报价四舍五入，并取小数点后两位）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8" w:hRule="exact"/>
          <w:jc w:val="center"/>
        </w:trPr>
        <w:tc>
          <w:tcPr>
            <w:tcW w:w="900" w:type="dxa"/>
            <w:tcBorders>
              <w:bottom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2.2</w:t>
            </w:r>
          </w:p>
        </w:tc>
        <w:tc>
          <w:tcPr>
            <w:tcW w:w="2069" w:type="dxa"/>
            <w:gridSpan w:val="2"/>
            <w:tcBorders>
              <w:bottom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商务部分</w:t>
            </w:r>
          </w:p>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873" w:type="dxa"/>
            <w:tcBorders>
              <w:right w:val="single" w:color="auto" w:sz="4" w:space="0"/>
            </w:tcBorders>
            <w:vAlign w:val="center"/>
          </w:tcPr>
          <w:p>
            <w:pPr>
              <w:pageBreakBefore w:val="0"/>
              <w:kinsoku/>
              <w:overflowPunct/>
              <w:bidi w:val="0"/>
              <w:spacing w:line="240" w:lineRule="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tc>
        <w:tc>
          <w:tcPr>
            <w:tcW w:w="5627" w:type="dxa"/>
            <w:tcBorders>
              <w:left w:val="single" w:color="auto" w:sz="4" w:space="0"/>
            </w:tcBorders>
            <w:vAlign w:val="center"/>
          </w:tcPr>
          <w:p>
            <w:pPr>
              <w:pageBreakBefore w:val="0"/>
              <w:kinsoku/>
              <w:overflowPunct/>
              <w:bidi w:val="0"/>
              <w:spacing w:line="240" w:lineRule="auto"/>
              <w:ind w:firstLine="420" w:firstLineChars="200"/>
              <w:rPr>
                <w:rFonts w:hint="eastAsia" w:ascii="Times New Roman" w:hAnsi="Times New Roman" w:eastAsia="仿宋" w:cs="Times New Roman"/>
                <w:color w:val="auto"/>
                <w:sz w:val="21"/>
                <w:szCs w:val="21"/>
                <w:highlight w:val="none"/>
                <w:lang w:eastAsia="zh-CN"/>
              </w:rPr>
            </w:pPr>
            <w:r>
              <w:rPr>
                <w:rFonts w:hint="default" w:ascii="Times New Roman" w:hAnsi="Times New Roman" w:eastAsia="仿宋" w:cs="Times New Roman"/>
                <w:bCs/>
                <w:color w:val="auto"/>
                <w:sz w:val="21"/>
                <w:szCs w:val="21"/>
                <w:highlight w:val="none"/>
              </w:rPr>
              <w:t>1.具有ISO9001质量管理体系认证，且认证范围包括消防设施检测的得2分</w:t>
            </w:r>
            <w:r>
              <w:rPr>
                <w:rFonts w:hint="eastAsia"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color w:val="auto"/>
                <w:sz w:val="21"/>
                <w:szCs w:val="21"/>
                <w:highlight w:val="none"/>
              </w:rPr>
              <w:t>（提供加盖单位鲜公章的在有效期内的证书复印件，原件备查）</w:t>
            </w:r>
          </w:p>
          <w:p>
            <w:pPr>
              <w:pageBreakBefore w:val="0"/>
              <w:kinsoku/>
              <w:overflowPunct/>
              <w:bidi w:val="0"/>
              <w:spacing w:line="240" w:lineRule="auto"/>
              <w:ind w:firstLine="420" w:firstLineChars="200"/>
              <w:rPr>
                <w:rFonts w:hint="eastAsia"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rPr>
              <w:t>2.具有ISO45001（或ISO18000）职业健康安全管理体系认证，且认证范围包括消防设施检测的得2分</w:t>
            </w:r>
            <w:r>
              <w:rPr>
                <w:rFonts w:hint="eastAsia"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color w:val="auto"/>
                <w:sz w:val="21"/>
                <w:szCs w:val="21"/>
                <w:highlight w:val="none"/>
              </w:rPr>
              <w:t>（提供加盖单位鲜公章的在有效期内的证书复印件，原件备查）</w:t>
            </w:r>
          </w:p>
          <w:p>
            <w:pPr>
              <w:pageBreakBefore w:val="0"/>
              <w:kinsoku/>
              <w:overflowPunct/>
              <w:bidi w:val="0"/>
              <w:spacing w:line="240" w:lineRule="auto"/>
              <w:ind w:firstLine="420" w:firstLineChars="200"/>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3. 20</w:t>
            </w:r>
            <w:r>
              <w:rPr>
                <w:rFonts w:hint="eastAsia" w:ascii="Times New Roman" w:hAnsi="Times New Roman" w:eastAsia="仿宋" w:cs="Times New Roman"/>
                <w:bCs/>
                <w:color w:val="auto"/>
                <w:sz w:val="21"/>
                <w:szCs w:val="21"/>
                <w:lang w:val="en-US" w:eastAsia="zh-CN"/>
              </w:rPr>
              <w:t>20</w:t>
            </w:r>
            <w:r>
              <w:rPr>
                <w:rFonts w:hint="default" w:ascii="Times New Roman" w:hAnsi="Times New Roman" w:eastAsia="仿宋" w:cs="Times New Roman"/>
                <w:bCs/>
                <w:color w:val="auto"/>
                <w:sz w:val="21"/>
                <w:szCs w:val="21"/>
              </w:rPr>
              <w:t>年1月1日至今（以合同签订时间为准），在满足“比选响应人资格条件”情况下，每多完成1个单体建筑面积10万平方米以上的公共建筑消防设施年度检测服务业绩1个合同得1分；最多得6分。（提供业绩合同，合同中须明确建筑类型为单体，如合同无法证明项目建筑类型为单体时还需提供甲方或甲方委托物管公司开具的证明资料，并加盖投标人公章）</w:t>
            </w:r>
          </w:p>
          <w:p>
            <w:pPr>
              <w:pageBreakBefore w:val="0"/>
              <w:kinsoku/>
              <w:overflowPunct/>
              <w:bidi w:val="0"/>
              <w:spacing w:line="240" w:lineRule="auto"/>
              <w:ind w:firstLine="420" w:firstLineChars="200"/>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4. 20</w:t>
            </w:r>
            <w:r>
              <w:rPr>
                <w:rFonts w:hint="eastAsia" w:ascii="Times New Roman" w:hAnsi="Times New Roman" w:eastAsia="仿宋" w:cs="Times New Roman"/>
                <w:bCs/>
                <w:color w:val="auto"/>
                <w:sz w:val="21"/>
                <w:szCs w:val="21"/>
                <w:lang w:val="en-US" w:eastAsia="zh-CN"/>
              </w:rPr>
              <w:t>20</w:t>
            </w:r>
            <w:r>
              <w:rPr>
                <w:rFonts w:hint="default" w:ascii="Times New Roman" w:hAnsi="Times New Roman" w:eastAsia="仿宋" w:cs="Times New Roman"/>
                <w:bCs/>
                <w:color w:val="auto"/>
                <w:sz w:val="21"/>
                <w:szCs w:val="21"/>
              </w:rPr>
              <w:t>年1月1日至今（以合同签订时间为准），在满足“比选响应人资格条件”情况下，每多完成1个单体建筑面积5万平方米以上的公共建筑消防设施年度评估服务业绩1个合同得1分，最多得2分。（提供业绩合同，合同中须明确建筑类型为单体，如合同无法证明项目建筑类型为单体时还需提供甲方或甲方委托物管公司开具的证明资料，并加盖投标人公章）</w:t>
            </w:r>
          </w:p>
          <w:p>
            <w:pPr>
              <w:pageBreakBefore w:val="0"/>
              <w:kinsoku/>
              <w:overflowPunct/>
              <w:bidi w:val="0"/>
              <w:spacing w:line="240" w:lineRule="auto"/>
              <w:ind w:firstLine="420" w:firstLineChars="200"/>
              <w:rPr>
                <w:rFonts w:hint="default" w:ascii="Times New Roman" w:hAnsi="Times New Roman" w:eastAsia="仿宋" w:cs="Times New Roman"/>
                <w:color w:val="auto"/>
                <w:sz w:val="21"/>
                <w:szCs w:val="21"/>
              </w:rPr>
            </w:pPr>
            <w:r>
              <w:rPr>
                <w:rFonts w:hint="eastAsia" w:ascii="Times New Roman" w:hAnsi="Times New Roman" w:eastAsia="仿宋" w:cs="Times New Roman"/>
                <w:bCs/>
                <w:color w:val="auto"/>
                <w:sz w:val="21"/>
                <w:szCs w:val="21"/>
                <w:lang w:val="en-US" w:eastAsia="zh-CN"/>
              </w:rPr>
              <w:t>5</w:t>
            </w:r>
            <w:r>
              <w:rPr>
                <w:rFonts w:hint="default" w:ascii="Times New Roman" w:hAnsi="Times New Roman" w:eastAsia="仿宋" w:cs="Times New Roman"/>
                <w:bCs/>
                <w:color w:val="auto"/>
                <w:sz w:val="21"/>
                <w:szCs w:val="21"/>
              </w:rPr>
              <w:t>.</w:t>
            </w:r>
            <w:r>
              <w:rPr>
                <w:rFonts w:hint="eastAsia" w:ascii="Times New Roman" w:hAnsi="Times New Roman" w:eastAsia="仿宋" w:cs="Times New Roman"/>
                <w:bCs/>
                <w:color w:val="auto"/>
                <w:sz w:val="21"/>
                <w:szCs w:val="21"/>
                <w:lang w:val="en-US" w:eastAsia="zh-CN"/>
              </w:rPr>
              <w:t xml:space="preserve"> </w:t>
            </w:r>
            <w:r>
              <w:rPr>
                <w:rFonts w:hint="default" w:ascii="Times New Roman" w:hAnsi="Times New Roman" w:eastAsia="仿宋" w:cs="Times New Roman"/>
                <w:bCs/>
                <w:color w:val="auto"/>
                <w:sz w:val="21"/>
                <w:szCs w:val="21"/>
              </w:rPr>
              <w:t>比选响应人具有一级注册消防工程师人数以2名为基数，</w:t>
            </w:r>
            <w:r>
              <w:rPr>
                <w:rFonts w:hint="eastAsia" w:ascii="Times New Roman" w:hAnsi="Times New Roman" w:eastAsia="仿宋" w:cs="Times New Roman"/>
                <w:bCs/>
                <w:color w:val="auto"/>
                <w:sz w:val="21"/>
                <w:szCs w:val="21"/>
                <w:lang w:val="en-US" w:eastAsia="zh-CN"/>
              </w:rPr>
              <w:t>每多</w:t>
            </w:r>
            <w:r>
              <w:rPr>
                <w:rFonts w:hint="default" w:ascii="Times New Roman" w:hAnsi="Times New Roman" w:eastAsia="仿宋" w:cs="Times New Roman"/>
                <w:bCs/>
                <w:color w:val="auto"/>
                <w:sz w:val="21"/>
                <w:szCs w:val="21"/>
              </w:rPr>
              <w:t>1名得1分，最多得2分。（</w:t>
            </w:r>
            <w:r>
              <w:rPr>
                <w:rFonts w:hint="default" w:ascii="Times New Roman" w:hAnsi="Times New Roman" w:eastAsia="仿宋" w:cs="Times New Roman"/>
                <w:color w:val="auto"/>
                <w:sz w:val="21"/>
                <w:szCs w:val="21"/>
              </w:rPr>
              <w:t>提供单位账户登录“</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HYPERLINK "https://www.baidu.com/link?url=0kQhPHGcY62AJY_dgCMhjWhsFBCYmHHcVXkRxzv6lNj9P_xFuKQh3m5AcgMy780O&amp;wd=&amp;eqid=8d6a0dc800000e59000000065f856750" \t "https://www.baidu.com/_blank" </w:instrText>
            </w:r>
            <w:r>
              <w:rPr>
                <w:rFonts w:hint="default" w:ascii="Times New Roman" w:hAnsi="Times New Roman" w:cs="Times New Roman"/>
                <w:color w:val="auto"/>
                <w:sz w:val="21"/>
                <w:szCs w:val="21"/>
              </w:rPr>
              <w:fldChar w:fldCharType="separate"/>
            </w:r>
            <w:r>
              <w:rPr>
                <w:rFonts w:hint="default" w:ascii="Times New Roman" w:hAnsi="Times New Roman" w:eastAsia="仿宋" w:cs="Times New Roman"/>
                <w:color w:val="auto"/>
                <w:sz w:val="21"/>
                <w:szCs w:val="21"/>
              </w:rPr>
              <w:t>社会消防技术服务信息系统</w:t>
            </w:r>
            <w:r>
              <w:rPr>
                <w:rFonts w:hint="default" w:ascii="Times New Roman" w:hAnsi="Times New Roman" w:eastAsia="仿宋" w:cs="Times New Roman"/>
                <w:color w:val="auto"/>
                <w:sz w:val="21"/>
                <w:szCs w:val="21"/>
              </w:rPr>
              <w:fldChar w:fldCharType="end"/>
            </w:r>
            <w:r>
              <w:rPr>
                <w:rFonts w:hint="default" w:ascii="Times New Roman" w:hAnsi="Times New Roman" w:eastAsia="仿宋" w:cs="Times New Roman"/>
                <w:color w:val="auto"/>
                <w:sz w:val="21"/>
                <w:szCs w:val="21"/>
              </w:rPr>
              <w:t>”信息系统后的查询截图，</w:t>
            </w:r>
            <w:r>
              <w:rPr>
                <w:rFonts w:hint="default" w:ascii="Times New Roman" w:hAnsi="Times New Roman" w:eastAsia="仿宋" w:cs="Times New Roman"/>
                <w:bCs/>
                <w:color w:val="auto"/>
                <w:sz w:val="21"/>
                <w:szCs w:val="21"/>
              </w:rPr>
              <w:t>提供202</w:t>
            </w:r>
            <w:r>
              <w:rPr>
                <w:rFonts w:hint="eastAsia" w:ascii="Times New Roman" w:hAnsi="Times New Roman" w:eastAsia="仿宋" w:cs="Times New Roman"/>
                <w:bCs/>
                <w:color w:val="auto"/>
                <w:sz w:val="21"/>
                <w:szCs w:val="21"/>
                <w:lang w:val="en-US" w:eastAsia="zh-CN"/>
              </w:rPr>
              <w:t>3</w:t>
            </w:r>
            <w:r>
              <w:rPr>
                <w:rFonts w:hint="default" w:ascii="Times New Roman" w:hAnsi="Times New Roman" w:eastAsia="仿宋" w:cs="Times New Roman"/>
                <w:bCs/>
                <w:color w:val="auto"/>
                <w:sz w:val="21"/>
                <w:szCs w:val="21"/>
              </w:rPr>
              <w:t>年1月至202</w:t>
            </w:r>
            <w:r>
              <w:rPr>
                <w:rFonts w:hint="eastAsia" w:ascii="Times New Roman" w:hAnsi="Times New Roman" w:eastAsia="仿宋" w:cs="Times New Roman"/>
                <w:bCs/>
                <w:color w:val="auto"/>
                <w:sz w:val="21"/>
                <w:szCs w:val="21"/>
                <w:lang w:val="en-US" w:eastAsia="zh-CN"/>
              </w:rPr>
              <w:t>3</w:t>
            </w:r>
            <w:r>
              <w:rPr>
                <w:rFonts w:hint="default" w:ascii="Times New Roman" w:hAnsi="Times New Roman" w:eastAsia="仿宋" w:cs="Times New Roman"/>
                <w:bCs/>
                <w:color w:val="auto"/>
                <w:sz w:val="21"/>
                <w:szCs w:val="21"/>
              </w:rPr>
              <w:t>年6月比选响应人为消防工程师缴纳社会保险的证明复印件</w:t>
            </w:r>
            <w:r>
              <w:rPr>
                <w:rFonts w:hint="default" w:ascii="Times New Roman" w:hAnsi="Times New Roman" w:eastAsia="仿宋" w:cs="Times New Roman"/>
                <w:color w:val="auto"/>
                <w:sz w:val="21"/>
                <w:szCs w:val="21"/>
              </w:rPr>
              <w:t>，截图和复印件均须加盖比选响应人单位鲜公章）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8" w:hRule="exac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2.3</w:t>
            </w:r>
          </w:p>
        </w:tc>
        <w:tc>
          <w:tcPr>
            <w:tcW w:w="1056"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 xml:space="preserve">技术部分   </w:t>
            </w:r>
          </w:p>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r>
              <w:rPr>
                <w:rFonts w:hint="eastAsia" w:ascii="Times New Roman" w:hAnsi="Times New Roman" w:eastAsia="仿宋" w:cs="Times New Roman"/>
                <w:color w:val="auto"/>
                <w:sz w:val="21"/>
                <w:szCs w:val="21"/>
                <w:lang w:val="en-US" w:eastAsia="zh-CN"/>
              </w:rPr>
              <w:t>6</w:t>
            </w:r>
            <w:r>
              <w:rPr>
                <w:rFonts w:hint="default" w:ascii="Times New Roman" w:hAnsi="Times New Roman" w:eastAsia="仿宋" w:cs="Times New Roman"/>
                <w:color w:val="auto"/>
                <w:sz w:val="21"/>
                <w:szCs w:val="21"/>
              </w:rPr>
              <w:t>分）</w:t>
            </w:r>
          </w:p>
        </w:tc>
        <w:tc>
          <w:tcPr>
            <w:tcW w:w="101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技术团队成员能力</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sz w:val="21"/>
                <w:szCs w:val="21"/>
                <w:highlight w:val="none"/>
              </w:rPr>
            </w:pPr>
            <w:r>
              <w:rPr>
                <w:rFonts w:hint="eastAsia"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rPr>
              <w:t>分</w:t>
            </w:r>
          </w:p>
        </w:tc>
        <w:tc>
          <w:tcPr>
            <w:tcW w:w="5627" w:type="dxa"/>
            <w:tcBorders>
              <w:left w:val="single" w:color="auto" w:sz="4" w:space="0"/>
              <w:bottom w:val="single" w:color="auto" w:sz="4" w:space="0"/>
            </w:tcBorders>
            <w:vAlign w:val="center"/>
          </w:tcPr>
          <w:p>
            <w:pPr>
              <w:pageBreakBefore w:val="0"/>
              <w:kinsoku/>
              <w:overflowPunct/>
              <w:bidi w:val="0"/>
              <w:spacing w:line="240" w:lineRule="auto"/>
              <w:ind w:firstLine="420" w:firstLineChars="20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Cs/>
                <w:color w:val="auto"/>
                <w:sz w:val="21"/>
                <w:szCs w:val="21"/>
                <w:highlight w:val="none"/>
              </w:rPr>
              <w:t>委派至本项目的技术团队成员除项目负责人外，每具备1个《建（构）筑物消防员国家职业资格证书》（三级/高级技能）或《消防设施操作员国家职业资格证书》（三级/高级技能）执业资格的得1分，最多</w:t>
            </w:r>
            <w:r>
              <w:rPr>
                <w:rFonts w:hint="eastAsia" w:ascii="Times New Roman" w:hAnsi="Times New Roman" w:eastAsia="仿宋" w:cs="Times New Roman"/>
                <w:bCs/>
                <w:color w:val="auto"/>
                <w:sz w:val="21"/>
                <w:szCs w:val="21"/>
                <w:highlight w:val="none"/>
                <w:lang w:val="en-US" w:eastAsia="zh-CN"/>
              </w:rPr>
              <w:t>4</w:t>
            </w:r>
            <w:r>
              <w:rPr>
                <w:rFonts w:hint="default" w:ascii="Times New Roman" w:hAnsi="Times New Roman" w:eastAsia="仿宋" w:cs="Times New Roman"/>
                <w:bCs/>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7"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核心消防系统检测技术方案</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8</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420" w:firstLineChars="200"/>
              <w:jc w:val="left"/>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针对火灾自动报警系统（含光截面系统、双波段系统）、气体灭火系统、电气火灾监控系统、室内消火栓系统和自动喷水灭火系统编制专项检测方案</w:t>
            </w:r>
            <w:r>
              <w:rPr>
                <w:rFonts w:hint="eastAsia" w:ascii="Times New Roman" w:hAnsi="Times New Roman" w:eastAsia="仿宋" w:cs="Times New Roman"/>
                <w:color w:val="auto"/>
                <w:sz w:val="21"/>
                <w:szCs w:val="21"/>
                <w:lang w:val="en-US" w:eastAsia="zh-CN"/>
              </w:rPr>
              <w:t>得2分。</w:t>
            </w:r>
          </w:p>
          <w:p>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r>
              <w:rPr>
                <w:rFonts w:hint="default" w:ascii="Times New Roman" w:hAnsi="Times New Roman" w:eastAsia="仿宋" w:cs="Times New Roman"/>
                <w:color w:val="auto"/>
                <w:sz w:val="21"/>
                <w:szCs w:val="21"/>
              </w:rPr>
              <w:t>方案</w:t>
            </w:r>
            <w:r>
              <w:rPr>
                <w:rFonts w:hint="eastAsia" w:ascii="Times New Roman" w:hAnsi="Times New Roman" w:eastAsia="仿宋" w:cs="Times New Roman"/>
                <w:color w:val="auto"/>
                <w:sz w:val="21"/>
                <w:szCs w:val="21"/>
                <w:lang w:val="en-US" w:eastAsia="zh-CN"/>
              </w:rPr>
              <w:t>内容</w:t>
            </w:r>
            <w:r>
              <w:rPr>
                <w:rFonts w:hint="default" w:ascii="Times New Roman" w:hAnsi="Times New Roman" w:eastAsia="仿宋" w:cs="Times New Roman"/>
                <w:color w:val="auto"/>
                <w:sz w:val="21"/>
                <w:szCs w:val="21"/>
              </w:rPr>
              <w:t>包含且不限于测试前准备、测试操作规程、</w:t>
            </w:r>
            <w:r>
              <w:rPr>
                <w:rFonts w:hint="eastAsia" w:ascii="Times New Roman" w:hAnsi="Times New Roman" w:eastAsia="仿宋" w:cs="Times New Roman"/>
                <w:color w:val="auto"/>
                <w:sz w:val="21"/>
                <w:szCs w:val="21"/>
                <w:lang w:val="en-US" w:eastAsia="zh-CN"/>
              </w:rPr>
              <w:t>注意事项</w:t>
            </w:r>
            <w:r>
              <w:rPr>
                <w:rFonts w:hint="default" w:ascii="Times New Roman" w:hAnsi="Times New Roman" w:eastAsia="仿宋" w:cs="Times New Roman"/>
                <w:color w:val="auto"/>
                <w:sz w:val="21"/>
                <w:szCs w:val="21"/>
              </w:rPr>
              <w:t>及应急处置措施</w:t>
            </w:r>
            <w:r>
              <w:rPr>
                <w:rFonts w:hint="eastAsia" w:ascii="Times New Roman" w:hAnsi="Times New Roman" w:eastAsia="仿宋" w:cs="Times New Roman"/>
                <w:color w:val="auto"/>
                <w:sz w:val="21"/>
                <w:szCs w:val="21"/>
                <w:lang w:val="en-US" w:eastAsia="zh-CN"/>
              </w:rPr>
              <w:t>得0~4分。</w:t>
            </w:r>
          </w:p>
          <w:p>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3.</w:t>
            </w:r>
            <w:r>
              <w:rPr>
                <w:rFonts w:hint="default" w:ascii="Times New Roman" w:hAnsi="Times New Roman" w:eastAsia="仿宋" w:cs="Times New Roman"/>
                <w:color w:val="auto"/>
                <w:sz w:val="21"/>
                <w:szCs w:val="21"/>
              </w:rPr>
              <w:t>方案操作性强，能保证测试结果准确、有效，</w:t>
            </w:r>
            <w:r>
              <w:rPr>
                <w:rFonts w:hint="eastAsia" w:ascii="Times New Roman" w:hAnsi="Times New Roman" w:eastAsia="仿宋" w:cs="Times New Roman"/>
                <w:color w:val="auto"/>
                <w:sz w:val="21"/>
                <w:szCs w:val="21"/>
                <w:lang w:val="en-US" w:eastAsia="zh-CN"/>
              </w:rPr>
              <w:t>方案编写细致得0~2分。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3"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重要消防系统检测技术方案</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6</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420" w:firstLineChars="200"/>
              <w:jc w:val="left"/>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针对防排烟系统、智能疏散系统、排烟天窗和电动百叶窗电控系统、消防水炮灭火系统编制专项检测方案</w:t>
            </w:r>
            <w:r>
              <w:rPr>
                <w:rFonts w:hint="eastAsia" w:ascii="Times New Roman" w:hAnsi="Times New Roman" w:eastAsia="仿宋" w:cs="Times New Roman"/>
                <w:color w:val="auto"/>
                <w:sz w:val="21"/>
                <w:szCs w:val="21"/>
                <w:lang w:val="en-US" w:eastAsia="zh-CN"/>
              </w:rPr>
              <w:t>得2分。</w:t>
            </w:r>
          </w:p>
          <w:p>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r>
              <w:rPr>
                <w:rFonts w:hint="default" w:ascii="Times New Roman" w:hAnsi="Times New Roman" w:eastAsia="仿宋" w:cs="Times New Roman"/>
                <w:color w:val="auto"/>
                <w:sz w:val="21"/>
                <w:szCs w:val="21"/>
              </w:rPr>
              <w:t>方案</w:t>
            </w:r>
            <w:r>
              <w:rPr>
                <w:rFonts w:hint="eastAsia" w:ascii="Times New Roman" w:hAnsi="Times New Roman" w:eastAsia="仿宋" w:cs="Times New Roman"/>
                <w:color w:val="auto"/>
                <w:sz w:val="21"/>
                <w:szCs w:val="21"/>
                <w:lang w:val="en-US" w:eastAsia="zh-CN"/>
              </w:rPr>
              <w:t>内容</w:t>
            </w:r>
            <w:r>
              <w:rPr>
                <w:rFonts w:hint="default" w:ascii="Times New Roman" w:hAnsi="Times New Roman" w:eastAsia="仿宋" w:cs="Times New Roman"/>
                <w:color w:val="auto"/>
                <w:sz w:val="21"/>
                <w:szCs w:val="21"/>
              </w:rPr>
              <w:t>包含且不限于测试前准备、测试操作规程、</w:t>
            </w:r>
            <w:r>
              <w:rPr>
                <w:rFonts w:hint="eastAsia" w:ascii="Times New Roman" w:hAnsi="Times New Roman" w:eastAsia="仿宋" w:cs="Times New Roman"/>
                <w:color w:val="auto"/>
                <w:sz w:val="21"/>
                <w:szCs w:val="21"/>
                <w:lang w:val="en-US" w:eastAsia="zh-CN"/>
              </w:rPr>
              <w:t>注意事项</w:t>
            </w:r>
            <w:r>
              <w:rPr>
                <w:rFonts w:hint="default" w:ascii="Times New Roman" w:hAnsi="Times New Roman" w:eastAsia="仿宋" w:cs="Times New Roman"/>
                <w:color w:val="auto"/>
                <w:sz w:val="21"/>
                <w:szCs w:val="21"/>
              </w:rPr>
              <w:t>及应急处置措施</w:t>
            </w:r>
            <w:r>
              <w:rPr>
                <w:rFonts w:hint="eastAsia" w:ascii="Times New Roman" w:hAnsi="Times New Roman" w:eastAsia="仿宋" w:cs="Times New Roman"/>
                <w:color w:val="auto"/>
                <w:sz w:val="21"/>
                <w:szCs w:val="21"/>
                <w:lang w:val="en-US" w:eastAsia="zh-CN"/>
              </w:rPr>
              <w:t>得0~2分。</w:t>
            </w:r>
          </w:p>
          <w:p>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3.</w:t>
            </w:r>
            <w:r>
              <w:rPr>
                <w:rFonts w:hint="default" w:ascii="Times New Roman" w:hAnsi="Times New Roman" w:eastAsia="仿宋" w:cs="Times New Roman"/>
                <w:color w:val="auto"/>
                <w:sz w:val="21"/>
                <w:szCs w:val="21"/>
              </w:rPr>
              <w:t>方案操作性强，能保证测试结果准确、有效，</w:t>
            </w:r>
            <w:r>
              <w:rPr>
                <w:rFonts w:hint="eastAsia" w:ascii="Times New Roman" w:hAnsi="Times New Roman" w:eastAsia="仿宋" w:cs="Times New Roman"/>
                <w:color w:val="auto"/>
                <w:sz w:val="21"/>
                <w:szCs w:val="21"/>
                <w:lang w:val="en-US" w:eastAsia="zh-CN"/>
              </w:rPr>
              <w:t>方案编写细致得0~2分。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项目进度计划</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工作进度计划合理，</w:t>
            </w:r>
            <w:r>
              <w:rPr>
                <w:rFonts w:hint="eastAsia" w:ascii="Times New Roman" w:hAnsi="Times New Roman" w:eastAsia="仿宋" w:cs="Times New Roman"/>
                <w:color w:val="auto"/>
                <w:sz w:val="21"/>
                <w:szCs w:val="21"/>
                <w:lang w:val="en-US" w:eastAsia="zh-CN"/>
              </w:rPr>
              <w:t>对评估和检测时间以及出具报告的时间进行合理安排得0~4分。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2" w:hRule="exac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p>
        </w:tc>
        <w:tc>
          <w:tcPr>
            <w:tcW w:w="101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服务质量保证措施</w:t>
            </w:r>
          </w:p>
        </w:tc>
        <w:tc>
          <w:tcPr>
            <w:tcW w:w="873" w:type="dxa"/>
            <w:tcBorders>
              <w:left w:val="single" w:color="auto" w:sz="4" w:space="0"/>
              <w:bottom w:val="single" w:color="auto" w:sz="4" w:space="0"/>
              <w:right w:val="single" w:color="auto" w:sz="4" w:space="0"/>
            </w:tcBorders>
            <w:vAlign w:val="center"/>
          </w:tcPr>
          <w:p>
            <w:pPr>
              <w:pageBreakBefore w:val="0"/>
              <w:kinsoku/>
              <w:overflowPunct/>
              <w:bidi w:val="0"/>
              <w:spacing w:before="156" w:beforeLines="50" w:line="240" w:lineRule="auto"/>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4</w:t>
            </w:r>
            <w:r>
              <w:rPr>
                <w:rFonts w:hint="default" w:ascii="Times New Roman" w:hAnsi="Times New Roman" w:eastAsia="仿宋" w:cs="Times New Roman"/>
                <w:color w:val="auto"/>
                <w:sz w:val="21"/>
                <w:szCs w:val="21"/>
              </w:rPr>
              <w:t>分</w:t>
            </w:r>
          </w:p>
        </w:tc>
        <w:tc>
          <w:tcPr>
            <w:tcW w:w="5627" w:type="dxa"/>
            <w:tcBorders>
              <w:left w:val="single" w:color="auto" w:sz="4" w:space="0"/>
              <w:bottom w:val="single" w:color="auto" w:sz="4" w:space="0"/>
            </w:tcBorders>
            <w:vAlign w:val="center"/>
          </w:tcPr>
          <w:p>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根据消防设施检测项目特性，拟定保障检测质量的管控措施</w:t>
            </w:r>
            <w:r>
              <w:rPr>
                <w:rFonts w:hint="eastAsia" w:ascii="Times New Roman" w:hAnsi="Times New Roman" w:eastAsia="仿宋" w:cs="Times New Roman"/>
                <w:color w:val="auto"/>
                <w:sz w:val="21"/>
                <w:szCs w:val="21"/>
                <w:lang w:eastAsia="zh-CN"/>
              </w:rPr>
              <w:t>（包括但不限于现场安全管理措施和工器具管理要求）</w:t>
            </w:r>
            <w:r>
              <w:rPr>
                <w:rFonts w:hint="default" w:ascii="Times New Roman" w:hAnsi="Times New Roman" w:eastAsia="仿宋" w:cs="Times New Roman"/>
                <w:color w:val="auto"/>
                <w:sz w:val="21"/>
                <w:szCs w:val="21"/>
              </w:rPr>
              <w:t>，确保检测质量</w:t>
            </w:r>
            <w:r>
              <w:rPr>
                <w:rFonts w:hint="eastAsia" w:ascii="Times New Roman" w:hAnsi="Times New Roman" w:eastAsia="仿宋" w:cs="Times New Roman"/>
                <w:color w:val="auto"/>
                <w:sz w:val="21"/>
                <w:szCs w:val="21"/>
                <w:lang w:val="en-US" w:eastAsia="zh-CN"/>
              </w:rPr>
              <w:t>得2分</w:t>
            </w:r>
            <w:r>
              <w:rPr>
                <w:rFonts w:hint="default" w:ascii="Times New Roman" w:hAnsi="Times New Roman" w:eastAsia="仿宋" w:cs="Times New Roman"/>
                <w:color w:val="auto"/>
                <w:sz w:val="21"/>
                <w:szCs w:val="21"/>
              </w:rPr>
              <w:t>；</w:t>
            </w:r>
          </w:p>
          <w:p>
            <w:pPr>
              <w:pageBreakBefore w:val="0"/>
              <w:numPr>
                <w:ilvl w:val="0"/>
                <w:numId w:val="0"/>
              </w:numPr>
              <w:kinsoku/>
              <w:overflowPunct/>
              <w:bidi w:val="0"/>
              <w:spacing w:line="240" w:lineRule="auto"/>
              <w:ind w:firstLine="420" w:firstLineChars="200"/>
              <w:jc w:val="left"/>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sz w:val="21"/>
                <w:szCs w:val="21"/>
                <w:lang w:val="en-US" w:eastAsia="zh-CN"/>
              </w:rPr>
              <w:t>2.</w:t>
            </w:r>
            <w:r>
              <w:rPr>
                <w:rFonts w:hint="default" w:ascii="Times New Roman" w:hAnsi="Times New Roman" w:eastAsia="仿宋" w:cs="Times New Roman"/>
                <w:color w:val="auto"/>
                <w:sz w:val="21"/>
                <w:szCs w:val="21"/>
              </w:rPr>
              <w:t>根据检测过程中可能出现的异常情况，拟定预防</w:t>
            </w:r>
            <w:r>
              <w:rPr>
                <w:rFonts w:hint="eastAsia" w:ascii="Times New Roman" w:hAnsi="Times New Roman" w:eastAsia="仿宋" w:cs="Times New Roman"/>
                <w:color w:val="auto"/>
                <w:sz w:val="21"/>
                <w:szCs w:val="21"/>
                <w:lang w:val="en-US" w:eastAsia="zh-CN"/>
              </w:rPr>
              <w:t>及应急</w:t>
            </w:r>
            <w:r>
              <w:rPr>
                <w:rFonts w:hint="default" w:ascii="Times New Roman" w:hAnsi="Times New Roman" w:eastAsia="仿宋" w:cs="Times New Roman"/>
                <w:color w:val="auto"/>
                <w:sz w:val="21"/>
                <w:szCs w:val="21"/>
              </w:rPr>
              <w:t>处理措施</w:t>
            </w:r>
            <w:r>
              <w:rPr>
                <w:rFonts w:hint="eastAsia" w:ascii="Times New Roman" w:hAnsi="Times New Roman" w:eastAsia="仿宋" w:cs="Times New Roman"/>
                <w:color w:val="auto"/>
                <w:sz w:val="21"/>
                <w:szCs w:val="21"/>
                <w:lang w:val="en-US" w:eastAsia="zh-CN"/>
              </w:rPr>
              <w:t>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4" w:hRule="exact"/>
          <w:jc w:val="center"/>
        </w:trPr>
        <w:tc>
          <w:tcPr>
            <w:tcW w:w="900" w:type="dxa"/>
            <w:tcBorders>
              <w:top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1056" w:type="dxa"/>
            <w:tcBorders>
              <w:right w:val="single" w:color="auto" w:sz="4" w:space="0"/>
            </w:tcBorders>
            <w:vAlign w:val="center"/>
          </w:tcPr>
          <w:p>
            <w:pPr>
              <w:pageBreakBefore w:val="0"/>
              <w:kinsoku/>
              <w:overflowPunct/>
              <w:bidi w:val="0"/>
              <w:spacing w:line="240" w:lineRule="auto"/>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评审程序</w:t>
            </w:r>
          </w:p>
        </w:tc>
        <w:tc>
          <w:tcPr>
            <w:tcW w:w="7513" w:type="dxa"/>
            <w:gridSpan w:val="3"/>
            <w:tcBorders>
              <w:bottom w:val="single" w:color="auto" w:sz="4" w:space="0"/>
            </w:tcBorders>
            <w:vAlign w:val="center"/>
          </w:tcPr>
          <w:p>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1.评分分值计算保留小数点后两位，第三位四舍五入。比选响应人最终得分=技术部分得分+经济部分得分+商务部分得分。</w:t>
            </w:r>
          </w:p>
          <w:p>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2. 按照比选文件的规定对所有比选响应文件进行响应性评审，只有通过响应性评审的比选响应文件才能进行后续评审。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3.详细评审，</w:t>
            </w:r>
            <w:r>
              <w:rPr>
                <w:rFonts w:hint="default" w:ascii="Times New Roman" w:hAnsi="Times New Roman" w:eastAsia="仿宋" w:cs="Times New Roman"/>
                <w:b w:val="0"/>
                <w:bCs/>
                <w:color w:val="auto"/>
                <w:sz w:val="21"/>
                <w:szCs w:val="21"/>
              </w:rPr>
              <w:t>按</w:t>
            </w:r>
            <w:r>
              <w:rPr>
                <w:rFonts w:hint="default" w:ascii="Times New Roman" w:hAnsi="Times New Roman" w:eastAsia="仿宋" w:cs="Times New Roman"/>
                <w:b/>
                <w:color w:val="auto"/>
                <w:sz w:val="21"/>
                <w:szCs w:val="21"/>
                <w:u w:val="single"/>
              </w:rPr>
              <w:t xml:space="preserve">1.2.2 </w:t>
            </w:r>
            <w:r>
              <w:rPr>
                <w:rFonts w:hint="default" w:ascii="Times New Roman" w:hAnsi="Times New Roman" w:eastAsia="仿宋" w:cs="Times New Roman"/>
                <w:b/>
                <w:color w:val="auto"/>
                <w:sz w:val="21"/>
                <w:szCs w:val="21"/>
              </w:rPr>
              <w:t>规定</w:t>
            </w:r>
            <w:r>
              <w:rPr>
                <w:rFonts w:hint="default" w:ascii="Times New Roman" w:hAnsi="Times New Roman" w:eastAsia="仿宋" w:cs="Times New Roman"/>
                <w:b w:val="0"/>
                <w:bCs/>
                <w:color w:val="auto"/>
                <w:sz w:val="21"/>
                <w:szCs w:val="21"/>
              </w:rPr>
              <w:t>对</w:t>
            </w:r>
            <w:r>
              <w:rPr>
                <w:rFonts w:hint="default" w:ascii="Times New Roman" w:hAnsi="Times New Roman" w:eastAsia="仿宋" w:cs="Times New Roman"/>
                <w:bCs/>
                <w:color w:val="auto"/>
                <w:sz w:val="21"/>
                <w:szCs w:val="21"/>
              </w:rPr>
              <w:t>响应报价有算术性错误的进行修正，并按修正后的经济部分报价进行后续评审。</w:t>
            </w:r>
          </w:p>
          <w:p>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4.按本章比选办法进行评审，评审委员会根据综合得分从高到底排名前3的响应人作为拟成交候选人（若通过响应性评审的比选响应人不足3名，则按得分从高到低推荐所有比选响应人），采购人根据评审委员会提出的书面报告和推荐的拟成交候选人排名，确定排名第1的拟成交候选人为成交人。</w:t>
            </w:r>
          </w:p>
          <w:p>
            <w:pPr>
              <w:pageBreakBefore w:val="0"/>
              <w:kinsoku/>
              <w:overflowPunct/>
              <w:bidi w:val="0"/>
              <w:spacing w:line="240" w:lineRule="auto"/>
              <w:jc w:val="left"/>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5.如经过对所有比选响应人的比选响应文件进行评审，有效比选响应不足三个使得比选明显缺乏竞争的，评审委员会可以否决全部比选响应人。</w:t>
            </w:r>
          </w:p>
        </w:tc>
      </w:tr>
    </w:tbl>
    <w:p>
      <w:pPr>
        <w:pageBreakBefore w:val="0"/>
        <w:kinsoku/>
        <w:overflowPunct/>
        <w:bidi w:val="0"/>
        <w:spacing w:line="560" w:lineRule="exact"/>
        <w:rPr>
          <w:rFonts w:hint="default" w:ascii="Times New Roman" w:hAnsi="Times New Roman" w:cs="Times New Roman"/>
          <w:color w:val="auto"/>
        </w:rPr>
      </w:pPr>
      <w:r>
        <w:rPr>
          <w:rFonts w:hint="default" w:ascii="Times New Roman" w:hAnsi="Times New Roman" w:cs="Times New Roman"/>
          <w:color w:val="auto"/>
        </w:rPr>
        <w:br w:type="page"/>
      </w:r>
    </w:p>
    <w:p>
      <w:pPr>
        <w:pageBreakBefore w:val="0"/>
        <w:kinsoku/>
        <w:overflowPunct/>
        <w:bidi w:val="0"/>
        <w:snapToGrid w:val="0"/>
        <w:spacing w:line="560" w:lineRule="exact"/>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附件1：</w:t>
      </w:r>
    </w:p>
    <w:p>
      <w:pPr>
        <w:keepNext w:val="0"/>
        <w:keepLines w:val="0"/>
        <w:pageBreakBefore w:val="0"/>
        <w:widowControl w:val="0"/>
        <w:kinsoku/>
        <w:overflowPunct/>
        <w:topLinePunct w:val="0"/>
        <w:bidi w:val="0"/>
        <w:snapToGrid/>
        <w:spacing w:line="480" w:lineRule="exact"/>
        <w:jc w:val="center"/>
        <w:textAlignment w:val="auto"/>
        <w:outlineLvl w:val="1"/>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报价函</w:t>
      </w:r>
    </w:p>
    <w:p>
      <w:pPr>
        <w:keepNext w:val="0"/>
        <w:keepLines w:val="0"/>
        <w:pageBreakBefore w:val="0"/>
        <w:widowControl w:val="0"/>
        <w:kinsoku/>
        <w:overflowPunct/>
        <w:topLinePunct w:val="0"/>
        <w:bidi w:val="0"/>
        <w:snapToGrid/>
        <w:spacing w:line="480" w:lineRule="exact"/>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重庆江北国际机场有限公司：</w:t>
      </w:r>
    </w:p>
    <w:p>
      <w:pPr>
        <w:keepNext w:val="0"/>
        <w:keepLines w:val="0"/>
        <w:pageBreakBefore w:val="0"/>
        <w:widowControl w:val="0"/>
        <w:tabs>
          <w:tab w:val="left" w:pos="2655"/>
          <w:tab w:val="left" w:pos="3520"/>
          <w:tab w:val="left" w:pos="4920"/>
          <w:tab w:val="left" w:pos="5715"/>
          <w:tab w:val="left" w:pos="6945"/>
          <w:tab w:val="left" w:pos="7980"/>
        </w:tabs>
        <w:kinsoku/>
        <w:wordWrap w:val="0"/>
        <w:overflowPunct/>
        <w:topLinePunct w:val="0"/>
        <w:autoSpaceDE w:val="0"/>
        <w:autoSpaceDN w:val="0"/>
        <w:bidi w:val="0"/>
        <w:adjustRightInd w:val="0"/>
        <w:snapToGrid/>
        <w:spacing w:line="480" w:lineRule="exact"/>
        <w:ind w:left="120" w:leftChars="57" w:right="96"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1．我方已仔细研究了</w:t>
      </w:r>
      <w:r>
        <w:rPr>
          <w:rFonts w:hint="eastAsia" w:ascii="Times New Roman" w:hAnsi="Times New Roman" w:eastAsia="仿宋" w:cs="Times New Roman"/>
          <w:color w:val="auto"/>
          <w:sz w:val="28"/>
          <w:szCs w:val="28"/>
          <w:u w:val="single"/>
          <w:lang w:val="en-US" w:eastAsia="zh-CN"/>
        </w:rPr>
        <w:t>航站区</w:t>
      </w:r>
      <w:r>
        <w:rPr>
          <w:rFonts w:hint="default" w:ascii="Times New Roman" w:hAnsi="Times New Roman" w:eastAsia="仿宋" w:cs="Times New Roman"/>
          <w:color w:val="auto"/>
          <w:sz w:val="28"/>
          <w:szCs w:val="28"/>
          <w:u w:val="single"/>
        </w:rPr>
        <w:t>消防安全评估和消防系统年度检测项目</w:t>
      </w:r>
      <w:r>
        <w:rPr>
          <w:rFonts w:hint="default" w:ascii="Times New Roman" w:hAnsi="Times New Roman" w:eastAsia="仿宋" w:cs="Times New Roman"/>
          <w:color w:val="auto"/>
          <w:sz w:val="28"/>
          <w:szCs w:val="28"/>
        </w:rPr>
        <w:t>比选文件的全部内容，愿意以人民币</w:t>
      </w:r>
      <w:r>
        <w:rPr>
          <w:rFonts w:hint="default" w:ascii="Times New Roman" w:hAnsi="Times New Roman" w:eastAsia="仿宋" w:cs="Times New Roman"/>
          <w:color w:val="auto"/>
          <w:sz w:val="28"/>
          <w:szCs w:val="28"/>
          <w:u w:val="single"/>
        </w:rPr>
        <w:t>（大写）        元（¥</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b/>
          <w:bCs/>
          <w:color w:val="auto"/>
          <w:sz w:val="28"/>
          <w:szCs w:val="28"/>
        </w:rPr>
        <w:t>不含增值税</w:t>
      </w:r>
      <w:r>
        <w:rPr>
          <w:rFonts w:hint="default" w:ascii="Times New Roman" w:hAnsi="Times New Roman" w:eastAsia="仿宋" w:cs="Times New Roman"/>
          <w:color w:val="auto"/>
          <w:sz w:val="28"/>
          <w:szCs w:val="28"/>
        </w:rPr>
        <w:t>的报价，增值税税率</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，工期</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，按合同约定实施和完成承包项目的全部工作。</w:t>
      </w:r>
    </w:p>
    <w:p>
      <w:pPr>
        <w:keepNext w:val="0"/>
        <w:keepLines w:val="0"/>
        <w:pageBreakBefore w:val="0"/>
        <w:widowControl w:val="0"/>
        <w:kinsoku/>
        <w:overflowPunct/>
        <w:topLinePunct w:val="0"/>
        <w:autoSpaceDE w:val="0"/>
        <w:autoSpaceDN w:val="0"/>
        <w:bidi w:val="0"/>
        <w:adjustRightInd w:val="0"/>
        <w:snapToGrid/>
        <w:spacing w:before="15"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2．我方承诺在比选有效期90天内不修改、撤销比选响应文件。</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3．如我方成交：</w:t>
      </w:r>
    </w:p>
    <w:p>
      <w:pPr>
        <w:keepNext w:val="0"/>
        <w:keepLines w:val="0"/>
        <w:pageBreakBefore w:val="0"/>
        <w:widowControl w:val="0"/>
        <w:kinsoku/>
        <w:overflowPunct/>
        <w:topLinePunct w:val="0"/>
        <w:autoSpaceDE w:val="0"/>
        <w:autoSpaceDN w:val="0"/>
        <w:bidi w:val="0"/>
        <w:adjustRightInd w:val="0"/>
        <w:snapToGrid/>
        <w:spacing w:line="480" w:lineRule="exact"/>
        <w:ind w:right="-8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（1）我方承诺在收到成交通知后，在规定的期限内与你方签订合同。</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（2）随同本报价函递交的报价函附录属于合同文件的组成部分。</w:t>
      </w:r>
    </w:p>
    <w:p>
      <w:pPr>
        <w:keepNext w:val="0"/>
        <w:keepLines w:val="0"/>
        <w:pageBreakBefore w:val="0"/>
        <w:widowControl w:val="0"/>
        <w:kinsoku/>
        <w:overflowPunct/>
        <w:topLinePunct w:val="0"/>
        <w:autoSpaceDE w:val="0"/>
        <w:autoSpaceDN w:val="0"/>
        <w:bidi w:val="0"/>
        <w:adjustRightInd w:val="0"/>
        <w:snapToGrid/>
        <w:spacing w:line="480" w:lineRule="exact"/>
        <w:ind w:right="-20"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（3）我方承诺在合同约定的期限内完成并移交全部合同项目和成果。</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4．我方在此声明，所递交的比选响应文件及有关资料内容完整、真实和准确。</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 我方承诺，检测过程中涉及到的所有消防设施设备的操作（操作、恢复）均由我方负责，因我方原因造成的损失由我方负全责。</w:t>
      </w:r>
    </w:p>
    <w:p>
      <w:pPr>
        <w:keepNext w:val="0"/>
        <w:keepLines w:val="0"/>
        <w:pageBreakBefore w:val="0"/>
        <w:widowControl w:val="0"/>
        <w:kinsoku/>
        <w:overflowPunct/>
        <w:topLinePunct w:val="0"/>
        <w:autoSpaceDE w:val="0"/>
        <w:autoSpaceDN w:val="0"/>
        <w:bidi w:val="0"/>
        <w:adjustRightInd w:val="0"/>
        <w:snapToGrid/>
        <w:spacing w:line="480" w:lineRule="exact"/>
        <w:ind w:left="120" w:right="-9" w:firstLine="56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6．除非达到另外协议并生效，你方的成交通知书和本比选响应文件将成为约束双方的合同文件组成部分。</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比选响应人全称：</w:t>
      </w:r>
      <w:r>
        <w:rPr>
          <w:rFonts w:hint="default" w:ascii="Times New Roman" w:hAnsi="Times New Roman" w:eastAsia="仿宋" w:cs="Times New Roman"/>
          <w:color w:val="auto"/>
          <w:sz w:val="28"/>
          <w:szCs w:val="28"/>
          <w:u w:val="single"/>
        </w:rPr>
        <w:t xml:space="preserve">         （加盖单位公章）</w:t>
      </w:r>
    </w:p>
    <w:p>
      <w:pPr>
        <w:keepNext w:val="0"/>
        <w:keepLines w:val="0"/>
        <w:pageBreakBefore w:val="0"/>
        <w:widowControl w:val="0"/>
        <w:tabs>
          <w:tab w:val="left" w:pos="7140"/>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法定代表人或其委托代理人</w:t>
      </w:r>
      <w:r>
        <w:rPr>
          <w:rFonts w:hint="default" w:ascii="Times New Roman" w:hAnsi="Times New Roman" w:eastAsia="仿宋" w:cs="Times New Roman"/>
          <w:color w:val="auto"/>
          <w:sz w:val="28"/>
          <w:szCs w:val="28"/>
          <w:u w:val="single"/>
        </w:rPr>
        <w:t>：</w:t>
      </w:r>
      <w:r>
        <w:rPr>
          <w:rFonts w:hint="default" w:ascii="Times New Roman" w:hAnsi="Times New Roman" w:eastAsia="仿宋" w:cs="Times New Roman"/>
          <w:color w:val="auto"/>
          <w:sz w:val="28"/>
          <w:szCs w:val="28"/>
          <w:u w:val="single"/>
        </w:rPr>
        <w:tab/>
      </w:r>
      <w:r>
        <w:rPr>
          <w:rFonts w:hint="default" w:ascii="Times New Roman" w:hAnsi="Times New Roman" w:eastAsia="仿宋" w:cs="Times New Roman"/>
          <w:color w:val="auto"/>
          <w:sz w:val="28"/>
          <w:szCs w:val="28"/>
          <w:u w:val="single"/>
        </w:rPr>
        <w:t>（签字）</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地址：</w:t>
      </w:r>
      <w:r>
        <w:rPr>
          <w:rFonts w:hint="default" w:ascii="Times New Roman" w:hAnsi="Times New Roman" w:eastAsia="仿宋" w:cs="Times New Roman"/>
          <w:color w:val="auto"/>
          <w:sz w:val="28"/>
          <w:szCs w:val="28"/>
          <w:u w:val="single"/>
        </w:rPr>
        <w:tab/>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邮箱</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传真：</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7035"/>
          <w:tab w:val="left" w:pos="7560"/>
          <w:tab w:val="left" w:pos="8300"/>
        </w:tabs>
        <w:kinsoku/>
        <w:overflowPunct/>
        <w:topLinePunct w:val="0"/>
        <w:autoSpaceDE w:val="0"/>
        <w:autoSpaceDN w:val="0"/>
        <w:bidi w:val="0"/>
        <w:adjustRightInd w:val="0"/>
        <w:snapToGrid/>
        <w:spacing w:line="480" w:lineRule="exact"/>
        <w:ind w:right="210" w:firstLine="756" w:firstLineChars="27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邮政编码：</w:t>
      </w:r>
      <w:r>
        <w:rPr>
          <w:rFonts w:hint="default" w:ascii="Times New Roman" w:hAnsi="Times New Roman" w:eastAsia="仿宋" w:cs="Times New Roman"/>
          <w:color w:val="auto"/>
          <w:sz w:val="28"/>
          <w:szCs w:val="28"/>
          <w:u w:val="single"/>
        </w:rPr>
        <w:t>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p>
    <w:p>
      <w:pPr>
        <w:keepNext w:val="0"/>
        <w:keepLines w:val="0"/>
        <w:pageBreakBefore w:val="0"/>
        <w:widowControl w:val="0"/>
        <w:tabs>
          <w:tab w:val="left" w:pos="6000"/>
          <w:tab w:val="left" w:pos="7040"/>
          <w:tab w:val="left" w:pos="8100"/>
        </w:tabs>
        <w:kinsoku/>
        <w:overflowPunct/>
        <w:topLinePunct w:val="0"/>
        <w:autoSpaceDE w:val="0"/>
        <w:autoSpaceDN w:val="0"/>
        <w:bidi w:val="0"/>
        <w:adjustRightInd w:val="0"/>
        <w:snapToGrid/>
        <w:spacing w:line="480" w:lineRule="exact"/>
        <w:ind w:left="2246" w:leftChars="571" w:right="-20" w:hanging="1047" w:hangingChars="374"/>
        <w:jc w:val="center"/>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年</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月</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日</w:t>
      </w:r>
    </w:p>
    <w:p>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pageBreakBefore w:val="0"/>
        <w:tabs>
          <w:tab w:val="left" w:pos="6000"/>
          <w:tab w:val="left" w:pos="7040"/>
          <w:tab w:val="left" w:pos="8100"/>
        </w:tabs>
        <w:kinsoku/>
        <w:overflowPunct/>
        <w:autoSpaceDE w:val="0"/>
        <w:autoSpaceDN w:val="0"/>
        <w:bidi w:val="0"/>
        <w:adjustRightInd w:val="0"/>
        <w:spacing w:line="560" w:lineRule="exact"/>
        <w:jc w:val="lef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附件2：</w:t>
      </w:r>
    </w:p>
    <w:p>
      <w:pPr>
        <w:keepNext w:val="0"/>
        <w:keepLines w:val="0"/>
        <w:pageBreakBefore w:val="0"/>
        <w:widowControl w:val="0"/>
        <w:kinsoku/>
        <w:wordWrap/>
        <w:overflowPunct/>
        <w:topLinePunct w:val="0"/>
        <w:bidi w:val="0"/>
        <w:spacing w:line="480" w:lineRule="exact"/>
        <w:jc w:val="center"/>
        <w:textAlignment w:val="auto"/>
        <w:outlineLvl w:val="1"/>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法定代表人身份证明</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color w:val="auto"/>
        </w:rPr>
      </w:pPr>
    </w:p>
    <w:p>
      <w:pPr>
        <w:keepNext w:val="0"/>
        <w:keepLines w:val="0"/>
        <w:pageBreakBefore w:val="0"/>
        <w:widowControl w:val="0"/>
        <w:tabs>
          <w:tab w:val="left" w:pos="556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比选响应人名称：</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单位性质：</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地址：</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2520"/>
          <w:tab w:val="left" w:pos="3836"/>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成立时间：</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月</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日</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75"/>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经营期限：</w:t>
      </w:r>
      <w:r>
        <w:rPr>
          <w:rFonts w:hint="default" w:ascii="Times New Roman" w:hAnsi="Times New Roman" w:eastAsia="仿宋" w:cs="Times New Roman"/>
          <w:color w:val="auto"/>
          <w:kern w:val="0"/>
          <w:sz w:val="28"/>
          <w:szCs w:val="28"/>
          <w:u w:val="single"/>
        </w:rPr>
        <w:tab/>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1580"/>
          <w:tab w:val="left" w:pos="3260"/>
          <w:tab w:val="left" w:pos="4840"/>
          <w:tab w:val="left" w:pos="630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姓名：</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性别</w:t>
      </w:r>
      <w:r>
        <w:rPr>
          <w:rFonts w:hint="default" w:ascii="Times New Roman" w:hAnsi="Times New Roman" w:eastAsia="仿宋" w:cs="Times New Roman"/>
          <w:color w:val="auto"/>
          <w:spacing w:val="-1"/>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kern w:val="0"/>
          <w:sz w:val="28"/>
          <w:szCs w:val="28"/>
        </w:rPr>
        <w:t>龄：</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职务：</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 xml:space="preserve"> </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3360"/>
        </w:tabs>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系</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rPr>
        <w:t>（比选响应人全称）的法定代表人。</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520" w:firstLineChars="186"/>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1080" w:firstLineChars="386"/>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特此证明。</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5460"/>
        </w:tabs>
        <w:kinsoku/>
        <w:wordWrap/>
        <w:overflowPunct/>
        <w:topLinePunct w:val="0"/>
        <w:autoSpaceDE w:val="0"/>
        <w:autoSpaceDN w:val="0"/>
        <w:bidi w:val="0"/>
        <w:adjustRightInd w:val="0"/>
        <w:snapToGrid w:val="0"/>
        <w:spacing w:line="480" w:lineRule="exact"/>
        <w:ind w:firstLine="3360" w:firstLineChars="12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w:t>
      </w:r>
      <w:r>
        <w:rPr>
          <w:rFonts w:hint="default" w:ascii="Times New Roman" w:hAnsi="Times New Roman" w:eastAsia="仿宋" w:cs="Times New Roman"/>
          <w:color w:val="auto"/>
          <w:spacing w:val="-1"/>
          <w:kern w:val="0"/>
          <w:sz w:val="28"/>
          <w:szCs w:val="28"/>
        </w:rPr>
        <w:t>人全称</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u w:val="single"/>
        </w:rPr>
        <w:tab/>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spacing w:val="-1"/>
          <w:kern w:val="0"/>
          <w:sz w:val="28"/>
          <w:szCs w:val="28"/>
        </w:rPr>
        <w:t>（加</w:t>
      </w:r>
      <w:r>
        <w:rPr>
          <w:rFonts w:hint="default" w:ascii="Times New Roman" w:hAnsi="Times New Roman" w:eastAsia="仿宋" w:cs="Times New Roman"/>
          <w:color w:val="auto"/>
          <w:kern w:val="0"/>
          <w:sz w:val="28"/>
          <w:szCs w:val="28"/>
        </w:rPr>
        <w:t>盖单位公章）</w:t>
      </w:r>
    </w:p>
    <w:p>
      <w:pPr>
        <w:keepNext w:val="0"/>
        <w:keepLines w:val="0"/>
        <w:pageBreakBefore w:val="0"/>
        <w:widowControl w:val="0"/>
        <w:kinsoku/>
        <w:wordWrap/>
        <w:overflowPunct/>
        <w:topLinePunct w:val="0"/>
        <w:autoSpaceDE w:val="0"/>
        <w:autoSpaceDN w:val="0"/>
        <w:bidi w:val="0"/>
        <w:adjustRightInd w:val="0"/>
        <w:snapToGrid w:val="0"/>
        <w:spacing w:line="480" w:lineRule="exact"/>
        <w:jc w:val="lef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tabs>
          <w:tab w:val="left" w:pos="4935"/>
          <w:tab w:val="left" w:pos="5460"/>
          <w:tab w:val="left" w:pos="6400"/>
        </w:tabs>
        <w:kinsoku/>
        <w:wordWrap/>
        <w:overflowPunct/>
        <w:topLinePunct w:val="0"/>
        <w:autoSpaceDE w:val="0"/>
        <w:autoSpaceDN w:val="0"/>
        <w:bidi w:val="0"/>
        <w:adjustRightInd w:val="0"/>
        <w:snapToGrid w:val="0"/>
        <w:spacing w:line="480" w:lineRule="exact"/>
        <w:ind w:firstLine="4448" w:firstLineChars="1600"/>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spacing w:val="-1"/>
          <w:kern w:val="0"/>
          <w:sz w:val="28"/>
          <w:szCs w:val="28"/>
        </w:rPr>
        <w:t>年</w:t>
      </w:r>
      <w:r>
        <w:rPr>
          <w:rFonts w:hint="default" w:ascii="Times New Roman" w:hAnsi="Times New Roman" w:eastAsia="仿宋" w:cs="Times New Roman"/>
          <w:color w:val="auto"/>
          <w:spacing w:val="-1"/>
          <w:kern w:val="0"/>
          <w:sz w:val="28"/>
          <w:szCs w:val="28"/>
          <w:u w:val="single"/>
        </w:rPr>
        <w:t xml:space="preserve">    </w:t>
      </w:r>
      <w:r>
        <w:rPr>
          <w:rFonts w:hint="default" w:ascii="Times New Roman" w:hAnsi="Times New Roman" w:eastAsia="仿宋" w:cs="Times New Roman"/>
          <w:color w:val="auto"/>
          <w:kern w:val="0"/>
          <w:sz w:val="28"/>
          <w:szCs w:val="28"/>
        </w:rPr>
        <w:t>月</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日</w:t>
      </w:r>
    </w:p>
    <w:p>
      <w:pPr>
        <w:keepNext w:val="0"/>
        <w:keepLines w:val="0"/>
        <w:pageBreakBefore w:val="0"/>
        <w:widowControl w:val="0"/>
        <w:kinsoku/>
        <w:wordWrap/>
        <w:overflowPunct/>
        <w:topLinePunct w:val="0"/>
        <w:bidi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kern w:val="0"/>
          <w:sz w:val="28"/>
          <w:szCs w:val="28"/>
        </w:rPr>
        <w:t>附法定代表人身份证复印件</w:t>
      </w: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pPr>
        <w:pageBreakBefore w:val="0"/>
        <w:kinsoku/>
        <w:overflowPunct/>
        <w:bidi w:val="0"/>
        <w:snapToGrid w:val="0"/>
        <w:spacing w:line="560" w:lineRule="exact"/>
        <w:rPr>
          <w:rFonts w:hint="default" w:ascii="Times New Roman" w:hAnsi="Times New Roman" w:eastAsia="方正仿宋_GBK" w:cs="Times New Roman"/>
          <w:b/>
          <w:bCs/>
          <w:color w:val="auto"/>
          <w:sz w:val="28"/>
          <w:szCs w:val="28"/>
        </w:rPr>
      </w:pP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附件3：</w:t>
      </w:r>
    </w:p>
    <w:p>
      <w:pPr>
        <w:keepNext w:val="0"/>
        <w:keepLines w:val="0"/>
        <w:pageBreakBefore w:val="0"/>
        <w:widowControl w:val="0"/>
        <w:kinsoku/>
        <w:wordWrap/>
        <w:overflowPunct/>
        <w:autoSpaceDE/>
        <w:autoSpaceDN/>
        <w:bidi w:val="0"/>
        <w:adjustRightInd/>
        <w:spacing w:before="120" w:line="480" w:lineRule="exact"/>
        <w:jc w:val="center"/>
        <w:textAlignment w:val="auto"/>
        <w:outlineLvl w:val="1"/>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法定代表人授权委托书</w:t>
      </w:r>
    </w:p>
    <w:p>
      <w:pPr>
        <w:keepNext w:val="0"/>
        <w:keepLines w:val="0"/>
        <w:pageBreakBefore w:val="0"/>
        <w:widowControl w:val="0"/>
        <w:kinsoku/>
        <w:wordWrap/>
        <w:overflowPunct/>
        <w:autoSpaceDE/>
        <w:autoSpaceDN/>
        <w:bidi w:val="0"/>
        <w:adjustRightInd/>
        <w:spacing w:before="120" w:line="480" w:lineRule="exact"/>
        <w:jc w:val="center"/>
        <w:textAlignment w:val="auto"/>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（适用于有委托代理人的情况）</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rPr>
      </w:pPr>
    </w:p>
    <w:p>
      <w:pPr>
        <w:keepNext w:val="0"/>
        <w:keepLines w:val="0"/>
        <w:pageBreakBefore w:val="0"/>
        <w:widowControl w:val="0"/>
        <w:kinsoku/>
        <w:wordWrap/>
        <w:overflowPunct/>
        <w:topLine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委托期限：________。</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代理人无转委托权。</w:t>
      </w:r>
    </w:p>
    <w:p>
      <w:pPr>
        <w:keepNext w:val="0"/>
        <w:keepLines w:val="0"/>
        <w:pageBreakBefore w:val="0"/>
        <w:widowControl w:val="0"/>
        <w:kinsoku/>
        <w:wordWrap/>
        <w:overflowPunct/>
        <w:autoSpaceDE/>
        <w:autoSpaceDN/>
        <w:bidi w:val="0"/>
        <w:adjustRightInd/>
        <w:spacing w:before="120" w:line="480" w:lineRule="exact"/>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注：本授权委托书需由比选响应人加盖单位鲜公章并由其法定代表人和委托代理人签字。</w:t>
      </w:r>
    </w:p>
    <w:p>
      <w:pPr>
        <w:keepNext w:val="0"/>
        <w:keepLines w:val="0"/>
        <w:pageBreakBefore w:val="0"/>
        <w:widowControl w:val="0"/>
        <w:kinsoku/>
        <w:wordWrap/>
        <w:overflowPunct/>
        <w:autoSpaceDE/>
        <w:autoSpaceDN/>
        <w:bidi w:val="0"/>
        <w:adjustRightInd/>
        <w:spacing w:before="120" w:line="480" w:lineRule="exact"/>
        <w:ind w:firstLine="480"/>
        <w:textAlignment w:val="auto"/>
        <w:rPr>
          <w:rFonts w:hint="default" w:ascii="Times New Roman" w:hAnsi="Times New Roman" w:eastAsia="仿宋" w:cs="Times New Roman"/>
          <w:color w:val="auto"/>
          <w:kern w:val="0"/>
          <w:sz w:val="28"/>
          <w:szCs w:val="28"/>
        </w:rPr>
      </w:pP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比选响应人：（单位鲜公章）</w:t>
      </w:r>
    </w:p>
    <w:p>
      <w:pPr>
        <w:keepNext w:val="0"/>
        <w:keepLines w:val="0"/>
        <w:pageBreakBefore w:val="0"/>
        <w:widowControl w:val="0"/>
        <w:kinsoku/>
        <w:wordWrap/>
        <w:overflowPunct/>
        <w:autoSpaceDE/>
        <w:autoSpaceDN/>
        <w:bidi w:val="0"/>
        <w:adjustRightInd/>
        <w:spacing w:before="120" w:line="480" w:lineRule="exact"/>
        <w:ind w:firstLine="3586" w:firstLineChars="1281"/>
        <w:jc w:val="left"/>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法定代表人：（签字）</w:t>
      </w:r>
    </w:p>
    <w:p>
      <w:pPr>
        <w:keepNext w:val="0"/>
        <w:keepLines w:val="0"/>
        <w:pageBreakBefore w:val="0"/>
        <w:widowControl w:val="0"/>
        <w:kinsoku/>
        <w:wordWrap/>
        <w:overflowPunct/>
        <w:autoSpaceDE/>
        <w:autoSpaceDN/>
        <w:bidi w:val="0"/>
        <w:adjustRightInd/>
        <w:spacing w:before="120" w:line="480" w:lineRule="exact"/>
        <w:ind w:firstLine="3589" w:firstLineChars="1282"/>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委托代理人：（签字）</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身份证号码：</w:t>
      </w:r>
    </w:p>
    <w:p>
      <w:pPr>
        <w:keepNext w:val="0"/>
        <w:keepLines w:val="0"/>
        <w:pageBreakBefore w:val="0"/>
        <w:widowControl w:val="0"/>
        <w:kinsoku/>
        <w:wordWrap/>
        <w:overflowPunct/>
        <w:topLinePunct/>
        <w:autoSpaceDE/>
        <w:autoSpaceDN/>
        <w:bidi w:val="0"/>
        <w:adjustRightInd/>
        <w:spacing w:before="120" w:line="480" w:lineRule="exact"/>
        <w:ind w:firstLine="3640" w:firstLineChars="1300"/>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________年____月____日</w:t>
      </w:r>
    </w:p>
    <w:p>
      <w:pPr>
        <w:keepNext w:val="0"/>
        <w:keepLines w:val="0"/>
        <w:pageBreakBefore w:val="0"/>
        <w:widowControl w:val="0"/>
        <w:kinsoku/>
        <w:wordWrap/>
        <w:overflowPunct/>
        <w:autoSpaceDE/>
        <w:autoSpaceDN/>
        <w:bidi w:val="0"/>
        <w:adjustRightInd/>
        <w:spacing w:line="480" w:lineRule="exact"/>
        <w:textAlignment w:val="auto"/>
        <w:rPr>
          <w:rFonts w:hint="default" w:ascii="Times New Roman" w:hAnsi="Times New Roman" w:eastAsia="仿宋" w:cs="Times New Roman"/>
          <w:color w:val="auto"/>
        </w:rPr>
      </w:pPr>
    </w:p>
    <w:p>
      <w:pPr>
        <w:keepNext w:val="0"/>
        <w:keepLines w:val="0"/>
        <w:pageBreakBefore w:val="0"/>
        <w:widowControl w:val="0"/>
        <w:kinsoku/>
        <w:wordWrap/>
        <w:overflowPunct/>
        <w:autoSpaceDE/>
        <w:autoSpaceDN/>
        <w:bidi w:val="0"/>
        <w:adjustRightInd/>
        <w:snapToGrid w:val="0"/>
        <w:spacing w:line="480" w:lineRule="exact"/>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附委托代理人身份证复印件</w:t>
      </w:r>
    </w:p>
    <w:p>
      <w:pPr>
        <w:pageBreakBefore w:val="0"/>
        <w:kinsoku/>
        <w:overflowPunct/>
        <w:bidi w:val="0"/>
        <w:spacing w:line="560" w:lineRule="exact"/>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br w:type="page"/>
      </w:r>
    </w:p>
    <w:p>
      <w:pPr>
        <w:pageBreakBefore w:val="0"/>
        <w:kinsoku/>
        <w:overflowPunct/>
        <w:bidi w:val="0"/>
        <w:snapToGrid w:val="0"/>
        <w:spacing w:line="560" w:lineRule="exact"/>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附件4：</w:t>
      </w:r>
    </w:p>
    <w:p>
      <w:pPr>
        <w:pageBreakBefore w:val="0"/>
        <w:widowControl/>
        <w:kinsoku/>
        <w:overflowPunct/>
        <w:bidi w:val="0"/>
        <w:spacing w:line="560" w:lineRule="exact"/>
        <w:jc w:val="left"/>
        <w:rPr>
          <w:rFonts w:hint="default" w:ascii="Times New Roman" w:hAnsi="Times New Roman" w:cs="Times New Roman"/>
          <w:color w:val="auto"/>
        </w:rPr>
      </w:pPr>
    </w:p>
    <w:p>
      <w:pPr>
        <w:pStyle w:val="12"/>
        <w:pageBreakBefore w:val="0"/>
        <w:kinsoku/>
        <w:overflowPunct/>
        <w:bidi w:val="0"/>
        <w:spacing w:line="560" w:lineRule="exact"/>
        <w:ind w:right="600" w:firstLine="640"/>
        <w:jc w:val="right"/>
        <w:rPr>
          <w:rFonts w:hint="default" w:ascii="Times New Roman" w:hAnsi="Times New Roman" w:cs="Times New Roman"/>
          <w:color w:val="auto"/>
        </w:rPr>
      </w:pPr>
      <w:r>
        <w:rPr>
          <w:rFonts w:hint="default" w:ascii="Times New Roman" w:hAnsi="Times New Roman" w:cs="Times New Roman"/>
          <w:b/>
          <w:bCs/>
          <w:color w:val="auto"/>
          <w:sz w:val="32"/>
          <w:szCs w:val="32"/>
        </w:rPr>
        <w:t xml:space="preserve">                     </w:t>
      </w:r>
      <w:r>
        <w:rPr>
          <w:rFonts w:hint="default" w:ascii="Times New Roman" w:hAnsi="Times New Roman" w:eastAsia="黑体" w:cs="Times New Roman"/>
          <w:color w:val="auto"/>
          <w:sz w:val="24"/>
        </w:rPr>
        <w:t>合同编号：CQA</w:t>
      </w:r>
      <w:r>
        <w:rPr>
          <w:rFonts w:hint="default" w:ascii="Times New Roman" w:hAnsi="Times New Roman" w:cs="Times New Roman"/>
          <w:color w:val="auto"/>
        </w:rPr>
        <w:t xml:space="preserve">            </w:t>
      </w:r>
    </w:p>
    <w:p>
      <w:pPr>
        <w:pageBreakBefore w:val="0"/>
        <w:kinsoku/>
        <w:overflowPunct/>
        <w:bidi w:val="0"/>
        <w:spacing w:line="560" w:lineRule="exact"/>
        <w:jc w:val="center"/>
        <w:rPr>
          <w:rFonts w:hint="default" w:ascii="Times New Roman" w:hAnsi="Times New Roman" w:cs="Times New Roman" w:eastAsiaTheme="minorEastAsia"/>
          <w:color w:val="auto"/>
          <w:sz w:val="36"/>
          <w:szCs w:val="36"/>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pPr>
        <w:pageBreakBefore w:val="0"/>
        <w:kinsoku/>
        <w:overflowPunct/>
        <w:bidi w:val="0"/>
        <w:snapToGrid w:val="0"/>
        <w:spacing w:before="100" w:beforeAutospacing="1" w:after="100" w:afterAutospacing="1" w:line="560" w:lineRule="exact"/>
        <w:rPr>
          <w:rFonts w:hint="default" w:ascii="Times New Roman" w:hAnsi="Times New Roman" w:cs="Times New Roman" w:eastAsiaTheme="minorEastAsia"/>
          <w:color w:val="auto"/>
          <w:sz w:val="44"/>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Times New Roman"/>
          <w:b w:val="0"/>
          <w:color w:val="auto"/>
          <w:kern w:val="2"/>
          <w:sz w:val="52"/>
          <w:szCs w:val="52"/>
          <w:lang w:val="en-US" w:eastAsia="zh-CN" w:bidi="ar-SA"/>
        </w:rPr>
      </w:pPr>
      <w:r>
        <w:rPr>
          <w:rFonts w:hint="eastAsia" w:ascii="黑体" w:hAnsi="黑体" w:eastAsia="黑体" w:cs="Times New Roman"/>
          <w:b w:val="0"/>
          <w:color w:val="auto"/>
          <w:kern w:val="2"/>
          <w:sz w:val="52"/>
          <w:szCs w:val="52"/>
          <w:lang w:val="en-US" w:eastAsia="zh-CN" w:bidi="ar-SA"/>
        </w:rPr>
        <w:t>重庆江北国际机场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黑体" w:hAnsi="黑体" w:eastAsia="黑体" w:cs="Times New Roman"/>
          <w:b w:val="0"/>
          <w:color w:val="auto"/>
          <w:kern w:val="2"/>
          <w:sz w:val="52"/>
          <w:szCs w:val="52"/>
          <w:lang w:val="en-US" w:eastAsia="zh-CN" w:bidi="ar-SA"/>
        </w:rPr>
      </w:pPr>
      <w:r>
        <w:rPr>
          <w:rFonts w:hint="eastAsia" w:ascii="黑体" w:hAnsi="黑体" w:eastAsia="黑体" w:cs="Times New Roman"/>
          <w:b w:val="0"/>
          <w:color w:val="auto"/>
          <w:kern w:val="2"/>
          <w:sz w:val="52"/>
          <w:szCs w:val="52"/>
          <w:lang w:val="en-US" w:eastAsia="zh-CN" w:bidi="ar-SA"/>
        </w:rPr>
        <w:t>航站区</w:t>
      </w:r>
      <w:r>
        <w:rPr>
          <w:rFonts w:hint="default" w:ascii="黑体" w:hAnsi="黑体" w:eastAsia="黑体" w:cs="Times New Roman"/>
          <w:b w:val="0"/>
          <w:color w:val="auto"/>
          <w:kern w:val="2"/>
          <w:sz w:val="52"/>
          <w:szCs w:val="52"/>
          <w:lang w:val="en-US" w:eastAsia="zh-CN" w:bidi="ar-SA"/>
        </w:rPr>
        <w:t>消防安全评估和消防系统年度检测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default" w:ascii="黑体" w:hAnsi="黑体" w:eastAsia="黑体" w:cs="Times New Roman"/>
          <w:b w:val="0"/>
          <w:color w:val="auto"/>
          <w:kern w:val="2"/>
          <w:sz w:val="52"/>
          <w:szCs w:val="52"/>
          <w:lang w:val="en-US" w:eastAsia="zh-CN" w:bidi="ar-SA"/>
        </w:rPr>
      </w:pPr>
      <w:r>
        <w:rPr>
          <w:rFonts w:hint="default" w:ascii="黑体" w:hAnsi="黑体" w:eastAsia="黑体" w:cs="Times New Roman"/>
          <w:b w:val="0"/>
          <w:color w:val="auto"/>
          <w:kern w:val="2"/>
          <w:sz w:val="52"/>
          <w:szCs w:val="52"/>
          <w:lang w:val="en-US" w:eastAsia="zh-CN" w:bidi="ar-SA"/>
        </w:rPr>
        <w:t>项目合同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color w:val="auto"/>
          <w:sz w:val="44"/>
        </w:rPr>
      </w:pPr>
      <w:r>
        <w:rPr>
          <w:rFonts w:hint="default" w:ascii="Times New Roman" w:hAnsi="Times New Roman" w:cs="Times New Roman"/>
          <w:b/>
          <w:color w:val="auto"/>
          <w:sz w:val="44"/>
        </w:rPr>
        <w:t>__________________________________</w:t>
      </w:r>
    </w:p>
    <w:p>
      <w:pPr>
        <w:pageBreakBefore w:val="0"/>
        <w:kinsoku/>
        <w:overflowPunct/>
        <w:bidi w:val="0"/>
        <w:spacing w:line="560" w:lineRule="exact"/>
        <w:jc w:val="center"/>
        <w:rPr>
          <w:rFonts w:hint="default" w:ascii="Times New Roman" w:hAnsi="Times New Roman" w:cs="Times New Roman" w:eastAsiaTheme="minorEastAsia"/>
          <w:b/>
          <w:color w:val="auto"/>
          <w:sz w:val="18"/>
          <w:szCs w:val="18"/>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pPr>
        <w:pageBreakBefore w:val="0"/>
        <w:kinsoku/>
        <w:overflowPunct/>
        <w:bidi w:val="0"/>
        <w:snapToGrid w:val="0"/>
        <w:spacing w:before="100" w:beforeAutospacing="1" w:after="100" w:afterAutospacing="1" w:line="560" w:lineRule="exact"/>
        <w:ind w:firstLine="2640" w:firstLineChars="600"/>
        <w:rPr>
          <w:rFonts w:hint="default" w:ascii="Times New Roman" w:hAnsi="Times New Roman" w:cs="Times New Roman" w:eastAsiaTheme="minorEastAsia"/>
          <w:color w:val="auto"/>
          <w:sz w:val="44"/>
          <w:szCs w:val="44"/>
        </w:rPr>
      </w:pPr>
    </w:p>
    <w:p>
      <w:pPr>
        <w:pageBreakBefore w:val="0"/>
        <w:kinsoku/>
        <w:overflowPunct/>
        <w:bidi w:val="0"/>
        <w:snapToGrid w:val="0"/>
        <w:spacing w:before="100" w:beforeAutospacing="1" w:after="100" w:afterAutospacing="1" w:line="560" w:lineRule="exact"/>
        <w:jc w:val="center"/>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甲方：重庆江北国际机场有限公司</w:t>
      </w:r>
    </w:p>
    <w:p>
      <w:pPr>
        <w:pageBreakBefore w:val="0"/>
        <w:kinsoku/>
        <w:overflowPunct/>
        <w:bidi w:val="0"/>
        <w:snapToGrid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 xml:space="preserve">           </w:t>
      </w:r>
      <w:r>
        <w:rPr>
          <w:rFonts w:hint="eastAsia" w:ascii="Times New Roman" w:hAnsi="Times New Roman" w:eastAsia="宋体" w:cs="Times New Roman"/>
          <w:b/>
          <w:color w:val="auto"/>
          <w:sz w:val="32"/>
          <w:szCs w:val="32"/>
          <w:lang w:val="en-US" w:eastAsia="zh-CN"/>
        </w:rPr>
        <w:t xml:space="preserve">    </w:t>
      </w:r>
      <w:r>
        <w:rPr>
          <w:rFonts w:hint="default" w:ascii="Times New Roman" w:hAnsi="Times New Roman" w:cs="Times New Roman"/>
          <w:b/>
          <w:color w:val="auto"/>
          <w:sz w:val="32"/>
          <w:szCs w:val="32"/>
        </w:rPr>
        <w:t>乙方：___________________</w:t>
      </w:r>
    </w:p>
    <w:p>
      <w:pPr>
        <w:pageBreakBefore w:val="0"/>
        <w:kinsoku/>
        <w:overflowPunct/>
        <w:bidi w:val="0"/>
        <w:spacing w:line="560" w:lineRule="exact"/>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br w:type="page"/>
      </w:r>
    </w:p>
    <w:p>
      <w:pPr>
        <w:tabs>
          <w:tab w:val="right" w:pos="7700"/>
        </w:tabs>
        <w:ind w:left="0" w:leftChars="0" w:firstLine="0" w:firstLineChars="0"/>
        <w:jc w:val="left"/>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甲方：重庆</w:t>
      </w:r>
      <w:r>
        <w:rPr>
          <w:rFonts w:hint="eastAsia" w:ascii="仿宋" w:hAnsi="仿宋" w:eastAsia="仿宋" w:cs="仿宋"/>
          <w:bCs/>
          <w:color w:val="auto"/>
          <w:sz w:val="30"/>
          <w:szCs w:val="30"/>
          <w:highlight w:val="none"/>
          <w:lang w:eastAsia="zh-CN"/>
        </w:rPr>
        <w:t>江北国际</w:t>
      </w:r>
      <w:r>
        <w:rPr>
          <w:rFonts w:hint="eastAsia" w:ascii="仿宋" w:hAnsi="仿宋" w:eastAsia="仿宋" w:cs="仿宋"/>
          <w:bCs/>
          <w:color w:val="auto"/>
          <w:sz w:val="30"/>
          <w:szCs w:val="30"/>
          <w:highlight w:val="none"/>
        </w:rPr>
        <w:t>机场有限公司</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p>
    <w:p>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w:t>
      </w:r>
    </w:p>
    <w:p>
      <w:pPr>
        <w:pStyle w:val="12"/>
        <w:ind w:firstLine="560"/>
        <w:rPr>
          <w:rFonts w:hint="eastAsia" w:ascii="仿宋" w:hAnsi="仿宋" w:eastAsia="仿宋" w:cs="仿宋"/>
          <w:bCs/>
          <w:color w:val="auto"/>
          <w:sz w:val="30"/>
          <w:szCs w:val="30"/>
          <w:highlight w:val="none"/>
        </w:rPr>
      </w:pP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乙方：</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统一社会信用代码：</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通讯地址：</w:t>
      </w:r>
    </w:p>
    <w:p>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法定代表人或委托代理人：</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联系电话：</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邮箱地址：</w:t>
      </w:r>
    </w:p>
    <w:p>
      <w:pPr>
        <w:pStyle w:val="12"/>
        <w:ind w:firstLine="0" w:firstLineChars="0"/>
        <w:rPr>
          <w:rFonts w:hint="eastAsia" w:ascii="仿宋" w:hAnsi="仿宋" w:eastAsia="仿宋" w:cs="仿宋"/>
          <w:bCs/>
          <w:color w:val="auto"/>
          <w:sz w:val="30"/>
          <w:szCs w:val="30"/>
          <w:highlight w:val="none"/>
          <w:lang w:eastAsia="zh-CN"/>
        </w:rPr>
      </w:pPr>
      <w:r>
        <w:rPr>
          <w:rFonts w:hint="eastAsia" w:ascii="仿宋" w:hAnsi="仿宋" w:eastAsia="仿宋" w:cs="仿宋"/>
          <w:bCs/>
          <w:color w:val="auto"/>
          <w:sz w:val="30"/>
          <w:szCs w:val="30"/>
          <w:highlight w:val="none"/>
        </w:rPr>
        <w:t>开户银行：</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开户名称：</w:t>
      </w:r>
    </w:p>
    <w:p>
      <w:pPr>
        <w:pStyle w:val="12"/>
        <w:ind w:firstLine="0" w:firstLineChars="0"/>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账号：</w:t>
      </w:r>
    </w:p>
    <w:p>
      <w:pPr>
        <w:pStyle w:val="14"/>
        <w:pageBreakBefore w:val="0"/>
        <w:shd w:val="clear" w:color="auto" w:fill="auto"/>
        <w:kinsoku/>
        <w:overflowPunct/>
        <w:bidi w:val="0"/>
        <w:spacing w:before="0" w:after="156" w:afterLines="50" w:line="560" w:lineRule="exact"/>
        <w:ind w:firstLine="560" w:firstLineChars="200"/>
        <w:jc w:val="both"/>
        <w:rPr>
          <w:rStyle w:val="15"/>
          <w:rFonts w:hint="default" w:ascii="Times New Roman" w:hAnsi="Times New Roman" w:cs="Times New Roman" w:eastAsiaTheme="minorEastAsia"/>
          <w:color w:val="auto"/>
          <w:sz w:val="28"/>
          <w:szCs w:val="28"/>
          <w:lang w:val="zh-CN"/>
        </w:rPr>
      </w:pPr>
    </w:p>
    <w:p>
      <w:pPr>
        <w:pStyle w:val="14"/>
        <w:pageBreakBefore w:val="0"/>
        <w:shd w:val="clear" w:color="auto" w:fill="auto"/>
        <w:kinsoku/>
        <w:overflowPunct/>
        <w:bidi w:val="0"/>
        <w:spacing w:before="0" w:after="156" w:afterLines="50" w:line="560" w:lineRule="exact"/>
        <w:ind w:firstLine="560" w:firstLineChars="200"/>
        <w:jc w:val="both"/>
        <w:rPr>
          <w:rStyle w:val="15"/>
          <w:rFonts w:hint="default" w:ascii="Times New Roman" w:hAnsi="Times New Roman" w:cs="Times New Roman" w:eastAsiaTheme="minorEastAsia"/>
          <w:color w:val="auto"/>
          <w:sz w:val="28"/>
          <w:szCs w:val="28"/>
          <w:lang w:val="zh-CN"/>
        </w:rPr>
      </w:pPr>
      <w:r>
        <w:rPr>
          <w:rStyle w:val="15"/>
          <w:rFonts w:hint="default" w:ascii="Times New Roman" w:hAnsi="Times New Roman" w:cs="Times New Roman" w:eastAsiaTheme="minorEastAsia"/>
          <w:color w:val="auto"/>
          <w:sz w:val="28"/>
          <w:szCs w:val="28"/>
          <w:lang w:val="zh-CN"/>
        </w:rPr>
        <w:t xml:space="preserve"> </w:t>
      </w:r>
    </w:p>
    <w:p>
      <w:pPr>
        <w:pStyle w:val="2"/>
        <w:pageBreakBefore w:val="0"/>
        <w:kinsoku/>
        <w:overflowPunct/>
        <w:bidi w:val="0"/>
        <w:spacing w:line="560" w:lineRule="exact"/>
        <w:ind w:firstLine="560" w:firstLineChars="200"/>
        <w:jc w:val="both"/>
        <w:rPr>
          <w:rStyle w:val="15"/>
          <w:rFonts w:hint="default" w:ascii="Times New Roman" w:hAnsi="Times New Roman" w:eastAsia="仿宋" w:cs="Times New Roman"/>
          <w:b w:val="0"/>
          <w:bCs/>
          <w:color w:val="auto"/>
          <w:sz w:val="28"/>
          <w:szCs w:val="28"/>
        </w:rPr>
      </w:pPr>
      <w:r>
        <w:rPr>
          <w:rStyle w:val="15"/>
          <w:rFonts w:hint="default" w:ascii="Times New Roman" w:hAnsi="Times New Roman" w:eastAsia="仿宋" w:cs="Times New Roman"/>
          <w:b w:val="0"/>
          <w:bCs/>
          <w:color w:val="auto"/>
          <w:sz w:val="28"/>
          <w:szCs w:val="28"/>
        </w:rPr>
        <w:t>根据《中华人民共和国民法典》及相关法律法规规定，</w:t>
      </w:r>
      <w:r>
        <w:rPr>
          <w:rStyle w:val="15"/>
          <w:rFonts w:hint="eastAsia" w:ascii="Times New Roman" w:hAnsi="Times New Roman" w:eastAsia="仿宋" w:cs="Times New Roman"/>
          <w:b w:val="0"/>
          <w:bCs/>
          <w:color w:val="auto"/>
          <w:sz w:val="28"/>
          <w:szCs w:val="28"/>
        </w:rPr>
        <w:t>经双方协商</w:t>
      </w:r>
      <w:r>
        <w:rPr>
          <w:rStyle w:val="15"/>
          <w:rFonts w:hint="eastAsia" w:ascii="Times New Roman" w:hAnsi="Times New Roman" w:eastAsia="仿宋" w:cs="Times New Roman"/>
          <w:b w:val="0"/>
          <w:bCs/>
          <w:color w:val="auto"/>
          <w:sz w:val="28"/>
          <w:szCs w:val="28"/>
          <w:lang w:eastAsia="zh-CN"/>
        </w:rPr>
        <w:t>，</w:t>
      </w:r>
      <w:r>
        <w:rPr>
          <w:rStyle w:val="15"/>
          <w:rFonts w:hint="default" w:ascii="Times New Roman" w:hAnsi="Times New Roman" w:eastAsia="仿宋" w:cs="Times New Roman"/>
          <w:b w:val="0"/>
          <w:bCs/>
          <w:color w:val="auto"/>
          <w:sz w:val="28"/>
          <w:szCs w:val="28"/>
        </w:rPr>
        <w:t>就乙方承揽甲方</w:t>
      </w:r>
      <w:r>
        <w:rPr>
          <w:rStyle w:val="15"/>
          <w:rFonts w:hint="eastAsia" w:ascii="Times New Roman" w:hAnsi="Times New Roman" w:eastAsia="仿宋" w:cs="Times New Roman"/>
          <w:b w:val="0"/>
          <w:bCs/>
          <w:color w:val="auto"/>
          <w:sz w:val="28"/>
          <w:szCs w:val="28"/>
          <w:u w:val="single"/>
          <w:lang w:val="en-US" w:eastAsia="zh-CN"/>
        </w:rPr>
        <w:t>航站区</w:t>
      </w:r>
      <w:r>
        <w:rPr>
          <w:rStyle w:val="15"/>
          <w:rFonts w:hint="default" w:ascii="Times New Roman" w:hAnsi="Times New Roman" w:eastAsia="仿宋" w:cs="Times New Roman"/>
          <w:b w:val="0"/>
          <w:bCs/>
          <w:color w:val="auto"/>
          <w:sz w:val="28"/>
          <w:szCs w:val="28"/>
          <w:u w:val="single"/>
        </w:rPr>
        <w:t>消防安全评估和消防系统年度检测项目</w:t>
      </w:r>
      <w:r>
        <w:rPr>
          <w:rStyle w:val="15"/>
          <w:rFonts w:hint="default" w:ascii="Times New Roman" w:hAnsi="Times New Roman" w:eastAsia="仿宋" w:cs="Times New Roman"/>
          <w:b w:val="0"/>
          <w:bCs/>
          <w:color w:val="auto"/>
          <w:sz w:val="28"/>
          <w:szCs w:val="28"/>
        </w:rPr>
        <w:t>事宜，达成本协议。</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第一条 项目名称</w:t>
      </w:r>
    </w:p>
    <w:p>
      <w:pPr>
        <w:pageBreakBefore w:val="0"/>
        <w:kinsoku/>
        <w:overflowPunct/>
        <w:bidi w:val="0"/>
        <w:spacing w:line="560" w:lineRule="exact"/>
        <w:ind w:firstLine="560" w:firstLineChars="200"/>
        <w:rPr>
          <w:rStyle w:val="15"/>
          <w:rFonts w:hint="default" w:ascii="Times New Roman" w:hAnsi="Times New Roman" w:eastAsia="仿宋" w:cs="Times New Roman"/>
          <w:bCs/>
          <w:color w:val="auto"/>
          <w:sz w:val="28"/>
          <w:szCs w:val="28"/>
          <w:u w:val="none"/>
        </w:rPr>
      </w:pPr>
      <w:r>
        <w:rPr>
          <w:rStyle w:val="15"/>
          <w:rFonts w:hint="eastAsia" w:ascii="Times New Roman" w:hAnsi="Times New Roman" w:eastAsia="仿宋" w:cs="Times New Roman"/>
          <w:bCs/>
          <w:color w:val="auto"/>
          <w:sz w:val="28"/>
          <w:szCs w:val="28"/>
          <w:u w:val="none"/>
          <w:lang w:val="en-US" w:eastAsia="zh-CN"/>
        </w:rPr>
        <w:t>航站区</w:t>
      </w:r>
      <w:r>
        <w:rPr>
          <w:rStyle w:val="15"/>
          <w:rFonts w:hint="default" w:ascii="Times New Roman" w:hAnsi="Times New Roman" w:eastAsia="仿宋" w:cs="Times New Roman"/>
          <w:bCs/>
          <w:color w:val="auto"/>
          <w:sz w:val="28"/>
          <w:szCs w:val="28"/>
          <w:u w:val="none"/>
        </w:rPr>
        <w:t>消防安全评估和消防系统年度检测项目</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u w:val="none"/>
        </w:rPr>
      </w:pPr>
      <w:r>
        <w:rPr>
          <w:rFonts w:hint="default" w:ascii="Times New Roman" w:hAnsi="Times New Roman" w:eastAsia="仿宋" w:cs="Times New Roman"/>
          <w:color w:val="auto"/>
          <w:sz w:val="28"/>
          <w:szCs w:val="28"/>
          <w:u w:val="none"/>
        </w:rPr>
        <w:t>第二条 项目地点</w:t>
      </w:r>
    </w:p>
    <w:p>
      <w:pPr>
        <w:pStyle w:val="2"/>
        <w:pageBreakBefore w:val="0"/>
        <w:kinsoku/>
        <w:overflowPunct/>
        <w:bidi w:val="0"/>
        <w:spacing w:line="560" w:lineRule="exact"/>
        <w:ind w:firstLine="560" w:firstLineChars="200"/>
        <w:jc w:val="both"/>
        <w:rPr>
          <w:rStyle w:val="15"/>
          <w:rFonts w:hint="eastAsia" w:ascii="Times New Roman" w:hAnsi="Times New Roman" w:eastAsia="仿宋" w:cs="Times New Roman"/>
          <w:b w:val="0"/>
          <w:bCs/>
          <w:color w:val="auto"/>
          <w:sz w:val="28"/>
          <w:szCs w:val="28"/>
          <w:u w:val="none"/>
          <w:lang w:eastAsia="zh-CN"/>
        </w:rPr>
      </w:pPr>
      <w:r>
        <w:rPr>
          <w:rStyle w:val="15"/>
          <w:rFonts w:hint="default" w:ascii="Times New Roman" w:hAnsi="Times New Roman" w:eastAsia="仿宋" w:cs="Times New Roman"/>
          <w:b w:val="0"/>
          <w:bCs/>
          <w:color w:val="auto"/>
          <w:sz w:val="28"/>
          <w:szCs w:val="28"/>
          <w:u w:val="none"/>
        </w:rPr>
        <w:t>重庆江北国际机场，具体区域见下表</w:t>
      </w:r>
      <w:r>
        <w:rPr>
          <w:rStyle w:val="15"/>
          <w:rFonts w:hint="eastAsia" w:ascii="Times New Roman" w:hAnsi="Times New Roman" w:eastAsia="仿宋" w:cs="Times New Roman"/>
          <w:b w:val="0"/>
          <w:bCs/>
          <w:color w:val="auto"/>
          <w:sz w:val="28"/>
          <w:szCs w:val="28"/>
          <w:u w:val="none"/>
          <w:lang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3345"/>
        <w:gridCol w:w="2394"/>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41"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序号</w:t>
            </w:r>
          </w:p>
        </w:tc>
        <w:tc>
          <w:tcPr>
            <w:tcW w:w="3345"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建（构）筑名称</w:t>
            </w:r>
          </w:p>
        </w:tc>
        <w:tc>
          <w:tcPr>
            <w:tcW w:w="2394"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建筑面积（万平方米）</w:t>
            </w:r>
          </w:p>
        </w:tc>
        <w:tc>
          <w:tcPr>
            <w:tcW w:w="2535" w:type="dxa"/>
            <w:vAlign w:val="center"/>
          </w:tcPr>
          <w:p>
            <w:pPr>
              <w:pageBreakBefore w:val="0"/>
              <w:widowControl/>
              <w:kinsoku/>
              <w:overflowPunct/>
              <w:bidi w:val="0"/>
              <w:spacing w:line="560" w:lineRule="exact"/>
              <w:jc w:val="center"/>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restart"/>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综合服务</w:t>
            </w:r>
            <w:r>
              <w:rPr>
                <w:rFonts w:hint="default" w:ascii="Times New Roman" w:hAnsi="Times New Roman" w:eastAsia="仿宋" w:cs="Times New Roman"/>
                <w:color w:val="auto"/>
                <w:sz w:val="24"/>
                <w:lang w:val="en-US" w:eastAsia="zh-CN"/>
              </w:rPr>
              <w:t>中心</w:t>
            </w:r>
          </w:p>
        </w:tc>
        <w:tc>
          <w:tcPr>
            <w:tcW w:w="2394" w:type="dxa"/>
            <w:vMerge w:val="restart"/>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w:t>
            </w:r>
          </w:p>
        </w:tc>
        <w:tc>
          <w:tcPr>
            <w:tcW w:w="2535" w:type="dxa"/>
            <w:vMerge w:val="restart"/>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Merge w:val="continue"/>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T2航站楼</w:t>
            </w:r>
          </w:p>
        </w:tc>
        <w:tc>
          <w:tcPr>
            <w:tcW w:w="2394" w:type="dxa"/>
            <w:vMerge w:val="continue"/>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c>
          <w:tcPr>
            <w:tcW w:w="2535" w:type="dxa"/>
            <w:vMerge w:val="continue"/>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T3A航站楼</w:t>
            </w:r>
          </w:p>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（含APM通道及服务车道）</w:t>
            </w:r>
          </w:p>
        </w:tc>
        <w:tc>
          <w:tcPr>
            <w:tcW w:w="2394"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53.63</w:t>
            </w:r>
          </w:p>
        </w:tc>
        <w:tc>
          <w:tcPr>
            <w:tcW w:w="253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含对</w:t>
            </w:r>
            <w:r>
              <w:rPr>
                <w:rFonts w:hint="default" w:ascii="Times New Roman" w:hAnsi="Times New Roman" w:eastAsia="仿宋" w:cs="Times New Roman"/>
                <w:color w:val="auto"/>
                <w:sz w:val="24"/>
              </w:rPr>
              <w:t>L5层出具消防</w:t>
            </w:r>
          </w:p>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安全评估专篇报告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w:t>
            </w:r>
          </w:p>
        </w:tc>
        <w:tc>
          <w:tcPr>
            <w:tcW w:w="334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综合交通枢纽</w:t>
            </w:r>
          </w:p>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（含延伸区、客运站站场）</w:t>
            </w:r>
          </w:p>
        </w:tc>
        <w:tc>
          <w:tcPr>
            <w:tcW w:w="2394"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w:t>
            </w:r>
          </w:p>
        </w:tc>
        <w:tc>
          <w:tcPr>
            <w:tcW w:w="2535" w:type="dxa"/>
            <w:vAlign w:val="center"/>
          </w:tcPr>
          <w:p>
            <w:pPr>
              <w:pageBreakBefore w:val="0"/>
              <w:kinsoku/>
              <w:overflowPunct/>
              <w:bidi w:val="0"/>
              <w:spacing w:line="560" w:lineRule="exact"/>
              <w:jc w:val="center"/>
              <w:rPr>
                <w:rFonts w:hint="default" w:ascii="Times New Roman" w:hAnsi="Times New Roman" w:eastAsia="仿宋" w:cs="Times New Roman"/>
                <w:color w:val="auto"/>
                <w:sz w:val="24"/>
              </w:rPr>
            </w:pPr>
          </w:p>
        </w:tc>
      </w:tr>
    </w:tbl>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第三条 项目内容和范围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3.1 对所列建筑的消防安全状态进行评估。</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3.2 对所列建筑的全部自动消防设施（包括但不限于：消防供配电设施、火灾自动报警及联动控制系统、图形显示系统装置、火灾应急广播、消防通讯、水灭火系统、气体灭火系统、厨房灭火装置、防排烟系统、防火卷帘与防火门、消防电梯、应急照明与疏散指示标志、电气火灾监控系统、可燃气体探测系统、灭火器等）的检测任务全部委托给服务商检测，服务商按照国家和地方相关技术标准规定的工艺、流程等要求进行检测。</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第四条 消防安全评估和检测期限</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本项目工期为：</w:t>
      </w:r>
      <w:r>
        <w:rPr>
          <w:rFonts w:hint="default" w:ascii="Times New Roman" w:hAnsi="Times New Roman" w:eastAsia="仿宋" w:cs="Times New Roman"/>
          <w:color w:val="auto"/>
          <w:sz w:val="28"/>
          <w:szCs w:val="28"/>
        </w:rPr>
        <w:t>自合同签订后45个自然日</w:t>
      </w:r>
      <w:r>
        <w:rPr>
          <w:rFonts w:hint="default" w:ascii="Times New Roman" w:hAnsi="Times New Roman" w:eastAsia="仿宋" w:cs="Times New Roman"/>
          <w:b w:val="0"/>
          <w:bCs/>
          <w:color w:val="auto"/>
          <w:sz w:val="28"/>
          <w:szCs w:val="28"/>
        </w:rPr>
        <w:t>。乙方不能按期开展工作或无故中途停工而影响工期的，工期不顺延。发生任何有关工期顺延事项，乙方需在顺延情况发生后立即向甲方提出书面申请，说明具体原因和顺延天数，甲方审核并书面同意后工期顺延。</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第五条 履约保证金、合同价款、质量保证金及支付方式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5.1 本合同履约保证金为 XXX（大写元）。乙方已缴纳的投标保证金（如有）XXX（大写元），自成交通知书发出当日自动转为本合同履约保证金，不足部分 XXX（大写元），乙方应在成交通知书发出后7个工作日内，一次性向甲方缴纳。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5.2 甲方在任何时候都有权从履约保证金中扣除由于乙方违反本合同条款而应支付的违约金和赔偿金，并且乙方在接到扣除通知书后3个工作日内，应将履约保证金补足至本合同约定数额。若逾期未补足，甲方有权追究乙方相关违约责任。</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5.3 乙方支付本合同相应款项时，应在“付款备注”中写明“（合同编号）重</w:t>
      </w:r>
      <w:r>
        <w:rPr>
          <w:rFonts w:hint="eastAsia" w:ascii="Times New Roman" w:hAnsi="Times New Roman" w:eastAsia="仿宋" w:cs="Times New Roman"/>
          <w:b w:val="0"/>
          <w:bCs/>
          <w:color w:val="auto"/>
          <w:sz w:val="28"/>
          <w:szCs w:val="28"/>
          <w:lang w:val="en-US" w:eastAsia="zh-CN"/>
        </w:rPr>
        <w:t>航站区</w:t>
      </w:r>
      <w:r>
        <w:rPr>
          <w:rFonts w:hint="default" w:ascii="Times New Roman" w:hAnsi="Times New Roman" w:eastAsia="仿宋" w:cs="Times New Roman"/>
          <w:b w:val="0"/>
          <w:bCs/>
          <w:color w:val="auto"/>
          <w:sz w:val="28"/>
          <w:szCs w:val="28"/>
        </w:rPr>
        <w:t>消防安全评估和消防系统年度检测项目履约保证金”。乙方不得将本合同款项与其他合同款项一起支付，若因混合支付造成无法确认为本合同款项到账的，甲方有权视为逾期未支付。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5.4 本合同期限届满或提前解除后的XX个工作日内，经甲方书面确认乙方未发生违约情形，乙方应向甲方提交退还保证金的书面申请。甲方在收到乙方退还保证金的申请及收据后，XX 个工作日内无息退还。</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5.5 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5.6 乙方出具的《重庆市建筑消防设施质量检测报告》《重庆市建筑消防安全评估报告》和其他提交的相关材料经甲方确认无误后，乙方向甲方开具合同金额的正规增值税发票。甲方在收到发票后 30 个工作日内，向乙方支付全部款项。本合同价款为“总价包干”，包括但不限于</w:t>
      </w:r>
      <w:r>
        <w:rPr>
          <w:rFonts w:hint="default" w:ascii="Times New Roman" w:hAnsi="Times New Roman" w:eastAsia="仿宋" w:cs="Times New Roman"/>
          <w:b w:val="0"/>
          <w:color w:val="auto"/>
          <w:sz w:val="28"/>
          <w:szCs w:val="28"/>
        </w:rPr>
        <w:t>人员、工器具、咨询、税金</w:t>
      </w:r>
      <w:r>
        <w:rPr>
          <w:rFonts w:hint="default" w:ascii="Times New Roman" w:hAnsi="Times New Roman" w:eastAsia="仿宋" w:cs="Times New Roman"/>
          <w:b w:val="0"/>
          <w:bCs/>
          <w:color w:val="auto"/>
          <w:sz w:val="28"/>
          <w:szCs w:val="28"/>
        </w:rPr>
        <w:t>等一切与项目内容相关的费用。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5.7 付款方式：银行转账或银行承兑汇票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5.8 乙方收款账户信息</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开户行：</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 xml:space="preserve">账号： </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户名：</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第六条 项目要求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6.1 乙方工作时间的要求：</w:t>
      </w:r>
      <w:r>
        <w:rPr>
          <w:rFonts w:hint="default" w:ascii="Times New Roman" w:hAnsi="Times New Roman" w:eastAsia="仿宋" w:cs="Times New Roman"/>
          <w:b w:val="0"/>
          <w:bCs/>
          <w:color w:val="auto"/>
          <w:sz w:val="28"/>
          <w:szCs w:val="28"/>
          <w:u w:val="single"/>
        </w:rPr>
        <w:t>应在签订合同后3个自然日内进场开展工作，检测时间严格遵守甲方相关要求，检测前应取得甲方的许可，检测结束后应告知甲方</w:t>
      </w:r>
      <w:r>
        <w:rPr>
          <w:rFonts w:hint="default" w:ascii="Times New Roman" w:hAnsi="Times New Roman" w:eastAsia="仿宋" w:cs="Times New Roman"/>
          <w:b w:val="0"/>
          <w:bCs/>
          <w:color w:val="auto"/>
          <w:sz w:val="28"/>
          <w:szCs w:val="28"/>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6.2 办理证件的要求：乙方应按要求办理并佩戴安全检查站印发的临时通行证，并有指定的专人负责管理；</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6.3 报告要求：</w:t>
      </w:r>
      <w:r>
        <w:rPr>
          <w:rFonts w:hint="default" w:ascii="Times New Roman" w:hAnsi="Times New Roman" w:eastAsia="仿宋" w:cs="Times New Roman"/>
          <w:b w:val="0"/>
          <w:bCs/>
          <w:color w:val="auto"/>
          <w:sz w:val="28"/>
          <w:szCs w:val="28"/>
          <w:u w:val="single"/>
        </w:rPr>
        <w:t>应在合同条款</w:t>
      </w:r>
      <w:r>
        <w:rPr>
          <w:rFonts w:hint="default" w:ascii="Times New Roman" w:hAnsi="Times New Roman" w:eastAsia="仿宋" w:cs="Times New Roman"/>
          <w:color w:val="auto"/>
          <w:sz w:val="28"/>
          <w:szCs w:val="28"/>
          <w:u w:val="single"/>
        </w:rPr>
        <w:t>第二条 项目地点</w:t>
      </w:r>
      <w:r>
        <w:rPr>
          <w:rFonts w:hint="default" w:ascii="Times New Roman" w:hAnsi="Times New Roman" w:eastAsia="仿宋" w:cs="Times New Roman"/>
          <w:b w:val="0"/>
          <w:bCs/>
          <w:color w:val="auto"/>
          <w:sz w:val="28"/>
          <w:szCs w:val="28"/>
          <w:u w:val="single"/>
        </w:rPr>
        <w:t>每个部分工作结束后5个工作日内出具相关报告</w:t>
      </w:r>
      <w:r>
        <w:rPr>
          <w:rFonts w:hint="default" w:ascii="Times New Roman" w:hAnsi="Times New Roman" w:eastAsia="仿宋" w:cs="Times New Roman"/>
          <w:b w:val="0"/>
          <w:bCs/>
          <w:color w:val="auto"/>
          <w:sz w:val="28"/>
          <w:szCs w:val="28"/>
          <w:u w:val="single"/>
          <w:lang w:eastAsia="zh-CN"/>
        </w:rPr>
        <w:t>（</w:t>
      </w:r>
      <w:r>
        <w:rPr>
          <w:rFonts w:hint="default" w:ascii="Times New Roman" w:hAnsi="Times New Roman" w:eastAsia="仿宋" w:cs="Times New Roman"/>
          <w:b w:val="0"/>
          <w:bCs/>
          <w:color w:val="auto"/>
          <w:sz w:val="28"/>
          <w:szCs w:val="28"/>
          <w:u w:val="single"/>
          <w:lang w:val="en-US" w:eastAsia="zh-CN"/>
        </w:rPr>
        <w:t>一式两份</w:t>
      </w:r>
      <w:r>
        <w:rPr>
          <w:rFonts w:hint="default" w:ascii="Times New Roman" w:hAnsi="Times New Roman" w:eastAsia="仿宋" w:cs="Times New Roman"/>
          <w:b w:val="0"/>
          <w:bCs/>
          <w:color w:val="auto"/>
          <w:sz w:val="28"/>
          <w:szCs w:val="28"/>
          <w:u w:val="single"/>
          <w:lang w:eastAsia="zh-CN"/>
        </w:rPr>
        <w:t>）</w:t>
      </w:r>
      <w:r>
        <w:rPr>
          <w:rFonts w:hint="default" w:ascii="Times New Roman" w:hAnsi="Times New Roman" w:eastAsia="仿宋" w:cs="Times New Roman"/>
          <w:b w:val="0"/>
          <w:bCs/>
          <w:color w:val="auto"/>
          <w:sz w:val="28"/>
          <w:szCs w:val="28"/>
          <w:u w:val="single"/>
        </w:rPr>
        <w:t>。</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6.4 项目所需工器具的提供和使用由乙方负责；</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6.5 乙方不得改变评估和检测内容，也不得转包、分包。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第七条 双方的权利与义务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7.</w:t>
      </w:r>
      <w:r>
        <w:rPr>
          <w:rFonts w:hint="default" w:ascii="Times New Roman" w:hAnsi="Times New Roman" w:eastAsia="仿宋" w:cs="Times New Roman"/>
          <w:b w:val="0"/>
          <w:bCs/>
          <w:color w:val="auto"/>
          <w:sz w:val="28"/>
          <w:szCs w:val="28"/>
          <w:lang w:val="zh-CN"/>
        </w:rPr>
        <w:t>1</w:t>
      </w:r>
      <w:r>
        <w:rPr>
          <w:rFonts w:hint="default" w:ascii="Times New Roman" w:hAnsi="Times New Roman" w:eastAsia="仿宋" w:cs="Times New Roman"/>
          <w:b w:val="0"/>
          <w:bCs/>
          <w:color w:val="auto"/>
          <w:sz w:val="28"/>
          <w:szCs w:val="28"/>
        </w:rPr>
        <w:t xml:space="preserve"> </w:t>
      </w:r>
      <w:r>
        <w:rPr>
          <w:rFonts w:hint="default" w:ascii="Times New Roman" w:hAnsi="Times New Roman" w:eastAsia="仿宋" w:cs="Times New Roman"/>
          <w:b w:val="0"/>
          <w:bCs/>
          <w:color w:val="auto"/>
          <w:sz w:val="28"/>
          <w:szCs w:val="28"/>
          <w:lang w:val="zh-CN"/>
        </w:rPr>
        <w:t>甲方权责：</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7.1.1 甲方负责按照约定的付款方式向乙方支付承揽费用；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7.1.2 对乙方实施监督，并有权对乙方提出意见和建议；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7.1.3 对乙方的承揽工作提供必要的、合理的协助工作；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7.1.4 甲方有权从履约保证金或未付费用中抵扣相当于违约金和滞纳金数额的款项。</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7.1.5 为乙方人员、检测工器具进场安装提供必要的协助。</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7.1.6 向乙方提供机场相关管理规定等相关文件，协助办理人员通行证件、工具等事宜。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7.1.7 乙方测试期间，在确保航站楼生产运行正常的前提下，经甲方同意后可以在测试时间、人员安排上进行适当调整。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7.1.8 合同约定的其他权利、责任和义务。</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7</w:t>
      </w:r>
      <w:r>
        <w:rPr>
          <w:rFonts w:hint="default" w:ascii="Times New Roman" w:hAnsi="Times New Roman" w:eastAsia="仿宋" w:cs="Times New Roman"/>
          <w:b w:val="0"/>
          <w:bCs/>
          <w:color w:val="auto"/>
          <w:sz w:val="28"/>
          <w:szCs w:val="28"/>
          <w:lang w:val="zh-CN"/>
        </w:rPr>
        <w:t>.2</w:t>
      </w:r>
      <w:r>
        <w:rPr>
          <w:rFonts w:hint="default" w:ascii="Times New Roman" w:hAnsi="Times New Roman" w:eastAsia="仿宋" w:cs="Times New Roman"/>
          <w:b w:val="0"/>
          <w:bCs/>
          <w:color w:val="auto"/>
          <w:sz w:val="28"/>
          <w:szCs w:val="28"/>
        </w:rPr>
        <w:t xml:space="preserve"> </w:t>
      </w:r>
      <w:r>
        <w:rPr>
          <w:rFonts w:hint="default" w:ascii="Times New Roman" w:hAnsi="Times New Roman" w:eastAsia="仿宋" w:cs="Times New Roman"/>
          <w:b w:val="0"/>
          <w:bCs/>
          <w:color w:val="auto"/>
          <w:sz w:val="28"/>
          <w:szCs w:val="28"/>
          <w:lang w:val="zh-CN"/>
        </w:rPr>
        <w:t>乙方权责：</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7.2.1 服从甲方监督，遵守重庆江北国际机场空防安全的有关制度及重庆江北国际机场的各类规定。</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7.2.2 负责组织该项目的实施，并负责项目实施中的一切施工安全、第三方安全、人身安全和消防安全。</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7.2.3 遵守有关安全规则，负责现场人员安全，排除现场危险隐患，提供安全设施。</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7.2.4 按期完工，提出验收申请，并参与成果验收工作。</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7.2.5 在履行本合同的过程中乙方若造成乙方工作人员、甲方或第三方人身、财产损害的，乙方应承担全部责任。</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7.2.6 应高度重视消防安全，不得私自使用任何可能造成电路负载过大的电力设备。</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7.2.7 严格执行国家及重庆市的劳动法律法规，与员工建立规范、合法的劳动用工关系，为员工配备作业防护设备，采取必要措施，对作业及人员的安全负责。</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7.2.8 严格按照《重庆江北国际机场安全管理标准》和《航站楼门禁系统管理规定》要求，遵守隔非门、门禁门、行李转盘隔断等空防设施的使用规定，工作人员应规范使用门禁门，严禁无关人员进入门禁管控区域、机坪区域。</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7.2.9 合同约定的其他权利、责任和义务。</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第八条 成果验收标准和方法</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乙方</w:t>
      </w:r>
      <w:r>
        <w:rPr>
          <w:rFonts w:hint="default" w:ascii="Times New Roman" w:hAnsi="Times New Roman" w:eastAsia="仿宋" w:cs="Times New Roman"/>
          <w:b w:val="0"/>
          <w:bCs/>
          <w:color w:val="auto"/>
          <w:sz w:val="28"/>
          <w:szCs w:val="28"/>
        </w:rPr>
        <w:t>根据</w:t>
      </w:r>
      <w:r>
        <w:rPr>
          <w:rFonts w:hint="default" w:ascii="Times New Roman" w:hAnsi="Times New Roman" w:eastAsia="仿宋" w:cs="Times New Roman"/>
          <w:b w:val="0"/>
          <w:bCs/>
          <w:color w:val="auto"/>
          <w:sz w:val="28"/>
          <w:szCs w:val="28"/>
          <w:lang w:val="zh-CN"/>
        </w:rPr>
        <w:t>《建筑消防设施质量检测技术规程》</w:t>
      </w:r>
      <w:r>
        <w:rPr>
          <w:rFonts w:hint="eastAsia" w:ascii="Times New Roman" w:hAnsi="Times New Roman" w:eastAsia="仿宋" w:cs="Times New Roman"/>
          <w:b w:val="0"/>
          <w:bCs/>
          <w:color w:val="auto"/>
          <w:sz w:val="28"/>
          <w:szCs w:val="28"/>
          <w:lang w:val="zh-CN"/>
        </w:rPr>
        <w:t>（</w:t>
      </w:r>
      <w:r>
        <w:rPr>
          <w:rFonts w:hint="default" w:ascii="Times New Roman" w:hAnsi="Times New Roman" w:eastAsia="仿宋" w:cs="Times New Roman"/>
          <w:b w:val="0"/>
          <w:bCs/>
          <w:color w:val="auto"/>
          <w:sz w:val="28"/>
          <w:szCs w:val="28"/>
          <w:lang w:val="zh-CN"/>
        </w:rPr>
        <w:t>DB50-24-2011</w:t>
      </w:r>
      <w:r>
        <w:rPr>
          <w:rFonts w:hint="eastAsia" w:ascii="Times New Roman" w:hAnsi="Times New Roman" w:eastAsia="仿宋" w:cs="Times New Roman"/>
          <w:b w:val="0"/>
          <w:bCs/>
          <w:color w:val="auto"/>
          <w:sz w:val="28"/>
          <w:szCs w:val="28"/>
          <w:lang w:val="zh-CN"/>
        </w:rPr>
        <w:t>）</w:t>
      </w:r>
      <w:r>
        <w:rPr>
          <w:rFonts w:hint="eastAsia" w:ascii="Times New Roman" w:hAnsi="Times New Roman" w:eastAsia="仿宋" w:cs="Times New Roman"/>
          <w:b w:val="0"/>
          <w:bCs/>
          <w:color w:val="auto"/>
          <w:sz w:val="28"/>
          <w:szCs w:val="28"/>
          <w:lang w:val="en-US" w:eastAsia="zh-CN"/>
        </w:rPr>
        <w:t>及</w:t>
      </w:r>
      <w:r>
        <w:rPr>
          <w:rFonts w:hint="default" w:ascii="Times New Roman" w:hAnsi="Times New Roman" w:eastAsia="仿宋" w:cs="Times New Roman"/>
          <w:b w:val="0"/>
          <w:bCs/>
          <w:color w:val="auto"/>
          <w:sz w:val="28"/>
          <w:szCs w:val="28"/>
          <w:lang w:val="zh-CN"/>
        </w:rPr>
        <w:t>《火灾高危单位消防安全评估规程》（DB 50/T 632—2015）要求</w:t>
      </w:r>
      <w:r>
        <w:rPr>
          <w:rFonts w:hint="default" w:ascii="Times New Roman" w:hAnsi="Times New Roman" w:eastAsia="仿宋" w:cs="Times New Roman"/>
          <w:b w:val="0"/>
          <w:bCs/>
          <w:color w:val="auto"/>
          <w:sz w:val="28"/>
          <w:szCs w:val="28"/>
        </w:rPr>
        <w:t>出具报告，经甲方确认无误后验收合格</w:t>
      </w:r>
      <w:r>
        <w:rPr>
          <w:rFonts w:hint="default" w:ascii="Times New Roman" w:hAnsi="Times New Roman" w:eastAsia="仿宋" w:cs="Times New Roman"/>
          <w:b w:val="0"/>
          <w:bCs/>
          <w:color w:val="auto"/>
          <w:sz w:val="28"/>
          <w:szCs w:val="28"/>
          <w:lang w:val="zh-CN"/>
        </w:rPr>
        <w:t>。</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bookmarkStart w:id="189" w:name="_Toc16027"/>
      <w:bookmarkStart w:id="190" w:name="_Toc20876"/>
      <w:bookmarkStart w:id="191" w:name="_Toc7673"/>
      <w:bookmarkStart w:id="192" w:name="_Toc78203023"/>
      <w:bookmarkStart w:id="193" w:name="_Toc31513"/>
      <w:bookmarkStart w:id="194" w:name="_Toc26474"/>
      <w:bookmarkStart w:id="195" w:name="_Toc5648"/>
      <w:bookmarkStart w:id="196" w:name="_Toc16424"/>
      <w:bookmarkStart w:id="197" w:name="_Toc11275"/>
      <w:bookmarkStart w:id="198" w:name="_Toc26189"/>
      <w:bookmarkStart w:id="199" w:name="_Toc26635"/>
      <w:bookmarkStart w:id="200" w:name="_Toc10115"/>
      <w:r>
        <w:rPr>
          <w:rFonts w:hint="default" w:ascii="Times New Roman" w:hAnsi="Times New Roman" w:eastAsia="仿宋" w:cs="Times New Roman"/>
          <w:color w:val="auto"/>
          <w:sz w:val="28"/>
          <w:szCs w:val="28"/>
        </w:rPr>
        <w:t>第九条 知识产权</w:t>
      </w:r>
      <w:bookmarkEnd w:id="189"/>
      <w:bookmarkEnd w:id="190"/>
      <w:bookmarkEnd w:id="191"/>
      <w:bookmarkEnd w:id="192"/>
      <w:bookmarkEnd w:id="193"/>
      <w:bookmarkEnd w:id="194"/>
      <w:bookmarkEnd w:id="195"/>
      <w:bookmarkEnd w:id="196"/>
      <w:bookmarkEnd w:id="197"/>
      <w:bookmarkEnd w:id="198"/>
      <w:bookmarkEnd w:id="199"/>
      <w:bookmarkEnd w:id="200"/>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乙方保证检测过程中所使用的设备、方法及其他涉及检测工作的行为不会侵害第三人的知识产权，除非甲方书面同意，检测过程中使用相关知识产权所需费用均由乙方承担。如乙方侵犯第三人的知识产权，由此引发的一切责任及产生的相关损失由乙方承担。</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第十条 违约责任</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 xml:space="preserve">10.1 </w:t>
      </w:r>
      <w:r>
        <w:rPr>
          <w:rFonts w:hint="default" w:ascii="Times New Roman" w:hAnsi="Times New Roman" w:eastAsia="仿宋" w:cs="Times New Roman"/>
          <w:b w:val="0"/>
          <w:bCs/>
          <w:color w:val="auto"/>
          <w:sz w:val="28"/>
          <w:szCs w:val="28"/>
          <w:lang w:val="zh-CN"/>
        </w:rPr>
        <w:t>甲方未按本合同履约导致</w:t>
      </w:r>
      <w:r>
        <w:rPr>
          <w:rFonts w:hint="default" w:ascii="Times New Roman" w:hAnsi="Times New Roman" w:eastAsia="仿宋" w:cs="Times New Roman"/>
          <w:b w:val="0"/>
          <w:bCs/>
          <w:color w:val="auto"/>
          <w:sz w:val="28"/>
          <w:szCs w:val="28"/>
        </w:rPr>
        <w:t>项目</w:t>
      </w:r>
      <w:r>
        <w:rPr>
          <w:rFonts w:hint="default" w:ascii="Times New Roman" w:hAnsi="Times New Roman" w:eastAsia="仿宋" w:cs="Times New Roman"/>
          <w:b w:val="0"/>
          <w:bCs/>
          <w:color w:val="auto"/>
          <w:sz w:val="28"/>
          <w:szCs w:val="28"/>
          <w:lang w:val="zh-CN"/>
        </w:rPr>
        <w:t>无法进行的，工期相应顺延。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10.2 乙方工作或出具的报告不满足规范要求</w:t>
      </w:r>
      <w:r>
        <w:rPr>
          <w:rFonts w:hint="default" w:ascii="Times New Roman" w:hAnsi="Times New Roman" w:eastAsia="仿宋" w:cs="Times New Roman"/>
          <w:b w:val="0"/>
          <w:bCs/>
          <w:color w:val="auto"/>
          <w:sz w:val="28"/>
          <w:szCs w:val="28"/>
          <w:lang w:val="zh-CN"/>
        </w:rPr>
        <w:t>，乙方应负责无偿</w:t>
      </w:r>
      <w:r>
        <w:rPr>
          <w:rFonts w:hint="default" w:ascii="Times New Roman" w:hAnsi="Times New Roman" w:eastAsia="仿宋" w:cs="Times New Roman"/>
          <w:b w:val="0"/>
          <w:bCs/>
          <w:color w:val="auto"/>
          <w:sz w:val="28"/>
          <w:szCs w:val="28"/>
        </w:rPr>
        <w:t>重新进行检测或评估</w:t>
      </w:r>
      <w:r>
        <w:rPr>
          <w:rFonts w:hint="default" w:ascii="Times New Roman" w:hAnsi="Times New Roman" w:eastAsia="仿宋" w:cs="Times New Roman"/>
          <w:b w:val="0"/>
          <w:bCs/>
          <w:color w:val="auto"/>
          <w:sz w:val="28"/>
          <w:szCs w:val="28"/>
          <w:lang w:val="zh-CN"/>
        </w:rPr>
        <w:t>。因</w:t>
      </w:r>
      <w:r>
        <w:rPr>
          <w:rFonts w:hint="default" w:ascii="Times New Roman" w:hAnsi="Times New Roman" w:eastAsia="仿宋" w:cs="Times New Roman"/>
          <w:b w:val="0"/>
          <w:bCs/>
          <w:color w:val="auto"/>
          <w:sz w:val="28"/>
          <w:szCs w:val="28"/>
        </w:rPr>
        <w:t>重新进行检测或评估</w:t>
      </w:r>
      <w:r>
        <w:rPr>
          <w:rFonts w:hint="default" w:ascii="Times New Roman" w:hAnsi="Times New Roman" w:eastAsia="仿宋" w:cs="Times New Roman"/>
          <w:b w:val="0"/>
          <w:bCs/>
          <w:color w:val="auto"/>
          <w:sz w:val="28"/>
          <w:szCs w:val="28"/>
          <w:lang w:val="zh-CN"/>
        </w:rPr>
        <w:t>而造成的逾期验收的，按1</w:t>
      </w:r>
      <w:r>
        <w:rPr>
          <w:rFonts w:hint="eastAsia" w:ascii="Times New Roman" w:hAnsi="Times New Roman" w:eastAsia="仿宋" w:cs="Times New Roman"/>
          <w:b w:val="0"/>
          <w:bCs/>
          <w:color w:val="auto"/>
          <w:sz w:val="28"/>
          <w:szCs w:val="28"/>
          <w:lang w:val="en-US" w:eastAsia="zh-CN"/>
        </w:rPr>
        <w:t>0</w:t>
      </w:r>
      <w:r>
        <w:rPr>
          <w:rFonts w:hint="default" w:ascii="Times New Roman" w:hAnsi="Times New Roman" w:eastAsia="仿宋" w:cs="Times New Roman"/>
          <w:b w:val="0"/>
          <w:bCs/>
          <w:color w:val="auto"/>
          <w:sz w:val="28"/>
          <w:szCs w:val="28"/>
          <w:lang w:val="zh-CN"/>
        </w:rPr>
        <w:t>.3约定处理。</w:t>
      </w:r>
      <w:r>
        <w:rPr>
          <w:rFonts w:hint="default" w:ascii="Times New Roman" w:hAnsi="Times New Roman" w:eastAsia="仿宋" w:cs="Times New Roman"/>
          <w:b w:val="0"/>
          <w:bCs/>
          <w:color w:val="auto"/>
          <w:sz w:val="28"/>
          <w:szCs w:val="28"/>
          <w:lang w:val="zh-CN"/>
        </w:rPr>
        <w:br w:type="textWrapping"/>
      </w:r>
      <w:r>
        <w:rPr>
          <w:rFonts w:hint="default" w:ascii="Times New Roman" w:hAnsi="Times New Roman" w:eastAsia="仿宋" w:cs="Times New Roman"/>
          <w:b w:val="0"/>
          <w:bCs/>
          <w:color w:val="auto"/>
          <w:sz w:val="28"/>
          <w:szCs w:val="28"/>
          <w:lang w:val="zh-CN"/>
        </w:rPr>
        <w:t xml:space="preserve">    </w:t>
      </w:r>
      <w:r>
        <w:rPr>
          <w:rFonts w:hint="default" w:ascii="Times New Roman" w:hAnsi="Times New Roman" w:eastAsia="仿宋" w:cs="Times New Roman"/>
          <w:b w:val="0"/>
          <w:bCs/>
          <w:color w:val="auto"/>
          <w:sz w:val="28"/>
          <w:szCs w:val="28"/>
        </w:rPr>
        <w:t>10.3</w:t>
      </w:r>
      <w:r>
        <w:rPr>
          <w:rFonts w:hint="default" w:ascii="Times New Roman" w:hAnsi="Times New Roman" w:eastAsia="仿宋" w:cs="Times New Roman"/>
          <w:b w:val="0"/>
          <w:bCs/>
          <w:color w:val="auto"/>
          <w:sz w:val="28"/>
          <w:szCs w:val="28"/>
          <w:lang w:val="zh-CN"/>
        </w:rPr>
        <w:t>乙方不能按合同规定的工期完工，每逾期1天，应偿付给甲方按甲方实际支付金额的万分之五的逾期违约金。逾期超过</w:t>
      </w:r>
      <w:r>
        <w:rPr>
          <w:rFonts w:hint="default" w:ascii="Times New Roman" w:hAnsi="Times New Roman" w:eastAsia="仿宋" w:cs="Times New Roman"/>
          <w:b w:val="0"/>
          <w:bCs/>
          <w:color w:val="auto"/>
          <w:sz w:val="28"/>
          <w:szCs w:val="28"/>
        </w:rPr>
        <w:t>7</w:t>
      </w:r>
      <w:r>
        <w:rPr>
          <w:rFonts w:hint="default" w:ascii="Times New Roman" w:hAnsi="Times New Roman" w:eastAsia="仿宋" w:cs="Times New Roman"/>
          <w:b w:val="0"/>
          <w:bCs/>
          <w:color w:val="auto"/>
          <w:sz w:val="28"/>
          <w:szCs w:val="28"/>
          <w:lang w:val="zh-CN"/>
        </w:rPr>
        <w:t>天的，甲方有权解除合同。</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10.4</w:t>
      </w:r>
      <w:r>
        <w:rPr>
          <w:rFonts w:hint="default" w:ascii="Times New Roman" w:hAnsi="Times New Roman" w:eastAsia="仿宋" w:cs="Times New Roman"/>
          <w:b w:val="0"/>
          <w:bCs/>
          <w:color w:val="auto"/>
          <w:sz w:val="28"/>
          <w:szCs w:val="28"/>
          <w:lang w:val="zh-CN"/>
        </w:rPr>
        <w:t xml:space="preserve"> 乙方擅自改变材料或擅自转、分包的，甲方有权要求改正，</w:t>
      </w:r>
      <w:r>
        <w:rPr>
          <w:rFonts w:hint="default" w:ascii="Times New Roman" w:hAnsi="Times New Roman" w:eastAsia="仿宋" w:cs="Times New Roman"/>
          <w:b w:val="0"/>
          <w:bCs/>
          <w:color w:val="auto"/>
          <w:sz w:val="28"/>
          <w:szCs w:val="28"/>
        </w:rPr>
        <w:t>乙方</w:t>
      </w:r>
      <w:r>
        <w:rPr>
          <w:rFonts w:hint="default" w:ascii="Times New Roman" w:hAnsi="Times New Roman" w:eastAsia="仿宋" w:cs="Times New Roman"/>
          <w:b w:val="0"/>
          <w:bCs/>
          <w:color w:val="auto"/>
          <w:sz w:val="28"/>
          <w:szCs w:val="28"/>
          <w:lang w:val="zh-CN"/>
        </w:rPr>
        <w:t>应偿付给甲方按甲方实际支付金额的</w:t>
      </w:r>
      <w:r>
        <w:rPr>
          <w:rFonts w:hint="default" w:ascii="Times New Roman" w:hAnsi="Times New Roman" w:eastAsia="仿宋" w:cs="Times New Roman"/>
          <w:b w:val="0"/>
          <w:bCs/>
          <w:color w:val="auto"/>
          <w:sz w:val="28"/>
          <w:szCs w:val="28"/>
        </w:rPr>
        <w:t>百</w:t>
      </w:r>
      <w:r>
        <w:rPr>
          <w:rFonts w:hint="default" w:ascii="Times New Roman" w:hAnsi="Times New Roman" w:eastAsia="仿宋" w:cs="Times New Roman"/>
          <w:b w:val="0"/>
          <w:bCs/>
          <w:color w:val="auto"/>
          <w:sz w:val="28"/>
          <w:szCs w:val="28"/>
          <w:lang w:val="zh-CN"/>
        </w:rPr>
        <w:t>分之</w:t>
      </w:r>
      <w:r>
        <w:rPr>
          <w:rFonts w:hint="default" w:ascii="Times New Roman" w:hAnsi="Times New Roman" w:eastAsia="仿宋" w:cs="Times New Roman"/>
          <w:b w:val="0"/>
          <w:bCs/>
          <w:color w:val="auto"/>
          <w:sz w:val="28"/>
          <w:szCs w:val="28"/>
        </w:rPr>
        <w:t>十</w:t>
      </w:r>
      <w:r>
        <w:rPr>
          <w:rFonts w:hint="default" w:ascii="Times New Roman" w:hAnsi="Times New Roman" w:eastAsia="仿宋" w:cs="Times New Roman"/>
          <w:b w:val="0"/>
          <w:bCs/>
          <w:color w:val="auto"/>
          <w:sz w:val="28"/>
          <w:szCs w:val="28"/>
          <w:lang w:val="zh-CN"/>
        </w:rPr>
        <w:t>的逾期违约金，乙方不能改正的，甲方有权解除合同。</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default" w:ascii="Times New Roman" w:hAnsi="Times New Roman" w:eastAsia="仿宋" w:cs="Times New Roman"/>
          <w:b w:val="0"/>
          <w:bCs/>
          <w:color w:val="auto"/>
          <w:sz w:val="28"/>
          <w:szCs w:val="28"/>
        </w:rPr>
        <w:t>0</w:t>
      </w:r>
      <w:r>
        <w:rPr>
          <w:rFonts w:hint="default" w:ascii="Times New Roman" w:hAnsi="Times New Roman" w:eastAsia="仿宋" w:cs="Times New Roman"/>
          <w:b w:val="0"/>
          <w:bCs/>
          <w:color w:val="auto"/>
          <w:sz w:val="28"/>
          <w:szCs w:val="28"/>
          <w:lang w:val="zh-CN"/>
        </w:rPr>
        <w:t>.5 乙方未按合同要求时间进场的，每超出1个</w:t>
      </w:r>
      <w:r>
        <w:rPr>
          <w:rFonts w:hint="default" w:ascii="Times New Roman" w:hAnsi="Times New Roman" w:eastAsia="仿宋" w:cs="Times New Roman"/>
          <w:b w:val="0"/>
          <w:bCs/>
          <w:color w:val="auto"/>
          <w:sz w:val="28"/>
          <w:szCs w:val="28"/>
        </w:rPr>
        <w:t>自然</w:t>
      </w:r>
      <w:r>
        <w:rPr>
          <w:rFonts w:hint="default" w:ascii="Times New Roman" w:hAnsi="Times New Roman" w:eastAsia="仿宋" w:cs="Times New Roman"/>
          <w:b w:val="0"/>
          <w:bCs/>
          <w:color w:val="auto"/>
          <w:sz w:val="28"/>
          <w:szCs w:val="28"/>
          <w:lang w:val="zh-CN"/>
        </w:rPr>
        <w:t>天，应偿付给</w:t>
      </w:r>
      <w:r>
        <w:rPr>
          <w:rFonts w:hint="default" w:ascii="Times New Roman" w:hAnsi="Times New Roman" w:eastAsia="仿宋" w:cs="Times New Roman"/>
          <w:b w:val="0"/>
          <w:bCs/>
          <w:color w:val="auto"/>
          <w:sz w:val="28"/>
          <w:szCs w:val="28"/>
        </w:rPr>
        <w:t>甲方</w:t>
      </w:r>
      <w:r>
        <w:rPr>
          <w:rFonts w:hint="default" w:ascii="Times New Roman" w:hAnsi="Times New Roman" w:eastAsia="仿宋" w:cs="Times New Roman"/>
          <w:b w:val="0"/>
          <w:bCs/>
          <w:color w:val="auto"/>
          <w:sz w:val="28"/>
          <w:szCs w:val="28"/>
          <w:lang w:val="zh-CN"/>
        </w:rPr>
        <w:t>按甲方实际支付金额的</w:t>
      </w:r>
      <w:r>
        <w:rPr>
          <w:rFonts w:hint="default" w:ascii="Times New Roman" w:hAnsi="Times New Roman" w:eastAsia="仿宋" w:cs="Times New Roman"/>
          <w:b w:val="0"/>
          <w:bCs/>
          <w:color w:val="auto"/>
          <w:sz w:val="28"/>
          <w:szCs w:val="28"/>
        </w:rPr>
        <w:t>千</w:t>
      </w:r>
      <w:r>
        <w:rPr>
          <w:rFonts w:hint="default" w:ascii="Times New Roman" w:hAnsi="Times New Roman" w:eastAsia="仿宋" w:cs="Times New Roman"/>
          <w:b w:val="0"/>
          <w:bCs/>
          <w:color w:val="auto"/>
          <w:sz w:val="28"/>
          <w:szCs w:val="28"/>
          <w:lang w:val="zh-CN"/>
        </w:rPr>
        <w:t>分之</w:t>
      </w:r>
      <w:r>
        <w:rPr>
          <w:rFonts w:hint="default" w:ascii="Times New Roman" w:hAnsi="Times New Roman" w:eastAsia="仿宋" w:cs="Times New Roman"/>
          <w:b w:val="0"/>
          <w:bCs/>
          <w:color w:val="auto"/>
          <w:sz w:val="28"/>
          <w:szCs w:val="28"/>
        </w:rPr>
        <w:t>二</w:t>
      </w:r>
      <w:r>
        <w:rPr>
          <w:rFonts w:hint="default" w:ascii="Times New Roman" w:hAnsi="Times New Roman" w:eastAsia="仿宋" w:cs="Times New Roman"/>
          <w:b w:val="0"/>
          <w:bCs/>
          <w:color w:val="auto"/>
          <w:sz w:val="28"/>
          <w:szCs w:val="28"/>
          <w:lang w:val="zh-CN"/>
        </w:rPr>
        <w:t>的逾期违约金；经甲方2次书面通知后仍未办理的，甲方有权解除合同，应偿付给</w:t>
      </w:r>
      <w:r>
        <w:rPr>
          <w:rFonts w:hint="default" w:ascii="Times New Roman" w:hAnsi="Times New Roman" w:eastAsia="仿宋" w:cs="Times New Roman"/>
          <w:b w:val="0"/>
          <w:bCs/>
          <w:color w:val="auto"/>
          <w:sz w:val="28"/>
          <w:szCs w:val="28"/>
        </w:rPr>
        <w:t>甲方</w:t>
      </w:r>
      <w:r>
        <w:rPr>
          <w:rFonts w:hint="default" w:ascii="Times New Roman" w:hAnsi="Times New Roman" w:eastAsia="仿宋" w:cs="Times New Roman"/>
          <w:b w:val="0"/>
          <w:bCs/>
          <w:color w:val="auto"/>
          <w:sz w:val="28"/>
          <w:szCs w:val="28"/>
          <w:lang w:val="zh-CN"/>
        </w:rPr>
        <w:t>按甲方实际支付金额的</w:t>
      </w:r>
      <w:r>
        <w:rPr>
          <w:rFonts w:hint="default" w:ascii="Times New Roman" w:hAnsi="Times New Roman" w:eastAsia="仿宋" w:cs="Times New Roman"/>
          <w:b w:val="0"/>
          <w:bCs/>
          <w:color w:val="auto"/>
          <w:sz w:val="28"/>
          <w:szCs w:val="28"/>
        </w:rPr>
        <w:t>百分之二十</w:t>
      </w:r>
      <w:r>
        <w:rPr>
          <w:rFonts w:hint="default" w:ascii="Times New Roman" w:hAnsi="Times New Roman" w:eastAsia="仿宋" w:cs="Times New Roman"/>
          <w:b w:val="0"/>
          <w:bCs/>
          <w:color w:val="auto"/>
          <w:sz w:val="28"/>
          <w:szCs w:val="28"/>
          <w:lang w:val="zh-CN"/>
        </w:rPr>
        <w:t>的逾期违约金。</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eastAsia" w:ascii="Times New Roman" w:hAnsi="Times New Roman" w:eastAsia="仿宋" w:cs="Times New Roman"/>
          <w:b w:val="0"/>
          <w:bCs/>
          <w:color w:val="auto"/>
          <w:sz w:val="28"/>
          <w:szCs w:val="28"/>
          <w:lang w:val="en-US" w:eastAsia="zh-CN"/>
        </w:rPr>
        <w:t>10</w:t>
      </w:r>
      <w:r>
        <w:rPr>
          <w:rFonts w:hint="default" w:ascii="Times New Roman" w:hAnsi="Times New Roman" w:eastAsia="仿宋" w:cs="Times New Roman"/>
          <w:b w:val="0"/>
          <w:bCs/>
          <w:color w:val="auto"/>
          <w:sz w:val="28"/>
          <w:szCs w:val="28"/>
          <w:lang w:val="zh-CN"/>
        </w:rPr>
        <w:t>.6 乙方未按合同要求时间完成项目或出具报告的，每超出1个自然天，应偿付给</w:t>
      </w:r>
      <w:r>
        <w:rPr>
          <w:rFonts w:hint="default" w:ascii="Times New Roman" w:hAnsi="Times New Roman" w:eastAsia="仿宋" w:cs="Times New Roman"/>
          <w:b w:val="0"/>
          <w:bCs/>
          <w:color w:val="auto"/>
          <w:sz w:val="28"/>
          <w:szCs w:val="28"/>
        </w:rPr>
        <w:t>甲方</w:t>
      </w:r>
      <w:r>
        <w:rPr>
          <w:rFonts w:hint="default" w:ascii="Times New Roman" w:hAnsi="Times New Roman" w:eastAsia="仿宋" w:cs="Times New Roman"/>
          <w:b w:val="0"/>
          <w:bCs/>
          <w:color w:val="auto"/>
          <w:sz w:val="28"/>
          <w:szCs w:val="28"/>
          <w:lang w:val="zh-CN"/>
        </w:rPr>
        <w:t>按甲方实际支付金额的</w:t>
      </w:r>
      <w:r>
        <w:rPr>
          <w:rFonts w:hint="default" w:ascii="Times New Roman" w:hAnsi="Times New Roman" w:eastAsia="仿宋" w:cs="Times New Roman"/>
          <w:b w:val="0"/>
          <w:bCs/>
          <w:color w:val="auto"/>
          <w:sz w:val="28"/>
          <w:szCs w:val="28"/>
        </w:rPr>
        <w:t>万</w:t>
      </w:r>
      <w:r>
        <w:rPr>
          <w:rFonts w:hint="default" w:ascii="Times New Roman" w:hAnsi="Times New Roman" w:eastAsia="仿宋" w:cs="Times New Roman"/>
          <w:b w:val="0"/>
          <w:bCs/>
          <w:color w:val="auto"/>
          <w:sz w:val="28"/>
          <w:szCs w:val="28"/>
          <w:lang w:val="zh-CN"/>
        </w:rPr>
        <w:t>分之</w:t>
      </w:r>
      <w:r>
        <w:rPr>
          <w:rFonts w:hint="default" w:ascii="Times New Roman" w:hAnsi="Times New Roman" w:eastAsia="仿宋" w:cs="Times New Roman"/>
          <w:b w:val="0"/>
          <w:bCs/>
          <w:color w:val="auto"/>
          <w:sz w:val="28"/>
          <w:szCs w:val="28"/>
        </w:rPr>
        <w:t>五</w:t>
      </w:r>
      <w:r>
        <w:rPr>
          <w:rFonts w:hint="default" w:ascii="Times New Roman" w:hAnsi="Times New Roman" w:eastAsia="仿宋" w:cs="Times New Roman"/>
          <w:b w:val="0"/>
          <w:bCs/>
          <w:color w:val="auto"/>
          <w:sz w:val="28"/>
          <w:szCs w:val="28"/>
          <w:lang w:val="zh-CN"/>
        </w:rPr>
        <w:t>的逾期违约金。</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eastAsia" w:ascii="Times New Roman" w:hAnsi="Times New Roman" w:eastAsia="仿宋" w:cs="Times New Roman"/>
          <w:b w:val="0"/>
          <w:bCs/>
          <w:color w:val="auto"/>
          <w:sz w:val="28"/>
          <w:szCs w:val="28"/>
          <w:lang w:val="en-US" w:eastAsia="zh-CN"/>
        </w:rPr>
        <w:t>10</w:t>
      </w:r>
      <w:r>
        <w:rPr>
          <w:rFonts w:hint="default" w:ascii="Times New Roman" w:hAnsi="Times New Roman" w:eastAsia="仿宋" w:cs="Times New Roman"/>
          <w:b w:val="0"/>
          <w:bCs/>
          <w:color w:val="auto"/>
          <w:sz w:val="28"/>
          <w:szCs w:val="28"/>
          <w:lang w:val="zh-CN"/>
        </w:rPr>
        <w:t>.7 乙方未指派比选文件明确的项目经理，应偿付给</w:t>
      </w:r>
      <w:r>
        <w:rPr>
          <w:rFonts w:hint="default" w:ascii="Times New Roman" w:hAnsi="Times New Roman" w:eastAsia="仿宋" w:cs="Times New Roman"/>
          <w:b w:val="0"/>
          <w:bCs/>
          <w:color w:val="auto"/>
          <w:sz w:val="28"/>
          <w:szCs w:val="28"/>
        </w:rPr>
        <w:t>甲方</w:t>
      </w:r>
      <w:r>
        <w:rPr>
          <w:rFonts w:hint="default" w:ascii="Times New Roman" w:hAnsi="Times New Roman" w:eastAsia="仿宋" w:cs="Times New Roman"/>
          <w:b w:val="0"/>
          <w:bCs/>
          <w:color w:val="auto"/>
          <w:sz w:val="28"/>
          <w:szCs w:val="28"/>
          <w:lang w:val="zh-CN"/>
        </w:rPr>
        <w:t>按甲方实际支付金额的</w:t>
      </w:r>
      <w:r>
        <w:rPr>
          <w:rFonts w:hint="default" w:ascii="Times New Roman" w:hAnsi="Times New Roman" w:eastAsia="仿宋" w:cs="Times New Roman"/>
          <w:b w:val="0"/>
          <w:bCs/>
          <w:color w:val="auto"/>
          <w:sz w:val="28"/>
          <w:szCs w:val="28"/>
        </w:rPr>
        <w:t>百</w:t>
      </w:r>
      <w:r>
        <w:rPr>
          <w:rFonts w:hint="default" w:ascii="Times New Roman" w:hAnsi="Times New Roman" w:eastAsia="仿宋" w:cs="Times New Roman"/>
          <w:b w:val="0"/>
          <w:bCs/>
          <w:color w:val="auto"/>
          <w:sz w:val="28"/>
          <w:szCs w:val="28"/>
          <w:lang w:val="zh-CN"/>
        </w:rPr>
        <w:t>分之</w:t>
      </w:r>
      <w:r>
        <w:rPr>
          <w:rFonts w:hint="default" w:ascii="Times New Roman" w:hAnsi="Times New Roman" w:eastAsia="仿宋" w:cs="Times New Roman"/>
          <w:b w:val="0"/>
          <w:bCs/>
          <w:color w:val="auto"/>
          <w:sz w:val="28"/>
          <w:szCs w:val="28"/>
        </w:rPr>
        <w:t>五</w:t>
      </w:r>
      <w:r>
        <w:rPr>
          <w:rFonts w:hint="default" w:ascii="Times New Roman" w:hAnsi="Times New Roman" w:eastAsia="仿宋" w:cs="Times New Roman"/>
          <w:b w:val="0"/>
          <w:bCs/>
          <w:color w:val="auto"/>
          <w:sz w:val="28"/>
          <w:szCs w:val="28"/>
          <w:lang w:val="zh-CN"/>
        </w:rPr>
        <w:t>的逾期违约金，检测时项目经理不在场的，乙方应向甲方支付500元/天的违约金。</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0</w:t>
      </w:r>
      <w:r>
        <w:rPr>
          <w:rFonts w:hint="default" w:ascii="Times New Roman" w:hAnsi="Times New Roman" w:eastAsia="仿宋" w:cs="Times New Roman"/>
          <w:b w:val="0"/>
          <w:bCs/>
          <w:color w:val="auto"/>
          <w:sz w:val="28"/>
          <w:szCs w:val="28"/>
          <w:lang w:val="zh-CN"/>
        </w:rPr>
        <w:t>.8 乙方派遣的技术人员资质证书未达到比选响应文件约定要求，应偿付给</w:t>
      </w:r>
      <w:r>
        <w:rPr>
          <w:rFonts w:hint="default" w:ascii="Times New Roman" w:hAnsi="Times New Roman" w:eastAsia="仿宋" w:cs="Times New Roman"/>
          <w:b w:val="0"/>
          <w:bCs/>
          <w:color w:val="auto"/>
          <w:sz w:val="28"/>
          <w:szCs w:val="28"/>
        </w:rPr>
        <w:t>甲方每人</w:t>
      </w:r>
      <w:r>
        <w:rPr>
          <w:rFonts w:hint="default" w:ascii="Times New Roman" w:hAnsi="Times New Roman" w:eastAsia="仿宋" w:cs="Times New Roman"/>
          <w:b w:val="0"/>
          <w:bCs/>
          <w:color w:val="auto"/>
          <w:sz w:val="28"/>
          <w:szCs w:val="28"/>
          <w:lang w:val="zh-CN"/>
        </w:rPr>
        <w:t>按甲方实际支付金额的</w:t>
      </w:r>
      <w:r>
        <w:rPr>
          <w:rFonts w:hint="default" w:ascii="Times New Roman" w:hAnsi="Times New Roman" w:eastAsia="仿宋" w:cs="Times New Roman"/>
          <w:b w:val="0"/>
          <w:bCs/>
          <w:color w:val="auto"/>
          <w:sz w:val="28"/>
          <w:szCs w:val="28"/>
        </w:rPr>
        <w:t>百</w:t>
      </w:r>
      <w:r>
        <w:rPr>
          <w:rFonts w:hint="default" w:ascii="Times New Roman" w:hAnsi="Times New Roman" w:eastAsia="仿宋" w:cs="Times New Roman"/>
          <w:b w:val="0"/>
          <w:bCs/>
          <w:color w:val="auto"/>
          <w:sz w:val="28"/>
          <w:szCs w:val="28"/>
          <w:lang w:val="zh-CN"/>
        </w:rPr>
        <w:t>分之</w:t>
      </w:r>
      <w:r>
        <w:rPr>
          <w:rFonts w:hint="default" w:ascii="Times New Roman" w:hAnsi="Times New Roman" w:eastAsia="仿宋" w:cs="Times New Roman"/>
          <w:b w:val="0"/>
          <w:bCs/>
          <w:color w:val="auto"/>
          <w:sz w:val="28"/>
          <w:szCs w:val="28"/>
        </w:rPr>
        <w:t>二</w:t>
      </w:r>
      <w:r>
        <w:rPr>
          <w:rFonts w:hint="default" w:ascii="Times New Roman" w:hAnsi="Times New Roman" w:eastAsia="仿宋" w:cs="Times New Roman"/>
          <w:b w:val="0"/>
          <w:bCs/>
          <w:color w:val="auto"/>
          <w:sz w:val="28"/>
          <w:szCs w:val="28"/>
          <w:lang w:val="zh-CN"/>
        </w:rPr>
        <w:t>的逾期违约金。</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0</w:t>
      </w:r>
      <w:r>
        <w:rPr>
          <w:rFonts w:hint="default" w:ascii="Times New Roman" w:hAnsi="Times New Roman" w:eastAsia="仿宋" w:cs="Times New Roman"/>
          <w:b w:val="0"/>
          <w:bCs/>
          <w:color w:val="auto"/>
          <w:sz w:val="28"/>
          <w:szCs w:val="28"/>
          <w:lang w:val="zh-CN"/>
        </w:rPr>
        <w:t>.9 因乙方原因导致甲方向第三方承担任何形式的违约金、赔偿金或履行相应责任的，甲方在支付相应款项或履行相应责任后，可凭支付违约金、赔偿金或履行责任的证明直接向乙方追偿，而无须提供其他证据，乙方对此应予以认可。甲方有权在乙方履约保证金中扣除相应赔偿款。如乙方合同履约保证金不足以扣除上述款项，乙方应在甲方要求的时限内补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0</w:t>
      </w:r>
      <w:r>
        <w:rPr>
          <w:rFonts w:hint="default" w:ascii="Times New Roman" w:hAnsi="Times New Roman" w:eastAsia="仿宋" w:cs="Times New Roman"/>
          <w:b w:val="0"/>
          <w:bCs/>
          <w:color w:val="auto"/>
          <w:sz w:val="28"/>
          <w:szCs w:val="28"/>
          <w:lang w:val="zh-CN"/>
        </w:rPr>
        <w:t>.10 乙方出具检测和评估报告时，不具有相应资质的，甲方有权解除合同，并保留继续向乙方追偿的权利。</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0</w:t>
      </w:r>
      <w:r>
        <w:rPr>
          <w:rFonts w:hint="default" w:ascii="Times New Roman" w:hAnsi="Times New Roman" w:eastAsia="仿宋" w:cs="Times New Roman"/>
          <w:b w:val="0"/>
          <w:bCs/>
          <w:color w:val="auto"/>
          <w:sz w:val="28"/>
          <w:szCs w:val="28"/>
          <w:lang w:val="zh-CN"/>
        </w:rPr>
        <w:t>.11 本合同签订后，如甲方自身原因导致业务取消或延期的，甲方可以终止委托，并提前一个月书面通知乙方，乙方在收到甲方通知后应立即停止工作。甲方除退还履约保证金外，还需对乙方按双方约定的工作进程所发生的实际而合理的费用予以补偿。</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lang w:val="zh-CN"/>
        </w:rPr>
        <w:t>1</w:t>
      </w:r>
      <w:r>
        <w:rPr>
          <w:rFonts w:hint="eastAsia" w:ascii="Times New Roman" w:hAnsi="Times New Roman" w:eastAsia="仿宋" w:cs="Times New Roman"/>
          <w:b w:val="0"/>
          <w:bCs/>
          <w:color w:val="auto"/>
          <w:sz w:val="28"/>
          <w:szCs w:val="28"/>
          <w:lang w:val="en-US" w:eastAsia="zh-CN"/>
        </w:rPr>
        <w:t>0</w:t>
      </w:r>
      <w:r>
        <w:rPr>
          <w:rFonts w:hint="default" w:ascii="Times New Roman" w:hAnsi="Times New Roman" w:eastAsia="仿宋" w:cs="Times New Roman"/>
          <w:b w:val="0"/>
          <w:bCs/>
          <w:color w:val="auto"/>
          <w:sz w:val="28"/>
          <w:szCs w:val="28"/>
          <w:lang w:val="zh-CN"/>
        </w:rPr>
        <w:t>.12 如违约方支付的上述违约金不足以弥补守约方损失的，守约方有权要求违约方进一步补偿。本合同所称损失应包括因违约行为所导致的守约方的实际损失以及可得利益损失,以及守约方为处理违约事件所发生的包括但不限于调查、诉讼、律师等法律费用在内的费用和开支。</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eastAsia" w:ascii="Times New Roman" w:hAnsi="Times New Roman" w:eastAsia="仿宋" w:cs="Times New Roman"/>
          <w:b w:val="0"/>
          <w:bCs/>
          <w:color w:val="auto"/>
          <w:sz w:val="28"/>
          <w:szCs w:val="28"/>
          <w:lang w:val="en-US" w:eastAsia="zh-CN"/>
        </w:rPr>
        <w:t>10</w:t>
      </w:r>
      <w:r>
        <w:rPr>
          <w:rFonts w:hint="default" w:ascii="Times New Roman" w:hAnsi="Times New Roman" w:eastAsia="仿宋" w:cs="Times New Roman"/>
          <w:b w:val="0"/>
          <w:bCs/>
          <w:color w:val="auto"/>
          <w:sz w:val="28"/>
          <w:szCs w:val="28"/>
          <w:lang w:val="zh-CN"/>
        </w:rPr>
        <w:t>.13 本款适用于所有乙方应向甲方支付违约金情形。自甲方发出要求乙方支付违约金的书面通知之日起7个工作日内，乙方应向甲方一次性付清违约金。逾期支付的，按照应付违约金每日万分之五支付滞纳金，自逾期支付之日起至乙方向甲方实际付清之日止。若甲方尚有部分服务外包费未支付乙方的，甲方有权从该笔价款中先行抵扣相当于违约金及滞纳金数额之款项。违约金不足以弥补甲方所遭受损失的，甲方有权继续向乙方追偿。</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第十一条 争议解决方式</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若在合同履行过程中发生争议，甲乙双方应当友好协商解决，协商不成，按以下第（二）种方式解决：</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（一）提交重庆仲裁委员会，按照申请仲裁时该会现行有效的仲裁规则进行仲裁。</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（二）向甲方所在地有管辖权的人民法院起诉。</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第十二条 通知与送达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12.1 任何一方均应本着诚实信用原则来对待另一方在履行合同时的通知、告知事项，如因重大事项须履行通知义务的，均应当以当面签收或特快专递、电子邮件方式送达相对人。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12.2 采用特快专递形式的，应按照双方在合同中确定的通讯地址以特快专递的形式通知相对人，一旦特快专递送达上述地址且经该方签收的，即视为有效送达收件人。该方签收的时间，即为送达时间。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12.4 任何一方的地址或电子邮件地址有变更时，须以书面形式通知对方，否则因地址或电子邮件地址变更发生而客观上不能送达或退件的情形亦视为送达收件人。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12.5 收件一方若认为邮件封面标题与邮件中实际文件内容不符的，应在收到邮件后三日内通知相对人，逾期视为邮件封面标题与邮件中实际文件内容一致，并视为有效送达收件人。</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12.7 本合同约定的联系方式与送达方式同时可作为法律文书的联系方式与送达方式。</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第十三条 不可抗力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第十四条 补充协议</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本合同履行过程中，如果合同履行条件发生变化，由双方进行协商，并以签订补充合同的方式加以确认，补充合同与本合同具有同等效力。</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如果补充协议条款与本合同条款产生冲突，以补充协议的条款为准。</w:t>
      </w:r>
    </w:p>
    <w:p>
      <w:pPr>
        <w:pStyle w:val="2"/>
        <w:pageBreakBefore w:val="0"/>
        <w:kinsoku/>
        <w:overflowPunct/>
        <w:bidi w:val="0"/>
        <w:spacing w:line="560" w:lineRule="exact"/>
        <w:ind w:firstLine="562" w:firstLineChars="200"/>
        <w:jc w:val="both"/>
        <w:outlineLvl w:val="1"/>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第十五条 保密条款</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pageBreakBefore w:val="0"/>
        <w:kinsoku/>
        <w:overflowPunct/>
        <w:bidi w:val="0"/>
        <w:spacing w:before="0" w:after="0" w:line="560" w:lineRule="exact"/>
        <w:ind w:firstLine="562"/>
        <w:rPr>
          <w:rFonts w:hint="default" w:ascii="Times New Roman" w:hAnsi="Times New Roman" w:eastAsia="仿宋" w:cs="Times New Roman"/>
          <w:b/>
          <w:bCs w:val="0"/>
          <w:color w:val="auto"/>
          <w:sz w:val="28"/>
          <w:szCs w:val="28"/>
          <w:lang w:val="en-US"/>
        </w:rPr>
      </w:pPr>
      <w:r>
        <w:rPr>
          <w:rFonts w:hint="default" w:ascii="Times New Roman" w:hAnsi="Times New Roman" w:eastAsia="仿宋" w:cs="Times New Roman"/>
          <w:b/>
          <w:bCs w:val="0"/>
          <w:color w:val="auto"/>
          <w:sz w:val="28"/>
          <w:szCs w:val="28"/>
          <w:lang w:val="en-US"/>
        </w:rPr>
        <w:t>第十六条 其他</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16.1本合同自双方法定代表人或委托代理人签字并加盖公司公章或合同专用章后生效。</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16.2本合同一式六份，正本两份，由甲乙双方各执一份，副本四份，由甲方执三份，乙方执一份，正副本均具同等法律效力。</w:t>
      </w:r>
    </w:p>
    <w:p>
      <w:pPr>
        <w:pStyle w:val="3"/>
        <w:pageBreakBefore w:val="0"/>
        <w:kinsoku/>
        <w:overflowPunct/>
        <w:bidi w:val="0"/>
        <w:spacing w:before="0" w:after="0" w:line="560" w:lineRule="exact"/>
        <w:ind w:firstLine="562"/>
        <w:rPr>
          <w:rFonts w:hint="default" w:ascii="Times New Roman" w:hAnsi="Times New Roman" w:eastAsia="仿宋" w:cs="Times New Roman"/>
          <w:b/>
          <w:bCs w:val="0"/>
          <w:color w:val="auto"/>
          <w:sz w:val="28"/>
          <w:szCs w:val="28"/>
          <w:lang w:val="en-US"/>
        </w:rPr>
      </w:pPr>
      <w:r>
        <w:rPr>
          <w:rFonts w:hint="default" w:ascii="Times New Roman" w:hAnsi="Times New Roman" w:eastAsia="仿宋" w:cs="Times New Roman"/>
          <w:b/>
          <w:bCs w:val="0"/>
          <w:color w:val="auto"/>
          <w:sz w:val="28"/>
          <w:szCs w:val="28"/>
          <w:lang w:val="en-US"/>
        </w:rPr>
        <w:t>第十七条 合同附件</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合同附件1 消防系统检测内容及技术要求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合同附件2 现场人员配备要求</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合同附件3 乙方项目组成人员名单</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rPr>
      </w:pPr>
      <w:r>
        <w:rPr>
          <w:rFonts w:hint="default" w:ascii="Times New Roman" w:hAnsi="Times New Roman" w:eastAsia="仿宋" w:cs="Times New Roman"/>
          <w:b w:val="0"/>
          <w:bCs/>
          <w:color w:val="auto"/>
          <w:sz w:val="28"/>
          <w:szCs w:val="28"/>
        </w:rPr>
        <w:t>合同附件4 甲方管理人员及配合检测人员名单</w:t>
      </w:r>
    </w:p>
    <w:p>
      <w:pPr>
        <w:pStyle w:val="2"/>
        <w:pageBreakBefore w:val="0"/>
        <w:kinsoku/>
        <w:overflowPunct/>
        <w:bidi w:val="0"/>
        <w:spacing w:line="560" w:lineRule="exact"/>
        <w:ind w:firstLine="560" w:firstLineChars="200"/>
        <w:jc w:val="both"/>
        <w:rPr>
          <w:rFonts w:hint="default" w:ascii="Times New Roman" w:hAnsi="Times New Roman" w:eastAsia="仿宋" w:cs="Times New Roman"/>
          <w:b w:val="0"/>
          <w:bCs/>
          <w:color w:val="auto"/>
          <w:sz w:val="28"/>
          <w:szCs w:val="28"/>
          <w:lang w:val="zh-CN"/>
        </w:rPr>
      </w:pPr>
      <w:r>
        <w:rPr>
          <w:rFonts w:hint="default" w:ascii="Times New Roman" w:hAnsi="Times New Roman" w:eastAsia="仿宋" w:cs="Times New Roman"/>
          <w:b w:val="0"/>
          <w:bCs/>
          <w:color w:val="auto"/>
          <w:sz w:val="28"/>
          <w:szCs w:val="28"/>
        </w:rPr>
        <w:t>（以下无正文）</w:t>
      </w:r>
    </w:p>
    <w:p>
      <w:pPr>
        <w:pageBreakBefore w:val="0"/>
        <w:kinsoku/>
        <w:overflowPunct/>
        <w:bidi w:val="0"/>
        <w:spacing w:line="560" w:lineRule="exact"/>
        <w:rPr>
          <w:rStyle w:val="15"/>
          <w:rFonts w:hint="default" w:ascii="Times New Roman" w:hAnsi="Times New Roman" w:eastAsia="仿宋_GB2312" w:cs="Times New Roman"/>
          <w:color w:val="auto"/>
        </w:rPr>
      </w:pPr>
    </w:p>
    <w:p>
      <w:pPr>
        <w:pStyle w:val="12"/>
        <w:pageBreakBefore w:val="0"/>
        <w:kinsoku/>
        <w:overflowPunct/>
        <w:bidi w:val="0"/>
        <w:spacing w:line="560" w:lineRule="exact"/>
        <w:ind w:firstLine="0" w:firstLineChars="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甲方：（盖章）                     乙方：（盖章）</w:t>
      </w:r>
    </w:p>
    <w:p>
      <w:pPr>
        <w:pStyle w:val="12"/>
        <w:pageBreakBefore w:val="0"/>
        <w:kinsoku/>
        <w:overflowPunct/>
        <w:bidi w:val="0"/>
        <w:spacing w:line="560" w:lineRule="exact"/>
        <w:ind w:firstLine="56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 xml:space="preserve">              </w:t>
      </w:r>
    </w:p>
    <w:p>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法定代表人/签约代表： </w:t>
      </w:r>
      <w:r>
        <w:rPr>
          <w:rStyle w:val="15"/>
          <w:rFonts w:hint="default" w:ascii="Times New Roman" w:hAnsi="Times New Roman" w:eastAsia="仿宋" w:cs="Times New Roman"/>
          <w:color w:val="auto"/>
          <w:sz w:val="28"/>
          <w:szCs w:val="28"/>
        </w:rPr>
        <w:t xml:space="preserve">            </w:t>
      </w:r>
      <w:r>
        <w:rPr>
          <w:rFonts w:hint="default" w:ascii="Times New Roman" w:hAnsi="Times New Roman" w:eastAsia="仿宋" w:cs="Times New Roman"/>
          <w:color w:val="auto"/>
          <w:sz w:val="28"/>
          <w:szCs w:val="28"/>
        </w:rPr>
        <w:t>法定代表人或</w:t>
      </w:r>
    </w:p>
    <w:p>
      <w:pPr>
        <w:pStyle w:val="12"/>
        <w:pageBreakBefore w:val="0"/>
        <w:kinsoku/>
        <w:overflowPunct/>
        <w:bidi w:val="0"/>
        <w:spacing w:line="560" w:lineRule="exact"/>
        <w:ind w:firstLine="4760" w:firstLineChars="1700"/>
        <w:rPr>
          <w:rStyle w:val="15"/>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委托代理人：</w:t>
      </w:r>
      <w:r>
        <w:rPr>
          <w:rStyle w:val="15"/>
          <w:rFonts w:hint="default" w:ascii="Times New Roman" w:hAnsi="Times New Roman" w:eastAsia="仿宋" w:cs="Times New Roman"/>
          <w:color w:val="auto"/>
          <w:sz w:val="28"/>
          <w:szCs w:val="28"/>
        </w:rPr>
        <w:t xml:space="preserve"> </w:t>
      </w:r>
    </w:p>
    <w:p>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通讯地址：                        通讯地址：</w:t>
      </w:r>
    </w:p>
    <w:p>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邮箱：                            邮箱：</w:t>
      </w:r>
    </w:p>
    <w:p>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联系人：                          联系人： </w:t>
      </w:r>
    </w:p>
    <w:p>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联系电话及传真：                  联系电话及传真： </w:t>
      </w:r>
    </w:p>
    <w:p>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开户银行：                        开户银行： </w:t>
      </w:r>
    </w:p>
    <w:p>
      <w:pPr>
        <w:pStyle w:val="12"/>
        <w:pageBreakBefore w:val="0"/>
        <w:kinsoku/>
        <w:overflowPunct/>
        <w:bidi w:val="0"/>
        <w:spacing w:line="560" w:lineRule="exact"/>
        <w:ind w:firstLine="0" w:firstLineChars="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账    号：                        账    号：</w:t>
      </w:r>
    </w:p>
    <w:p>
      <w:pPr>
        <w:pStyle w:val="12"/>
        <w:pageBreakBefore w:val="0"/>
        <w:kinsoku/>
        <w:overflowPunct/>
        <w:bidi w:val="0"/>
        <w:spacing w:line="560" w:lineRule="exact"/>
        <w:ind w:firstLine="560"/>
        <w:rPr>
          <w:rStyle w:val="15"/>
          <w:rFonts w:hint="default" w:ascii="Times New Roman" w:hAnsi="Times New Roman" w:eastAsia="仿宋" w:cs="Times New Roman"/>
          <w:color w:val="auto"/>
          <w:sz w:val="28"/>
          <w:szCs w:val="28"/>
          <w:lang w:val="zh-CN"/>
        </w:rPr>
      </w:pPr>
      <w:r>
        <w:rPr>
          <w:rStyle w:val="15"/>
          <w:rFonts w:hint="default" w:ascii="Times New Roman" w:hAnsi="Times New Roman" w:eastAsia="仿宋" w:cs="Times New Roman"/>
          <w:color w:val="auto"/>
          <w:sz w:val="28"/>
          <w:szCs w:val="28"/>
          <w:lang w:val="zh-CN"/>
        </w:rPr>
        <w:t xml:space="preserve">   </w:t>
      </w:r>
    </w:p>
    <w:p>
      <w:pPr>
        <w:pStyle w:val="12"/>
        <w:pageBreakBefore w:val="0"/>
        <w:kinsoku/>
        <w:overflowPunct/>
        <w:bidi w:val="0"/>
        <w:spacing w:line="560" w:lineRule="exact"/>
        <w:ind w:left="0" w:leftChars="0" w:firstLine="0" w:firstLineChars="0"/>
        <w:rPr>
          <w:rStyle w:val="15"/>
          <w:rFonts w:hint="default" w:ascii="Times New Roman" w:hAnsi="Times New Roman" w:eastAsia="仿宋" w:cs="Times New Roman"/>
          <w:color w:val="auto"/>
          <w:sz w:val="28"/>
          <w:szCs w:val="28"/>
          <w:lang w:val="zh-CN"/>
        </w:rPr>
      </w:pPr>
    </w:p>
    <w:p>
      <w:pPr>
        <w:pStyle w:val="12"/>
        <w:pageBreakBefore w:val="0"/>
        <w:kinsoku/>
        <w:overflowPunct/>
        <w:bidi w:val="0"/>
        <w:spacing w:line="560" w:lineRule="exact"/>
        <w:ind w:firstLine="0" w:firstLineChars="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合同签订时间：</w:t>
      </w:r>
    </w:p>
    <w:p>
      <w:pPr>
        <w:pStyle w:val="12"/>
        <w:pageBreakBefore w:val="0"/>
        <w:kinsoku/>
        <w:overflowPunct/>
        <w:bidi w:val="0"/>
        <w:spacing w:line="560" w:lineRule="exact"/>
        <w:ind w:firstLine="0" w:firstLineChars="0"/>
        <w:rPr>
          <w:rStyle w:val="15"/>
          <w:rFonts w:hint="default" w:ascii="Times New Roman" w:hAnsi="Times New Roman" w:eastAsia="仿宋" w:cs="Times New Roman"/>
          <w:color w:val="auto"/>
          <w:sz w:val="28"/>
          <w:szCs w:val="28"/>
        </w:rPr>
      </w:pPr>
      <w:r>
        <w:rPr>
          <w:rStyle w:val="15"/>
          <w:rFonts w:hint="default" w:ascii="Times New Roman" w:hAnsi="Times New Roman" w:eastAsia="仿宋" w:cs="Times New Roman"/>
          <w:color w:val="auto"/>
          <w:sz w:val="28"/>
          <w:szCs w:val="28"/>
        </w:rPr>
        <w:t>合同签订地点：重庆江北国际机场</w:t>
      </w:r>
    </w:p>
    <w:p>
      <w:pPr>
        <w:pageBreakBefore w:val="0"/>
        <w:kinsoku/>
        <w:overflowPunct/>
        <w:bidi w:val="0"/>
        <w:spacing w:line="560" w:lineRule="exact"/>
        <w:rPr>
          <w:rStyle w:val="15"/>
          <w:rFonts w:hint="default" w:ascii="Times New Roman" w:hAnsi="Times New Roman" w:eastAsia="仿宋_GB2312" w:cs="Times New Roman"/>
          <w:color w:val="auto"/>
        </w:rPr>
      </w:pPr>
      <w:r>
        <w:rPr>
          <w:rStyle w:val="15"/>
          <w:rFonts w:hint="default" w:ascii="Times New Roman" w:hAnsi="Times New Roman" w:eastAsia="仿宋_GB2312" w:cs="Times New Roman"/>
          <w:color w:val="auto"/>
        </w:rPr>
        <w:br w:type="page"/>
      </w:r>
    </w:p>
    <w:p>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合同附件一</w:t>
      </w:r>
    </w:p>
    <w:p>
      <w:pPr>
        <w:pStyle w:val="12"/>
        <w:pageBreakBefore w:val="0"/>
        <w:kinsoku/>
        <w:overflowPunct/>
        <w:bidi w:val="0"/>
        <w:spacing w:line="560" w:lineRule="exact"/>
        <w:ind w:firstLine="0" w:firstLineChars="0"/>
        <w:jc w:val="center"/>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消防系统检测内容及技术要求</w:t>
      </w:r>
    </w:p>
    <w:p>
      <w:pPr>
        <w:pStyle w:val="12"/>
        <w:pageBreakBefore w:val="0"/>
        <w:kinsoku/>
        <w:overflowPunct/>
        <w:bidi w:val="0"/>
        <w:spacing w:line="560" w:lineRule="exact"/>
        <w:ind w:firstLine="0" w:firstLineChars="0"/>
        <w:jc w:val="center"/>
        <w:rPr>
          <w:rFonts w:hint="default" w:ascii="Times New Roman" w:hAnsi="Times New Roman" w:eastAsia="方正小标宋_GBK" w:cs="Times New Roman"/>
          <w:bCs/>
          <w:color w:val="auto"/>
          <w:sz w:val="44"/>
          <w:szCs w:val="44"/>
        </w:rPr>
      </w:pPr>
    </w:p>
    <w:tbl>
      <w:tblPr>
        <w:tblStyle w:val="8"/>
        <w:tblW w:w="8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8"/>
        <w:gridCol w:w="2430"/>
        <w:gridCol w:w="2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系统类别</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检测项目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抽检比例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火灾自动报警灭火系统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火灾探测器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手动报警按钮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声光报警器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每个防火分区检查1个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消防电梯</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火灾应急广播、消防通讯</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火灾应急广播</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消防通讯</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240" w:lineRule="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消防电话分机总数 20%抽检，但不少于 10 部，少于 10 部全数检查。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自动喷水灭火系统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水泵接合器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消防泵</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室内消火栓</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大空间智能灭火系统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水炮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每个防火分区至少1门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jc w:val="center"/>
        </w:trPr>
        <w:tc>
          <w:tcPr>
            <w:tcW w:w="3118"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气体灭火控制器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防烟排烟系统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送风机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补风机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每个防火分区至少1处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排烟天窗</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电动百叶</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防火卷帘、防火门</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防火卷帘</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防火门</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消防应急照明和疏散指示系统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应急照明、疏散指示</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总数的30%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消防供配电设施</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消防电源</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lang w:bidi="ar"/>
              </w:rPr>
              <w:t>全检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118" w:type="dxa"/>
            <w:tcBorders>
              <w:top w:val="single" w:color="000000" w:sz="4" w:space="0"/>
              <w:left w:val="single" w:color="000000" w:sz="4" w:space="0"/>
              <w:bottom w:val="single" w:color="000000" w:sz="4" w:space="0"/>
              <w:right w:val="single" w:color="000000" w:sz="4" w:space="0"/>
            </w:tcBorders>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灶台灭火系统</w:t>
            </w:r>
          </w:p>
        </w:tc>
        <w:tc>
          <w:tcPr>
            <w:tcW w:w="243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灶台灭火装置</w:t>
            </w:r>
          </w:p>
        </w:tc>
        <w:tc>
          <w:tcPr>
            <w:tcW w:w="2910" w:type="dxa"/>
            <w:tcBorders>
              <w:top w:val="single" w:color="000000" w:sz="4" w:space="0"/>
              <w:left w:val="single" w:color="000000" w:sz="4" w:space="0"/>
              <w:bottom w:val="single" w:color="000000" w:sz="4" w:space="0"/>
              <w:right w:val="single" w:color="000000" w:sz="4" w:space="0"/>
            </w:tcBorders>
            <w:vAlign w:val="center"/>
          </w:tcPr>
          <w:p>
            <w:pPr>
              <w:pageBreakBefore w:val="0"/>
              <w:kinsoku/>
              <w:overflowPunct/>
              <w:bidi w:val="0"/>
              <w:spacing w:line="560" w:lineRule="exact"/>
              <w:rPr>
                <w:rFonts w:hint="default" w:ascii="Times New Roman" w:hAnsi="Times New Roman" w:eastAsia="方正仿宋_GBK" w:cs="Times New Roman"/>
                <w:bCs/>
                <w:color w:val="auto"/>
                <w:szCs w:val="21"/>
              </w:rPr>
            </w:pPr>
            <w:r>
              <w:rPr>
                <w:rFonts w:hint="default" w:ascii="Times New Roman" w:hAnsi="Times New Roman" w:eastAsia="方正仿宋_GBK" w:cs="Times New Roman"/>
                <w:bCs/>
                <w:color w:val="auto"/>
                <w:szCs w:val="21"/>
                <w:lang w:bidi="ar"/>
              </w:rPr>
              <w:t>全检</w:t>
            </w:r>
          </w:p>
        </w:tc>
      </w:tr>
    </w:tbl>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备注：上表未列举，且其他属于重庆市地方标准《建筑消防设施质量检测技术规程》</w:t>
      </w:r>
      <w:r>
        <w:rPr>
          <w:rFonts w:hint="eastAsia" w:ascii="Times New Roman" w:hAnsi="Times New Roman" w:eastAsia="仿宋" w:cs="Times New Roman"/>
          <w:color w:val="auto"/>
          <w:sz w:val="28"/>
          <w:szCs w:val="28"/>
          <w:lang w:eastAsia="zh-CN" w:bidi="ar"/>
        </w:rPr>
        <w:t>（</w:t>
      </w:r>
      <w:r>
        <w:rPr>
          <w:rFonts w:hint="default" w:ascii="Times New Roman" w:hAnsi="Times New Roman" w:eastAsia="仿宋" w:cs="Times New Roman"/>
          <w:color w:val="auto"/>
          <w:sz w:val="28"/>
          <w:szCs w:val="28"/>
          <w:lang w:bidi="ar"/>
        </w:rPr>
        <w:t>DB50-24-2011</w:t>
      </w:r>
      <w:r>
        <w:rPr>
          <w:rFonts w:hint="eastAsia" w:ascii="Times New Roman" w:hAnsi="Times New Roman" w:eastAsia="仿宋" w:cs="Times New Roman"/>
          <w:color w:val="auto"/>
          <w:sz w:val="28"/>
          <w:szCs w:val="28"/>
          <w:lang w:eastAsia="zh-CN" w:bidi="ar"/>
        </w:rPr>
        <w:t>）</w:t>
      </w:r>
      <w:r>
        <w:rPr>
          <w:rFonts w:hint="default" w:ascii="Times New Roman" w:hAnsi="Times New Roman" w:eastAsia="仿宋" w:cs="Times New Roman"/>
          <w:color w:val="auto"/>
          <w:sz w:val="28"/>
          <w:szCs w:val="28"/>
          <w:lang w:bidi="ar"/>
        </w:rPr>
        <w:t>要求检测的消防设施设备也应按要求进行检测。高于标准检测比例的以上表为准。</w:t>
      </w:r>
    </w:p>
    <w:p>
      <w:pPr>
        <w:pageBreakBefore w:val="0"/>
        <w:kinsoku/>
        <w:overflowPunct/>
        <w:bidi w:val="0"/>
        <w:spacing w:line="560" w:lineRule="exact"/>
        <w:rPr>
          <w:rStyle w:val="15"/>
          <w:rFonts w:hint="default" w:ascii="Times New Roman" w:hAnsi="Times New Roman" w:cs="Times New Roman"/>
          <w:color w:val="auto"/>
        </w:rPr>
      </w:pPr>
      <w:r>
        <w:rPr>
          <w:rStyle w:val="15"/>
          <w:rFonts w:hint="default" w:ascii="Times New Roman" w:hAnsi="Times New Roman" w:cs="Times New Roman"/>
          <w:color w:val="auto"/>
        </w:rPr>
        <w:br w:type="page"/>
      </w:r>
    </w:p>
    <w:p>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合同附件二</w:t>
      </w:r>
    </w:p>
    <w:p>
      <w:pPr>
        <w:pStyle w:val="12"/>
        <w:pageBreakBefore w:val="0"/>
        <w:kinsoku/>
        <w:overflowPunct/>
        <w:bidi w:val="0"/>
        <w:spacing w:line="560" w:lineRule="exact"/>
        <w:ind w:firstLine="0" w:firstLineChars="0"/>
        <w:jc w:val="center"/>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现场人员配备要求</w:t>
      </w:r>
    </w:p>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lang w:bidi="ar"/>
        </w:rPr>
      </w:pPr>
      <w:r>
        <w:rPr>
          <w:rFonts w:hint="default" w:ascii="Times New Roman" w:hAnsi="Times New Roman" w:eastAsia="仿宋" w:cs="Times New Roman"/>
          <w:color w:val="auto"/>
          <w:sz w:val="28"/>
          <w:szCs w:val="28"/>
          <w:lang w:bidi="ar"/>
        </w:rPr>
        <w:t xml:space="preserve">1. </w:t>
      </w:r>
      <w:r>
        <w:rPr>
          <w:rFonts w:hint="default" w:ascii="Times New Roman" w:hAnsi="Times New Roman" w:eastAsia="仿宋" w:cs="Times New Roman"/>
          <w:color w:val="auto"/>
          <w:sz w:val="28"/>
          <w:szCs w:val="28"/>
        </w:rPr>
        <w:t>乙方应安排1名项目经理、1名技术负责人和6名技术人员参与检测及评估工作，项目经理应具有一级注册消防工程师资格证书，技术人员必须取得建（构）筑物消防员（或消防设施操作员）中级及以上资质</w:t>
      </w:r>
      <w:r>
        <w:rPr>
          <w:rFonts w:hint="default" w:ascii="Times New Roman" w:hAnsi="Times New Roman" w:eastAsia="仿宋" w:cs="Times New Roman"/>
          <w:color w:val="auto"/>
          <w:sz w:val="28"/>
          <w:szCs w:val="28"/>
          <w:lang w:bidi="ar"/>
        </w:rPr>
        <w:t>。</w:t>
      </w:r>
    </w:p>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2. 项目经理必须为比选响应文件明确的人员（人员名单见合同附件</w:t>
      </w:r>
      <w:r>
        <w:rPr>
          <w:rFonts w:hint="eastAsia" w:ascii="Times New Roman" w:hAnsi="Times New Roman" w:eastAsia="仿宋" w:cs="Times New Roman"/>
          <w:color w:val="auto"/>
          <w:sz w:val="28"/>
          <w:szCs w:val="28"/>
          <w:lang w:val="en-US" w:eastAsia="zh-CN" w:bidi="ar"/>
        </w:rPr>
        <w:t>三</w:t>
      </w:r>
      <w:r>
        <w:rPr>
          <w:rFonts w:hint="default" w:ascii="Times New Roman" w:hAnsi="Times New Roman" w:eastAsia="仿宋" w:cs="Times New Roman"/>
          <w:color w:val="auto"/>
          <w:sz w:val="28"/>
          <w:szCs w:val="28"/>
          <w:lang w:bidi="ar"/>
        </w:rPr>
        <w:t>），其他人员可更换，但持有的资格证书必须与比选响应文件一致。</w:t>
      </w:r>
    </w:p>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3. 乙方委派的测试人员必须具备相关系统设备的检测能力和检测经验。</w:t>
      </w:r>
    </w:p>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4. 乙方派遣人员应配合采购人安排及相关证件办理工作，费用自拟。</w:t>
      </w:r>
    </w:p>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5. 乙方派遣人员应穿着统一制服，制服应大方整洁。</w:t>
      </w:r>
    </w:p>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6. 乙方负责本项目及人员的空防安全、消防安全、人身安全、第三方安全。如在实施中发生不安全事件，导致违法犯罪、人员伤亡或财产损失，其一切责任均由乙方自行负责并承担相应的法律责任。</w:t>
      </w:r>
    </w:p>
    <w:p>
      <w:pPr>
        <w:pageBreakBefore w:val="0"/>
        <w:kinsoku/>
        <w:overflowPunct/>
        <w:bidi w:val="0"/>
        <w:spacing w:line="56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bidi="ar"/>
        </w:rPr>
        <w:t>7. 乙方所有本项目人员须进行入场安全教育，并签字存档。</w:t>
      </w:r>
    </w:p>
    <w:p>
      <w:pPr>
        <w:pageBreakBefore w:val="0"/>
        <w:kinsoku/>
        <w:overflowPunct/>
        <w:bidi w:val="0"/>
        <w:spacing w:line="560" w:lineRule="exact"/>
        <w:rPr>
          <w:rStyle w:val="15"/>
          <w:rFonts w:hint="default" w:ascii="Times New Roman" w:hAnsi="Times New Roman" w:cs="Times New Roman"/>
          <w:color w:val="auto"/>
        </w:rPr>
      </w:pPr>
      <w:r>
        <w:rPr>
          <w:rStyle w:val="15"/>
          <w:rFonts w:hint="default" w:ascii="Times New Roman" w:hAnsi="Times New Roman" w:cs="Times New Roman"/>
          <w:color w:val="auto"/>
        </w:rPr>
        <w:br w:type="page"/>
      </w:r>
    </w:p>
    <w:p>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合同附件三</w:t>
      </w:r>
    </w:p>
    <w:p>
      <w:pPr>
        <w:pStyle w:val="12"/>
        <w:pageBreakBefore w:val="0"/>
        <w:kinsoku/>
        <w:overflowPunct/>
        <w:bidi w:val="0"/>
        <w:spacing w:line="560" w:lineRule="exact"/>
        <w:ind w:firstLine="0" w:firstLineChars="0"/>
        <w:jc w:val="center"/>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乙方项目组成员名单</w:t>
      </w:r>
    </w:p>
    <w:p>
      <w:pPr>
        <w:pStyle w:val="12"/>
        <w:pageBreakBefore w:val="0"/>
        <w:kinsoku/>
        <w:overflowPunct/>
        <w:bidi w:val="0"/>
        <w:spacing w:line="560" w:lineRule="exact"/>
        <w:ind w:firstLine="0" w:firstLineChars="0"/>
        <w:jc w:val="center"/>
        <w:rPr>
          <w:rFonts w:hint="default" w:ascii="Times New Roman" w:hAnsi="Times New Roman" w:eastAsia="方正小标宋_GBK" w:cs="Times New Roman"/>
          <w:bCs/>
          <w:color w:val="auto"/>
          <w:sz w:val="44"/>
          <w:szCs w:val="44"/>
        </w:rPr>
      </w:pPr>
    </w:p>
    <w:tbl>
      <w:tblPr>
        <w:tblStyle w:val="8"/>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803"/>
        <w:gridCol w:w="2065"/>
        <w:gridCol w:w="2966"/>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序号</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姓名</w:t>
            </w:r>
          </w:p>
        </w:tc>
        <w:tc>
          <w:tcPr>
            <w:tcW w:w="20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职务</w:t>
            </w: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lang w:bidi="ar"/>
              </w:rPr>
            </w:pPr>
            <w:r>
              <w:rPr>
                <w:rFonts w:hint="default" w:ascii="Times New Roman" w:hAnsi="Times New Roman" w:eastAsia="仿宋" w:cs="Times New Roman"/>
                <w:b/>
                <w:bCs/>
                <w:color w:val="auto"/>
                <w:sz w:val="28"/>
                <w:szCs w:val="28"/>
                <w:lang w:bidi="ar"/>
              </w:rPr>
              <w:t>执/职业资格证明</w:t>
            </w:r>
          </w:p>
          <w:p>
            <w:pPr>
              <w:pageBreakBefore w:val="0"/>
              <w:kinsoku/>
              <w:overflowPunct/>
              <w:bidi w:val="0"/>
              <w:spacing w:line="560" w:lineRule="exact"/>
              <w:jc w:val="center"/>
              <w:rPr>
                <w:rFonts w:hint="default" w:ascii="Times New Roman" w:hAnsi="Times New Roman" w:eastAsia="仿宋" w:cs="Times New Roman"/>
                <w:b/>
                <w:bCs/>
                <w:color w:val="auto"/>
                <w:sz w:val="28"/>
                <w:szCs w:val="28"/>
                <w:lang w:bidi="ar"/>
              </w:rPr>
            </w:pPr>
            <w:r>
              <w:rPr>
                <w:rFonts w:hint="default" w:ascii="Times New Roman" w:hAnsi="Times New Roman" w:eastAsia="仿宋" w:cs="Times New Roman"/>
                <w:b/>
                <w:bCs/>
                <w:color w:val="auto"/>
                <w:sz w:val="28"/>
                <w:szCs w:val="28"/>
                <w:lang w:bidi="ar"/>
              </w:rPr>
              <w:t>及编号</w:t>
            </w: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1</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2</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3</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4</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5</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6</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7</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bidi="ar"/>
              </w:rPr>
              <w:t>8</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lang w:bidi="ar"/>
              </w:rPr>
              <w:t>9</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方正仿宋_GBK" w:cs="Times New Roman"/>
                <w:color w:val="auto"/>
                <w:sz w:val="28"/>
                <w:szCs w:val="28"/>
                <w:lang w:bidi="ar"/>
              </w:rPr>
            </w:pPr>
            <w:r>
              <w:rPr>
                <w:rFonts w:hint="default" w:ascii="Times New Roman" w:hAnsi="Times New Roman" w:eastAsia="方正仿宋_GBK" w:cs="Times New Roman"/>
                <w:color w:val="auto"/>
                <w:sz w:val="28"/>
                <w:szCs w:val="28"/>
                <w:lang w:bidi="ar"/>
              </w:rPr>
              <w:t>10</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065" w:type="dxa"/>
            <w:tcBorders>
              <w:top w:val="single" w:color="auto" w:sz="4" w:space="0"/>
              <w:left w:val="single" w:color="auto" w:sz="4" w:space="0"/>
              <w:bottom w:val="single" w:color="auto" w:sz="4" w:space="0"/>
              <w:right w:val="single" w:color="auto" w:sz="4" w:space="0"/>
            </w:tcBorders>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96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bl>
    <w:p>
      <w:pPr>
        <w:pageBreakBefore w:val="0"/>
        <w:kinsoku/>
        <w:overflowPunct/>
        <w:bidi w:val="0"/>
        <w:spacing w:line="560" w:lineRule="exact"/>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br w:type="page"/>
      </w:r>
    </w:p>
    <w:p>
      <w:pPr>
        <w:pStyle w:val="12"/>
        <w:pageBreakBefore w:val="0"/>
        <w:kinsoku/>
        <w:overflowPunct/>
        <w:bidi w:val="0"/>
        <w:spacing w:line="560" w:lineRule="exact"/>
        <w:ind w:firstLine="0" w:firstLineChars="0"/>
        <w:outlineLvl w:val="2"/>
        <w:rPr>
          <w:rStyle w:val="15"/>
          <w:rFonts w:hint="default" w:ascii="Times New Roman" w:hAnsi="Times New Roman" w:eastAsia="黑体" w:cs="Times New Roman"/>
          <w:color w:val="auto"/>
          <w:sz w:val="32"/>
          <w:szCs w:val="32"/>
        </w:rPr>
      </w:pPr>
      <w:r>
        <w:rPr>
          <w:rStyle w:val="15"/>
          <w:rFonts w:hint="default" w:ascii="Times New Roman" w:hAnsi="Times New Roman" w:eastAsia="黑体" w:cs="Times New Roman"/>
          <w:color w:val="auto"/>
          <w:sz w:val="32"/>
          <w:szCs w:val="32"/>
        </w:rPr>
        <w:t>合同附件四</w:t>
      </w:r>
    </w:p>
    <w:p>
      <w:pPr>
        <w:pStyle w:val="12"/>
        <w:pageBreakBefore w:val="0"/>
        <w:kinsoku/>
        <w:overflowPunct/>
        <w:bidi w:val="0"/>
        <w:spacing w:line="560" w:lineRule="exact"/>
        <w:ind w:firstLine="0" w:firstLineChars="0"/>
        <w:jc w:val="center"/>
        <w:outlineLvl w:val="3"/>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甲方管理人员及配合检测人员名单</w:t>
      </w:r>
    </w:p>
    <w:p>
      <w:pPr>
        <w:pStyle w:val="12"/>
        <w:pageBreakBefore w:val="0"/>
        <w:kinsoku/>
        <w:overflowPunct/>
        <w:bidi w:val="0"/>
        <w:spacing w:line="560" w:lineRule="exact"/>
        <w:ind w:firstLine="0" w:firstLineChars="0"/>
        <w:jc w:val="center"/>
        <w:rPr>
          <w:rFonts w:hint="default" w:ascii="Times New Roman" w:hAnsi="Times New Roman" w:eastAsia="方正小标宋_GBK" w:cs="Times New Roman"/>
          <w:bCs/>
          <w:color w:val="auto"/>
          <w:sz w:val="44"/>
          <w:szCs w:val="44"/>
        </w:rPr>
      </w:pPr>
    </w:p>
    <w:tbl>
      <w:tblPr>
        <w:tblStyle w:val="8"/>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39"/>
        <w:gridCol w:w="3545"/>
        <w:gridCol w:w="3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姓名</w:t>
            </w: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职务</w:t>
            </w: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jc w:val="center"/>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1139"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c>
          <w:tcPr>
            <w:tcW w:w="354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560" w:lineRule="exact"/>
              <w:rPr>
                <w:rFonts w:hint="default" w:ascii="Times New Roman" w:hAnsi="Times New Roman" w:eastAsia="方正仿宋_GBK" w:cs="Times New Roman"/>
                <w:color w:val="auto"/>
                <w:sz w:val="28"/>
                <w:szCs w:val="28"/>
              </w:rPr>
            </w:pPr>
          </w:p>
        </w:tc>
      </w:tr>
    </w:tbl>
    <w:p>
      <w:pPr>
        <w:pageBreakBefore w:val="0"/>
        <w:kinsoku/>
        <w:overflowPunct/>
        <w:bidi w:val="0"/>
        <w:spacing w:line="560" w:lineRule="exact"/>
        <w:rPr>
          <w:rFonts w:hint="default" w:ascii="Times New Roman" w:hAnsi="Times New Roman" w:eastAsia="方正小标宋_GBK" w:cs="Times New Roman"/>
          <w:bCs/>
          <w:color w:val="auto"/>
          <w:sz w:val="44"/>
          <w:szCs w:val="44"/>
        </w:rPr>
      </w:pPr>
    </w:p>
    <w:sectPr>
      <w:headerReference r:id="rId3" w:type="default"/>
      <w:footerReference r:id="rId4" w:type="default"/>
      <w:pgSz w:w="11906" w:h="16838"/>
      <w:pgMar w:top="1701" w:right="1219" w:bottom="1701" w:left="1219"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jc w:val="center"/>
      <w:outlineLvl w:val="0"/>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zYWQwMThmOWJmN2VlYWJmODg3YTcyMTZmYWVlZDMifQ=="/>
  </w:docVars>
  <w:rsids>
    <w:rsidRoot w:val="003041DF"/>
    <w:rsid w:val="002731A3"/>
    <w:rsid w:val="003041DF"/>
    <w:rsid w:val="006557BB"/>
    <w:rsid w:val="0069356E"/>
    <w:rsid w:val="00793B1B"/>
    <w:rsid w:val="00933094"/>
    <w:rsid w:val="00A43006"/>
    <w:rsid w:val="00B6022E"/>
    <w:rsid w:val="00C55BD2"/>
    <w:rsid w:val="00C90B22"/>
    <w:rsid w:val="00D03026"/>
    <w:rsid w:val="00E519DE"/>
    <w:rsid w:val="01213AC8"/>
    <w:rsid w:val="01313C9A"/>
    <w:rsid w:val="01631A2F"/>
    <w:rsid w:val="01785B98"/>
    <w:rsid w:val="017B429C"/>
    <w:rsid w:val="01A06F09"/>
    <w:rsid w:val="01AA7A1A"/>
    <w:rsid w:val="01D136A9"/>
    <w:rsid w:val="01E054EB"/>
    <w:rsid w:val="01E305A8"/>
    <w:rsid w:val="01ED4384"/>
    <w:rsid w:val="02277D98"/>
    <w:rsid w:val="025D5C28"/>
    <w:rsid w:val="02684F7E"/>
    <w:rsid w:val="02847096"/>
    <w:rsid w:val="028710B6"/>
    <w:rsid w:val="02985C02"/>
    <w:rsid w:val="02BF09F6"/>
    <w:rsid w:val="02D83295"/>
    <w:rsid w:val="02EF5E72"/>
    <w:rsid w:val="033049C7"/>
    <w:rsid w:val="036D039A"/>
    <w:rsid w:val="037A1FF7"/>
    <w:rsid w:val="039E7FB7"/>
    <w:rsid w:val="03A45D29"/>
    <w:rsid w:val="03C36CAC"/>
    <w:rsid w:val="03D70A30"/>
    <w:rsid w:val="03F01582"/>
    <w:rsid w:val="03F4702C"/>
    <w:rsid w:val="046D22FD"/>
    <w:rsid w:val="04763EE5"/>
    <w:rsid w:val="0484253E"/>
    <w:rsid w:val="04B65BBD"/>
    <w:rsid w:val="04C425F6"/>
    <w:rsid w:val="04DF14E8"/>
    <w:rsid w:val="05157BA2"/>
    <w:rsid w:val="0561557F"/>
    <w:rsid w:val="056D178C"/>
    <w:rsid w:val="05782EBD"/>
    <w:rsid w:val="05911CD7"/>
    <w:rsid w:val="05AC72DC"/>
    <w:rsid w:val="05B5659D"/>
    <w:rsid w:val="05D27519"/>
    <w:rsid w:val="05F740F5"/>
    <w:rsid w:val="060B0977"/>
    <w:rsid w:val="060F2DCC"/>
    <w:rsid w:val="064E6EC7"/>
    <w:rsid w:val="06527F1C"/>
    <w:rsid w:val="065E4B7E"/>
    <w:rsid w:val="068631EB"/>
    <w:rsid w:val="06C66B2C"/>
    <w:rsid w:val="06CC2347"/>
    <w:rsid w:val="070F2A67"/>
    <w:rsid w:val="072004C0"/>
    <w:rsid w:val="072B37A3"/>
    <w:rsid w:val="073463DD"/>
    <w:rsid w:val="075C4B87"/>
    <w:rsid w:val="07830154"/>
    <w:rsid w:val="07865F5D"/>
    <w:rsid w:val="07B378CB"/>
    <w:rsid w:val="07CE1139"/>
    <w:rsid w:val="07DA3804"/>
    <w:rsid w:val="07DE1E9F"/>
    <w:rsid w:val="07E32683"/>
    <w:rsid w:val="07F8491F"/>
    <w:rsid w:val="08272C81"/>
    <w:rsid w:val="08276A72"/>
    <w:rsid w:val="08346D03"/>
    <w:rsid w:val="0835385C"/>
    <w:rsid w:val="084A78A3"/>
    <w:rsid w:val="086759EE"/>
    <w:rsid w:val="086E091D"/>
    <w:rsid w:val="08854B85"/>
    <w:rsid w:val="089A1F2A"/>
    <w:rsid w:val="089B54F8"/>
    <w:rsid w:val="08B900D1"/>
    <w:rsid w:val="09043DBF"/>
    <w:rsid w:val="09414659"/>
    <w:rsid w:val="09991E4D"/>
    <w:rsid w:val="0A041397"/>
    <w:rsid w:val="0A174C9E"/>
    <w:rsid w:val="0A1827EB"/>
    <w:rsid w:val="0A183A20"/>
    <w:rsid w:val="0A207013"/>
    <w:rsid w:val="0A3F33E2"/>
    <w:rsid w:val="0A6424AA"/>
    <w:rsid w:val="0A821835"/>
    <w:rsid w:val="0A830604"/>
    <w:rsid w:val="0A922063"/>
    <w:rsid w:val="0AB23218"/>
    <w:rsid w:val="0ABD092B"/>
    <w:rsid w:val="0AD3776C"/>
    <w:rsid w:val="0AFF6E43"/>
    <w:rsid w:val="0B0758A7"/>
    <w:rsid w:val="0B1F5998"/>
    <w:rsid w:val="0B272559"/>
    <w:rsid w:val="0B52250B"/>
    <w:rsid w:val="0B5A63E8"/>
    <w:rsid w:val="0BA36455"/>
    <w:rsid w:val="0BB36004"/>
    <w:rsid w:val="0BB43441"/>
    <w:rsid w:val="0BC22757"/>
    <w:rsid w:val="0BCB34D5"/>
    <w:rsid w:val="0BD42F0C"/>
    <w:rsid w:val="0BE73451"/>
    <w:rsid w:val="0BEE2322"/>
    <w:rsid w:val="0BEF7729"/>
    <w:rsid w:val="0BF002CB"/>
    <w:rsid w:val="0C1A60D5"/>
    <w:rsid w:val="0C2A5E5B"/>
    <w:rsid w:val="0C4068A9"/>
    <w:rsid w:val="0C4C5A70"/>
    <w:rsid w:val="0C5059D0"/>
    <w:rsid w:val="0C9D3C20"/>
    <w:rsid w:val="0CA3420E"/>
    <w:rsid w:val="0CAE406B"/>
    <w:rsid w:val="0CC76FF5"/>
    <w:rsid w:val="0CCA1272"/>
    <w:rsid w:val="0CF426D5"/>
    <w:rsid w:val="0D2E06AE"/>
    <w:rsid w:val="0D842157"/>
    <w:rsid w:val="0D845C3B"/>
    <w:rsid w:val="0D861A83"/>
    <w:rsid w:val="0DF1760D"/>
    <w:rsid w:val="0E003006"/>
    <w:rsid w:val="0E150C11"/>
    <w:rsid w:val="0E23036E"/>
    <w:rsid w:val="0E7019A5"/>
    <w:rsid w:val="0EAE429B"/>
    <w:rsid w:val="0EF31495"/>
    <w:rsid w:val="0EF4563A"/>
    <w:rsid w:val="0EF67916"/>
    <w:rsid w:val="0F087FB5"/>
    <w:rsid w:val="0F0A5DE6"/>
    <w:rsid w:val="0F0B7E51"/>
    <w:rsid w:val="0F0D0009"/>
    <w:rsid w:val="0F3D2A0E"/>
    <w:rsid w:val="0F6A4726"/>
    <w:rsid w:val="0FB43F9D"/>
    <w:rsid w:val="0FC90073"/>
    <w:rsid w:val="0FD21619"/>
    <w:rsid w:val="0FF521BC"/>
    <w:rsid w:val="102537E2"/>
    <w:rsid w:val="10270A2C"/>
    <w:rsid w:val="105D5064"/>
    <w:rsid w:val="107053C2"/>
    <w:rsid w:val="108A5F33"/>
    <w:rsid w:val="109D38CF"/>
    <w:rsid w:val="10D22287"/>
    <w:rsid w:val="10DE213A"/>
    <w:rsid w:val="10E00EC0"/>
    <w:rsid w:val="11241AA9"/>
    <w:rsid w:val="112B2239"/>
    <w:rsid w:val="113E3FDC"/>
    <w:rsid w:val="114F1F76"/>
    <w:rsid w:val="1160140E"/>
    <w:rsid w:val="11707949"/>
    <w:rsid w:val="1174364F"/>
    <w:rsid w:val="118C0FD9"/>
    <w:rsid w:val="118D0AC1"/>
    <w:rsid w:val="11AF0294"/>
    <w:rsid w:val="11B21219"/>
    <w:rsid w:val="11B828FA"/>
    <w:rsid w:val="11D97F6B"/>
    <w:rsid w:val="11E051E0"/>
    <w:rsid w:val="12114D2F"/>
    <w:rsid w:val="121B1393"/>
    <w:rsid w:val="121D4E3B"/>
    <w:rsid w:val="12445622"/>
    <w:rsid w:val="12462B77"/>
    <w:rsid w:val="12537000"/>
    <w:rsid w:val="12A43040"/>
    <w:rsid w:val="12B706AF"/>
    <w:rsid w:val="12BD379E"/>
    <w:rsid w:val="131E5855"/>
    <w:rsid w:val="133B3327"/>
    <w:rsid w:val="13407A72"/>
    <w:rsid w:val="134E28DC"/>
    <w:rsid w:val="136D14EF"/>
    <w:rsid w:val="1376760D"/>
    <w:rsid w:val="137B2C9D"/>
    <w:rsid w:val="13A945F8"/>
    <w:rsid w:val="13F24E31"/>
    <w:rsid w:val="142E3B2B"/>
    <w:rsid w:val="14592FC7"/>
    <w:rsid w:val="149C635D"/>
    <w:rsid w:val="14B41806"/>
    <w:rsid w:val="14C2659D"/>
    <w:rsid w:val="14C44BE9"/>
    <w:rsid w:val="14CF3D09"/>
    <w:rsid w:val="14E013D0"/>
    <w:rsid w:val="14E44281"/>
    <w:rsid w:val="15044A88"/>
    <w:rsid w:val="15177DF7"/>
    <w:rsid w:val="154A11A2"/>
    <w:rsid w:val="154D045C"/>
    <w:rsid w:val="154D0748"/>
    <w:rsid w:val="15CB4851"/>
    <w:rsid w:val="15D27CE3"/>
    <w:rsid w:val="16180A09"/>
    <w:rsid w:val="16433389"/>
    <w:rsid w:val="1645343E"/>
    <w:rsid w:val="167823EB"/>
    <w:rsid w:val="16797F90"/>
    <w:rsid w:val="167B1172"/>
    <w:rsid w:val="16AE07E3"/>
    <w:rsid w:val="16F60ABB"/>
    <w:rsid w:val="17061E0E"/>
    <w:rsid w:val="171831E2"/>
    <w:rsid w:val="17771FF6"/>
    <w:rsid w:val="177F1864"/>
    <w:rsid w:val="17A20A2C"/>
    <w:rsid w:val="17A90509"/>
    <w:rsid w:val="17B93DA2"/>
    <w:rsid w:val="17DE0A0B"/>
    <w:rsid w:val="17EC44CB"/>
    <w:rsid w:val="180E5D05"/>
    <w:rsid w:val="181E3DA1"/>
    <w:rsid w:val="18294330"/>
    <w:rsid w:val="183D6D9C"/>
    <w:rsid w:val="188D5AE2"/>
    <w:rsid w:val="189749DC"/>
    <w:rsid w:val="18AA5B83"/>
    <w:rsid w:val="193732FB"/>
    <w:rsid w:val="19413E1C"/>
    <w:rsid w:val="19455ED6"/>
    <w:rsid w:val="19487815"/>
    <w:rsid w:val="1954059A"/>
    <w:rsid w:val="19635677"/>
    <w:rsid w:val="197106BD"/>
    <w:rsid w:val="199D65EE"/>
    <w:rsid w:val="19AA0FA9"/>
    <w:rsid w:val="19FA13E8"/>
    <w:rsid w:val="1A2E7157"/>
    <w:rsid w:val="1A350442"/>
    <w:rsid w:val="1A3E59C6"/>
    <w:rsid w:val="1A454F8C"/>
    <w:rsid w:val="1A4715A3"/>
    <w:rsid w:val="1A7B596B"/>
    <w:rsid w:val="1A8E0352"/>
    <w:rsid w:val="1AA1023C"/>
    <w:rsid w:val="1AA81F13"/>
    <w:rsid w:val="1AAD58A8"/>
    <w:rsid w:val="1AD5203F"/>
    <w:rsid w:val="1B102C0F"/>
    <w:rsid w:val="1B1C114A"/>
    <w:rsid w:val="1B466CBF"/>
    <w:rsid w:val="1B575AF4"/>
    <w:rsid w:val="1B5C18BF"/>
    <w:rsid w:val="1B633B7D"/>
    <w:rsid w:val="1B6D3826"/>
    <w:rsid w:val="1B89513F"/>
    <w:rsid w:val="1B8E6B69"/>
    <w:rsid w:val="1B9364C2"/>
    <w:rsid w:val="1BAE077A"/>
    <w:rsid w:val="1BE65CF2"/>
    <w:rsid w:val="1BED57D4"/>
    <w:rsid w:val="1BF66C3E"/>
    <w:rsid w:val="1C3276CE"/>
    <w:rsid w:val="1C510124"/>
    <w:rsid w:val="1C536B8E"/>
    <w:rsid w:val="1C61021D"/>
    <w:rsid w:val="1CA53792"/>
    <w:rsid w:val="1CCB0E1A"/>
    <w:rsid w:val="1CDC6281"/>
    <w:rsid w:val="1CDF2FC9"/>
    <w:rsid w:val="1CFB4B98"/>
    <w:rsid w:val="1D0B7B11"/>
    <w:rsid w:val="1D266050"/>
    <w:rsid w:val="1D320FEB"/>
    <w:rsid w:val="1D3421A4"/>
    <w:rsid w:val="1D420B90"/>
    <w:rsid w:val="1D5052F0"/>
    <w:rsid w:val="1D634AC8"/>
    <w:rsid w:val="1D6923E1"/>
    <w:rsid w:val="1DCC29DF"/>
    <w:rsid w:val="1DDE4B56"/>
    <w:rsid w:val="1DEB4976"/>
    <w:rsid w:val="1DF8442A"/>
    <w:rsid w:val="1E1046E0"/>
    <w:rsid w:val="1E1D17F8"/>
    <w:rsid w:val="1E2C2D12"/>
    <w:rsid w:val="1E305A1E"/>
    <w:rsid w:val="1E416253"/>
    <w:rsid w:val="1E5E09D7"/>
    <w:rsid w:val="1E791917"/>
    <w:rsid w:val="1EB83BF5"/>
    <w:rsid w:val="1ECC75B8"/>
    <w:rsid w:val="1EDC0931"/>
    <w:rsid w:val="1EDE3E34"/>
    <w:rsid w:val="1EE04FE4"/>
    <w:rsid w:val="1F0E6B82"/>
    <w:rsid w:val="1F12547A"/>
    <w:rsid w:val="1F163F8E"/>
    <w:rsid w:val="1F6132DC"/>
    <w:rsid w:val="1F657590"/>
    <w:rsid w:val="1F673DF6"/>
    <w:rsid w:val="1F88077C"/>
    <w:rsid w:val="1FFB57AF"/>
    <w:rsid w:val="2007709C"/>
    <w:rsid w:val="200C5398"/>
    <w:rsid w:val="201B4CE7"/>
    <w:rsid w:val="201B5A3A"/>
    <w:rsid w:val="201D6063"/>
    <w:rsid w:val="20525F14"/>
    <w:rsid w:val="208D570C"/>
    <w:rsid w:val="20A94E3B"/>
    <w:rsid w:val="20B15F2E"/>
    <w:rsid w:val="20BC7B42"/>
    <w:rsid w:val="20E87407"/>
    <w:rsid w:val="20F26546"/>
    <w:rsid w:val="20F72B0A"/>
    <w:rsid w:val="20FD3E2F"/>
    <w:rsid w:val="211D3F6A"/>
    <w:rsid w:val="21226569"/>
    <w:rsid w:val="215C6521"/>
    <w:rsid w:val="217E28FF"/>
    <w:rsid w:val="21846149"/>
    <w:rsid w:val="21A35FE1"/>
    <w:rsid w:val="21A57AC0"/>
    <w:rsid w:val="21B11354"/>
    <w:rsid w:val="224820CC"/>
    <w:rsid w:val="2287505A"/>
    <w:rsid w:val="22BC1436"/>
    <w:rsid w:val="22C6633C"/>
    <w:rsid w:val="22D90F63"/>
    <w:rsid w:val="22E57920"/>
    <w:rsid w:val="23125A98"/>
    <w:rsid w:val="238012E1"/>
    <w:rsid w:val="238C08F4"/>
    <w:rsid w:val="23A4392B"/>
    <w:rsid w:val="23BA71AA"/>
    <w:rsid w:val="23C4333D"/>
    <w:rsid w:val="23D941DC"/>
    <w:rsid w:val="2420068E"/>
    <w:rsid w:val="242D3C66"/>
    <w:rsid w:val="243200EE"/>
    <w:rsid w:val="2446347C"/>
    <w:rsid w:val="245109A3"/>
    <w:rsid w:val="24511582"/>
    <w:rsid w:val="2453470B"/>
    <w:rsid w:val="245473A9"/>
    <w:rsid w:val="249E0AA2"/>
    <w:rsid w:val="24A61276"/>
    <w:rsid w:val="24A94093"/>
    <w:rsid w:val="24D4416E"/>
    <w:rsid w:val="24F64B4D"/>
    <w:rsid w:val="2505174B"/>
    <w:rsid w:val="251A0B90"/>
    <w:rsid w:val="251C1370"/>
    <w:rsid w:val="25651C47"/>
    <w:rsid w:val="25C50504"/>
    <w:rsid w:val="25CB240D"/>
    <w:rsid w:val="25CD10ED"/>
    <w:rsid w:val="26054B71"/>
    <w:rsid w:val="267754F9"/>
    <w:rsid w:val="26920BFA"/>
    <w:rsid w:val="26A22471"/>
    <w:rsid w:val="26D11ECF"/>
    <w:rsid w:val="26F43175"/>
    <w:rsid w:val="27062195"/>
    <w:rsid w:val="27114CA3"/>
    <w:rsid w:val="27220ADA"/>
    <w:rsid w:val="27265D5F"/>
    <w:rsid w:val="272F01F7"/>
    <w:rsid w:val="273803E6"/>
    <w:rsid w:val="2746452E"/>
    <w:rsid w:val="27645F06"/>
    <w:rsid w:val="276C1B3A"/>
    <w:rsid w:val="281A5986"/>
    <w:rsid w:val="283E38A1"/>
    <w:rsid w:val="2860619E"/>
    <w:rsid w:val="28663C8C"/>
    <w:rsid w:val="28691DDD"/>
    <w:rsid w:val="28956124"/>
    <w:rsid w:val="28A42EBB"/>
    <w:rsid w:val="28AA1C43"/>
    <w:rsid w:val="28D741FC"/>
    <w:rsid w:val="28E107A2"/>
    <w:rsid w:val="293272A7"/>
    <w:rsid w:val="293472C9"/>
    <w:rsid w:val="29393240"/>
    <w:rsid w:val="29431740"/>
    <w:rsid w:val="29460041"/>
    <w:rsid w:val="29542F25"/>
    <w:rsid w:val="29684C67"/>
    <w:rsid w:val="298E38FB"/>
    <w:rsid w:val="29931E19"/>
    <w:rsid w:val="29932D65"/>
    <w:rsid w:val="29C22B5B"/>
    <w:rsid w:val="29C344A9"/>
    <w:rsid w:val="2A14448A"/>
    <w:rsid w:val="2A2B1A3D"/>
    <w:rsid w:val="2A531FC8"/>
    <w:rsid w:val="2A64509A"/>
    <w:rsid w:val="2ACF4CD1"/>
    <w:rsid w:val="2AD82989"/>
    <w:rsid w:val="2B022736"/>
    <w:rsid w:val="2B0F5533"/>
    <w:rsid w:val="2B536F21"/>
    <w:rsid w:val="2B6F0F3A"/>
    <w:rsid w:val="2B7B32CE"/>
    <w:rsid w:val="2BB53814"/>
    <w:rsid w:val="2BD70FD6"/>
    <w:rsid w:val="2BF21373"/>
    <w:rsid w:val="2BF57C61"/>
    <w:rsid w:val="2C8247DC"/>
    <w:rsid w:val="2C88709C"/>
    <w:rsid w:val="2CDB621D"/>
    <w:rsid w:val="2CDC4FCF"/>
    <w:rsid w:val="2D0D490C"/>
    <w:rsid w:val="2D3F104B"/>
    <w:rsid w:val="2D4A15DA"/>
    <w:rsid w:val="2D593508"/>
    <w:rsid w:val="2D685FC7"/>
    <w:rsid w:val="2D7846A8"/>
    <w:rsid w:val="2D7A6A01"/>
    <w:rsid w:val="2D7F70CB"/>
    <w:rsid w:val="2D8F545C"/>
    <w:rsid w:val="2D8F5489"/>
    <w:rsid w:val="2DCD702A"/>
    <w:rsid w:val="2DDB30C8"/>
    <w:rsid w:val="2DE276ED"/>
    <w:rsid w:val="2E504D48"/>
    <w:rsid w:val="2E8843A0"/>
    <w:rsid w:val="2EA11B8C"/>
    <w:rsid w:val="2EA653C6"/>
    <w:rsid w:val="2EBA2865"/>
    <w:rsid w:val="2EBA3CFB"/>
    <w:rsid w:val="2ED76DE2"/>
    <w:rsid w:val="2EDE2C2F"/>
    <w:rsid w:val="2EDF7472"/>
    <w:rsid w:val="2F034443"/>
    <w:rsid w:val="2F0F5A43"/>
    <w:rsid w:val="2F155F25"/>
    <w:rsid w:val="2F4D56BE"/>
    <w:rsid w:val="2F7A3430"/>
    <w:rsid w:val="2F9108B6"/>
    <w:rsid w:val="2FCE2CA3"/>
    <w:rsid w:val="2FE16372"/>
    <w:rsid w:val="30183F1E"/>
    <w:rsid w:val="303909FD"/>
    <w:rsid w:val="30404B18"/>
    <w:rsid w:val="307015F8"/>
    <w:rsid w:val="3075080D"/>
    <w:rsid w:val="30783819"/>
    <w:rsid w:val="308E3936"/>
    <w:rsid w:val="30C80289"/>
    <w:rsid w:val="30C860C4"/>
    <w:rsid w:val="30DB3A35"/>
    <w:rsid w:val="30ED2081"/>
    <w:rsid w:val="30F64EFB"/>
    <w:rsid w:val="30FB3E9B"/>
    <w:rsid w:val="310B5831"/>
    <w:rsid w:val="311000CF"/>
    <w:rsid w:val="311961A0"/>
    <w:rsid w:val="31223B11"/>
    <w:rsid w:val="31323A76"/>
    <w:rsid w:val="313A1850"/>
    <w:rsid w:val="31756E6A"/>
    <w:rsid w:val="31CA7234"/>
    <w:rsid w:val="31D41C9F"/>
    <w:rsid w:val="31DD19A0"/>
    <w:rsid w:val="31E22281"/>
    <w:rsid w:val="31E61912"/>
    <w:rsid w:val="31FE6CF2"/>
    <w:rsid w:val="32323FE6"/>
    <w:rsid w:val="32325402"/>
    <w:rsid w:val="323E7DF9"/>
    <w:rsid w:val="325D3F31"/>
    <w:rsid w:val="326A0A72"/>
    <w:rsid w:val="32911E02"/>
    <w:rsid w:val="32A43020"/>
    <w:rsid w:val="32A468A4"/>
    <w:rsid w:val="32CC0FF0"/>
    <w:rsid w:val="32E449BE"/>
    <w:rsid w:val="32E934D9"/>
    <w:rsid w:val="33032140"/>
    <w:rsid w:val="336C7715"/>
    <w:rsid w:val="33732BA9"/>
    <w:rsid w:val="337F1FD8"/>
    <w:rsid w:val="33892135"/>
    <w:rsid w:val="3392223A"/>
    <w:rsid w:val="33A1074F"/>
    <w:rsid w:val="33AA0350"/>
    <w:rsid w:val="33D6119F"/>
    <w:rsid w:val="33D96AB3"/>
    <w:rsid w:val="341425E9"/>
    <w:rsid w:val="34224B16"/>
    <w:rsid w:val="34823CAA"/>
    <w:rsid w:val="34A53038"/>
    <w:rsid w:val="34BE2416"/>
    <w:rsid w:val="35363C67"/>
    <w:rsid w:val="35841E81"/>
    <w:rsid w:val="35A74A48"/>
    <w:rsid w:val="35B70A28"/>
    <w:rsid w:val="35BD14E2"/>
    <w:rsid w:val="35C16E06"/>
    <w:rsid w:val="36274769"/>
    <w:rsid w:val="363D16F6"/>
    <w:rsid w:val="364D2448"/>
    <w:rsid w:val="367A016E"/>
    <w:rsid w:val="369D5357"/>
    <w:rsid w:val="36AC30AD"/>
    <w:rsid w:val="36B63381"/>
    <w:rsid w:val="36D30B9F"/>
    <w:rsid w:val="36F25982"/>
    <w:rsid w:val="37474B75"/>
    <w:rsid w:val="37586195"/>
    <w:rsid w:val="376B4243"/>
    <w:rsid w:val="37837EFB"/>
    <w:rsid w:val="37C16903"/>
    <w:rsid w:val="382D42DF"/>
    <w:rsid w:val="38777FB4"/>
    <w:rsid w:val="38B6219A"/>
    <w:rsid w:val="38D34E4A"/>
    <w:rsid w:val="38EA11EC"/>
    <w:rsid w:val="38F615FC"/>
    <w:rsid w:val="38F81807"/>
    <w:rsid w:val="391F1E8C"/>
    <w:rsid w:val="3935166B"/>
    <w:rsid w:val="394B7F8C"/>
    <w:rsid w:val="395024DF"/>
    <w:rsid w:val="39542E1A"/>
    <w:rsid w:val="3959409E"/>
    <w:rsid w:val="39903935"/>
    <w:rsid w:val="3995135A"/>
    <w:rsid w:val="39AB73D2"/>
    <w:rsid w:val="39D0586A"/>
    <w:rsid w:val="39D308F2"/>
    <w:rsid w:val="39E22EB8"/>
    <w:rsid w:val="3A1C765A"/>
    <w:rsid w:val="3A8B0918"/>
    <w:rsid w:val="3AAA52F2"/>
    <w:rsid w:val="3AC131D4"/>
    <w:rsid w:val="3AC74947"/>
    <w:rsid w:val="3AD3158F"/>
    <w:rsid w:val="3AD45894"/>
    <w:rsid w:val="3B0E5DD6"/>
    <w:rsid w:val="3B197282"/>
    <w:rsid w:val="3B1D7F72"/>
    <w:rsid w:val="3B3511CD"/>
    <w:rsid w:val="3B3764FE"/>
    <w:rsid w:val="3B43394A"/>
    <w:rsid w:val="3B512C60"/>
    <w:rsid w:val="3B5B3314"/>
    <w:rsid w:val="3B673668"/>
    <w:rsid w:val="3B9968D7"/>
    <w:rsid w:val="3B9B1DDA"/>
    <w:rsid w:val="3B9B6557"/>
    <w:rsid w:val="3BB865B6"/>
    <w:rsid w:val="3BE16DE9"/>
    <w:rsid w:val="3C32464B"/>
    <w:rsid w:val="3C32476E"/>
    <w:rsid w:val="3C5B6745"/>
    <w:rsid w:val="3C631823"/>
    <w:rsid w:val="3C865FBC"/>
    <w:rsid w:val="3C9B5CF4"/>
    <w:rsid w:val="3CAB413A"/>
    <w:rsid w:val="3CD5085D"/>
    <w:rsid w:val="3CE4149A"/>
    <w:rsid w:val="3CE957E6"/>
    <w:rsid w:val="3CF93F15"/>
    <w:rsid w:val="3D172B8F"/>
    <w:rsid w:val="3D3B6765"/>
    <w:rsid w:val="3D403655"/>
    <w:rsid w:val="3D4E0F7F"/>
    <w:rsid w:val="3D6A1B31"/>
    <w:rsid w:val="3D6D0C21"/>
    <w:rsid w:val="3D6D5435"/>
    <w:rsid w:val="3D6E288F"/>
    <w:rsid w:val="3D751B82"/>
    <w:rsid w:val="3D764BCF"/>
    <w:rsid w:val="3D7E518E"/>
    <w:rsid w:val="3D9520F9"/>
    <w:rsid w:val="3D987913"/>
    <w:rsid w:val="3DC86CB4"/>
    <w:rsid w:val="3DCA67EC"/>
    <w:rsid w:val="3E2F3F92"/>
    <w:rsid w:val="3EAE76A8"/>
    <w:rsid w:val="3EBB27EA"/>
    <w:rsid w:val="3ED3707E"/>
    <w:rsid w:val="3EE10820"/>
    <w:rsid w:val="3F1338AA"/>
    <w:rsid w:val="3F446058"/>
    <w:rsid w:val="3F4F20E4"/>
    <w:rsid w:val="3FA71575"/>
    <w:rsid w:val="3FAB2584"/>
    <w:rsid w:val="3FAE00B2"/>
    <w:rsid w:val="3FDB5843"/>
    <w:rsid w:val="400878B8"/>
    <w:rsid w:val="40307062"/>
    <w:rsid w:val="406F7D44"/>
    <w:rsid w:val="407B7E41"/>
    <w:rsid w:val="40AB4931"/>
    <w:rsid w:val="40AF74A8"/>
    <w:rsid w:val="40B52091"/>
    <w:rsid w:val="40B60F2B"/>
    <w:rsid w:val="40DB2C76"/>
    <w:rsid w:val="40E35B04"/>
    <w:rsid w:val="411C63AB"/>
    <w:rsid w:val="41282D76"/>
    <w:rsid w:val="412E4C7F"/>
    <w:rsid w:val="413300BC"/>
    <w:rsid w:val="413C344D"/>
    <w:rsid w:val="41520244"/>
    <w:rsid w:val="41A208E6"/>
    <w:rsid w:val="4221770A"/>
    <w:rsid w:val="42310E70"/>
    <w:rsid w:val="42350960"/>
    <w:rsid w:val="42394768"/>
    <w:rsid w:val="423C1CDF"/>
    <w:rsid w:val="426E66F8"/>
    <w:rsid w:val="42974BBA"/>
    <w:rsid w:val="42A36890"/>
    <w:rsid w:val="42BB4382"/>
    <w:rsid w:val="42C53644"/>
    <w:rsid w:val="42C7049C"/>
    <w:rsid w:val="42CF6323"/>
    <w:rsid w:val="431625D7"/>
    <w:rsid w:val="43694B99"/>
    <w:rsid w:val="43741A13"/>
    <w:rsid w:val="43883266"/>
    <w:rsid w:val="439A67A9"/>
    <w:rsid w:val="43A43045"/>
    <w:rsid w:val="43A460BD"/>
    <w:rsid w:val="43B03699"/>
    <w:rsid w:val="43BC4F2D"/>
    <w:rsid w:val="43DD0EC4"/>
    <w:rsid w:val="43E62E42"/>
    <w:rsid w:val="43E9037B"/>
    <w:rsid w:val="43F4670C"/>
    <w:rsid w:val="4406131F"/>
    <w:rsid w:val="442126D3"/>
    <w:rsid w:val="44292814"/>
    <w:rsid w:val="446C04CD"/>
    <w:rsid w:val="44A00B18"/>
    <w:rsid w:val="44C67F95"/>
    <w:rsid w:val="44CC1B06"/>
    <w:rsid w:val="44D14CD5"/>
    <w:rsid w:val="450B4230"/>
    <w:rsid w:val="45221A31"/>
    <w:rsid w:val="454068CE"/>
    <w:rsid w:val="4556724D"/>
    <w:rsid w:val="45663AA3"/>
    <w:rsid w:val="4585361F"/>
    <w:rsid w:val="458B04F1"/>
    <w:rsid w:val="458E5EE1"/>
    <w:rsid w:val="45E8756E"/>
    <w:rsid w:val="46145CE6"/>
    <w:rsid w:val="46220F1F"/>
    <w:rsid w:val="464858DB"/>
    <w:rsid w:val="465374F0"/>
    <w:rsid w:val="465F404D"/>
    <w:rsid w:val="46697882"/>
    <w:rsid w:val="468E1067"/>
    <w:rsid w:val="46B34F8B"/>
    <w:rsid w:val="46B67767"/>
    <w:rsid w:val="46BC369C"/>
    <w:rsid w:val="46E86CDC"/>
    <w:rsid w:val="46EA5025"/>
    <w:rsid w:val="46F06FEE"/>
    <w:rsid w:val="46F4712E"/>
    <w:rsid w:val="470976E1"/>
    <w:rsid w:val="47317C5F"/>
    <w:rsid w:val="47354E29"/>
    <w:rsid w:val="47473280"/>
    <w:rsid w:val="47480D01"/>
    <w:rsid w:val="47661955"/>
    <w:rsid w:val="47E330FE"/>
    <w:rsid w:val="47EA3F9B"/>
    <w:rsid w:val="47EA5D49"/>
    <w:rsid w:val="48162654"/>
    <w:rsid w:val="484635A3"/>
    <w:rsid w:val="48BB6873"/>
    <w:rsid w:val="48E74194"/>
    <w:rsid w:val="491F48D1"/>
    <w:rsid w:val="49287C70"/>
    <w:rsid w:val="493B7D6E"/>
    <w:rsid w:val="49715D25"/>
    <w:rsid w:val="497F0684"/>
    <w:rsid w:val="4984282A"/>
    <w:rsid w:val="4A0F1148"/>
    <w:rsid w:val="4A105C92"/>
    <w:rsid w:val="4A23538C"/>
    <w:rsid w:val="4A4462D6"/>
    <w:rsid w:val="4A62606A"/>
    <w:rsid w:val="4AF17602"/>
    <w:rsid w:val="4B065BEE"/>
    <w:rsid w:val="4B0A76CC"/>
    <w:rsid w:val="4B446F88"/>
    <w:rsid w:val="4B50661E"/>
    <w:rsid w:val="4BA31E30"/>
    <w:rsid w:val="4BB44F0C"/>
    <w:rsid w:val="4BD80EF1"/>
    <w:rsid w:val="4BED2802"/>
    <w:rsid w:val="4BED324A"/>
    <w:rsid w:val="4C100436"/>
    <w:rsid w:val="4C1B5996"/>
    <w:rsid w:val="4C1C5613"/>
    <w:rsid w:val="4C20442F"/>
    <w:rsid w:val="4C410EAC"/>
    <w:rsid w:val="4C4807BA"/>
    <w:rsid w:val="4C671669"/>
    <w:rsid w:val="4C860FE3"/>
    <w:rsid w:val="4C9C316D"/>
    <w:rsid w:val="4CEF7C0A"/>
    <w:rsid w:val="4CFC1B5C"/>
    <w:rsid w:val="4D603F38"/>
    <w:rsid w:val="4D6D5452"/>
    <w:rsid w:val="4D765F01"/>
    <w:rsid w:val="4D811DB6"/>
    <w:rsid w:val="4DC840D7"/>
    <w:rsid w:val="4DCC3EF8"/>
    <w:rsid w:val="4DD178EF"/>
    <w:rsid w:val="4DF036EE"/>
    <w:rsid w:val="4DFE2A04"/>
    <w:rsid w:val="4E2D393B"/>
    <w:rsid w:val="4E311C06"/>
    <w:rsid w:val="4E483410"/>
    <w:rsid w:val="4EA91AE5"/>
    <w:rsid w:val="4EAF2828"/>
    <w:rsid w:val="4EB77C34"/>
    <w:rsid w:val="4EDA3738"/>
    <w:rsid w:val="4EEF5756"/>
    <w:rsid w:val="4F3441F8"/>
    <w:rsid w:val="4F5A1194"/>
    <w:rsid w:val="4F6E4891"/>
    <w:rsid w:val="4F825246"/>
    <w:rsid w:val="4F9722B3"/>
    <w:rsid w:val="4FA61ABB"/>
    <w:rsid w:val="4FC303BE"/>
    <w:rsid w:val="4FC642D9"/>
    <w:rsid w:val="4FD24C3C"/>
    <w:rsid w:val="4FD660D9"/>
    <w:rsid w:val="4FDB6712"/>
    <w:rsid w:val="4FE66F26"/>
    <w:rsid w:val="4FEC4A28"/>
    <w:rsid w:val="4FF66D32"/>
    <w:rsid w:val="50186577"/>
    <w:rsid w:val="502B3F12"/>
    <w:rsid w:val="502D465A"/>
    <w:rsid w:val="5032201C"/>
    <w:rsid w:val="503B41B9"/>
    <w:rsid w:val="503E4D52"/>
    <w:rsid w:val="50483BD9"/>
    <w:rsid w:val="505070F2"/>
    <w:rsid w:val="50633ACD"/>
    <w:rsid w:val="507F3670"/>
    <w:rsid w:val="508436A7"/>
    <w:rsid w:val="50A84B61"/>
    <w:rsid w:val="50AB7F7F"/>
    <w:rsid w:val="50BB0311"/>
    <w:rsid w:val="50F87728"/>
    <w:rsid w:val="50FF29D4"/>
    <w:rsid w:val="510D7190"/>
    <w:rsid w:val="51686C80"/>
    <w:rsid w:val="51A3204B"/>
    <w:rsid w:val="51C63383"/>
    <w:rsid w:val="51D82CD4"/>
    <w:rsid w:val="51E83C79"/>
    <w:rsid w:val="51FA60F1"/>
    <w:rsid w:val="5203081C"/>
    <w:rsid w:val="526E5622"/>
    <w:rsid w:val="52750905"/>
    <w:rsid w:val="527529A4"/>
    <w:rsid w:val="52927709"/>
    <w:rsid w:val="52A67A93"/>
    <w:rsid w:val="52AF50B1"/>
    <w:rsid w:val="533A2A3F"/>
    <w:rsid w:val="533E5A9F"/>
    <w:rsid w:val="535A53CF"/>
    <w:rsid w:val="537F430A"/>
    <w:rsid w:val="53A3214F"/>
    <w:rsid w:val="53F532B0"/>
    <w:rsid w:val="53FA5565"/>
    <w:rsid w:val="542227EB"/>
    <w:rsid w:val="54270F5B"/>
    <w:rsid w:val="542947A2"/>
    <w:rsid w:val="546A6C2C"/>
    <w:rsid w:val="54A13C33"/>
    <w:rsid w:val="54AE49FC"/>
    <w:rsid w:val="54B26C85"/>
    <w:rsid w:val="54C34B49"/>
    <w:rsid w:val="54D9492F"/>
    <w:rsid w:val="54DA0EF3"/>
    <w:rsid w:val="55014365"/>
    <w:rsid w:val="5510701F"/>
    <w:rsid w:val="55453A67"/>
    <w:rsid w:val="55581027"/>
    <w:rsid w:val="55695F65"/>
    <w:rsid w:val="55824EB5"/>
    <w:rsid w:val="558C0945"/>
    <w:rsid w:val="558E406A"/>
    <w:rsid w:val="55AA0BDA"/>
    <w:rsid w:val="55AD6B1D"/>
    <w:rsid w:val="55CD5369"/>
    <w:rsid w:val="55DC16AB"/>
    <w:rsid w:val="55EF1275"/>
    <w:rsid w:val="55F86918"/>
    <w:rsid w:val="560704B0"/>
    <w:rsid w:val="560F04C9"/>
    <w:rsid w:val="56313FD4"/>
    <w:rsid w:val="565E61B6"/>
    <w:rsid w:val="565F055E"/>
    <w:rsid w:val="56760003"/>
    <w:rsid w:val="56831382"/>
    <w:rsid w:val="5684676C"/>
    <w:rsid w:val="56881D03"/>
    <w:rsid w:val="568941E7"/>
    <w:rsid w:val="568F6618"/>
    <w:rsid w:val="56AB0605"/>
    <w:rsid w:val="56D45260"/>
    <w:rsid w:val="570E6CD9"/>
    <w:rsid w:val="5713777B"/>
    <w:rsid w:val="57511BBD"/>
    <w:rsid w:val="57646A38"/>
    <w:rsid w:val="57975744"/>
    <w:rsid w:val="57B77283"/>
    <w:rsid w:val="57F01655"/>
    <w:rsid w:val="57FE4B38"/>
    <w:rsid w:val="58072B4C"/>
    <w:rsid w:val="582256B3"/>
    <w:rsid w:val="58A4547D"/>
    <w:rsid w:val="58B21713"/>
    <w:rsid w:val="58E759A5"/>
    <w:rsid w:val="58F44D18"/>
    <w:rsid w:val="59034EBC"/>
    <w:rsid w:val="593815B6"/>
    <w:rsid w:val="59A4671D"/>
    <w:rsid w:val="59CD2AEE"/>
    <w:rsid w:val="59DB3743"/>
    <w:rsid w:val="5A306041"/>
    <w:rsid w:val="5A4047BB"/>
    <w:rsid w:val="5A861568"/>
    <w:rsid w:val="5A9474DA"/>
    <w:rsid w:val="5AA0313D"/>
    <w:rsid w:val="5AA42333"/>
    <w:rsid w:val="5ACF63BC"/>
    <w:rsid w:val="5AD2487B"/>
    <w:rsid w:val="5AE54B2B"/>
    <w:rsid w:val="5B0F7ACB"/>
    <w:rsid w:val="5B424EC5"/>
    <w:rsid w:val="5B4403C8"/>
    <w:rsid w:val="5B4A22D1"/>
    <w:rsid w:val="5B4B1BDC"/>
    <w:rsid w:val="5B57054F"/>
    <w:rsid w:val="5BAC76C4"/>
    <w:rsid w:val="5BB029AE"/>
    <w:rsid w:val="5BBD536B"/>
    <w:rsid w:val="5BC72B44"/>
    <w:rsid w:val="5BCD7519"/>
    <w:rsid w:val="5BE94B3C"/>
    <w:rsid w:val="5BEA75B7"/>
    <w:rsid w:val="5C037B3B"/>
    <w:rsid w:val="5C641B24"/>
    <w:rsid w:val="5C650B01"/>
    <w:rsid w:val="5C93136F"/>
    <w:rsid w:val="5CA45EE9"/>
    <w:rsid w:val="5CBA122E"/>
    <w:rsid w:val="5CE47E30"/>
    <w:rsid w:val="5D101956"/>
    <w:rsid w:val="5D1D34D1"/>
    <w:rsid w:val="5D291801"/>
    <w:rsid w:val="5D41699B"/>
    <w:rsid w:val="5D89770A"/>
    <w:rsid w:val="5DA83D49"/>
    <w:rsid w:val="5DD329EE"/>
    <w:rsid w:val="5DD53219"/>
    <w:rsid w:val="5E076BDF"/>
    <w:rsid w:val="5E1849EE"/>
    <w:rsid w:val="5E2A4C99"/>
    <w:rsid w:val="5E413634"/>
    <w:rsid w:val="5E5227B4"/>
    <w:rsid w:val="5E635D67"/>
    <w:rsid w:val="5E7F7A73"/>
    <w:rsid w:val="5E8F51E4"/>
    <w:rsid w:val="5EC23867"/>
    <w:rsid w:val="5EFF6D5C"/>
    <w:rsid w:val="5F376042"/>
    <w:rsid w:val="5F6F585E"/>
    <w:rsid w:val="5F960DFC"/>
    <w:rsid w:val="5F995DE3"/>
    <w:rsid w:val="5F9B12E6"/>
    <w:rsid w:val="5FA34174"/>
    <w:rsid w:val="5FB1348A"/>
    <w:rsid w:val="5FB215F8"/>
    <w:rsid w:val="5FBF08D4"/>
    <w:rsid w:val="5FDE0AD6"/>
    <w:rsid w:val="5FF87BE9"/>
    <w:rsid w:val="60330C17"/>
    <w:rsid w:val="605111C9"/>
    <w:rsid w:val="6054424F"/>
    <w:rsid w:val="60F11A9E"/>
    <w:rsid w:val="616109D2"/>
    <w:rsid w:val="616E094F"/>
    <w:rsid w:val="617D14BE"/>
    <w:rsid w:val="61DB2D8E"/>
    <w:rsid w:val="61E66CAD"/>
    <w:rsid w:val="620E45EE"/>
    <w:rsid w:val="62107AF1"/>
    <w:rsid w:val="621E19A3"/>
    <w:rsid w:val="622E61BE"/>
    <w:rsid w:val="623D6E87"/>
    <w:rsid w:val="62463BCB"/>
    <w:rsid w:val="62570266"/>
    <w:rsid w:val="62610D92"/>
    <w:rsid w:val="6293057A"/>
    <w:rsid w:val="62A07437"/>
    <w:rsid w:val="62CF102D"/>
    <w:rsid w:val="62D6714F"/>
    <w:rsid w:val="62FF52FE"/>
    <w:rsid w:val="63351E52"/>
    <w:rsid w:val="635011B8"/>
    <w:rsid w:val="63590D8D"/>
    <w:rsid w:val="635A12B4"/>
    <w:rsid w:val="63800F2A"/>
    <w:rsid w:val="639572B8"/>
    <w:rsid w:val="63960BF2"/>
    <w:rsid w:val="63D62299"/>
    <w:rsid w:val="63EA28A1"/>
    <w:rsid w:val="642A353F"/>
    <w:rsid w:val="644B23F0"/>
    <w:rsid w:val="64A22F24"/>
    <w:rsid w:val="64D07AC3"/>
    <w:rsid w:val="65202952"/>
    <w:rsid w:val="652A5785"/>
    <w:rsid w:val="65384E7D"/>
    <w:rsid w:val="65797E7F"/>
    <w:rsid w:val="65A23D12"/>
    <w:rsid w:val="65AA58F2"/>
    <w:rsid w:val="65D12A9B"/>
    <w:rsid w:val="65D5373C"/>
    <w:rsid w:val="65E20423"/>
    <w:rsid w:val="65EA7DC1"/>
    <w:rsid w:val="66196C05"/>
    <w:rsid w:val="6638077D"/>
    <w:rsid w:val="6643194E"/>
    <w:rsid w:val="666A3541"/>
    <w:rsid w:val="667679A5"/>
    <w:rsid w:val="66775427"/>
    <w:rsid w:val="66D16DBA"/>
    <w:rsid w:val="670732E6"/>
    <w:rsid w:val="67084D16"/>
    <w:rsid w:val="670C3699"/>
    <w:rsid w:val="674C6704"/>
    <w:rsid w:val="676A4DBB"/>
    <w:rsid w:val="67732C96"/>
    <w:rsid w:val="678036DB"/>
    <w:rsid w:val="678E2418"/>
    <w:rsid w:val="67AB02A5"/>
    <w:rsid w:val="67B81568"/>
    <w:rsid w:val="67D234E5"/>
    <w:rsid w:val="680074AC"/>
    <w:rsid w:val="68320F9A"/>
    <w:rsid w:val="6835087E"/>
    <w:rsid w:val="683722F0"/>
    <w:rsid w:val="685F0B4B"/>
    <w:rsid w:val="68996CA3"/>
    <w:rsid w:val="68B150D2"/>
    <w:rsid w:val="68B327D3"/>
    <w:rsid w:val="68D50FF4"/>
    <w:rsid w:val="68FA4D54"/>
    <w:rsid w:val="691163F0"/>
    <w:rsid w:val="691A347C"/>
    <w:rsid w:val="6941113D"/>
    <w:rsid w:val="69771617"/>
    <w:rsid w:val="69842EAC"/>
    <w:rsid w:val="699A64FC"/>
    <w:rsid w:val="69A93FE5"/>
    <w:rsid w:val="6A2A41FC"/>
    <w:rsid w:val="6A2B531A"/>
    <w:rsid w:val="6A3916D5"/>
    <w:rsid w:val="6A7128EF"/>
    <w:rsid w:val="6A8B0035"/>
    <w:rsid w:val="6A953FED"/>
    <w:rsid w:val="6AA03966"/>
    <w:rsid w:val="6AC56BE6"/>
    <w:rsid w:val="6AC634A7"/>
    <w:rsid w:val="6AD4182E"/>
    <w:rsid w:val="6B0548C4"/>
    <w:rsid w:val="6B0D712F"/>
    <w:rsid w:val="6B195BB8"/>
    <w:rsid w:val="6B2F79FA"/>
    <w:rsid w:val="6B353124"/>
    <w:rsid w:val="6B483A91"/>
    <w:rsid w:val="6B593D2B"/>
    <w:rsid w:val="6B776B5F"/>
    <w:rsid w:val="6B8F4205"/>
    <w:rsid w:val="6B992271"/>
    <w:rsid w:val="6B9D32C2"/>
    <w:rsid w:val="6BCA0B67"/>
    <w:rsid w:val="6BED1333"/>
    <w:rsid w:val="6C2216A6"/>
    <w:rsid w:val="6C2800E8"/>
    <w:rsid w:val="6C3078F9"/>
    <w:rsid w:val="6C4C32B6"/>
    <w:rsid w:val="6C5A23CC"/>
    <w:rsid w:val="6C9A748E"/>
    <w:rsid w:val="6C9B343E"/>
    <w:rsid w:val="6CC17684"/>
    <w:rsid w:val="6CCD388D"/>
    <w:rsid w:val="6CF41182"/>
    <w:rsid w:val="6CF74F22"/>
    <w:rsid w:val="6D0B5B86"/>
    <w:rsid w:val="6D1F4CE8"/>
    <w:rsid w:val="6D255409"/>
    <w:rsid w:val="6D275125"/>
    <w:rsid w:val="6D3353A4"/>
    <w:rsid w:val="6D404034"/>
    <w:rsid w:val="6D631DCF"/>
    <w:rsid w:val="6D65638A"/>
    <w:rsid w:val="6D891A42"/>
    <w:rsid w:val="6D971924"/>
    <w:rsid w:val="6D9D5EAD"/>
    <w:rsid w:val="6DCC37B0"/>
    <w:rsid w:val="6DE52C4C"/>
    <w:rsid w:val="6DF00738"/>
    <w:rsid w:val="6E0B0643"/>
    <w:rsid w:val="6E241C7D"/>
    <w:rsid w:val="6E3D6BB7"/>
    <w:rsid w:val="6E573394"/>
    <w:rsid w:val="6E596897"/>
    <w:rsid w:val="6E5E36C9"/>
    <w:rsid w:val="6E637B58"/>
    <w:rsid w:val="6EB42BD3"/>
    <w:rsid w:val="6ED066DE"/>
    <w:rsid w:val="6F1108E1"/>
    <w:rsid w:val="6F2A6F6F"/>
    <w:rsid w:val="6F555835"/>
    <w:rsid w:val="6F5E3DCA"/>
    <w:rsid w:val="6F670FD3"/>
    <w:rsid w:val="6F846291"/>
    <w:rsid w:val="6F8B4E7A"/>
    <w:rsid w:val="6F985025"/>
    <w:rsid w:val="6FC6448B"/>
    <w:rsid w:val="6FE96534"/>
    <w:rsid w:val="6FEF222B"/>
    <w:rsid w:val="701658F3"/>
    <w:rsid w:val="703D085C"/>
    <w:rsid w:val="704A0D66"/>
    <w:rsid w:val="705234B1"/>
    <w:rsid w:val="706B6D2D"/>
    <w:rsid w:val="707C3099"/>
    <w:rsid w:val="709643BC"/>
    <w:rsid w:val="70AA3CDC"/>
    <w:rsid w:val="70D56CE6"/>
    <w:rsid w:val="713C5DD5"/>
    <w:rsid w:val="713F665A"/>
    <w:rsid w:val="7157311A"/>
    <w:rsid w:val="71612B50"/>
    <w:rsid w:val="718B4E4E"/>
    <w:rsid w:val="718C6759"/>
    <w:rsid w:val="71B5786F"/>
    <w:rsid w:val="71B96EE0"/>
    <w:rsid w:val="71BF3A88"/>
    <w:rsid w:val="71EC7458"/>
    <w:rsid w:val="71F57420"/>
    <w:rsid w:val="7235674F"/>
    <w:rsid w:val="723C0EBC"/>
    <w:rsid w:val="72445F08"/>
    <w:rsid w:val="7259171E"/>
    <w:rsid w:val="725F0CB0"/>
    <w:rsid w:val="72663DC8"/>
    <w:rsid w:val="729B1591"/>
    <w:rsid w:val="72C61B6B"/>
    <w:rsid w:val="72F8383C"/>
    <w:rsid w:val="72FF2DB8"/>
    <w:rsid w:val="736C596A"/>
    <w:rsid w:val="73843011"/>
    <w:rsid w:val="73AC71B1"/>
    <w:rsid w:val="73CD4857"/>
    <w:rsid w:val="73CE218C"/>
    <w:rsid w:val="73D97F55"/>
    <w:rsid w:val="74495CEE"/>
    <w:rsid w:val="748D0748"/>
    <w:rsid w:val="749679D6"/>
    <w:rsid w:val="74A2453E"/>
    <w:rsid w:val="750D581E"/>
    <w:rsid w:val="751759A6"/>
    <w:rsid w:val="75254710"/>
    <w:rsid w:val="753C0A3B"/>
    <w:rsid w:val="75B86634"/>
    <w:rsid w:val="75C515F3"/>
    <w:rsid w:val="75C64E50"/>
    <w:rsid w:val="75DF174D"/>
    <w:rsid w:val="75E41876"/>
    <w:rsid w:val="75EE5A09"/>
    <w:rsid w:val="762558EE"/>
    <w:rsid w:val="76657609"/>
    <w:rsid w:val="768D428E"/>
    <w:rsid w:val="76912C94"/>
    <w:rsid w:val="76B80955"/>
    <w:rsid w:val="76C656EC"/>
    <w:rsid w:val="76D22DEB"/>
    <w:rsid w:val="76FE0BA1"/>
    <w:rsid w:val="770F1364"/>
    <w:rsid w:val="77640268"/>
    <w:rsid w:val="7782124A"/>
    <w:rsid w:val="77B22926"/>
    <w:rsid w:val="77BB3E94"/>
    <w:rsid w:val="77C47499"/>
    <w:rsid w:val="77D72498"/>
    <w:rsid w:val="77DF03B7"/>
    <w:rsid w:val="77F8480C"/>
    <w:rsid w:val="78071465"/>
    <w:rsid w:val="780B7070"/>
    <w:rsid w:val="78301C22"/>
    <w:rsid w:val="78381F26"/>
    <w:rsid w:val="78802C4F"/>
    <w:rsid w:val="78830BDE"/>
    <w:rsid w:val="788738A4"/>
    <w:rsid w:val="78B95140"/>
    <w:rsid w:val="78E42EB1"/>
    <w:rsid w:val="78F65E25"/>
    <w:rsid w:val="790A4781"/>
    <w:rsid w:val="79640420"/>
    <w:rsid w:val="797C2EBD"/>
    <w:rsid w:val="799A54F1"/>
    <w:rsid w:val="79AB034E"/>
    <w:rsid w:val="79CD7453"/>
    <w:rsid w:val="7A102E49"/>
    <w:rsid w:val="7A3B06A2"/>
    <w:rsid w:val="7A592EE5"/>
    <w:rsid w:val="7A8D479E"/>
    <w:rsid w:val="7ABB013C"/>
    <w:rsid w:val="7AE219DD"/>
    <w:rsid w:val="7B2A5BD1"/>
    <w:rsid w:val="7B3C4A6B"/>
    <w:rsid w:val="7B5C60F0"/>
    <w:rsid w:val="7B662A61"/>
    <w:rsid w:val="7BD712BD"/>
    <w:rsid w:val="7BE44D35"/>
    <w:rsid w:val="7C08053E"/>
    <w:rsid w:val="7C16681D"/>
    <w:rsid w:val="7C2A7F72"/>
    <w:rsid w:val="7C605FBA"/>
    <w:rsid w:val="7C6333F8"/>
    <w:rsid w:val="7C791EDC"/>
    <w:rsid w:val="7C8D1ED1"/>
    <w:rsid w:val="7CA711FB"/>
    <w:rsid w:val="7CBE2D25"/>
    <w:rsid w:val="7D2C636B"/>
    <w:rsid w:val="7D38217E"/>
    <w:rsid w:val="7D435F90"/>
    <w:rsid w:val="7D512D27"/>
    <w:rsid w:val="7D685F4D"/>
    <w:rsid w:val="7D726ADF"/>
    <w:rsid w:val="7DCE3976"/>
    <w:rsid w:val="7DEE75D5"/>
    <w:rsid w:val="7E142CC9"/>
    <w:rsid w:val="7E2365EF"/>
    <w:rsid w:val="7E5B2E27"/>
    <w:rsid w:val="7E64633C"/>
    <w:rsid w:val="7E694F12"/>
    <w:rsid w:val="7E75182B"/>
    <w:rsid w:val="7E7F7041"/>
    <w:rsid w:val="7E8B3D29"/>
    <w:rsid w:val="7E8F3400"/>
    <w:rsid w:val="7EEB5047"/>
    <w:rsid w:val="7EF60E5A"/>
    <w:rsid w:val="7F0F763D"/>
    <w:rsid w:val="7F182693"/>
    <w:rsid w:val="7F323977"/>
    <w:rsid w:val="7F5F2E08"/>
    <w:rsid w:val="7F8738A2"/>
    <w:rsid w:val="7F88470B"/>
    <w:rsid w:val="7F942641"/>
    <w:rsid w:val="7FD25345"/>
    <w:rsid w:val="7FF50D7D"/>
    <w:rsid w:val="7FF9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bCs/>
      <w:color w:val="000000"/>
      <w:sz w:val="32"/>
      <w:lang w:val="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line="360" w:lineRule="auto"/>
      <w:jc w:val="center"/>
      <w:outlineLvl w:val="0"/>
    </w:pPr>
    <w:rPr>
      <w:rFonts w:eastAsia="宋体"/>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3">
    <w:name w:val="zjb標題1"/>
    <w:basedOn w:val="1"/>
    <w:qFormat/>
    <w:uiPriority w:val="0"/>
    <w:pPr>
      <w:ind w:firstLine="1441" w:firstLineChars="200"/>
    </w:pPr>
    <w:rPr>
      <w:rFonts w:ascii="Times New Roman" w:hAnsi="Times New Roman" w:eastAsia="华文中宋"/>
      <w:b/>
      <w:color w:val="000000"/>
      <w:sz w:val="72"/>
      <w:szCs w:val="72"/>
    </w:rPr>
  </w:style>
  <w:style w:type="paragraph" w:customStyle="1" w:styleId="14">
    <w:name w:val="Body text (2)1"/>
    <w:basedOn w:val="1"/>
    <w:link w:val="15"/>
    <w:qFormat/>
    <w:uiPriority w:val="99"/>
    <w:pPr>
      <w:shd w:val="clear" w:color="auto" w:fill="FFFFFF"/>
      <w:spacing w:before="1020" w:line="619" w:lineRule="exact"/>
      <w:jc w:val="left"/>
    </w:pPr>
    <w:rPr>
      <w:rFonts w:ascii="MingLiU" w:eastAsia="MingLiU" w:cs="MingLiU"/>
      <w:sz w:val="30"/>
      <w:szCs w:val="30"/>
    </w:rPr>
  </w:style>
  <w:style w:type="character" w:customStyle="1" w:styleId="15">
    <w:name w:val="Body text (2)_"/>
    <w:link w:val="14"/>
    <w:qFormat/>
    <w:uiPriority w:val="99"/>
    <w:rPr>
      <w:rFonts w:ascii="MingLiU" w:hAnsi="Calibri" w:eastAsia="MingLiU" w:cs="MingLiU"/>
      <w:sz w:val="30"/>
      <w:szCs w:val="30"/>
    </w:rPr>
  </w:style>
  <w:style w:type="paragraph" w:styleId="16">
    <w:name w:val="List Paragraph"/>
    <w:basedOn w:val="1"/>
    <w:qFormat/>
    <w:uiPriority w:val="1"/>
    <w:pPr>
      <w:ind w:left="120" w:firstLine="640"/>
    </w:pPr>
    <w:rPr>
      <w:rFonts w:ascii="方正仿宋_GBK" w:hAnsi="方正仿宋_GBK" w:eastAsia="方正仿宋_GBK" w:cs="方正仿宋_GBK"/>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4823</Words>
  <Characters>27494</Characters>
  <Lines>229</Lines>
  <Paragraphs>64</Paragraphs>
  <TotalTime>23</TotalTime>
  <ScaleCrop>false</ScaleCrop>
  <LinksUpToDate>false</LinksUpToDate>
  <CharactersWithSpaces>32253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AQ</dc:creator>
  <cp:lastModifiedBy>黄同学</cp:lastModifiedBy>
  <cp:lastPrinted>2023-08-01T02:38:00Z</cp:lastPrinted>
  <dcterms:modified xsi:type="dcterms:W3CDTF">2023-08-24T06:53:11Z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CD1161AD30CD4EBFA5A423BF0A7D2FF6</vt:lpwstr>
  </property>
</Properties>
</file>