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南区2号货站北面卫生间排污管道改造项目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37</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南区2号货站北面卫生间排污管道改造项目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且具有建筑施工总承包三级及以上资质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2.1南区2号货站北面卫生间排污管道改造长度约30m；</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保护性拆除卫生间内铝合金金属隔断，铲除整个卫生间地面面层、墙砖（离地至少300mm）至结构层，找到洗手盆排污管道和蹲位排污管道（平均距离地面开挖长度、宽度及深度共计约为15m*500mm*600mm），找到主排污管（距离地面开挖长度、宽度及深度约为15m*500mm*1300mm）；</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2.1.2重新安装更换洗手盆排污管道DN50（长度约为6m）、蹲位排污管道DN110（长度约为9m）、主排污管DN160（长度约为15m），安装完成后进行灌水观察，确保管道连接处牢固耐用无漏水；</w:t>
      </w:r>
    </w:p>
    <w:p>
      <w:p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2.1.3卫生间回填层约75㎡，人工夯实时做好排污管道保护工作。用</w:t>
      </w:r>
      <w:r>
        <w:rPr>
          <w:rFonts w:hint="eastAsia" w:ascii="仿宋" w:hAnsi="仿宋" w:eastAsia="仿宋"/>
          <w:color w:val="000000" w:themeColor="text1"/>
          <w:sz w:val="28"/>
          <w:szCs w:val="28"/>
          <w:lang w:val="en-US" w:eastAsia="zh-CN"/>
        </w:rPr>
        <w:t>新做水泥砂浆（1:3水泥砂浆）对地面和拆除墙面进行找平，待找平层风干后涂刷防水涂料，防水涂料须涂抹均匀到位。</w:t>
      </w:r>
    </w:p>
    <w:p>
      <w:pPr>
        <w:numPr>
          <w:ilvl w:val="0"/>
          <w:numId w:val="0"/>
        </w:numPr>
        <w:ind w:firstLine="560" w:firstLineChars="200"/>
        <w:rPr>
          <w:rFonts w:hint="eastAsia" w:ascii="仿宋" w:hAnsi="仿宋" w:eastAsia="仿宋"/>
          <w:color w:val="000000" w:themeColor="text1"/>
          <w:sz w:val="28"/>
          <w:szCs w:val="28"/>
          <w:highlight w:val="none"/>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2.1.4用</w:t>
      </w:r>
      <w:r>
        <w:rPr>
          <w:rFonts w:hint="eastAsia" w:ascii="仿宋" w:hAnsi="仿宋" w:eastAsia="仿宋"/>
          <w:color w:val="000000" w:themeColor="text1"/>
          <w:sz w:val="28"/>
          <w:szCs w:val="28"/>
          <w:lang w:val="en-US" w:eastAsia="zh-CN"/>
        </w:rPr>
        <w:t>1.5mm厚聚氨酯（非焦油）将整个地面及拆除墙面涂膜防水两层，卫生间</w:t>
      </w:r>
      <w:r>
        <w:rPr>
          <w:rFonts w:hint="eastAsia" w:ascii="仿宋" w:hAnsi="仿宋" w:eastAsia="仿宋"/>
          <w:color w:val="000000" w:themeColor="text1"/>
          <w:sz w:val="28"/>
          <w:szCs w:val="28"/>
          <w:highlight w:val="none"/>
          <w:lang w:val="en-US" w:eastAsia="zh-CN"/>
        </w:rPr>
        <w:t>防水工序完成后，应按规范进行闭水试验。闭水试验时须通知甲方到场，闭水试验时间为24小时，若闭水试验失败，乙方应处理合格后再进行闭水试验直至达到预期效果为止；</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2.1.5恢复蹲位蹲便器地面两处、地砖、墙砖、地漏及铝合金隔断（其中蹲便器、地砖、墙砖地漏换新，规格尺寸与卫生间拆除原有设施保持一致，铝合金隔断材料利旧），地面须坡向地漏口，保证地面排水流畅，不积水，所有卫生间设施设备均恢复正常可用。</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38822.92</w:t>
      </w:r>
      <w:r>
        <w:rPr>
          <w:rFonts w:hint="eastAsia" w:ascii="仿宋_GB2312" w:eastAsia="仿宋_GB2312"/>
          <w:sz w:val="28"/>
          <w:szCs w:val="28"/>
        </w:rPr>
        <w:t>元（大写:</w:t>
      </w:r>
      <w:r>
        <w:rPr>
          <w:rFonts w:hint="eastAsia" w:ascii="仿宋_GB2312" w:eastAsia="仿宋_GB2312"/>
          <w:sz w:val="28"/>
          <w:szCs w:val="28"/>
          <w:lang w:val="en-US" w:eastAsia="zh-CN"/>
        </w:rPr>
        <w:t xml:space="preserve"> 叁万捌仟捌佰贰拾贰元玖角贰分</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25</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pStyle w:val="23"/>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8</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25</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16</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25</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16</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w:t>
      </w:r>
      <w:bookmarkStart w:id="2" w:name="_GoBack"/>
      <w:bookmarkEnd w:id="2"/>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5290211"/>
    <w:rsid w:val="06FB3AE8"/>
    <w:rsid w:val="076E380E"/>
    <w:rsid w:val="081E0977"/>
    <w:rsid w:val="094F3001"/>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56E1005"/>
    <w:rsid w:val="15A0690C"/>
    <w:rsid w:val="163E130D"/>
    <w:rsid w:val="177924A5"/>
    <w:rsid w:val="179F759C"/>
    <w:rsid w:val="18F40524"/>
    <w:rsid w:val="1A2247F0"/>
    <w:rsid w:val="1A5D5310"/>
    <w:rsid w:val="1A827BA2"/>
    <w:rsid w:val="1B7D6E67"/>
    <w:rsid w:val="1BBF3015"/>
    <w:rsid w:val="1C5B6314"/>
    <w:rsid w:val="1D4F54FD"/>
    <w:rsid w:val="1E622522"/>
    <w:rsid w:val="1F51106F"/>
    <w:rsid w:val="1FF368CC"/>
    <w:rsid w:val="2077623E"/>
    <w:rsid w:val="20BD15B6"/>
    <w:rsid w:val="21B9289A"/>
    <w:rsid w:val="21CE745E"/>
    <w:rsid w:val="21F54E33"/>
    <w:rsid w:val="22251D9E"/>
    <w:rsid w:val="24962DAF"/>
    <w:rsid w:val="25130BAE"/>
    <w:rsid w:val="254B0C2C"/>
    <w:rsid w:val="256F6ADD"/>
    <w:rsid w:val="25944957"/>
    <w:rsid w:val="260F4E2C"/>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E45C63"/>
    <w:rsid w:val="31097CFF"/>
    <w:rsid w:val="318D027E"/>
    <w:rsid w:val="31B718EC"/>
    <w:rsid w:val="31C74E8E"/>
    <w:rsid w:val="3317335F"/>
    <w:rsid w:val="33F31437"/>
    <w:rsid w:val="34A54157"/>
    <w:rsid w:val="355F170B"/>
    <w:rsid w:val="364A14F4"/>
    <w:rsid w:val="36DF1A24"/>
    <w:rsid w:val="38F67EE5"/>
    <w:rsid w:val="390E1A8E"/>
    <w:rsid w:val="393D4A5E"/>
    <w:rsid w:val="3A140F9B"/>
    <w:rsid w:val="3AE76E8F"/>
    <w:rsid w:val="3B7454DA"/>
    <w:rsid w:val="3BCB39B7"/>
    <w:rsid w:val="3C804994"/>
    <w:rsid w:val="3CEC5442"/>
    <w:rsid w:val="3E101D1E"/>
    <w:rsid w:val="3E432362"/>
    <w:rsid w:val="400B2DE2"/>
    <w:rsid w:val="415426A8"/>
    <w:rsid w:val="42EA058A"/>
    <w:rsid w:val="46332FA5"/>
    <w:rsid w:val="465D5950"/>
    <w:rsid w:val="477404A3"/>
    <w:rsid w:val="480609B0"/>
    <w:rsid w:val="48B21D24"/>
    <w:rsid w:val="48CC7324"/>
    <w:rsid w:val="49F06EFA"/>
    <w:rsid w:val="49F46FE7"/>
    <w:rsid w:val="4AA76173"/>
    <w:rsid w:val="4B5D694B"/>
    <w:rsid w:val="4C6F7BDC"/>
    <w:rsid w:val="4CA24874"/>
    <w:rsid w:val="4CD54398"/>
    <w:rsid w:val="4D2B63BA"/>
    <w:rsid w:val="4E8D3356"/>
    <w:rsid w:val="4F304639"/>
    <w:rsid w:val="4F3D1563"/>
    <w:rsid w:val="50DB6BB1"/>
    <w:rsid w:val="518D3273"/>
    <w:rsid w:val="526715A5"/>
    <w:rsid w:val="5360664C"/>
    <w:rsid w:val="53C12F86"/>
    <w:rsid w:val="548C7610"/>
    <w:rsid w:val="550C040F"/>
    <w:rsid w:val="557D6628"/>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F65C4A"/>
    <w:rsid w:val="63300980"/>
    <w:rsid w:val="64352713"/>
    <w:rsid w:val="64551176"/>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DC667F0"/>
    <w:rsid w:val="6DD012E1"/>
    <w:rsid w:val="6E0B1A73"/>
    <w:rsid w:val="6E2454D0"/>
    <w:rsid w:val="6ECA2CBC"/>
    <w:rsid w:val="6F5C50FC"/>
    <w:rsid w:val="6F8B1FE2"/>
    <w:rsid w:val="702C32F4"/>
    <w:rsid w:val="70387630"/>
    <w:rsid w:val="70DE5E26"/>
    <w:rsid w:val="72122479"/>
    <w:rsid w:val="727F03E4"/>
    <w:rsid w:val="738721C8"/>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9</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2023-08-23T01:38:57Z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