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南区1号货站空侧待装区雨棚漏雨维修项目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33</w:t>
      </w:r>
    </w:p>
    <w:p>
      <w:pPr>
        <w:pStyle w:val="2"/>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七</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南区1号货站空侧待装区雨棚漏雨维修项目</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w:t>
      </w:r>
      <w:r>
        <w:rPr>
          <w:rFonts w:hint="eastAsia" w:ascii="仿宋_GB2312" w:eastAsia="仿宋_GB2312"/>
          <w:sz w:val="28"/>
          <w:szCs w:val="28"/>
          <w:lang w:val="en-US" w:eastAsia="zh-CN"/>
        </w:rPr>
        <w:t>相关</w:t>
      </w:r>
      <w:r>
        <w:rPr>
          <w:rFonts w:hint="eastAsia" w:ascii="仿宋_GB2312" w:eastAsia="仿宋_GB2312"/>
          <w:sz w:val="28"/>
          <w:szCs w:val="28"/>
        </w:rPr>
        <w:t>资质</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2.1定制镀锌接水槽1条（共计长约18000mm*上宽约900mm*底宽约200mm*斜边长约500mm*厚约1.5mm*斜边与槽底夹角约为45°）；</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2.1.1接水槽需涂刷防锈底漆，待底漆风干后涂刷防锈面漆，确保防锈漆涂刷光滑均匀；</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2.1.2镀锌接水槽一侧安装固定在雨棚下方原有拉杆上，另一侧安装固定在直径约20mm镀锌管（共计长约20000mm）上，接水槽安装须保持一定斜度，确保槽内流水顺畅无积水；</w:t>
      </w:r>
    </w:p>
    <w:p>
      <w:pPr>
        <w:ind w:firstLine="560"/>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2.1.3接水槽拼接成型后，搭头处采用拉铆钉加固及耐候结构胶密封严实，确保整体无松动渗水。</w:t>
      </w:r>
    </w:p>
    <w:p>
      <w:pPr>
        <w:ind w:left="559" w:leftChars="266" w:firstLine="0" w:firstLineChars="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2.2定制安装镀锌接水盘4个（共计长约1000mm*宽约1000m*</w:t>
      </w:r>
    </w:p>
    <w:p>
      <w:pPr>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高约80mm*厚约1.5mm），接水盘预留直径约20mm排水口；</w:t>
      </w:r>
    </w:p>
    <w:p>
      <w:pPr>
        <w:pStyle w:val="2"/>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2.2.1接水盘需涂刷防锈底漆，待底漆风干后涂刷防锈面漆，确</w:t>
      </w:r>
    </w:p>
    <w:p>
      <w:pPr>
        <w:pStyle w:val="2"/>
        <w:jc w:val="both"/>
        <w:rPr>
          <w:rFonts w:hint="eastAsia"/>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保防锈漆涂刷光滑均匀；</w:t>
      </w:r>
    </w:p>
    <w:p>
      <w:p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2.2.2镀锌接水盘一侧安装固定在雨棚下方原有拉杆上，另一侧安装固定在直径约20mm镀锌管（共计长约25000mm）上，采用直径50PVC排水管（共计长约15000mm）引流至原有主排水管；</w:t>
      </w:r>
    </w:p>
    <w:p>
      <w:p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2.2.3镀锌接水盘须安装牢固，PVC排水管管件接头应充分涂刷密封胶不得渗水。</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2.3镀锌接水盘、接水槽需安装固定在待装区雨棚漏雨点正下方，若安装位置不恰当且仍有漏雨，质保期内乙方须无偿对接水盘进行加固调整。</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3.1在项目实施时，须提前办理隔离区人员通行证件及工具、耗材等限制物品审批手续。</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color w:val="000000"/>
          <w:sz w:val="28"/>
          <w:szCs w:val="28"/>
          <w:lang w:val="en-US" w:eastAsia="zh-CN"/>
        </w:rPr>
        <w:t>施工涉及高空作业，高空作业时须严格遵守操作章程，佩戴安全绳安全帽，并安排专人做好安全防护。</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13559.07</w:t>
      </w:r>
      <w:r>
        <w:rPr>
          <w:rFonts w:hint="eastAsia" w:ascii="仿宋_GB2312" w:eastAsia="仿宋_GB2312"/>
          <w:sz w:val="28"/>
          <w:szCs w:val="28"/>
        </w:rPr>
        <w:t>元（大写:</w:t>
      </w:r>
      <w:r>
        <w:rPr>
          <w:rFonts w:hint="eastAsia" w:ascii="仿宋_GB2312" w:eastAsia="仿宋_GB2312"/>
          <w:sz w:val="28"/>
          <w:szCs w:val="28"/>
          <w:lang w:val="en-US" w:eastAsia="zh-CN"/>
        </w:rPr>
        <w:t>壹万叁仟伍佰伍拾玖元零柒分</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8</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2</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pStyle w:val="23"/>
        <w:ind w:firstLine="600"/>
        <w:rPr>
          <w:rFonts w:hint="eastAsia" w:hAnsi="宋体" w:cs="Times New Roman"/>
          <w:b w:val="0"/>
          <w:bCs/>
          <w:color w:val="000000"/>
          <w:kern w:val="2"/>
          <w:sz w:val="28"/>
          <w:szCs w:val="28"/>
          <w:highlight w:val="none"/>
          <w:lang w:val="en-US" w:eastAsia="zh-CN" w:bidi="ar-SA"/>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履约保证金为合同总价款的8%，在收到成交通知书10日内足额缴纳。该项目在合同工期内全部完工，待验收合格后</w:t>
      </w:r>
      <w:r>
        <w:rPr>
          <w:rFonts w:hint="eastAsia" w:hAnsi="宋体" w:cs="Times New Roman"/>
          <w:b w:val="0"/>
          <w:bCs/>
          <w:color w:val="000000"/>
          <w:kern w:val="2"/>
          <w:sz w:val="28"/>
          <w:szCs w:val="28"/>
          <w:highlight w:val="none"/>
          <w:lang w:val="en-US" w:eastAsia="zh-CN" w:bidi="ar-SA"/>
        </w:rPr>
        <w:t>3</w:t>
      </w:r>
      <w:r>
        <w:rPr>
          <w:rFonts w:hint="eastAsia" w:ascii="仿宋_GB2312" w:hAnsi="宋体" w:eastAsia="仿宋_GB2312" w:cs="Times New Roman"/>
          <w:b w:val="0"/>
          <w:bCs/>
          <w:color w:val="000000"/>
          <w:kern w:val="2"/>
          <w:sz w:val="28"/>
          <w:szCs w:val="28"/>
          <w:highlight w:val="none"/>
          <w:lang w:val="en-US" w:eastAsia="zh-CN" w:bidi="ar-SA"/>
        </w:rPr>
        <w:t>0个工作日内一次性无息退还。因承包人原因造成违约，则按合同相应条款扣除违约金后予以退还</w:t>
      </w:r>
      <w:r>
        <w:rPr>
          <w:rFonts w:hint="eastAsia" w:hAnsi="宋体" w:cs="Times New Roman"/>
          <w:b w:val="0"/>
          <w:bCs/>
          <w:color w:val="000000"/>
          <w:kern w:val="2"/>
          <w:sz w:val="28"/>
          <w:szCs w:val="28"/>
          <w:highlight w:val="none"/>
          <w:lang w:val="en-US" w:eastAsia="zh-CN" w:bidi="ar-SA"/>
        </w:rPr>
        <w:t>。</w:t>
      </w:r>
    </w:p>
    <w:p>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收款单位：重庆机场集团有限公司航空物流园发展分公司</w:t>
      </w:r>
    </w:p>
    <w:p>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开户银行：建设银行重庆渝北机场支行</w:t>
      </w:r>
    </w:p>
    <w:p>
      <w:pPr>
        <w:adjustRightInd w:val="0"/>
        <w:snapToGrid w:val="0"/>
        <w:spacing w:line="360" w:lineRule="auto"/>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银行账号：50001083800050201417</w:t>
      </w:r>
    </w:p>
    <w:p>
      <w:pPr>
        <w:adjustRightInd w:val="0"/>
        <w:snapToGrid w:val="0"/>
        <w:spacing w:line="360" w:lineRule="auto"/>
        <w:ind w:firstLine="560" w:firstLineChars="200"/>
        <w:rPr>
          <w:rFonts w:hint="default" w:eastAsia="仿宋_GB2312"/>
          <w:highlight w:val="none"/>
          <w:lang w:val="en-US" w:eastAsia="zh-CN"/>
        </w:rPr>
      </w:pPr>
      <w:r>
        <w:rPr>
          <w:rFonts w:hint="eastAsia" w:ascii="方正仿宋_GBK" w:hAnsi="方正仿宋_GBK" w:eastAsia="方正仿宋_GBK" w:cs="方正仿宋_GBK"/>
          <w:kern w:val="0"/>
          <w:sz w:val="28"/>
          <w:szCs w:val="28"/>
          <w:highlight w:val="none"/>
        </w:rPr>
        <w:t>开户行联行号：105653014033</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20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8</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2</w:t>
      </w:r>
      <w:r>
        <w:rPr>
          <w:rFonts w:hint="eastAsia" w:ascii="仿宋_GB2312" w:hAnsi="Times New Roman" w:eastAsia="仿宋_GB2312" w:cs="Times New Roman"/>
          <w:color w:val="000000"/>
          <w:sz w:val="28"/>
          <w:szCs w:val="28"/>
          <w:lang w:val="zh-CN"/>
        </w:rPr>
        <w:t>日</w:t>
      </w:r>
      <w:bookmarkStart w:id="2" w:name="_GoBack"/>
      <w:bookmarkEnd w:id="2"/>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40851104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hint="eastAsia"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E330064A"/>
    <w:multiLevelType w:val="singleLevel"/>
    <w:tmpl w:val="E330064A"/>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multilevel"/>
    <w:tmpl w:val="6DBAA9C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CD739C"/>
    <w:rsid w:val="03A542BD"/>
    <w:rsid w:val="03C269B9"/>
    <w:rsid w:val="05290211"/>
    <w:rsid w:val="06FB3AE8"/>
    <w:rsid w:val="076E380E"/>
    <w:rsid w:val="081E0977"/>
    <w:rsid w:val="094F3001"/>
    <w:rsid w:val="09C2047E"/>
    <w:rsid w:val="09CF6937"/>
    <w:rsid w:val="0AE22BF0"/>
    <w:rsid w:val="0B7A1EEA"/>
    <w:rsid w:val="0BD5582F"/>
    <w:rsid w:val="0DB86A62"/>
    <w:rsid w:val="0F0B33E8"/>
    <w:rsid w:val="10382BA5"/>
    <w:rsid w:val="11143410"/>
    <w:rsid w:val="112F6D66"/>
    <w:rsid w:val="114C6F03"/>
    <w:rsid w:val="11F307DC"/>
    <w:rsid w:val="12193BE1"/>
    <w:rsid w:val="12256D04"/>
    <w:rsid w:val="12D446AC"/>
    <w:rsid w:val="12F53E94"/>
    <w:rsid w:val="156E1005"/>
    <w:rsid w:val="15A0690C"/>
    <w:rsid w:val="163E130D"/>
    <w:rsid w:val="177924A5"/>
    <w:rsid w:val="179F759C"/>
    <w:rsid w:val="18F40524"/>
    <w:rsid w:val="1A2247F0"/>
    <w:rsid w:val="1A5D5310"/>
    <w:rsid w:val="1A827BA2"/>
    <w:rsid w:val="1B7D6E67"/>
    <w:rsid w:val="1BBF3015"/>
    <w:rsid w:val="1C5B6314"/>
    <w:rsid w:val="1E622522"/>
    <w:rsid w:val="1F51106F"/>
    <w:rsid w:val="1FF368CC"/>
    <w:rsid w:val="2077623E"/>
    <w:rsid w:val="20BD15B6"/>
    <w:rsid w:val="21B9289A"/>
    <w:rsid w:val="21CE745E"/>
    <w:rsid w:val="21F54E33"/>
    <w:rsid w:val="22251D9E"/>
    <w:rsid w:val="24962DAF"/>
    <w:rsid w:val="254B0C2C"/>
    <w:rsid w:val="256F6ADD"/>
    <w:rsid w:val="25944957"/>
    <w:rsid w:val="260F4E2C"/>
    <w:rsid w:val="27AC1AD0"/>
    <w:rsid w:val="27FB020E"/>
    <w:rsid w:val="281B0B35"/>
    <w:rsid w:val="28AE59C9"/>
    <w:rsid w:val="29326A7A"/>
    <w:rsid w:val="29E879CA"/>
    <w:rsid w:val="2A617ADD"/>
    <w:rsid w:val="2ACE1FD7"/>
    <w:rsid w:val="2B0D40DE"/>
    <w:rsid w:val="2B9751CC"/>
    <w:rsid w:val="2BB52E41"/>
    <w:rsid w:val="2DB914F0"/>
    <w:rsid w:val="2DE74F72"/>
    <w:rsid w:val="2E2F0953"/>
    <w:rsid w:val="2E7D2606"/>
    <w:rsid w:val="304269F9"/>
    <w:rsid w:val="30E45C63"/>
    <w:rsid w:val="31097CFF"/>
    <w:rsid w:val="318D027E"/>
    <w:rsid w:val="31B718EC"/>
    <w:rsid w:val="31C74E8E"/>
    <w:rsid w:val="3317335F"/>
    <w:rsid w:val="33F31437"/>
    <w:rsid w:val="355F170B"/>
    <w:rsid w:val="364A14F4"/>
    <w:rsid w:val="36DF1A24"/>
    <w:rsid w:val="390E1A8E"/>
    <w:rsid w:val="393D4A5E"/>
    <w:rsid w:val="3A140F9B"/>
    <w:rsid w:val="3AE76E8F"/>
    <w:rsid w:val="3B7454DA"/>
    <w:rsid w:val="3BCB39B7"/>
    <w:rsid w:val="3C804994"/>
    <w:rsid w:val="3CEC5442"/>
    <w:rsid w:val="3E101D1E"/>
    <w:rsid w:val="3E432362"/>
    <w:rsid w:val="400B2DE2"/>
    <w:rsid w:val="415426A8"/>
    <w:rsid w:val="42EA058A"/>
    <w:rsid w:val="46332FA5"/>
    <w:rsid w:val="465D5950"/>
    <w:rsid w:val="477404A3"/>
    <w:rsid w:val="480609B0"/>
    <w:rsid w:val="48B21D24"/>
    <w:rsid w:val="48CC7324"/>
    <w:rsid w:val="49F06EFA"/>
    <w:rsid w:val="49F46FE7"/>
    <w:rsid w:val="4AA76173"/>
    <w:rsid w:val="4B5D694B"/>
    <w:rsid w:val="4C6F7BDC"/>
    <w:rsid w:val="4CA24874"/>
    <w:rsid w:val="4CD54398"/>
    <w:rsid w:val="4D2B63BA"/>
    <w:rsid w:val="4E8D3356"/>
    <w:rsid w:val="4F304639"/>
    <w:rsid w:val="50DB6BB1"/>
    <w:rsid w:val="518D3273"/>
    <w:rsid w:val="526715A5"/>
    <w:rsid w:val="5360664C"/>
    <w:rsid w:val="53C12F86"/>
    <w:rsid w:val="548C7610"/>
    <w:rsid w:val="550C040F"/>
    <w:rsid w:val="557D6628"/>
    <w:rsid w:val="56811338"/>
    <w:rsid w:val="56AB1D99"/>
    <w:rsid w:val="573E25C6"/>
    <w:rsid w:val="57AD4B2A"/>
    <w:rsid w:val="57B32171"/>
    <w:rsid w:val="58312386"/>
    <w:rsid w:val="58F2585E"/>
    <w:rsid w:val="58F46DD8"/>
    <w:rsid w:val="59D42EB5"/>
    <w:rsid w:val="5B9117E1"/>
    <w:rsid w:val="5BF32BD4"/>
    <w:rsid w:val="5BF615BC"/>
    <w:rsid w:val="5CD94274"/>
    <w:rsid w:val="5D2A65F2"/>
    <w:rsid w:val="5D2D231E"/>
    <w:rsid w:val="5DA75851"/>
    <w:rsid w:val="5DFF3AC4"/>
    <w:rsid w:val="5E577DBE"/>
    <w:rsid w:val="5E9F1AC6"/>
    <w:rsid w:val="5F947D80"/>
    <w:rsid w:val="5F9750B7"/>
    <w:rsid w:val="6006041D"/>
    <w:rsid w:val="60BD4615"/>
    <w:rsid w:val="61B573F5"/>
    <w:rsid w:val="62F65C4A"/>
    <w:rsid w:val="63300980"/>
    <w:rsid w:val="64352713"/>
    <w:rsid w:val="6495010E"/>
    <w:rsid w:val="677D0564"/>
    <w:rsid w:val="67DA1534"/>
    <w:rsid w:val="67E65A7C"/>
    <w:rsid w:val="68B83512"/>
    <w:rsid w:val="68BB21E9"/>
    <w:rsid w:val="68C369BF"/>
    <w:rsid w:val="6A287C64"/>
    <w:rsid w:val="6A6E2F54"/>
    <w:rsid w:val="6ABF7608"/>
    <w:rsid w:val="6B5A0BF5"/>
    <w:rsid w:val="6BA910E4"/>
    <w:rsid w:val="6BE75546"/>
    <w:rsid w:val="6C977C55"/>
    <w:rsid w:val="6CD4529E"/>
    <w:rsid w:val="6E0B1A73"/>
    <w:rsid w:val="6E2454D0"/>
    <w:rsid w:val="6ECA2CBC"/>
    <w:rsid w:val="6F5C50FC"/>
    <w:rsid w:val="6F8B1FE2"/>
    <w:rsid w:val="702C32F4"/>
    <w:rsid w:val="70387630"/>
    <w:rsid w:val="70DE5E26"/>
    <w:rsid w:val="727F03E4"/>
    <w:rsid w:val="738721C8"/>
    <w:rsid w:val="7433707F"/>
    <w:rsid w:val="76B30158"/>
    <w:rsid w:val="77A24F9E"/>
    <w:rsid w:val="77AB5A92"/>
    <w:rsid w:val="77C55665"/>
    <w:rsid w:val="78135ED4"/>
    <w:rsid w:val="78E03EA1"/>
    <w:rsid w:val="78FE4116"/>
    <w:rsid w:val="790C0EE6"/>
    <w:rsid w:val="79217A26"/>
    <w:rsid w:val="79557A24"/>
    <w:rsid w:val="798A3C0A"/>
    <w:rsid w:val="7A715172"/>
    <w:rsid w:val="7BA2135B"/>
    <w:rsid w:val="7C231216"/>
    <w:rsid w:val="7C695AC3"/>
    <w:rsid w:val="7C7A3E81"/>
    <w:rsid w:val="7C7F1857"/>
    <w:rsid w:val="7D991662"/>
    <w:rsid w:val="7E1857A6"/>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6</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2023-07-25T01:03:00Z</cp:lastPrinted>
  <dcterms:modified xsi:type="dcterms:W3CDTF">2023-07-26T07:43:25Z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