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香薰精油采购项目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比选文件（有效最低报价）</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二〇二三年</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六</w:t>
      </w:r>
      <w:r>
        <w:rPr>
          <w:rFonts w:hint="eastAsia" w:ascii="仿宋_GB2312" w:hAnsi="仿宋_GB2312" w:eastAsia="仿宋_GB2312" w:cs="仿宋_GB2312"/>
          <w:color w:val="000000" w:themeColor="text1"/>
          <w:sz w:val="36"/>
          <w:szCs w:val="36"/>
          <w14:textFill>
            <w14:solidFill>
              <w14:schemeClr w14:val="tx1"/>
            </w14:solidFill>
          </w14:textFill>
        </w:rPr>
        <w:t>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香薰精油采购项目比选文件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航站楼要客区及两舱贵宾室使用扩香系统进行香薰精油雾化熏香的项目邀请符合相应条件的供应商就本项目进行比选。</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2"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1.1.2具备有效的营业执照和相关经营范围（提供有效的营业执照复印件加盖企业鲜章）。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1.1.3拥有足以保证本项目得以正常实施的专业技术、设备、物资，健全的售后服务管理制度，充足的维护人员队伍。</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被授权人身份证复印件（原件备查）。</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1.2.1项目简介：为重庆江北机场T2、T3航站楼要客区、两舱贵宾室提供香薰精油。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pStyle w:val="2"/>
        <w:jc w:val="center"/>
        <w:rPr>
          <w:sz w:val="28"/>
          <w:szCs w:val="28"/>
        </w:rPr>
      </w:pPr>
      <w:r>
        <w:rPr>
          <w:rFonts w:hint="eastAsia"/>
          <w:sz w:val="28"/>
          <w:szCs w:val="28"/>
        </w:rPr>
        <w:t>香薰精油统计表</w:t>
      </w:r>
    </w:p>
    <w:tbl>
      <w:tblPr>
        <w:tblStyle w:val="12"/>
        <w:tblW w:w="8786" w:type="dxa"/>
        <w:jc w:val="center"/>
        <w:tblInd w:w="0" w:type="dxa"/>
        <w:tblLayout w:type="fixed"/>
        <w:tblCellMar>
          <w:top w:w="0" w:type="dxa"/>
          <w:left w:w="108" w:type="dxa"/>
          <w:bottom w:w="0" w:type="dxa"/>
          <w:right w:w="108" w:type="dxa"/>
        </w:tblCellMar>
      </w:tblPr>
      <w:tblGrid>
        <w:gridCol w:w="2410"/>
        <w:gridCol w:w="1701"/>
        <w:gridCol w:w="1602"/>
        <w:gridCol w:w="3073"/>
      </w:tblGrid>
      <w:tr>
        <w:tblPrEx>
          <w:tblLayout w:type="fixed"/>
          <w:tblCellMar>
            <w:top w:w="0" w:type="dxa"/>
            <w:left w:w="108" w:type="dxa"/>
            <w:bottom w:w="0" w:type="dxa"/>
            <w:right w:w="108" w:type="dxa"/>
          </w:tblCellMar>
        </w:tblPrEx>
        <w:trPr>
          <w:trHeight w:val="720" w:hRule="atLeast"/>
          <w:jc w:val="center"/>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设备型号</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307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Layout w:type="fixed"/>
          <w:tblCellMar>
            <w:top w:w="0" w:type="dxa"/>
            <w:left w:w="108" w:type="dxa"/>
            <w:bottom w:w="0" w:type="dxa"/>
            <w:right w:w="108" w:type="dxa"/>
          </w:tblCellMar>
        </w:tblPrEx>
        <w:trPr>
          <w:trHeight w:val="586" w:hRule="atLeast"/>
          <w:jc w:val="center"/>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香薰精油</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00ML/</w:t>
            </w:r>
            <w:r>
              <w:rPr>
                <w:rFonts w:hint="eastAsia" w:ascii="宋体" w:hAnsi="宋体" w:cs="宋体"/>
                <w:color w:val="000000"/>
                <w:kern w:val="0"/>
                <w:sz w:val="24"/>
              </w:rPr>
              <w:t>瓶</w:t>
            </w: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312</w:t>
            </w:r>
          </w:p>
        </w:tc>
        <w:tc>
          <w:tcPr>
            <w:tcW w:w="307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提供香味香型库（包含但不限于古龙、咖啡、蓝风铃、白茶、蓝色海洋等香味</w:t>
            </w:r>
          </w:p>
        </w:tc>
      </w:tr>
      <w:tr>
        <w:tblPrEx>
          <w:tblLayout w:type="fixed"/>
          <w:tblCellMar>
            <w:top w:w="0" w:type="dxa"/>
            <w:left w:w="108" w:type="dxa"/>
            <w:bottom w:w="0" w:type="dxa"/>
            <w:right w:w="108" w:type="dxa"/>
          </w:tblCellMar>
        </w:tblPrEx>
        <w:trPr>
          <w:trHeight w:val="655" w:hRule="atLeast"/>
          <w:jc w:val="center"/>
        </w:trPr>
        <w:tc>
          <w:tcPr>
            <w:tcW w:w="241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000ML</w:t>
            </w:r>
          </w:p>
        </w:tc>
        <w:tc>
          <w:tcPr>
            <w:tcW w:w="1602"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2台</w:t>
            </w:r>
          </w:p>
        </w:tc>
        <w:tc>
          <w:tcPr>
            <w:tcW w:w="3073" w:type="dxa"/>
            <w:tcBorders>
              <w:top w:val="single" w:color="auto" w:sz="4" w:space="0"/>
              <w:left w:val="nil"/>
              <w:bottom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r>
        <w:tblPrEx>
          <w:tblLayout w:type="fixed"/>
          <w:tblCellMar>
            <w:top w:w="0" w:type="dxa"/>
            <w:left w:w="108" w:type="dxa"/>
            <w:bottom w:w="0" w:type="dxa"/>
            <w:right w:w="108" w:type="dxa"/>
          </w:tblCellMar>
        </w:tblPrEx>
        <w:trPr>
          <w:trHeight w:val="708" w:hRule="atLeast"/>
          <w:jc w:val="center"/>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500ML</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r>
              <w:rPr>
                <w:rFonts w:hint="eastAsia" w:ascii="宋体" w:hAnsi="宋体" w:cs="宋体"/>
                <w:color w:val="000000"/>
                <w:kern w:val="0"/>
                <w:sz w:val="24"/>
              </w:rPr>
              <w:t>台</w:t>
            </w:r>
          </w:p>
        </w:tc>
        <w:tc>
          <w:tcPr>
            <w:tcW w:w="307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1.2.3本项目的报价应包括：产品单价、运输、维保等费用。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香薰精油项目最高限价（不含税）为人民币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15.6</w:t>
      </w:r>
      <w:r>
        <w:rPr>
          <w:rFonts w:hint="eastAsia" w:ascii="方正仿宋_GBK" w:hAnsi="方正仿宋_GBK" w:eastAsia="方正仿宋_GBK" w:cs="方正仿宋_GBK"/>
          <w:color w:val="000000" w:themeColor="text1"/>
          <w:sz w:val="28"/>
          <w:szCs w:val="28"/>
          <w14:textFill>
            <w14:solidFill>
              <w14:schemeClr w14:val="tx1"/>
            </w14:solidFill>
          </w14:textFill>
        </w:rPr>
        <w:t>万元（大写金额：</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壹拾伍万陆仟元整</w:t>
      </w:r>
      <w:bookmarkStart w:id="1" w:name="_GoBack"/>
      <w:bookmarkEnd w:id="1"/>
      <w:r>
        <w:rPr>
          <w:rFonts w:hint="eastAsia" w:ascii="方正仿宋_GBK" w:hAnsi="方正仿宋_GBK" w:eastAsia="方正仿宋_GBK" w:cs="方正仿宋_GBK"/>
          <w:color w:val="000000" w:themeColor="text1"/>
          <w:sz w:val="28"/>
          <w:szCs w:val="28"/>
          <w14:textFill>
            <w14:solidFill>
              <w14:schemeClr w14:val="tx1"/>
            </w14:solidFill>
          </w14:textFill>
        </w:rPr>
        <w:t>），超过最高限价，将取消比选响应方的比选资格。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1.2.4.1项目要求：响应人需赠送17台香薰机（其中装载1000ml容量的香薰机2台，装载500ml容量的香薰机15台），香薰机质保三年以上。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1.2.4.2</w:t>
      </w:r>
      <w:r>
        <w:rPr>
          <w:rFonts w:hint="eastAsia" w:ascii="方正仿宋_GBK" w:hAnsi="方正仿宋_GBK" w:eastAsia="方正仿宋_GBK" w:cs="方正仿宋_GBK"/>
          <w:color w:val="000000" w:themeColor="text1"/>
          <w:sz w:val="28"/>
          <w:szCs w:val="28"/>
          <w14:textFill>
            <w14:solidFill>
              <w14:schemeClr w14:val="tx1"/>
            </w14:solidFill>
          </w14:textFill>
        </w:rPr>
        <w:t>响应人提供机器设备的安装技术；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1.2.4.3</w:t>
      </w:r>
      <w:r>
        <w:rPr>
          <w:rFonts w:hint="eastAsia" w:ascii="方正仿宋_GBK" w:hAnsi="方正仿宋_GBK" w:eastAsia="方正仿宋_GBK" w:cs="方正仿宋_GBK"/>
          <w:color w:val="000000" w:themeColor="text1"/>
          <w:sz w:val="28"/>
          <w:szCs w:val="28"/>
          <w14:textFill>
            <w14:solidFill>
              <w14:schemeClr w14:val="tx1"/>
            </w14:solidFill>
          </w14:textFill>
        </w:rPr>
        <w:t>响应人每月定期指派专人添加更换精油并对香薰机设备进行维护；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1.2.4.4</w:t>
      </w:r>
      <w:r>
        <w:rPr>
          <w:rFonts w:hint="eastAsia" w:ascii="方正仿宋_GBK" w:hAnsi="方正仿宋_GBK" w:eastAsia="方正仿宋_GBK" w:cs="方正仿宋_GBK"/>
          <w:color w:val="000000" w:themeColor="text1"/>
          <w:sz w:val="28"/>
          <w:szCs w:val="28"/>
          <w14:textFill>
            <w14:solidFill>
              <w14:schemeClr w14:val="tx1"/>
            </w14:solidFill>
          </w14:textFill>
        </w:rPr>
        <w:t>响应人需提供香味香型库（包含但不限于古龙、咖啡、蓝风铃、白茶、蓝色海洋等香味），供使用方选择。</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响应人具有良好信誉，在以往经营中无任何产品质量、消防安全等方面的不良记录。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1.2.4.6</w:t>
      </w:r>
      <w:r>
        <w:rPr>
          <w:rFonts w:hint="eastAsia" w:ascii="方正仿宋_GBK" w:hAnsi="方正仿宋_GBK" w:eastAsia="方正仿宋_GBK" w:cs="方正仿宋_GBK"/>
          <w:color w:val="000000" w:themeColor="text1"/>
          <w:sz w:val="28"/>
          <w:szCs w:val="28"/>
          <w14:textFill>
            <w14:solidFill>
              <w14:schemeClr w14:val="tx1"/>
            </w14:solidFill>
          </w14:textFill>
        </w:rPr>
        <w:t>响应人需提供进口精油原产地证明，精油进出口报关证明，提供产品质量报告包括不限于SCCP过敏原检测报告，精油SGS检测报告，精油IFRA证书等。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w:t>
      </w:r>
      <w:r>
        <w:rPr>
          <w:rFonts w:ascii="方正仿宋_GBK" w:hAnsi="方正仿宋_GBK" w:eastAsia="方正仿宋_GBK" w:cs="方正仿宋_GBK"/>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w:t>
      </w:r>
      <w:r>
        <w:rPr>
          <w:rFonts w:ascii="方正仿宋_GBK" w:hAnsi="方正仿宋_GBK" w:eastAsia="方正仿宋_GBK" w:cs="方正仿宋_GBK"/>
          <w:color w:val="000000" w:themeColor="text1"/>
          <w:sz w:val="28"/>
          <w:szCs w:val="28"/>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本项目的产品要求参数如下：</w:t>
      </w:r>
    </w:p>
    <w:tbl>
      <w:tblPr>
        <w:tblStyle w:val="12"/>
        <w:tblW w:w="9119" w:type="dxa"/>
        <w:jc w:val="center"/>
        <w:tblInd w:w="0" w:type="dxa"/>
        <w:tblLayout w:type="fixed"/>
        <w:tblCellMar>
          <w:top w:w="0" w:type="dxa"/>
          <w:left w:w="108" w:type="dxa"/>
          <w:bottom w:w="0" w:type="dxa"/>
          <w:right w:w="108" w:type="dxa"/>
        </w:tblCellMar>
      </w:tblPr>
      <w:tblGrid>
        <w:gridCol w:w="2612"/>
        <w:gridCol w:w="1701"/>
        <w:gridCol w:w="1602"/>
        <w:gridCol w:w="3204"/>
      </w:tblGrid>
      <w:tr>
        <w:tblPrEx>
          <w:tblLayout w:type="fixed"/>
          <w:tblCellMar>
            <w:top w:w="0" w:type="dxa"/>
            <w:left w:w="108" w:type="dxa"/>
            <w:bottom w:w="0" w:type="dxa"/>
            <w:right w:w="108" w:type="dxa"/>
          </w:tblCellMar>
        </w:tblPrEx>
        <w:trPr>
          <w:trHeight w:val="720" w:hRule="atLeast"/>
          <w:jc w:val="center"/>
        </w:trPr>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设备型号</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32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Layout w:type="fixed"/>
          <w:tblCellMar>
            <w:top w:w="0" w:type="dxa"/>
            <w:left w:w="108" w:type="dxa"/>
            <w:bottom w:w="0" w:type="dxa"/>
            <w:right w:w="108" w:type="dxa"/>
          </w:tblCellMar>
        </w:tblPrEx>
        <w:trPr>
          <w:trHeight w:val="586" w:hRule="atLeast"/>
          <w:jc w:val="center"/>
        </w:trPr>
        <w:tc>
          <w:tcPr>
            <w:tcW w:w="26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香薰精油</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00ML/</w:t>
            </w:r>
            <w:r>
              <w:rPr>
                <w:rFonts w:hint="eastAsia" w:ascii="宋体" w:hAnsi="宋体" w:cs="宋体"/>
                <w:color w:val="000000"/>
                <w:kern w:val="0"/>
                <w:sz w:val="24"/>
              </w:rPr>
              <w:t>瓶</w:t>
            </w: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12</w:t>
            </w:r>
            <w:r>
              <w:rPr>
                <w:rFonts w:hint="eastAsia" w:ascii="宋体" w:hAnsi="宋体" w:cs="宋体"/>
                <w:color w:val="000000"/>
                <w:kern w:val="0"/>
                <w:sz w:val="24"/>
              </w:rPr>
              <w:t>瓶</w:t>
            </w:r>
          </w:p>
        </w:tc>
        <w:tc>
          <w:tcPr>
            <w:tcW w:w="32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提供香味香型库（包含但不限于古龙、咖啡、蓝风铃、白茶、蓝色海洋等香味</w:t>
            </w:r>
          </w:p>
        </w:tc>
      </w:tr>
      <w:tr>
        <w:tblPrEx>
          <w:tblLayout w:type="fixed"/>
          <w:tblCellMar>
            <w:top w:w="0" w:type="dxa"/>
            <w:left w:w="108" w:type="dxa"/>
            <w:bottom w:w="0" w:type="dxa"/>
            <w:right w:w="108" w:type="dxa"/>
          </w:tblCellMar>
        </w:tblPrEx>
        <w:trPr>
          <w:trHeight w:val="655" w:hRule="atLeast"/>
          <w:jc w:val="center"/>
        </w:trPr>
        <w:tc>
          <w:tcPr>
            <w:tcW w:w="2612"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000ML</w:t>
            </w:r>
          </w:p>
        </w:tc>
        <w:tc>
          <w:tcPr>
            <w:tcW w:w="1602"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2台</w:t>
            </w:r>
          </w:p>
        </w:tc>
        <w:tc>
          <w:tcPr>
            <w:tcW w:w="3204" w:type="dxa"/>
            <w:tcBorders>
              <w:top w:val="single" w:color="auto" w:sz="4" w:space="0"/>
              <w:left w:val="nil"/>
              <w:bottom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r>
        <w:tblPrEx>
          <w:tblLayout w:type="fixed"/>
          <w:tblCellMar>
            <w:top w:w="0" w:type="dxa"/>
            <w:left w:w="108" w:type="dxa"/>
            <w:bottom w:w="0" w:type="dxa"/>
            <w:right w:w="108" w:type="dxa"/>
          </w:tblCellMar>
        </w:tblPrEx>
        <w:trPr>
          <w:trHeight w:val="708" w:hRule="atLeast"/>
          <w:jc w:val="center"/>
        </w:trPr>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500ML</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r>
              <w:rPr>
                <w:rFonts w:hint="eastAsia" w:ascii="宋体" w:hAnsi="宋体" w:cs="宋体"/>
                <w:color w:val="000000"/>
                <w:kern w:val="0"/>
                <w:sz w:val="24"/>
              </w:rPr>
              <w:t>台</w:t>
            </w:r>
          </w:p>
        </w:tc>
        <w:tc>
          <w:tcPr>
            <w:tcW w:w="32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bl>
    <w:p>
      <w:pPr>
        <w:widowControl/>
        <w:spacing w:before="120" w:beforeLines="50" w:after="120" w:afterLines="50"/>
        <w:jc w:val="left"/>
        <w:rPr>
          <w:rFonts w:ascii="方正仿宋_GBK" w:hAnsi="方正仿宋_GBK" w:eastAsia="方正仿宋_GBK" w:cs="方正仿宋_GBK"/>
          <w:color w:val="000000" w:themeColor="text1"/>
          <w:sz w:val="28"/>
          <w:szCs w:val="28"/>
          <w:lang w:val="en-GB"/>
          <w14:textFill>
            <w14:solidFill>
              <w14:schemeClr w14:val="tx1"/>
            </w14:solidFill>
          </w14:textFill>
        </w:rPr>
      </w:pP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备注：提供的精油品牌为IAA、AIR AROMA或E</w:t>
      </w:r>
      <w:r>
        <w:rPr>
          <w:rFonts w:ascii="方正仿宋_GBK" w:hAnsi="方正仿宋_GBK" w:eastAsia="方正仿宋_GBK" w:cs="方正仿宋_GBK"/>
          <w:color w:val="000000" w:themeColor="text1"/>
          <w:sz w:val="28"/>
          <w:szCs w:val="28"/>
          <w:lang w:val="en-GB"/>
          <w14:textFill>
            <w14:solidFill>
              <w14:schemeClr w14:val="tx1"/>
            </w14:solidFill>
          </w14:textFill>
        </w:rPr>
        <w:t>EC</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SCENT等同等价格的品牌。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2.2响应人须提供合格有效的产品质检报告。（提供产品质检报告副本复印件加盖鲜章）。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2.3响应人须承诺能够提供得到甲方认可的日常所需及替换精油种类。（承诺书格式自拟）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2"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3000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7000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元，约为合同不含税总结款的5%，在收到成交通知书10日内缴纳到以下账户，于履约结束后40天内，一次性退还（不计利息）。（不接受任何保函形式）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color w:val="000000" w:themeColor="text1"/>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7.2采用通知送货形式，供货方需在24小时内将香薰精油送达指定位置。</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十二、响应人违约等行为约束要求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 在比选响应有效期内，比选响应人撤销比选响应文件的，其比选响应保证金不予退还。</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 在比选响应有效期内，比选响应人无故放弃成交候选人资格的，其比选响应保证金不予退还，并将被列入采购人黑名单。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 成交人在收到成交通知书后，无正当理由不与采购人订立合同，在签订合同时向采购人提出附加条件，或者不按照采购文件要求提交履约保证金的，其比选响应保证金不予退还，并将被列入采购人黑名单。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注：黑名单有效期3年，被列入黑名单的单位在黑名单有效期内禁止参与采购人的项目。</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十三、异议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十四、监督机构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ascii="方正仿宋_GBK" w:hAnsi="方正仿宋_GBK" w:eastAsia="方正仿宋_GBK" w:cs="方正仿宋_GBK"/>
          <w:color w:val="000000" w:themeColor="text1"/>
          <w:sz w:val="28"/>
          <w:szCs w:val="28"/>
          <w14:textFill>
            <w14:solidFill>
              <w14:schemeClr w14:val="tx1"/>
            </w14:solidFill>
          </w14:textFill>
        </w:rPr>
        <w:t>5031</w:t>
      </w:r>
    </w:p>
    <w:p>
      <w:pPr>
        <w:widowControl/>
        <w:spacing w:before="120" w:beforeLines="50" w:after="120" w:afterLines="50"/>
        <w:ind w:firstLine="562" w:firstLineChars="200"/>
        <w:jc w:val="left"/>
        <w:rPr>
          <w:b/>
          <w:bCs/>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十五、比选时间、地点及结果通知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2023</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.4 比选结果通知：待结果确定后会及时通知，原则上只通知被选中的比选响应人，对未被选中的比选响应人不通知、不解释。</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十六、联系方式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如下表  </w:t>
      </w:r>
      <w:r>
        <w:rPr>
          <w:rFonts w:hint="eastAsia" w:ascii="仿宋_GB2312" w:hAnsi="仿宋_GB2312" w:eastAsia="仿宋_GB2312" w:cs="仿宋_GB2312"/>
          <w:color w:val="000000" w:themeColor="text1"/>
          <w:sz w:val="28"/>
          <w:szCs w:val="28"/>
          <w14:textFill>
            <w14:solidFill>
              <w14:schemeClr w14:val="tx1"/>
            </w14:solidFill>
          </w14:textFill>
        </w:rPr>
        <w:t xml:space="preserve">      （可附清单说明）；</w:t>
      </w:r>
    </w:p>
    <w:tbl>
      <w:tblPr>
        <w:tblStyle w:val="12"/>
        <w:tblW w:w="7168" w:type="dxa"/>
        <w:jc w:val="center"/>
        <w:tblInd w:w="0" w:type="dxa"/>
        <w:tblLayout w:type="fixed"/>
        <w:tblCellMar>
          <w:top w:w="0" w:type="dxa"/>
          <w:left w:w="108" w:type="dxa"/>
          <w:bottom w:w="0" w:type="dxa"/>
          <w:right w:w="108" w:type="dxa"/>
        </w:tblCellMar>
      </w:tblPr>
      <w:tblGrid>
        <w:gridCol w:w="2285"/>
        <w:gridCol w:w="1701"/>
        <w:gridCol w:w="1602"/>
        <w:gridCol w:w="1580"/>
      </w:tblGrid>
      <w:tr>
        <w:tblPrEx>
          <w:tblLayout w:type="fixed"/>
          <w:tblCellMar>
            <w:top w:w="0" w:type="dxa"/>
            <w:left w:w="108" w:type="dxa"/>
            <w:bottom w:w="0" w:type="dxa"/>
            <w:right w:w="108" w:type="dxa"/>
          </w:tblCellMar>
        </w:tblPrEx>
        <w:trPr>
          <w:trHeight w:val="720" w:hRule="atLeast"/>
          <w:jc w:val="center"/>
        </w:trPr>
        <w:tc>
          <w:tcPr>
            <w:tcW w:w="22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设备型号</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1580"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单价（不含税）/元</w:t>
            </w:r>
          </w:p>
        </w:tc>
      </w:tr>
      <w:tr>
        <w:tblPrEx>
          <w:tblLayout w:type="fixed"/>
          <w:tblCellMar>
            <w:top w:w="0" w:type="dxa"/>
            <w:left w:w="108" w:type="dxa"/>
            <w:bottom w:w="0" w:type="dxa"/>
            <w:right w:w="108" w:type="dxa"/>
          </w:tblCellMar>
        </w:tblPrEx>
        <w:trPr>
          <w:trHeight w:val="586" w:hRule="atLeast"/>
          <w:jc w:val="center"/>
        </w:trPr>
        <w:tc>
          <w:tcPr>
            <w:tcW w:w="22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香薰精油</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00ML/</w:t>
            </w:r>
            <w:r>
              <w:rPr>
                <w:rFonts w:hint="eastAsia" w:ascii="宋体" w:hAnsi="宋体" w:cs="宋体"/>
                <w:color w:val="000000"/>
                <w:kern w:val="0"/>
                <w:sz w:val="24"/>
              </w:rPr>
              <w:t>瓶</w:t>
            </w: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1瓶</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55" w:hRule="atLeast"/>
          <w:jc w:val="center"/>
        </w:trPr>
        <w:tc>
          <w:tcPr>
            <w:tcW w:w="2285"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000ML</w:t>
            </w:r>
          </w:p>
        </w:tc>
        <w:tc>
          <w:tcPr>
            <w:tcW w:w="1602"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2台</w:t>
            </w:r>
          </w:p>
        </w:tc>
        <w:tc>
          <w:tcPr>
            <w:tcW w:w="1580" w:type="dxa"/>
            <w:tcBorders>
              <w:top w:val="single" w:color="auto" w:sz="4" w:space="0"/>
              <w:left w:val="nil"/>
              <w:bottom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r>
        <w:tblPrEx>
          <w:tblLayout w:type="fixed"/>
          <w:tblCellMar>
            <w:top w:w="0" w:type="dxa"/>
            <w:left w:w="108" w:type="dxa"/>
            <w:bottom w:w="0" w:type="dxa"/>
            <w:right w:w="108" w:type="dxa"/>
          </w:tblCellMar>
        </w:tblPrEx>
        <w:trPr>
          <w:trHeight w:val="708" w:hRule="atLeast"/>
          <w:jc w:val="center"/>
        </w:trPr>
        <w:tc>
          <w:tcPr>
            <w:tcW w:w="22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500ML</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r>
              <w:rPr>
                <w:rFonts w:hint="eastAsia" w:ascii="宋体" w:hAnsi="宋体" w:cs="宋体"/>
                <w:color w:val="000000"/>
                <w:kern w:val="0"/>
                <w:sz w:val="24"/>
              </w:rPr>
              <w:t>台</w:t>
            </w:r>
          </w:p>
        </w:tc>
        <w:tc>
          <w:tcPr>
            <w:tcW w:w="15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bl>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贵宾部、嘉宾部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因乙方提供产品不符合产品质量标准，造成产品使用安全事件或侵权事件其产生的赔偿或补偿责任由乙方自行承担；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rPr>
          <w:color w:val="000000" w:themeColor="text1"/>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依法承担相应的产品质量责任，主动接受政府职能部门和采购人监督和检查，认真强化和落实产品质量第一责任人的规定，加强产品质量管理。若因我方配送的商品造成中毒、致病等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（5）我方保证建立原料采购索证和验收制度；保证从原料采购、加工销售，实施有效的全过程质量管理；保证所采购的原料索取发票，有效证件与记录相一致。</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（6）我方保证不采购使用标签标识不全，以及包装破损或超过保质期的产品。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（8）我方若配送不合格商品，或配送的产品造成了安全事故，采购人有权单方面中止与我方达成的购货协议，且不承担由此给我方带来的损失。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3"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香薰精油报价表</w:t>
      </w:r>
    </w:p>
    <w:tbl>
      <w:tblPr>
        <w:tblStyle w:val="12"/>
        <w:tblW w:w="8888" w:type="dxa"/>
        <w:jc w:val="center"/>
        <w:tblInd w:w="0" w:type="dxa"/>
        <w:tblLayout w:type="fixed"/>
        <w:tblCellMar>
          <w:top w:w="0" w:type="dxa"/>
          <w:left w:w="108" w:type="dxa"/>
          <w:bottom w:w="0" w:type="dxa"/>
          <w:right w:w="108" w:type="dxa"/>
        </w:tblCellMar>
      </w:tblPr>
      <w:tblGrid>
        <w:gridCol w:w="2467"/>
        <w:gridCol w:w="1701"/>
        <w:gridCol w:w="1602"/>
        <w:gridCol w:w="1580"/>
        <w:gridCol w:w="1538"/>
      </w:tblGrid>
      <w:tr>
        <w:tblPrEx>
          <w:tblLayout w:type="fixed"/>
          <w:tblCellMar>
            <w:top w:w="0" w:type="dxa"/>
            <w:left w:w="108" w:type="dxa"/>
            <w:bottom w:w="0" w:type="dxa"/>
            <w:right w:w="108" w:type="dxa"/>
          </w:tblCellMar>
        </w:tblPrEx>
        <w:trPr>
          <w:trHeight w:val="720" w:hRule="atLeast"/>
          <w:jc w:val="center"/>
        </w:trPr>
        <w:tc>
          <w:tcPr>
            <w:tcW w:w="2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设备型号</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1580"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单价（不含税）/元</w:t>
            </w:r>
          </w:p>
        </w:tc>
        <w:tc>
          <w:tcPr>
            <w:tcW w:w="1538"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总价（不含税）/元</w:t>
            </w:r>
          </w:p>
        </w:tc>
      </w:tr>
      <w:tr>
        <w:tblPrEx>
          <w:tblLayout w:type="fixed"/>
          <w:tblCellMar>
            <w:top w:w="0" w:type="dxa"/>
            <w:left w:w="108" w:type="dxa"/>
            <w:bottom w:w="0" w:type="dxa"/>
            <w:right w:w="108" w:type="dxa"/>
          </w:tblCellMar>
        </w:tblPrEx>
        <w:trPr>
          <w:trHeight w:val="586" w:hRule="atLeast"/>
          <w:jc w:val="center"/>
        </w:trPr>
        <w:tc>
          <w:tcPr>
            <w:tcW w:w="24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香薰精油</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00ML/</w:t>
            </w:r>
            <w:r>
              <w:rPr>
                <w:rFonts w:hint="eastAsia" w:ascii="宋体" w:hAnsi="宋体" w:cs="宋体"/>
                <w:color w:val="000000"/>
                <w:kern w:val="0"/>
                <w:sz w:val="24"/>
              </w:rPr>
              <w:t>瓶</w:t>
            </w: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12</w:t>
            </w:r>
            <w:r>
              <w:rPr>
                <w:rFonts w:hint="eastAsia" w:ascii="宋体" w:hAnsi="宋体" w:cs="宋体"/>
                <w:color w:val="000000"/>
                <w:kern w:val="0"/>
                <w:sz w:val="24"/>
              </w:rPr>
              <w:t>瓶</w:t>
            </w:r>
          </w:p>
        </w:tc>
        <w:tc>
          <w:tcPr>
            <w:tcW w:w="1580" w:type="dxa"/>
            <w:tcBorders>
              <w:top w:val="nil"/>
              <w:left w:val="nil"/>
              <w:bottom w:val="single" w:color="auto" w:sz="4" w:space="0"/>
              <w:right w:val="single" w:color="auto" w:sz="4" w:space="0"/>
            </w:tcBorders>
          </w:tcPr>
          <w:p>
            <w:pPr>
              <w:widowControl/>
              <w:jc w:val="center"/>
              <w:rPr>
                <w:rFonts w:ascii="宋体" w:hAnsi="宋体" w:cs="宋体"/>
                <w:color w:val="000000"/>
                <w:kern w:val="0"/>
                <w:sz w:val="24"/>
              </w:rPr>
            </w:pPr>
          </w:p>
        </w:tc>
        <w:tc>
          <w:tcPr>
            <w:tcW w:w="1538" w:type="dxa"/>
            <w:tcBorders>
              <w:top w:val="nil"/>
              <w:left w:val="nil"/>
              <w:bottom w:val="single" w:color="auto" w:sz="4" w:space="0"/>
              <w:right w:val="single" w:color="auto" w:sz="4" w:space="0"/>
            </w:tcBorders>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55" w:hRule="atLeast"/>
          <w:jc w:val="center"/>
        </w:trPr>
        <w:tc>
          <w:tcPr>
            <w:tcW w:w="2467"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000ML</w:t>
            </w:r>
          </w:p>
        </w:tc>
        <w:tc>
          <w:tcPr>
            <w:tcW w:w="1602"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2台</w:t>
            </w:r>
          </w:p>
        </w:tc>
        <w:tc>
          <w:tcPr>
            <w:tcW w:w="1580" w:type="dxa"/>
            <w:tcBorders>
              <w:top w:val="single" w:color="auto" w:sz="4" w:space="0"/>
              <w:left w:val="nil"/>
              <w:bottom w:val="nil"/>
              <w:right w:val="single" w:color="auto" w:sz="4" w:space="0"/>
            </w:tcBorders>
          </w:tcPr>
          <w:p>
            <w:pPr>
              <w:widowControl/>
              <w:jc w:val="center"/>
              <w:rPr>
                <w:rFonts w:ascii="宋体" w:hAnsi="宋体" w:cs="宋体"/>
                <w:color w:val="000000"/>
                <w:kern w:val="0"/>
                <w:sz w:val="24"/>
              </w:rPr>
            </w:pPr>
          </w:p>
        </w:tc>
        <w:tc>
          <w:tcPr>
            <w:tcW w:w="1538" w:type="dxa"/>
            <w:tcBorders>
              <w:top w:val="single" w:color="auto" w:sz="4" w:space="0"/>
              <w:left w:val="nil"/>
              <w:bottom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r>
        <w:tblPrEx>
          <w:tblLayout w:type="fixed"/>
          <w:tblCellMar>
            <w:top w:w="0" w:type="dxa"/>
            <w:left w:w="108" w:type="dxa"/>
            <w:bottom w:w="0" w:type="dxa"/>
            <w:right w:w="108" w:type="dxa"/>
          </w:tblCellMar>
        </w:tblPrEx>
        <w:trPr>
          <w:trHeight w:val="708" w:hRule="atLeast"/>
          <w:jc w:val="center"/>
        </w:trPr>
        <w:tc>
          <w:tcPr>
            <w:tcW w:w="2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500ML</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r>
              <w:rPr>
                <w:rFonts w:hint="eastAsia" w:ascii="宋体" w:hAnsi="宋体" w:cs="宋体"/>
                <w:color w:val="000000"/>
                <w:kern w:val="0"/>
                <w:sz w:val="24"/>
              </w:rPr>
              <w:t>台</w:t>
            </w:r>
          </w:p>
        </w:tc>
        <w:tc>
          <w:tcPr>
            <w:tcW w:w="1580"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4"/>
              </w:rPr>
            </w:pPr>
          </w:p>
        </w:tc>
        <w:tc>
          <w:tcPr>
            <w:tcW w:w="15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01761E"/>
    <w:rsid w:val="000763B4"/>
    <w:rsid w:val="00094B80"/>
    <w:rsid w:val="00110BC5"/>
    <w:rsid w:val="001A0F9D"/>
    <w:rsid w:val="001B30DB"/>
    <w:rsid w:val="001D00CD"/>
    <w:rsid w:val="001D3ABB"/>
    <w:rsid w:val="001F70DA"/>
    <w:rsid w:val="002317A3"/>
    <w:rsid w:val="002636D4"/>
    <w:rsid w:val="00347A32"/>
    <w:rsid w:val="00381729"/>
    <w:rsid w:val="003846F6"/>
    <w:rsid w:val="003E2D11"/>
    <w:rsid w:val="00433235"/>
    <w:rsid w:val="00455DB0"/>
    <w:rsid w:val="004A3D35"/>
    <w:rsid w:val="00527D3E"/>
    <w:rsid w:val="005619BF"/>
    <w:rsid w:val="00580F6B"/>
    <w:rsid w:val="0059344F"/>
    <w:rsid w:val="005D74AB"/>
    <w:rsid w:val="005F695E"/>
    <w:rsid w:val="00630F6A"/>
    <w:rsid w:val="006D16CA"/>
    <w:rsid w:val="006D385A"/>
    <w:rsid w:val="006E605F"/>
    <w:rsid w:val="007049C2"/>
    <w:rsid w:val="007928C5"/>
    <w:rsid w:val="00792E85"/>
    <w:rsid w:val="00797197"/>
    <w:rsid w:val="007A122E"/>
    <w:rsid w:val="007C6001"/>
    <w:rsid w:val="007F6FDF"/>
    <w:rsid w:val="008063AD"/>
    <w:rsid w:val="0082456E"/>
    <w:rsid w:val="00871074"/>
    <w:rsid w:val="008B171F"/>
    <w:rsid w:val="00930ECD"/>
    <w:rsid w:val="009615FB"/>
    <w:rsid w:val="00994965"/>
    <w:rsid w:val="009A63C8"/>
    <w:rsid w:val="009B00DA"/>
    <w:rsid w:val="009C084A"/>
    <w:rsid w:val="00A13ED1"/>
    <w:rsid w:val="00A75AD4"/>
    <w:rsid w:val="00A82597"/>
    <w:rsid w:val="00B54735"/>
    <w:rsid w:val="00B701C0"/>
    <w:rsid w:val="00B75C39"/>
    <w:rsid w:val="00B94873"/>
    <w:rsid w:val="00BA14B0"/>
    <w:rsid w:val="00BD5C20"/>
    <w:rsid w:val="00C30923"/>
    <w:rsid w:val="00C3221A"/>
    <w:rsid w:val="00CF6D7B"/>
    <w:rsid w:val="00D63796"/>
    <w:rsid w:val="00D770CB"/>
    <w:rsid w:val="00D90718"/>
    <w:rsid w:val="00DD2DDB"/>
    <w:rsid w:val="00DF14FE"/>
    <w:rsid w:val="00E312D3"/>
    <w:rsid w:val="00F3178F"/>
    <w:rsid w:val="00F7121A"/>
    <w:rsid w:val="00FD4A0B"/>
    <w:rsid w:val="00FD7924"/>
    <w:rsid w:val="07B63546"/>
    <w:rsid w:val="0CB16337"/>
    <w:rsid w:val="0D093610"/>
    <w:rsid w:val="113E4D46"/>
    <w:rsid w:val="122C3CE3"/>
    <w:rsid w:val="1514228F"/>
    <w:rsid w:val="17EC7CEA"/>
    <w:rsid w:val="1A647CD4"/>
    <w:rsid w:val="1C196F4A"/>
    <w:rsid w:val="20BC606A"/>
    <w:rsid w:val="2ABD7C9D"/>
    <w:rsid w:val="2DB3043F"/>
    <w:rsid w:val="2DFD1F35"/>
    <w:rsid w:val="2E800F2C"/>
    <w:rsid w:val="37FD51C5"/>
    <w:rsid w:val="38CE7C1E"/>
    <w:rsid w:val="38E97072"/>
    <w:rsid w:val="3A822364"/>
    <w:rsid w:val="3AD670EE"/>
    <w:rsid w:val="3CF753F7"/>
    <w:rsid w:val="41A501D7"/>
    <w:rsid w:val="424B4AF8"/>
    <w:rsid w:val="43D54B50"/>
    <w:rsid w:val="44085948"/>
    <w:rsid w:val="50B35F32"/>
    <w:rsid w:val="52DC071C"/>
    <w:rsid w:val="5891117A"/>
    <w:rsid w:val="5AD32E1E"/>
    <w:rsid w:val="5D8437A5"/>
    <w:rsid w:val="675730DA"/>
    <w:rsid w:val="72515E9B"/>
    <w:rsid w:val="78C338FC"/>
    <w:rsid w:val="7AB8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15"/>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character" w:customStyle="1" w:styleId="15">
    <w:name w:val="标题 字符"/>
    <w:basedOn w:val="13"/>
    <w:link w:val="2"/>
    <w:uiPriority w:val="0"/>
    <w:rPr>
      <w:rFonts w:ascii="Arial" w:hAnsi="Arial" w:eastAsia="黑体"/>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1800</Words>
  <Characters>10265</Characters>
  <Lines>85</Lines>
  <Paragraphs>24</Paragraphs>
  <TotalTime>376</TotalTime>
  <ScaleCrop>false</ScaleCrop>
  <LinksUpToDate>false</LinksUpToDate>
  <CharactersWithSpaces>12041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2023-05-26T03:31:00Z</cp:lastPrinted>
  <dcterms:modified xsi:type="dcterms:W3CDTF">2023-06-02T01:54:49Z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