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0" w:firstLineChars="550"/>
        <w:rPr>
          <w:rFonts w:ascii="黑体" w:eastAsia="黑体"/>
          <w:sz w:val="36"/>
          <w:szCs w:val="36"/>
        </w:rPr>
      </w:pPr>
      <w:r>
        <w:rPr>
          <w:rFonts w:hint="eastAsia" w:ascii="黑体" w:eastAsia="黑体"/>
          <w:sz w:val="36"/>
          <w:szCs w:val="36"/>
        </w:rPr>
        <w:t>公共区管理部采购询价单</w:t>
      </w:r>
    </w:p>
    <w:p>
      <w:pPr>
        <w:rPr>
          <w:rFonts w:ascii="宋体" w:hAnsi="宋体" w:eastAsia="宋体"/>
          <w:sz w:val="24"/>
          <w:szCs w:val="20"/>
        </w:rPr>
      </w:pPr>
    </w:p>
    <w:p>
      <w:pPr>
        <w:spacing w:line="380" w:lineRule="exact"/>
        <w:rPr>
          <w:rFonts w:ascii="宋体" w:hAnsi="宋体"/>
        </w:rPr>
      </w:pPr>
      <w:r>
        <w:rPr>
          <w:rFonts w:hint="eastAsia" w:ascii="宋体" w:hAnsi="宋体"/>
        </w:rPr>
        <w:t xml:space="preserve">  询价员（签字）：                                       日期：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2"/>
        <w:gridCol w:w="1746"/>
        <w:gridCol w:w="1875"/>
        <w:gridCol w:w="1629"/>
        <w:gridCol w:w="92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2"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r>
              <w:rPr>
                <w:rFonts w:hint="eastAsia" w:ascii="宋体" w:hAnsi="宋体" w:eastAsia="宋体" w:cs="宋体"/>
                <w:lang w:val="en-US" w:eastAsia="zh-CN"/>
              </w:rPr>
              <w:t>处置</w:t>
            </w:r>
            <w:r>
              <w:rPr>
                <w:rFonts w:hint="eastAsia" w:ascii="宋体" w:hAnsi="宋体" w:eastAsia="宋体" w:cs="宋体"/>
              </w:rPr>
              <w:t>商名称</w:t>
            </w:r>
          </w:p>
        </w:tc>
        <w:tc>
          <w:tcPr>
            <w:tcW w:w="187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p>
        </w:tc>
        <w:tc>
          <w:tcPr>
            <w:tcW w:w="255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r>
              <w:rPr>
                <w:rFonts w:hint="eastAsia" w:ascii="宋体" w:hAnsi="宋体" w:eastAsia="宋体" w:cs="宋体"/>
                <w:lang w:val="en-US" w:eastAsia="zh-CN"/>
              </w:rPr>
              <w:t>处置</w:t>
            </w:r>
            <w:r>
              <w:rPr>
                <w:rFonts w:hint="eastAsia" w:ascii="宋体" w:hAnsi="宋体" w:eastAsia="宋体" w:cs="宋体"/>
              </w:rPr>
              <w:t>商代表</w:t>
            </w:r>
          </w:p>
        </w:tc>
        <w:tc>
          <w:tcPr>
            <w:tcW w:w="2212"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2"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r>
              <w:rPr>
                <w:rFonts w:hint="eastAsia" w:ascii="宋体" w:hAnsi="宋体" w:eastAsia="宋体" w:cs="宋体"/>
              </w:rPr>
              <w:t>联系人</w:t>
            </w:r>
          </w:p>
        </w:tc>
        <w:tc>
          <w:tcPr>
            <w:tcW w:w="187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p>
        </w:tc>
        <w:tc>
          <w:tcPr>
            <w:tcW w:w="255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4"/>
                <w:sz w:val="24"/>
              </w:rPr>
            </w:pPr>
            <w:r>
              <w:rPr>
                <w:rFonts w:hint="eastAsia" w:ascii="宋体" w:hAnsi="宋体" w:eastAsia="宋体" w:cs="宋体"/>
              </w:rPr>
              <w:t>联系电话</w:t>
            </w:r>
          </w:p>
        </w:tc>
        <w:tc>
          <w:tcPr>
            <w:tcW w:w="2212"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7"/>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r>
              <w:rPr>
                <w:rFonts w:hint="eastAsia" w:ascii="宋体" w:hAnsi="宋体" w:eastAsia="宋体" w:cs="宋体"/>
                <w:lang w:val="en-US" w:eastAsia="zh-CN"/>
              </w:rPr>
              <w:t>处置</w:t>
            </w:r>
            <w:r>
              <w:rPr>
                <w:rFonts w:hint="eastAsia" w:ascii="宋体" w:hAnsi="宋体" w:eastAsia="宋体" w:cs="宋体"/>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gridSpan w:val="2"/>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val="en-US" w:eastAsia="zh-CN"/>
              </w:rPr>
            </w:pPr>
            <w:r>
              <w:rPr>
                <w:rFonts w:hint="eastAsia" w:ascii="宋体" w:hAnsi="宋体" w:eastAsia="宋体" w:cs="宋体"/>
                <w:kern w:val="24"/>
                <w:sz w:val="24"/>
                <w:lang w:val="en-US" w:eastAsia="zh-CN"/>
              </w:rPr>
              <w:t>名称</w:t>
            </w:r>
          </w:p>
        </w:tc>
        <w:tc>
          <w:tcPr>
            <w:tcW w:w="1875"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eastAsia="zh-CN"/>
              </w:rPr>
            </w:pPr>
            <w:r>
              <w:rPr>
                <w:rFonts w:hint="eastAsia" w:ascii="宋体" w:hAnsi="宋体" w:eastAsia="宋体" w:cs="宋体"/>
                <w:kern w:val="24"/>
                <w:sz w:val="24"/>
                <w:lang w:val="en-US" w:eastAsia="zh-CN"/>
              </w:rPr>
              <w:t>重量</w:t>
            </w:r>
          </w:p>
        </w:tc>
        <w:tc>
          <w:tcPr>
            <w:tcW w:w="1629"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r>
              <w:rPr>
                <w:rFonts w:hint="eastAsia" w:ascii="宋体" w:hAnsi="宋体" w:eastAsia="宋体" w:cs="宋体"/>
                <w:lang w:eastAsia="zh-CN"/>
              </w:rPr>
              <w:t>单价（</w:t>
            </w:r>
            <w:r>
              <w:rPr>
                <w:rFonts w:hint="eastAsia" w:ascii="宋体" w:hAnsi="宋体" w:eastAsia="宋体" w:cs="宋体"/>
                <w:kern w:val="24"/>
                <w:sz w:val="24"/>
                <w:lang w:val="en-US" w:eastAsia="zh-CN"/>
              </w:rPr>
              <w:t>元</w:t>
            </w:r>
            <w:r>
              <w:rPr>
                <w:rFonts w:hint="eastAsia" w:ascii="宋体" w:hAnsi="宋体" w:eastAsia="宋体" w:cs="宋体"/>
                <w:lang w:eastAsia="zh-CN"/>
              </w:rPr>
              <w:t>）</w:t>
            </w:r>
          </w:p>
        </w:tc>
        <w:tc>
          <w:tcPr>
            <w:tcW w:w="921"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default" w:ascii="宋体" w:hAnsi="宋体" w:eastAsia="宋体" w:cs="宋体"/>
                <w:lang w:val="en-US" w:eastAsia="zh-CN"/>
              </w:rPr>
            </w:pPr>
            <w:r>
              <w:rPr>
                <w:rFonts w:hint="eastAsia" w:ascii="宋体" w:hAnsi="宋体" w:eastAsia="宋体" w:cs="宋体"/>
                <w:lang w:val="en-US" w:eastAsia="zh-CN"/>
              </w:rPr>
              <w:t>税率</w:t>
            </w:r>
          </w:p>
        </w:tc>
        <w:tc>
          <w:tcPr>
            <w:tcW w:w="2212"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6" w:type="dxa"/>
            <w:gridSpan w:val="2"/>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val="en-US" w:eastAsia="zh-CN"/>
              </w:rPr>
            </w:pPr>
            <w:r>
              <w:rPr>
                <w:rFonts w:hint="eastAsia" w:ascii="宋体" w:hAnsi="宋体" w:eastAsia="宋体" w:cs="宋体"/>
                <w:kern w:val="24"/>
                <w:sz w:val="24"/>
                <w:lang w:val="en-US" w:eastAsia="zh-CN"/>
              </w:rPr>
              <w:t>1</w:t>
            </w:r>
          </w:p>
        </w:tc>
        <w:tc>
          <w:tcPr>
            <w:tcW w:w="1746" w:type="dxa"/>
            <w:tcBorders>
              <w:top w:val="single" w:color="auto" w:sz="4" w:space="0"/>
              <w:left w:val="single" w:color="auto" w:sz="4" w:space="0"/>
              <w:bottom w:val="single" w:color="auto" w:sz="4" w:space="0"/>
              <w:right w:val="single" w:color="auto" w:sz="4" w:space="0"/>
            </w:tcBorders>
            <w:vAlign w:val="bottom"/>
          </w:tcPr>
          <w:p>
            <w:pPr>
              <w:widowControl w:val="0"/>
              <w:spacing w:line="240" w:lineRule="auto"/>
              <w:jc w:val="center"/>
              <w:rPr>
                <w:rFonts w:hint="eastAsia" w:ascii="宋体" w:hAnsi="宋体" w:eastAsia="宋体" w:cs="宋体"/>
                <w:kern w:val="24"/>
                <w:sz w:val="24"/>
                <w:lang w:val="en-US" w:eastAsia="zh-CN"/>
              </w:rPr>
            </w:pPr>
            <w:r>
              <w:rPr>
                <w:rFonts w:hint="eastAsia" w:ascii="宋体" w:hAnsi="宋体" w:eastAsia="宋体" w:cs="宋体"/>
                <w:kern w:val="24"/>
                <w:sz w:val="24"/>
                <w:lang w:val="en-US" w:eastAsia="zh-CN"/>
              </w:rPr>
              <w:t>废弃铅酸蓄电池</w:t>
            </w:r>
          </w:p>
        </w:tc>
        <w:tc>
          <w:tcPr>
            <w:tcW w:w="1875"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val="en-US" w:eastAsia="zh-CN"/>
              </w:rPr>
            </w:pPr>
            <w:r>
              <w:rPr>
                <w:rFonts w:hint="eastAsia" w:ascii="宋体" w:hAnsi="宋体" w:eastAsia="宋体" w:cs="宋体"/>
                <w:kern w:val="24"/>
                <w:sz w:val="24"/>
                <w:lang w:val="en-US" w:eastAsia="zh-CN"/>
              </w:rPr>
              <w:t>公斤</w:t>
            </w:r>
          </w:p>
        </w:tc>
        <w:tc>
          <w:tcPr>
            <w:tcW w:w="1629"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val="en-US" w:eastAsia="zh-CN"/>
              </w:rPr>
            </w:pPr>
          </w:p>
        </w:tc>
        <w:tc>
          <w:tcPr>
            <w:tcW w:w="921"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eastAsia" w:ascii="宋体" w:hAnsi="宋体" w:eastAsia="宋体" w:cs="宋体"/>
                <w:kern w:val="24"/>
                <w:sz w:val="24"/>
                <w:lang w:val="en-US" w:eastAsia="zh-CN"/>
              </w:rPr>
            </w:pPr>
          </w:p>
        </w:tc>
        <w:tc>
          <w:tcPr>
            <w:tcW w:w="2212" w:type="dxa"/>
            <w:tcBorders>
              <w:top w:val="single" w:color="auto" w:sz="4" w:space="0"/>
              <w:left w:val="single" w:color="auto" w:sz="4" w:space="0"/>
              <w:bottom w:val="single" w:color="auto" w:sz="4" w:space="0"/>
              <w:right w:val="single" w:color="auto" w:sz="4" w:space="0"/>
            </w:tcBorders>
            <w:vAlign w:val="bottom"/>
          </w:tcPr>
          <w:p>
            <w:pPr>
              <w:widowControl w:val="0"/>
              <w:spacing w:line="380" w:lineRule="exact"/>
              <w:jc w:val="center"/>
              <w:rPr>
                <w:rFonts w:hint="default" w:ascii="宋体" w:hAnsi="宋体" w:eastAsia="宋体" w:cs="宋体"/>
                <w:kern w:val="24"/>
                <w:sz w:val="24"/>
                <w:lang w:val="en-US" w:eastAsia="zh-CN"/>
              </w:rPr>
            </w:pPr>
            <w:r>
              <w:rPr>
                <w:rFonts w:hint="eastAsia" w:ascii="宋体" w:hAnsi="宋体" w:eastAsia="宋体" w:cs="宋体"/>
                <w:kern w:val="24"/>
                <w:sz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9039"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rPr>
            </w:pPr>
          </w:p>
          <w:p>
            <w:pPr>
              <w:spacing w:line="380" w:lineRule="exact"/>
              <w:ind w:firstLine="5170" w:firstLineChars="2350"/>
              <w:rPr>
                <w:rFonts w:hint="eastAsia" w:ascii="宋体" w:hAnsi="宋体" w:eastAsia="宋体" w:cs="宋体"/>
              </w:rPr>
            </w:pPr>
            <w:r>
              <w:rPr>
                <w:rFonts w:hint="eastAsia" w:ascii="宋体" w:hAnsi="宋体" w:eastAsia="宋体" w:cs="宋体"/>
              </w:rPr>
              <w:t>负责人（签字）：</w:t>
            </w:r>
          </w:p>
          <w:p>
            <w:pPr>
              <w:widowControl w:val="0"/>
              <w:spacing w:line="380" w:lineRule="exact"/>
              <w:ind w:firstLine="5170" w:firstLineChars="2350"/>
              <w:jc w:val="both"/>
              <w:rPr>
                <w:rFonts w:hint="eastAsia" w:ascii="宋体" w:hAnsi="宋体" w:eastAsia="宋体" w:cs="宋体"/>
                <w:kern w:val="24"/>
                <w:sz w:val="24"/>
              </w:rPr>
            </w:pPr>
            <w:r>
              <w:rPr>
                <w:rFonts w:hint="eastAsia" w:ascii="宋体" w:hAnsi="宋体" w:eastAsia="宋体" w:cs="宋体"/>
                <w:lang w:val="en-US" w:eastAsia="zh-CN"/>
              </w:rPr>
              <w:t>处置</w:t>
            </w:r>
            <w:r>
              <w:rPr>
                <w:rFonts w:hint="eastAsia" w:ascii="宋体" w:hAnsi="宋体" w:eastAsia="宋体" w:cs="宋体"/>
              </w:rPr>
              <w:t>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hint="eastAsia" w:asciiTheme="majorEastAsia" w:hAnsiTheme="majorEastAsia" w:eastAsiaTheme="majorEastAsia" w:cstheme="majorEastAsia"/>
                <w:kern w:val="24"/>
                <w:sz w:val="24"/>
              </w:rPr>
            </w:pPr>
            <w:r>
              <w:rPr>
                <w:rFonts w:hint="eastAsia" w:asciiTheme="majorEastAsia" w:hAnsiTheme="majorEastAsia" w:eastAsiaTheme="majorEastAsia" w:cstheme="majorEastAsia"/>
              </w:rPr>
              <w:t>备注</w:t>
            </w:r>
          </w:p>
        </w:tc>
        <w:tc>
          <w:tcPr>
            <w:tcW w:w="850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40" w:firstLineChars="200"/>
              <w:jc w:val="both"/>
              <w:textAlignment w:val="auto"/>
              <w:rPr>
                <w:rFonts w:hint="eastAsia"/>
                <w:lang w:val="en-US" w:eastAsia="zh-CN"/>
              </w:rPr>
            </w:pPr>
            <w:r>
              <w:rPr>
                <w:rFonts w:hint="eastAsia"/>
                <w:lang w:val="en-US" w:eastAsia="zh-CN"/>
              </w:rPr>
              <w:t>根据《中华人民共和国固体废物污染环境防治法》、《重庆市危险废物污染防治管理办法》、重庆市生态环境局《废铅蓄电池污染防治行动方案》等法规文件要求，废弃铅酸蓄电池须严格按照危险废物的特性，分类进行收集、贮存、运输和处置。为依法合规处置废弃铅酸蓄电池，本项目通过询价的方式，选定一家符合资质条件且报价最高的专业单位来处置江北机场范围内的废弃铅酸蓄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本次询价要求：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投标人必须具有独立法人资格。具有履行合同所必需的设备和专业技术能力。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必须具备收集、贮存、处置废弃铅酸蓄电池的资质，若报价单位自身不具备处置废弃铅酸蓄电池资质，须提供与具备处置资质单位的合同或协议等资料。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必须具备重庆市生态环境局颁发的《危险废物经营许可证》（附复印件原件备查）。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废弃铅酸蓄电池收运过程中须严格遵守《重庆市环境保护条例》《重庆市危险废物污染防治管理办法》要求。成交价格在合同有效期内保持不变，不受市场价格及政策性因素波动影响而变动。本次询价成交单位确定办法采用满足条件最高价成交。</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lang w:val="en-US" w:eastAsia="zh-CN"/>
              </w:rPr>
            </w:pPr>
            <w:r>
              <w:rPr>
                <w:rFonts w:hint="eastAsia"/>
                <w:lang w:val="en-US" w:eastAsia="zh-CN"/>
              </w:rPr>
              <w:t>报价货币为人民币（单位元），包含：货物、运输、保险费、税费等所有费用。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合同有效期为二十四个月。</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在规定的时间内办理危废处置转运联单。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在规定时间指定地点对废弃铅酸蓄电池进行处置，处置完后，负责场地卫生的清理。</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在机场范围内回收废弃铅酸蓄电池时遵守江北机场安全管理规定。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按次结算。采购方根据废弃铅酸蓄电池产生情况和数量电话通知处置方前往现场对废弃铅酸蓄电池进行清点，并由双方签字确认。</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根据环保要求积极配合采购方完善相关事宜。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在采购方指定的地点、规定的时间完成回收工作。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Chars="0"/>
              <w:jc w:val="both"/>
              <w:textAlignment w:val="auto"/>
              <w:rPr>
                <w:rFonts w:hint="eastAsia"/>
                <w:lang w:val="en-US" w:eastAsia="zh-CN"/>
              </w:rPr>
            </w:pPr>
            <w:r>
              <w:rPr>
                <w:rFonts w:hint="eastAsia"/>
                <w:lang w:val="en-US" w:eastAsia="zh-CN"/>
              </w:rPr>
              <w:t>处置方在五个工作日内按废弃铅酸蓄电池实际回收重量到采购方所在地环保部门办理《危废转运联单》提供采购方存档。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rPr>
                <w:rFonts w:hint="eastAsia"/>
                <w:lang w:val="en-US" w:eastAsia="zh-CN"/>
              </w:rPr>
            </w:pPr>
          </w:p>
        </w:tc>
      </w:tr>
    </w:tbl>
    <w:p>
      <w:pPr>
        <w:rPr>
          <w:rFonts w:hint="eastAsia" w:eastAsia="微软雅黑"/>
          <w:lang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845B4"/>
    <w:multiLevelType w:val="singleLevel"/>
    <w:tmpl w:val="A1E845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hNzNhNTRkNWQxZjNmOTBmMTNmNzY1YWU3MDM1MWUifQ=="/>
  </w:docVars>
  <w:rsids>
    <w:rsidRoot w:val="00D31D50"/>
    <w:rsid w:val="002C4FE6"/>
    <w:rsid w:val="00323B43"/>
    <w:rsid w:val="003D37D8"/>
    <w:rsid w:val="00426133"/>
    <w:rsid w:val="004358AB"/>
    <w:rsid w:val="0060207D"/>
    <w:rsid w:val="008B7726"/>
    <w:rsid w:val="009A7AE3"/>
    <w:rsid w:val="00D31D50"/>
    <w:rsid w:val="00D86DA2"/>
    <w:rsid w:val="00E44F68"/>
    <w:rsid w:val="00E61AA7"/>
    <w:rsid w:val="00F21D02"/>
    <w:rsid w:val="04294F27"/>
    <w:rsid w:val="0440084B"/>
    <w:rsid w:val="053E16F1"/>
    <w:rsid w:val="08A13C26"/>
    <w:rsid w:val="09D660E9"/>
    <w:rsid w:val="0EBF1CC8"/>
    <w:rsid w:val="11F527AE"/>
    <w:rsid w:val="13097C65"/>
    <w:rsid w:val="17793FC0"/>
    <w:rsid w:val="178D4B97"/>
    <w:rsid w:val="1D706142"/>
    <w:rsid w:val="2118717C"/>
    <w:rsid w:val="219509BD"/>
    <w:rsid w:val="26DC58D7"/>
    <w:rsid w:val="31175F84"/>
    <w:rsid w:val="347047F1"/>
    <w:rsid w:val="3492200F"/>
    <w:rsid w:val="35672139"/>
    <w:rsid w:val="394059FE"/>
    <w:rsid w:val="3C3412B4"/>
    <w:rsid w:val="3EC736D2"/>
    <w:rsid w:val="463E25F1"/>
    <w:rsid w:val="49A160BA"/>
    <w:rsid w:val="4D900B8D"/>
    <w:rsid w:val="53551FC8"/>
    <w:rsid w:val="565C6BC5"/>
    <w:rsid w:val="56A22DC9"/>
    <w:rsid w:val="573B4353"/>
    <w:rsid w:val="575A6E3E"/>
    <w:rsid w:val="59D16C0E"/>
    <w:rsid w:val="5E4924FA"/>
    <w:rsid w:val="60B5106D"/>
    <w:rsid w:val="63323106"/>
    <w:rsid w:val="699018C8"/>
    <w:rsid w:val="69DB0FEE"/>
    <w:rsid w:val="6C43202C"/>
    <w:rsid w:val="6ED131F4"/>
    <w:rsid w:val="701B5D1D"/>
    <w:rsid w:val="717E73EC"/>
    <w:rsid w:val="727D3635"/>
    <w:rsid w:val="769467B3"/>
    <w:rsid w:val="76A40511"/>
    <w:rsid w:val="77A62EE7"/>
    <w:rsid w:val="789C4B2B"/>
    <w:rsid w:val="796F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pageBreakBefore/>
      <w:widowControl/>
      <w:spacing w:beforeLines="1000" w:afterLines="1000" w:line="240" w:lineRule="atLeast"/>
      <w:ind w:firstLine="0" w:firstLineChars="0"/>
      <w:jc w:val="center"/>
      <w:outlineLvl w:val="0"/>
    </w:pPr>
    <w:rPr>
      <w:rFonts w:ascii="华文细黑" w:hAnsi="华文细黑" w:eastAsia="仿宋_GB2312" w:cs="Arial"/>
      <w:b/>
      <w:bCs/>
      <w:kern w:val="0"/>
      <w:sz w:val="52"/>
      <w:szCs w:val="32"/>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ahoma" w:hAnsi="Tahoma"/>
      <w:sz w:val="18"/>
      <w:szCs w:val="18"/>
    </w:rPr>
  </w:style>
  <w:style w:type="character" w:customStyle="1" w:styleId="10">
    <w:name w:val="页脚 字符"/>
    <w:basedOn w:val="8"/>
    <w:link w:val="3"/>
    <w:qFormat/>
    <w:uiPriority w:val="99"/>
    <w:rPr>
      <w:rFonts w:ascii="Tahoma" w:hAnsi="Tahoma"/>
      <w:sz w:val="18"/>
      <w:szCs w:val="18"/>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803</Words>
  <Characters>803</Characters>
  <Lines>3</Lines>
  <Paragraphs>1</Paragraphs>
  <TotalTime>3</TotalTime>
  <ScaleCrop>false</ScaleCrop>
  <LinksUpToDate>false</LinksUpToDate>
  <CharactersWithSpaces>861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2018-10-16T01:57:00Z</dcterms:created>
  <dc:creator>李胜乐</dc:creator>
  <cp:lastModifiedBy>王琴</cp:lastModifiedBy>
  <cp:lastPrinted>2023-02-20T01:28:00Z</cp:lastPrinted>
  <dcterms:modified xsi:type="dcterms:W3CDTF">2023-04-24T07:12:34Z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6B625A154BEF4A7998226AFA342FCA7A</vt:lpwstr>
  </property>
</Properties>
</file>