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after="240" w:afterLines="100" w:line="360" w:lineRule="auto"/>
        <w:jc w:val="center"/>
        <w:rPr>
          <w:rFonts w:ascii="黑体" w:hAnsi="黑体" w:eastAsia="黑体" w:cs="黑体"/>
          <w:color w:val="000000" w:themeColor="text1"/>
          <w:sz w:val="48"/>
          <w:szCs w:val="48"/>
          <w14:textFill>
            <w14:solidFill>
              <w14:schemeClr w14:val="tx1"/>
            </w14:solidFill>
          </w14:textFill>
        </w:rPr>
      </w:pPr>
      <w:r>
        <w:rPr>
          <w:rFonts w:hint="eastAsia" w:ascii="黑体" w:hAnsi="黑体" w:eastAsia="黑体" w:cs="黑体"/>
          <w:color w:val="000000" w:themeColor="text1"/>
          <w:sz w:val="48"/>
          <w:szCs w:val="48"/>
          <w14:textFill>
            <w14:solidFill>
              <w14:schemeClr w14:val="tx1"/>
            </w14:solidFill>
          </w14:textFill>
        </w:rPr>
        <w:t>重庆空港贵宾服务有限公司</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bookmarkStart w:id="0" w:name="OLE_LINK1"/>
      <w:r>
        <w:rPr>
          <w:rFonts w:hint="eastAsia" w:ascii="黑体" w:hAnsi="黑体" w:eastAsia="黑体" w:cs="黑体"/>
          <w:color w:val="000000" w:themeColor="text1"/>
          <w:sz w:val="52"/>
          <w:szCs w:val="52"/>
          <w14:textFill>
            <w14:solidFill>
              <w14:schemeClr w14:val="tx1"/>
            </w14:solidFill>
          </w14:textFill>
        </w:rPr>
        <w:t>牛奶采购项目</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比选文件</w:t>
      </w:r>
    </w:p>
    <w:p>
      <w:pPr>
        <w:jc w:val="center"/>
        <w:rPr>
          <w:rFonts w:ascii="仿宋" w:hAnsi="仿宋" w:eastAsia="仿宋"/>
          <w:b/>
          <w:bCs/>
          <w:color w:val="000000" w:themeColor="text1"/>
          <w:sz w:val="52"/>
          <w:szCs w:val="52"/>
          <w14:textFill>
            <w14:solidFill>
              <w14:schemeClr w14:val="tx1"/>
            </w14:solidFill>
          </w14:textFill>
        </w:rPr>
      </w:pPr>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jc w:val="center"/>
        <w:rPr>
          <w:rFonts w:ascii="宋体" w:hAnsi="宋体"/>
          <w:b/>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仿宋" w:hAnsi="仿宋" w:eastAsia="仿宋"/>
          <w:color w:val="000000" w:themeColor="text1"/>
          <w:sz w:val="44"/>
          <w:szCs w:val="44"/>
          <w14:textFill>
            <w14:solidFill>
              <w14:schemeClr w14:val="tx1"/>
            </w14:solidFill>
          </w14:textFill>
        </w:rPr>
      </w:pP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重庆空港贵宾服务有限公司</w:t>
      </w: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二〇二三年</w:t>
      </w: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五</w:t>
      </w:r>
      <w:r>
        <w:rPr>
          <w:rFonts w:hint="eastAsia" w:ascii="仿宋_GB2312" w:hAnsi="仿宋_GB2312" w:eastAsia="仿宋_GB2312" w:cs="仿宋_GB2312"/>
          <w:color w:val="000000" w:themeColor="text1"/>
          <w:sz w:val="36"/>
          <w:szCs w:val="36"/>
          <w14:textFill>
            <w14:solidFill>
              <w14:schemeClr w14:val="tx1"/>
            </w14:solidFill>
          </w14:textFill>
        </w:rPr>
        <w:t>月</w:t>
      </w:r>
      <w:bookmarkEnd w:id="0"/>
    </w:p>
    <w:p>
      <w:pPr>
        <w:pStyle w:val="2"/>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ascii="黑体" w:hAnsi="黑体" w:eastAsia="黑体" w:cs="黑体"/>
          <w:b/>
          <w:color w:val="000000" w:themeColor="text1"/>
          <w:sz w:val="44"/>
          <w:szCs w:val="44"/>
          <w14:textFill>
            <w14:solidFill>
              <w14:schemeClr w14:val="tx1"/>
            </w14:solidFill>
          </w14:textFill>
        </w:rPr>
      </w:pPr>
    </w:p>
    <w:p>
      <w:pPr>
        <w:spacing w:before="120" w:beforeLines="50" w:after="120" w:afterLines="50"/>
        <w:ind w:firstLine="640" w:firstLineChars="200"/>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52"/>
          <w:szCs w:val="52"/>
          <w14:textFill>
            <w14:solidFill>
              <w14:schemeClr w14:val="tx1"/>
            </w14:solidFill>
          </w14:textFill>
        </w:rPr>
        <w:t>牛奶采购项目比选文件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重庆空港贵宾服务有限公司对在T</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、T</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航站楼要客区及两舱贵宾室为旅客提供的牛奶项目邀请符合相应条件的供应商就本项目进行比选。</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一、项目内容及要求</w:t>
      </w:r>
    </w:p>
    <w:p>
      <w:pPr>
        <w:widowControl/>
        <w:spacing w:before="120" w:beforeLines="50" w:after="120" w:afterLines="50"/>
        <w:ind w:firstLine="560" w:firstLineChars="200"/>
        <w:jc w:val="left"/>
        <w:rPr>
          <w:rFonts w:eastAsia="方正仿宋_GBK"/>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1.1资质要求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1.1.2具有有效的营业执照，且经营范围涉及预包装饮品、食品，散装食品销售经营等相关内容（提供有效的营业执照复印件加盖企业鲜章）。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1.1.3须具备增值税小规模纳税人及以上资格，能开具增值税专用发票。（提供国家税务部门网站“纳税人资格查询”截图证明或税务部门出具的证明外包商为小规模纳税人及以上的证明材料）。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1.1.4未被“信用中国”网站（www.creditchina.gov.cn）列为失信被执行人，提供相关查询截图并加盖鲜公章。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.1.5</w:t>
      </w:r>
      <w:r>
        <w:rPr>
          <w:rFonts w:hint="eastAsia" w:ascii="方正仿宋_GBK" w:hAnsi="方正仿宋_GBK" w:eastAsia="方正仿宋_GBK" w:cs="方正仿宋_GBK"/>
          <w:color w:val="000000" w:themeColor="text1"/>
          <w:sz w:val="28"/>
          <w:szCs w:val="28"/>
          <w14:textFill>
            <w14:solidFill>
              <w14:schemeClr w14:val="tx1"/>
            </w14:solidFill>
          </w14:textFill>
        </w:rPr>
        <w:t>法定代表人为同一个人的两个及两个以上法人，母公司、全资子公司及其控股公司，以及其他形式有管理关系的投标人，都不得在同一采购项目中同时参与比选。</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ascii="方正仿宋_GBK" w:hAnsi="方正仿宋_GBK" w:eastAsia="方正仿宋_GBK" w:cs="方正仿宋_GBK"/>
          <w:color w:val="000000" w:themeColor="text1"/>
          <w:sz w:val="28"/>
          <w:szCs w:val="28"/>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法定代表人授权书和法定代表人身份证复印件。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ascii="方正仿宋_GBK" w:hAnsi="方正仿宋_GBK" w:eastAsia="方正仿宋_GBK" w:cs="方正仿宋_GBK"/>
          <w:color w:val="000000" w:themeColor="text1"/>
          <w:sz w:val="28"/>
          <w:szCs w:val="28"/>
          <w14:textFill>
            <w14:solidFill>
              <w14:schemeClr w14:val="tx1"/>
            </w14:solidFill>
          </w14:textFill>
        </w:rPr>
        <w:t>7</w:t>
      </w:r>
      <w:r>
        <w:rPr>
          <w:rFonts w:hint="eastAsia" w:ascii="方正仿宋_GBK" w:hAnsi="方正仿宋_GBK" w:eastAsia="方正仿宋_GBK" w:cs="方正仿宋_GBK"/>
          <w:color w:val="000000" w:themeColor="text1"/>
          <w:sz w:val="28"/>
          <w:szCs w:val="28"/>
          <w14:textFill>
            <w14:solidFill>
              <w14:schemeClr w14:val="tx1"/>
            </w14:solidFill>
          </w14:textFill>
        </w:rPr>
        <w:t>被授权人身份证复印件（原件备查）。</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1.2 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1.2.1项目简介：在重庆江北机场T2、T3航站楼要客区、两舱贵宾室为旅客提供牛奶。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1.2.2本项目的产品要求参数如下：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重庆空港贵宾服务有限公司牛奶采购项目，经统计，两舱贵宾室全年牛奶使用量约为</w:t>
      </w:r>
      <w:r>
        <w:rPr>
          <w:rFonts w:ascii="方正仿宋_GBK" w:hAnsi="方正仿宋_GBK" w:eastAsia="方正仿宋_GBK" w:cs="方正仿宋_GBK"/>
          <w:color w:val="000000" w:themeColor="text1"/>
          <w:sz w:val="28"/>
          <w:szCs w:val="28"/>
          <w14:textFill>
            <w14:solidFill>
              <w14:schemeClr w14:val="tx1"/>
            </w14:solidFill>
          </w14:textFill>
        </w:rPr>
        <w:t>2395</w:t>
      </w:r>
      <w:r>
        <w:rPr>
          <w:rFonts w:hint="eastAsia" w:ascii="方正仿宋_GBK" w:hAnsi="方正仿宋_GBK" w:eastAsia="方正仿宋_GBK" w:cs="方正仿宋_GBK"/>
          <w:color w:val="000000" w:themeColor="text1"/>
          <w:sz w:val="28"/>
          <w:szCs w:val="28"/>
          <w14:textFill>
            <w14:solidFill>
              <w14:schemeClr w14:val="tx1"/>
            </w14:solidFill>
          </w14:textFill>
        </w:rPr>
        <w:t>件（每件</w:t>
      </w:r>
      <w:r>
        <w:rPr>
          <w:rFonts w:ascii="方正仿宋_GBK" w:hAnsi="方正仿宋_GBK" w:eastAsia="方正仿宋_GBK" w:cs="方正仿宋_GBK"/>
          <w:color w:val="000000" w:themeColor="text1"/>
          <w:sz w:val="28"/>
          <w:szCs w:val="28"/>
          <w14:textFill>
            <w14:solidFill>
              <w14:schemeClr w14:val="tx1"/>
            </w14:solidFill>
          </w14:textFill>
        </w:rPr>
        <w:t>24</w:t>
      </w:r>
      <w:r>
        <w:rPr>
          <w:rFonts w:hint="eastAsia" w:ascii="方正仿宋_GBK" w:hAnsi="方正仿宋_GBK" w:eastAsia="方正仿宋_GBK" w:cs="方正仿宋_GBK"/>
          <w:color w:val="000000" w:themeColor="text1"/>
          <w:sz w:val="28"/>
          <w:szCs w:val="28"/>
          <w14:textFill>
            <w14:solidFill>
              <w14:schemeClr w14:val="tx1"/>
            </w14:solidFill>
          </w14:textFill>
        </w:rPr>
        <w:t>盒，每盒</w:t>
      </w:r>
      <w:r>
        <w:rPr>
          <w:rFonts w:ascii="方正仿宋_GBK" w:hAnsi="方正仿宋_GBK" w:eastAsia="方正仿宋_GBK" w:cs="方正仿宋_GBK"/>
          <w:color w:val="000000" w:themeColor="text1"/>
          <w:sz w:val="28"/>
          <w:szCs w:val="28"/>
          <w14:textFill>
            <w14:solidFill>
              <w14:schemeClr w14:val="tx1"/>
            </w14:solidFill>
          </w14:textFill>
        </w:rPr>
        <w:t>200</w:t>
      </w:r>
      <w:r>
        <w:rPr>
          <w:rFonts w:hint="eastAsia" w:ascii="方正仿宋_GBK" w:hAnsi="方正仿宋_GBK" w:eastAsia="方正仿宋_GBK" w:cs="方正仿宋_GBK"/>
          <w:color w:val="000000" w:themeColor="text1"/>
          <w:sz w:val="28"/>
          <w:szCs w:val="28"/>
          <w14:textFill>
            <w14:solidFill>
              <w14:schemeClr w14:val="tx1"/>
            </w14:solidFill>
          </w14:textFill>
        </w:rPr>
        <w:t>ML</w:t>
      </w:r>
      <w:r>
        <w:rPr>
          <w:rFonts w:ascii="方正仿宋_GBK" w:hAnsi="方正仿宋_GBK" w:eastAsia="方正仿宋_GBK" w:cs="方正仿宋_GBK"/>
          <w:color w:val="000000" w:themeColor="text1"/>
          <w:sz w:val="28"/>
          <w:szCs w:val="28"/>
          <w14:textFill>
            <w14:solidFill>
              <w14:schemeClr w14:val="tx1"/>
            </w14:solidFill>
          </w14:textFill>
        </w:rPr>
        <w:t>-250ML</w:t>
      </w:r>
      <w:r>
        <w:rPr>
          <w:rFonts w:hint="eastAsia" w:ascii="方正仿宋_GBK" w:hAnsi="方正仿宋_GBK" w:eastAsia="方正仿宋_GBK" w:cs="方正仿宋_GBK"/>
          <w:color w:val="000000" w:themeColor="text1"/>
          <w:sz w:val="28"/>
          <w:szCs w:val="28"/>
          <w14:textFill>
            <w14:solidFill>
              <w14:schemeClr w14:val="tx1"/>
            </w14:solidFill>
          </w14:textFill>
        </w:rPr>
        <w:t>），要客区全年牛奶使用量约为</w:t>
      </w:r>
      <w:r>
        <w:rPr>
          <w:rFonts w:ascii="方正仿宋_GBK" w:hAnsi="方正仿宋_GBK" w:eastAsia="方正仿宋_GBK" w:cs="方正仿宋_GBK"/>
          <w:color w:val="000000" w:themeColor="text1"/>
          <w:sz w:val="28"/>
          <w:szCs w:val="28"/>
          <w14:textFill>
            <w14:solidFill>
              <w14:schemeClr w14:val="tx1"/>
            </w14:solidFill>
          </w14:textFill>
        </w:rPr>
        <w:t>305</w:t>
      </w:r>
      <w:r>
        <w:rPr>
          <w:rFonts w:hint="eastAsia" w:ascii="方正仿宋_GBK" w:hAnsi="方正仿宋_GBK" w:eastAsia="方正仿宋_GBK" w:cs="方正仿宋_GBK"/>
          <w:color w:val="000000" w:themeColor="text1"/>
          <w:sz w:val="28"/>
          <w:szCs w:val="28"/>
          <w14:textFill>
            <w14:solidFill>
              <w14:schemeClr w14:val="tx1"/>
            </w14:solidFill>
          </w14:textFill>
        </w:rPr>
        <w:t>件（每件</w:t>
      </w:r>
      <w:r>
        <w:rPr>
          <w:rFonts w:ascii="方正仿宋_GBK" w:hAnsi="方正仿宋_GBK" w:eastAsia="方正仿宋_GBK" w:cs="方正仿宋_GBK"/>
          <w:color w:val="000000" w:themeColor="text1"/>
          <w:sz w:val="28"/>
          <w:szCs w:val="28"/>
          <w14:textFill>
            <w14:solidFill>
              <w14:schemeClr w14:val="tx1"/>
            </w14:solidFill>
          </w14:textFill>
        </w:rPr>
        <w:t>24</w:t>
      </w:r>
      <w:r>
        <w:rPr>
          <w:rFonts w:hint="eastAsia" w:ascii="方正仿宋_GBK" w:hAnsi="方正仿宋_GBK" w:eastAsia="方正仿宋_GBK" w:cs="方正仿宋_GBK"/>
          <w:color w:val="000000" w:themeColor="text1"/>
          <w:sz w:val="28"/>
          <w:szCs w:val="28"/>
          <w14:textFill>
            <w14:solidFill>
              <w14:schemeClr w14:val="tx1"/>
            </w14:solidFill>
          </w14:textFill>
        </w:rPr>
        <w:t>盒，每盒</w:t>
      </w:r>
      <w:r>
        <w:rPr>
          <w:rFonts w:ascii="方正仿宋_GBK" w:hAnsi="方正仿宋_GBK" w:eastAsia="方正仿宋_GBK" w:cs="方正仿宋_GBK"/>
          <w:color w:val="000000" w:themeColor="text1"/>
          <w:sz w:val="28"/>
          <w:szCs w:val="28"/>
          <w14:textFill>
            <w14:solidFill>
              <w14:schemeClr w14:val="tx1"/>
            </w14:solidFill>
          </w14:textFill>
        </w:rPr>
        <w:t>200</w:t>
      </w:r>
      <w:r>
        <w:rPr>
          <w:rFonts w:hint="eastAsia" w:ascii="方正仿宋_GBK" w:hAnsi="方正仿宋_GBK" w:eastAsia="方正仿宋_GBK" w:cs="方正仿宋_GBK"/>
          <w:color w:val="000000" w:themeColor="text1"/>
          <w:sz w:val="28"/>
          <w:szCs w:val="28"/>
          <w14:textFill>
            <w14:solidFill>
              <w14:schemeClr w14:val="tx1"/>
            </w14:solidFill>
          </w14:textFill>
        </w:rPr>
        <w:t>ML</w:t>
      </w:r>
      <w:r>
        <w:rPr>
          <w:rFonts w:ascii="方正仿宋_GBK" w:hAnsi="方正仿宋_GBK" w:eastAsia="方正仿宋_GBK" w:cs="方正仿宋_GBK"/>
          <w:color w:val="000000" w:themeColor="text1"/>
          <w:sz w:val="28"/>
          <w:szCs w:val="28"/>
          <w14:textFill>
            <w14:solidFill>
              <w14:schemeClr w14:val="tx1"/>
            </w14:solidFill>
          </w14:textFill>
        </w:rPr>
        <w:t>-250ML</w:t>
      </w:r>
      <w:r>
        <w:rPr>
          <w:rFonts w:hint="eastAsia" w:ascii="方正仿宋_GBK" w:hAnsi="方正仿宋_GBK" w:eastAsia="方正仿宋_GBK" w:cs="方正仿宋_GBK"/>
          <w:color w:val="000000" w:themeColor="text1"/>
          <w:sz w:val="28"/>
          <w:szCs w:val="28"/>
          <w14:textFill>
            <w14:solidFill>
              <w14:schemeClr w14:val="tx1"/>
            </w14:solidFill>
          </w14:textFill>
        </w:rPr>
        <w:t>），合计全年使用量约为</w:t>
      </w:r>
      <w:r>
        <w:rPr>
          <w:rFonts w:ascii="方正仿宋_GBK" w:hAnsi="方正仿宋_GBK" w:eastAsia="方正仿宋_GBK" w:cs="方正仿宋_GBK"/>
          <w:color w:val="000000" w:themeColor="text1"/>
          <w:sz w:val="28"/>
          <w:szCs w:val="28"/>
          <w14:textFill>
            <w14:solidFill>
              <w14:schemeClr w14:val="tx1"/>
            </w14:solidFill>
          </w14:textFill>
        </w:rPr>
        <w:t>2700</w:t>
      </w:r>
      <w:r>
        <w:rPr>
          <w:rFonts w:hint="eastAsia" w:ascii="方正仿宋_GBK" w:hAnsi="方正仿宋_GBK" w:eastAsia="方正仿宋_GBK" w:cs="方正仿宋_GBK"/>
          <w:color w:val="000000" w:themeColor="text1"/>
          <w:sz w:val="28"/>
          <w:szCs w:val="28"/>
          <w14:textFill>
            <w14:solidFill>
              <w14:schemeClr w14:val="tx1"/>
            </w14:solidFill>
          </w14:textFill>
        </w:rPr>
        <w:t>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1.2.3本项目的报价应包括：产品总价、免费提供运输费用。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牛奶系列项目最高限价（不含税）为人民币</w:t>
      </w:r>
      <w:r>
        <w:rPr>
          <w:rFonts w:ascii="方正仿宋_GBK" w:hAnsi="方正仿宋_GBK" w:eastAsia="方正仿宋_GBK" w:cs="方正仿宋_GBK"/>
          <w:color w:val="000000" w:themeColor="text1"/>
          <w:sz w:val="28"/>
          <w:szCs w:val="28"/>
          <w14:textFill>
            <w14:solidFill>
              <w14:schemeClr w14:val="tx1"/>
            </w14:solidFill>
          </w14:textFill>
        </w:rPr>
        <w:t>97000</w:t>
      </w:r>
      <w:r>
        <w:rPr>
          <w:rFonts w:hint="eastAsia" w:ascii="方正仿宋_GBK" w:hAnsi="方正仿宋_GBK" w:eastAsia="方正仿宋_GBK" w:cs="方正仿宋_GBK"/>
          <w:color w:val="000000" w:themeColor="text1"/>
          <w:sz w:val="28"/>
          <w:szCs w:val="28"/>
          <w14:textFill>
            <w14:solidFill>
              <w14:schemeClr w14:val="tx1"/>
            </w14:solidFill>
          </w14:textFill>
        </w:rPr>
        <w:t>元（大写金额：玖万柒仟元整），超过最高限价，将取消比选响应方的比选资格。</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1.2.4.1项目要求：响应人所提供产品质量必须要符合《食品安全法》《食品生产通用卫生规范》等法律法规要求，无不合格物品。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1.2.4.2产品标准、卫生标准，符合国家食品安全卫生要求和抽样检验，符合食品卫生标准，无不合格检验披露。</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1.2.4.3供货时需提供所供商品近2年的检测合格报告。</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1.2.4.4响应人具有良好信誉，在以往经营中无任何卫生、消防安全等方面的不良记录。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1.2.4.5报价要求：按附件4《报价表》进行分项报价，所报商品均为不含税报价。</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1.2.4.6本项目的产品要求参数如下：</w:t>
      </w:r>
    </w:p>
    <w:tbl>
      <w:tblPr>
        <w:tblStyle w:val="12"/>
        <w:tblpPr w:leftFromText="180" w:rightFromText="180" w:vertAnchor="text" w:horzAnchor="page" w:tblpXSpec="center" w:tblpY="277"/>
        <w:tblOverlap w:val="never"/>
        <w:tblW w:w="1074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42"/>
        <w:gridCol w:w="1418"/>
        <w:gridCol w:w="3118"/>
        <w:gridCol w:w="2552"/>
        <w:gridCol w:w="24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24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4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31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参数</w:t>
            </w:r>
          </w:p>
        </w:tc>
        <w:tc>
          <w:tcPr>
            <w:tcW w:w="255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规格（件/盒/ML）</w:t>
            </w:r>
          </w:p>
        </w:tc>
        <w:tc>
          <w:tcPr>
            <w:tcW w:w="241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不含税报价（限价）（元/件）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盒装</w:t>
            </w:r>
          </w:p>
        </w:tc>
        <w:tc>
          <w:tcPr>
            <w:tcW w:w="3118"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产品类型：全脂灭菌乳</w:t>
            </w:r>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每件2</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盒</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每盒</w:t>
            </w:r>
            <w:r>
              <w:rPr>
                <w:rFonts w:ascii="方正仿宋_GBK" w:hAnsi="方正仿宋_GBK" w:eastAsia="方正仿宋_GBK" w:cs="方正仿宋_GBK"/>
                <w:color w:val="000000" w:themeColor="text1"/>
                <w:sz w:val="28"/>
                <w:szCs w:val="28"/>
                <w14:textFill>
                  <w14:solidFill>
                    <w14:schemeClr w14:val="tx1"/>
                  </w14:solidFill>
                </w14:textFill>
              </w:rPr>
              <w:t>200</w:t>
            </w:r>
            <w:r>
              <w:rPr>
                <w:rFonts w:hint="eastAsia" w:ascii="方正仿宋_GBK" w:hAnsi="方正仿宋_GBK" w:eastAsia="方正仿宋_GBK" w:cs="方正仿宋_GBK"/>
                <w:color w:val="000000" w:themeColor="text1"/>
                <w:sz w:val="28"/>
                <w:szCs w:val="28"/>
                <w14:textFill>
                  <w14:solidFill>
                    <w14:schemeClr w14:val="tx1"/>
                  </w14:solidFill>
                </w14:textFill>
              </w:rPr>
              <w:t>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35.90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盒装</w:t>
            </w:r>
          </w:p>
        </w:tc>
        <w:tc>
          <w:tcPr>
            <w:tcW w:w="3118"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产品类型：全脂灭菌乳</w:t>
            </w:r>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每件2</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盒</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每盒</w:t>
            </w:r>
            <w:r>
              <w:rPr>
                <w:rFonts w:ascii="方正仿宋_GBK" w:hAnsi="方正仿宋_GBK" w:eastAsia="方正仿宋_GBK" w:cs="方正仿宋_GBK"/>
                <w:color w:val="000000" w:themeColor="text1"/>
                <w:sz w:val="28"/>
                <w:szCs w:val="28"/>
                <w14:textFill>
                  <w14:solidFill>
                    <w14:schemeClr w14:val="tx1"/>
                  </w14:solidFill>
                </w14:textFill>
              </w:rPr>
              <w:t>250ML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48.01</w:t>
            </w:r>
          </w:p>
        </w:tc>
      </w:tr>
    </w:tbl>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备注：2</w:t>
      </w:r>
      <w:r>
        <w:rPr>
          <w:rFonts w:ascii="方正仿宋_GBK" w:hAnsi="方正仿宋_GBK" w:eastAsia="方正仿宋_GBK" w:cs="方正仿宋_GBK"/>
          <w:color w:val="000000" w:themeColor="text1"/>
          <w:sz w:val="28"/>
          <w:szCs w:val="28"/>
          <w:lang w:val="en-GB"/>
          <w14:textFill>
            <w14:solidFill>
              <w14:schemeClr w14:val="tx1"/>
            </w14:solidFill>
          </w14:textFill>
        </w:rPr>
        <w:t>50ML</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/盒规格的牛奶仅作为当2</w:t>
      </w:r>
      <w:r>
        <w:rPr>
          <w:rFonts w:ascii="方正仿宋_GBK" w:hAnsi="方正仿宋_GBK" w:eastAsia="方正仿宋_GBK" w:cs="方正仿宋_GBK"/>
          <w:color w:val="000000" w:themeColor="text1"/>
          <w:sz w:val="28"/>
          <w:szCs w:val="28"/>
          <w:lang w:val="en-GB"/>
          <w14:textFill>
            <w14:solidFill>
              <w14:schemeClr w14:val="tx1"/>
            </w14:solidFill>
          </w14:textFill>
        </w:rPr>
        <w:t>00ML/</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盒牛奶缺货时的备用产品。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二、合格报价的供应商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2.1在中华人民共和国依法注册、具有独立法人资格，公司具备有效的营业执照及相关行业许可证。（须提供营业执照复印件加盖鲜章）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2.2响应人须提供合格有效的《食品流通许可证》或《食品经营许可证》。（提供《食品流通许可证》或《食品经营许可证》副本复印件加盖鲜章）。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2.3响应人须承诺能够提供得到甲方认可的日常所需及替换饮品种类。（承诺书格式自拟）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2.4未被“信用中国”网站（www.creditchina.gov.cn）列为失信被执行人（提供相关查询截图并加盖鲜章）。</w:t>
      </w:r>
    </w:p>
    <w:p>
      <w:pPr>
        <w:pStyle w:val="2"/>
        <w:spacing w:before="120" w:beforeLines="50" w:after="120" w:afterLines="50" w:line="24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2.5本项目不接受联合体参加，不得转包、分包。</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 xml:space="preserve">三、成交标准 </w:t>
      </w:r>
    </w:p>
    <w:p>
      <w:pPr>
        <w:spacing w:before="120" w:beforeLines="50" w:after="120" w:afterLines="50"/>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本次项目成交人确定办法：满足本次采购合格报价响应人资格的且在《报价表》（附件4）产品报价中，按照经评审的有效最低报价法确定成交响应人的采购方式（如响应方存在税率不一致，则由采购人比选小组依据相应税率测算不含税价进行对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具体比选规则如下：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3.1递交比选响应文件截止时，送达的比选响应文件少于3个的，应停止比选活动，将递交的比选响应文件退还比选响应人，并重新组织比选。重新比选仍然不足3个单位的，比选项目将可以继续进行比选。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3.2如有项目因专业性及特殊性，导致有效比选响应人不足3个的，比选小组应当否决所有比选响应人。但是有效比选响应人的经济、技术等指标仍然具有市场竞争力，能够满足比选文件要求的，比选小组可以继续评审，根据符合采购需求、质量和服务，且符合成交标准的原则确定成交候选人。</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3.3项目重新比选时，经评审有有效比选响应人的，应当按规定程序，根据符合采购需求、质量和服务，且符合成交标准的原则确定成交候选人。</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四、比选文件发放的时间及地点</w:t>
      </w:r>
    </w:p>
    <w:p>
      <w:pPr>
        <w:widowControl/>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比选文件及相关资料于202</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年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日由重庆空港贵宾服务有限公司在重庆机场官网发布。</w:t>
      </w:r>
    </w:p>
    <w:p>
      <w:pPr>
        <w:snapToGrid w:val="0"/>
        <w:spacing w:before="120" w:beforeLines="50" w:after="120" w:afterLines="50"/>
        <w:ind w:firstLine="560" w:firstLineChars="200"/>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5.1 项目比选响应保证金收取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1900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2%，比选响应人必须从企业的基本账户（开户行）在截止时间前3小时通过转账支票直接划付或以电汇方式直接划付到以下账户，自行考虑汇入时间风险，如同城汇入、异地汇入、跨行汇入的时间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5.2 履约保证金收取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4800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元，约为合同不含税总结款的5%，在收到成交通知书10日内缴纳到以下账户，于履约结束后40天内，一次性退还（不计利息）。（不接受任何保函形式）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六、支付方式</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6.1 </w:t>
      </w:r>
      <w:r>
        <w:rPr>
          <w:rFonts w:hint="eastAsia" w:ascii="仿宋" w:hAnsi="仿宋" w:eastAsia="仿宋" w:cs="方正仿宋_GBK"/>
          <w:color w:val="000000" w:themeColor="text1"/>
          <w:sz w:val="28"/>
          <w:szCs w:val="28"/>
          <w14:textFill>
            <w14:solidFill>
              <w14:schemeClr w14:val="tx1"/>
            </w14:solidFill>
          </w14:textFill>
        </w:rPr>
        <w:t>甲方在收到履约保证金后，</w:t>
      </w:r>
      <w:r>
        <w:rPr>
          <w:rFonts w:ascii="仿宋" w:hAnsi="仿宋" w:eastAsia="仿宋" w:cs="方正仿宋_GBK"/>
          <w:color w:val="000000" w:themeColor="text1"/>
          <w:sz w:val="28"/>
          <w:szCs w:val="28"/>
          <w14:textFill>
            <w14:solidFill>
              <w14:schemeClr w14:val="tx1"/>
            </w14:solidFill>
          </w14:textFill>
        </w:rPr>
        <w:t>20</w:t>
      </w:r>
      <w:r>
        <w:rPr>
          <w:rFonts w:hint="eastAsia" w:ascii="仿宋" w:hAnsi="仿宋" w:eastAsia="仿宋" w:cs="方正仿宋_GBK"/>
          <w:color w:val="000000" w:themeColor="text1"/>
          <w:sz w:val="28"/>
          <w:szCs w:val="28"/>
          <w14:textFill>
            <w14:solidFill>
              <w14:schemeClr w14:val="tx1"/>
            </w14:solidFill>
          </w14:textFill>
        </w:rPr>
        <w:t>个工作日内与乙方签订相关合同。</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 </w:t>
      </w:r>
      <w:r>
        <w:rPr>
          <w:rFonts w:hint="eastAsia" w:ascii="仿宋" w:hAnsi="仿宋" w:eastAsia="仿宋" w:cs="方正仿宋_GBK"/>
          <w:color w:val="000000" w:themeColor="text1"/>
          <w:sz w:val="28"/>
          <w:szCs w:val="28"/>
          <w14:textFill>
            <w14:solidFill>
              <w14:schemeClr w14:val="tx1"/>
            </w14:solidFill>
          </w14:textFill>
        </w:rPr>
        <w:t>乙方出现逾期供货情况，则按以下条款处理：</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6.2.1 </w:t>
      </w:r>
      <w:r>
        <w:rPr>
          <w:rFonts w:hint="eastAsia" w:ascii="仿宋" w:hAnsi="仿宋" w:eastAsia="仿宋" w:cs="方正仿宋_GBK"/>
          <w:color w:val="000000" w:themeColor="text1"/>
          <w:sz w:val="28"/>
          <w:szCs w:val="28"/>
          <w14:textFill>
            <w14:solidFill>
              <w14:schemeClr w14:val="tx1"/>
            </w14:solidFill>
          </w14:textFill>
        </w:rPr>
        <w:t>逾期后，若成交供应商无法继续履行合同，我方不再返还履约保证金。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6.2.2 </w:t>
      </w:r>
      <w:r>
        <w:rPr>
          <w:rFonts w:hint="eastAsia" w:ascii="仿宋" w:hAnsi="仿宋" w:eastAsia="仿宋" w:cs="方正仿宋_GBK"/>
          <w:color w:val="000000" w:themeColor="text1"/>
          <w:sz w:val="28"/>
          <w:szCs w:val="28"/>
          <w14:textFill>
            <w14:solidFill>
              <w14:schemeClr w14:val="tx1"/>
            </w14:solidFill>
          </w14:textFill>
        </w:rPr>
        <w:t>逾期后，若成交供应商继续履行合同，并在逾期3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天（含第3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天）内完成供货，甲方扣除5</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%履约保证金。甲方一次性收到货物和对应的增值税专用发票，经甲方人员验收合格后2</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个工作日内，甲方</w:t>
      </w:r>
      <w:r>
        <w:rPr>
          <w:rFonts w:ascii="仿宋" w:hAnsi="仿宋" w:eastAsia="仿宋" w:cs="方正仿宋_GBK"/>
          <w:color w:val="000000" w:themeColor="text1"/>
          <w:sz w:val="28"/>
          <w:szCs w:val="28"/>
          <w14:textFill>
            <w14:solidFill>
              <w14:schemeClr w14:val="tx1"/>
            </w14:solidFill>
          </w14:textFill>
        </w:rPr>
        <w:t>支付合同总价款（含税）</w:t>
      </w:r>
      <w:r>
        <w:rPr>
          <w:rFonts w:hint="eastAsia" w:ascii="仿宋" w:hAnsi="仿宋" w:eastAsia="仿宋" w:cs="方正仿宋_GBK"/>
          <w:color w:val="000000" w:themeColor="text1"/>
          <w:sz w:val="28"/>
          <w:szCs w:val="28"/>
          <w14:textFill>
            <w14:solidFill>
              <w14:schemeClr w14:val="tx1"/>
            </w14:solidFill>
          </w14:textFill>
        </w:rPr>
        <w:t>并退还扣除后的履约保证金。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6.2.3 </w:t>
      </w:r>
      <w:r>
        <w:rPr>
          <w:rFonts w:hint="eastAsia" w:ascii="仿宋" w:hAnsi="仿宋" w:eastAsia="仿宋" w:cs="方正仿宋_GBK"/>
          <w:color w:val="000000" w:themeColor="text1"/>
          <w:sz w:val="28"/>
          <w:szCs w:val="28"/>
          <w14:textFill>
            <w14:solidFill>
              <w14:schemeClr w14:val="tx1"/>
            </w14:solidFill>
          </w14:textFill>
        </w:rPr>
        <w:t>逾期6</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天及其以上，视成交供应商无法履行合同，我方直接解除合同，并不再返还履约保证金。</w:t>
      </w:r>
    </w:p>
    <w:p>
      <w:pPr>
        <w:spacing w:line="360" w:lineRule="auto"/>
        <w:ind w:firstLine="560" w:firstLineChars="200"/>
        <w:rPr>
          <w:color w:val="000000" w:themeColor="text1"/>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6.3 </w:t>
      </w:r>
      <w:r>
        <w:rPr>
          <w:rFonts w:hint="eastAsia" w:ascii="仿宋" w:hAnsi="仿宋" w:eastAsia="仿宋" w:cs="方正仿宋_GBK"/>
          <w:color w:val="000000" w:themeColor="text1"/>
          <w:sz w:val="28"/>
          <w:szCs w:val="28"/>
          <w14:textFill>
            <w14:solidFill>
              <w14:schemeClr w14:val="tx1"/>
            </w14:solidFill>
          </w14:textFill>
        </w:rPr>
        <w:t>合同有效期内，若成交供应商因自身原因无法履行合同，我方不再返还履约保证金。</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七、工期/到货时间</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7.1采购人以电话、微信、QQ或电子邮件的形式订货下单；</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7.2采用通知送货形式，供货方需在24小时内将牛奶送达指定位置。</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八、合同期：1年</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九、比选响应有效期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十、比选响应文件的编制和提交</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10.1比选响应方应当按照比选文件的要求编制比选响应文件，比选响应文件应当对比选文件提出的要求和条件作出实质性应答。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10.2比选响应文件应用A4规格纸编制并装订成册，主要由以下几个部分组成：</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10.2.1封面。比选响应文件封面及密封袋封面上须注明“项目名称”“项目编号”“比选响应单位名称”，并加盖单位公章。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10.2.2加盖公章的承诺函（附件1）。</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10.2.3报价部分。按附件4《报价表》进行分项报价，所报商品均为不含税报价。各项报价应包括提供货物的运输和服务等全部费用。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10.2.4提供包括营业执照（复印件），法人代表委托书（原件）、法人身份证复印件、被授权人身份证复印件、业绩证明及服务承诺等（附件2、附件3）。</w:t>
      </w:r>
    </w:p>
    <w:p>
      <w:pPr>
        <w:widowControl/>
        <w:spacing w:before="120" w:beforeLines="50" w:after="120" w:afterLines="50"/>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10.2.5比选响应文件装订成册。比选响应文件一式2份，其中正本1份，副本1份。</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十一、比选响应文件作废条款</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11.1比选响应散装或者活页装订的，文件比选响应文件未装袋密封的。比选响应文件封面及密封袋封面上未注明“项目名称”“项目编号”“比选响应单位名称”并未加盖单位公章的。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11.2比选响应文件中报价函部分、授权部分无法定代表人签字（签章）或签字人无有效授权书的。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11.3比选小组审查发现比选响应文件未能对比选文件提出的所有实质性要求和条件作出响应的。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11.4有串通比选或弄虚作假或有其他违法违规行为的。</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十二、响应人违约等行为约束要求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 在比选响应有效期内，比选响应人撤销比选响应文件的，其比选响应保证金不予退还。</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 在比选响应有效期内，比选响应人无故放弃成交候选人资格的，其比选响应保证金不予退还，并将被列入采购人黑名单。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 成交人在收到成交通知书后，无正当理由不与采购人订立合同，在签订合同时向采购人提出附加条件，或者不按照采购文件要求提交履约保证金的，其比选响应保证金不予退还，并将被列入采购人黑名单。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注：黑名单有效期3年，被列入黑名单的单位在黑名单有效期内禁止参与采购人的项目。</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十三、异议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.1比选响应人或其他利害关系人认为采购活动不符合法律、行政等规定的，应当在采购结果公示期之内以书面形式向采购人提出异议（以采购人收到书面异议之日为准）。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.2.异议提出人向采购人提起异议时，应当提交异议书。异议书应当包括下列内容：</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.2.1异议提出人的名称、地址及有效联系方式。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.2.2异议事项的基本事实。</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.2.3异议请求及主张。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.2.4有效线索和相关证据、证明材料。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.3异议提出人对异议事项提出的请求和主张，有责任提供证据；只有自己陈述而不能提出其他相关证据的，对其请求和主张不予支持。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.4异议提出人不得虚假异议、恶意异议，不得以异议为名排挤竞争对手，阻碍采购活动的正常进行。若出现该情况，视为无效异议，不再受理。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.5.1招标投标法第二十二条规定的招标投标保密信息。</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.5.2应当保密的采购响应文件（但采购人提起异议时，采购响应文件不作为非法证据）。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.5.3招标投标法第四十四条规定保密的投标文件评审和比较情况、中标候选人推荐情况和评标有关的其他情况。</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.5.4其他依法应当保密的信息和资料。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.6有下列情形之一的异议，不予受理：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.6.1异议事项不具体，且未提供有效线索、相关证据和证明材料，难以查证。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.6.2未署异议提出人真实姓名、签字和有效联系方式。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.6.3未经法定代表人或授权的委托代理人签字并加盖公章，或未经主要负责人或异议提出人本人签字。</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.6.4不在结果公示期内的。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.6.5已对异议事项做出答复的。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十四、监督机构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widowControl/>
        <w:spacing w:before="120" w:beforeLines="50" w:after="120" w:afterLines="50"/>
        <w:ind w:firstLine="560" w:firstLineChars="200"/>
        <w:jc w:val="left"/>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5031</w:t>
      </w:r>
    </w:p>
    <w:p>
      <w:pPr>
        <w:widowControl/>
        <w:spacing w:before="120" w:beforeLines="50" w:after="120" w:afterLines="50"/>
        <w:ind w:firstLine="560" w:firstLineChars="200"/>
        <w:jc w:val="left"/>
        <w:rPr>
          <w:b/>
          <w:bCs/>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十五、比选时间、地点及结果通知</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.1比选响应文件必须在</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2023</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年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时送到重庆空港贵宾服务有限公司（护宾楼305室），过期不予受理。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202</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年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时在重庆空港贵宾服务有限公司（重庆江北国际机场东一路2号护宾楼）办公楼305 会议室对本项目进行比选，各比选响应人须参加。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.3 参加比选唱价会议的比选响应人的法定代表人或其授权的代理人应当随身携带本人身份证（原件），授权的代理人还应当随身携带法定代表人授权委托书（原件），以备核验其合法身份。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.4 比选结果通知：待结果确定后会及时通知，原则上只通知被选中的比选响应人，对未被选中的比选响应人不通知、不解释。</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十六、联系方式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widowControl/>
        <w:spacing w:before="120" w:beforeLines="50" w:after="120" w:afterLines="50"/>
        <w:ind w:firstLine="560" w:firstLineChars="200"/>
        <w:jc w:val="left"/>
        <w:rPr>
          <w:color w:val="000000" w:themeColor="text1"/>
          <w14:textFill>
            <w14:solidFill>
              <w14:schemeClr w14:val="tx1"/>
            </w14:solidFill>
          </w14:textFill>
        </w:rPr>
        <w:sectPr>
          <w:headerReference r:id="rId3" w:type="default"/>
          <w:footerReference r:id="rId4" w:type="default"/>
          <w:pgSz w:w="11906" w:h="16838"/>
          <w:pgMar w:top="1480" w:right="1276" w:bottom="1310" w:left="1389" w:header="851" w:footer="992" w:gutter="0"/>
          <w:cols w:space="720" w:num="1"/>
        </w:sect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pStyle w:val="3"/>
        <w:numPr>
          <w:ilvl w:val="0"/>
          <w:numId w:val="0"/>
        </w:numPr>
        <w:spacing w:before="120" w:beforeLines="50" w:after="120" w:afterLines="50"/>
        <w:ind w:firstLine="723" w:firstLineChars="200"/>
        <w:rPr>
          <w:rFonts w:ascii="仿宋" w:hAnsi="仿宋" w:eastAsia="仿宋" w:cs="仿宋"/>
          <w:b/>
          <w:bCs/>
          <w:color w:val="000000" w:themeColor="text1"/>
          <w:sz w:val="36"/>
          <w:szCs w:val="36"/>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8"/>
          <w:szCs w:val="28"/>
          <w14:textFill>
            <w14:solidFill>
              <w14:schemeClr w14:val="tx1"/>
            </w14:solidFill>
          </w14:textFill>
        </w:rPr>
      </w:pPr>
    </w:p>
    <w:p>
      <w:pPr>
        <w:spacing w:after="120" w:afterLines="50"/>
        <w:ind w:right="964" w:firstLine="600"/>
        <w:jc w:val="right"/>
        <w:rPr>
          <w:rFonts w:ascii="黑体" w:hAnsi="黑体" w:eastAsia="黑体"/>
          <w:color w:val="000000" w:themeColor="text1"/>
          <w:sz w:val="24"/>
          <w14:textFill>
            <w14:solidFill>
              <w14:schemeClr w14:val="tx1"/>
            </w14:solidFill>
          </w14:textFill>
        </w:rPr>
      </w:pPr>
      <w:r>
        <w:rPr>
          <w:color w:val="000000" w:themeColor="text1"/>
          <w14:textFill>
            <w14:solidFill>
              <w14:schemeClr w14:val="tx1"/>
            </w14:solidFill>
          </w14:textFill>
        </w:rPr>
        <w:t xml:space="preserve">       </w:t>
      </w:r>
      <w:r>
        <w:rPr>
          <w:rFonts w:hint="eastAsia" w:ascii="黑体" w:hAnsi="黑体" w:eastAsia="黑体"/>
          <w:color w:val="000000" w:themeColor="text1"/>
          <w:sz w:val="24"/>
          <w14:textFill>
            <w14:solidFill>
              <w14:schemeClr w14:val="tx1"/>
            </w14:solidFill>
          </w14:textFill>
        </w:rPr>
        <w:t>合同编号：CQA</w:t>
      </w:r>
    </w:p>
    <w:p>
      <w:pPr>
        <w:spacing w:after="120" w:afterLines="50"/>
        <w:ind w:firstLine="422"/>
        <w:jc w:val="center"/>
        <w:rPr>
          <w:rFonts w:ascii="仿宋" w:eastAsia="仿宋"/>
          <w:b/>
          <w:color w:val="000000" w:themeColor="text1"/>
          <w14:textFill>
            <w14:solidFill>
              <w14:schemeClr w14:val="tx1"/>
            </w14:solidFill>
          </w14:textFill>
        </w:rPr>
      </w:pP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X9pVB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等线"/>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ind w:firstLine="2600" w:firstLineChars="500"/>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采购框架协议</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8415" r="12700" b="1016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yqtR/UAAAACQEAAA8AAAAAAAAAAQAg&#10;AAAAIgAAAGRycy9kb3ducmV2LnhtbFBLAQIUABQAAAAIAIdO4kALX7a72QEAAHEDAAAOAAAAAAAA&#10;AAEAIAAAACMBAABkcnMvZTJvRG9jLnhtbFBLBQYAAAAABgAGAFkBAABu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等线"/>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甲方：</w:t>
      </w:r>
      <w:r>
        <w:rPr>
          <w:rFonts w:hint="eastAsia" w:ascii="黑体" w:hAnsi="黑体" w:eastAsia="黑体"/>
          <w:color w:val="000000" w:themeColor="text1"/>
          <w:sz w:val="28"/>
          <w:szCs w:val="28"/>
          <w:u w:val="single"/>
          <w14:textFill>
            <w14:solidFill>
              <w14:schemeClr w14:val="tx1"/>
            </w14:solidFill>
          </w14:textFill>
        </w:rPr>
        <w:t>重庆空港贵宾服务有限公司</w:t>
      </w:r>
    </w:p>
    <w:p>
      <w:pPr>
        <w:snapToGrid w:val="0"/>
        <w:ind w:firstLine="600"/>
        <w:rPr>
          <w:rFonts w:ascii="黑体" w:hAnsi="黑体" w:eastAsia="黑体"/>
          <w:b/>
          <w:bCs/>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乙方：</w:t>
      </w:r>
      <w:r>
        <w:rPr>
          <w:rFonts w:hint="eastAsia" w:ascii="黑体" w:hAnsi="黑体" w:eastAsia="黑体"/>
          <w:bCs/>
          <w:color w:val="000000" w:themeColor="text1"/>
          <w:sz w:val="28"/>
          <w:szCs w:val="28"/>
          <w:u w:val="single"/>
          <w14:textFill>
            <w14:solidFill>
              <w14:schemeClr w14:val="tx1"/>
            </w14:solidFill>
          </w14:textFill>
        </w:rPr>
        <w:t xml:space="preserve">          </w:t>
      </w:r>
      <w:r>
        <w:rPr>
          <w:rFonts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
          <w:bCs/>
          <w:color w:val="000000" w:themeColor="text1"/>
          <w:sz w:val="28"/>
          <w:szCs w:val="28"/>
          <w:u w:val="single"/>
          <w14:textFill>
            <w14:solidFill>
              <w14:schemeClr w14:val="tx1"/>
            </w14:solidFill>
          </w14:textFill>
        </w:rPr>
        <w:t xml:space="preserve">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甲方：重庆空港贵宾服务有限公司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统一社会信用代码：9</w:t>
      </w:r>
      <w:r>
        <w:rPr>
          <w:rFonts w:ascii="仿宋_GB2312" w:hAnsi="仿宋_GB2312" w:eastAsia="仿宋_GB2312" w:cs="仿宋_GB2312"/>
          <w:color w:val="000000" w:themeColor="text1"/>
          <w:sz w:val="28"/>
          <w:szCs w:val="28"/>
          <w14:textFill>
            <w14:solidFill>
              <w14:schemeClr w14:val="tx1"/>
            </w14:solidFill>
          </w14:textFill>
        </w:rPr>
        <w:t>1500112768890573B</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开户银行：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开户银行：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根据《中华人民共和国</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民法典</w:t>
      </w:r>
      <w:bookmarkStart w:id="1" w:name="_GoBack"/>
      <w:bookmarkEnd w:id="1"/>
      <w:r>
        <w:rPr>
          <w:rFonts w:hint="eastAsia" w:ascii="仿宋_GB2312" w:hAnsi="仿宋_GB2312" w:eastAsia="仿宋_GB2312" w:cs="仿宋_GB2312"/>
          <w:color w:val="000000" w:themeColor="text1"/>
          <w:sz w:val="28"/>
          <w:szCs w:val="28"/>
          <w14:textFill>
            <w14:solidFill>
              <w14:schemeClr w14:val="tx1"/>
            </w14:solidFill>
          </w14:textFill>
        </w:rPr>
        <w:t>》及相关法律法规规定，经双方协商，一致同意就甲方向乙方采购</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牛奶     </w:t>
      </w:r>
      <w:r>
        <w:rPr>
          <w:rFonts w:hint="eastAsia" w:ascii="仿宋_GB2312" w:hAnsi="仿宋_GB2312" w:eastAsia="仿宋_GB2312" w:cs="仿宋_GB2312"/>
          <w:color w:val="000000" w:themeColor="text1"/>
          <w:sz w:val="28"/>
          <w:szCs w:val="28"/>
          <w14:textFill>
            <w14:solidFill>
              <w14:schemeClr w14:val="tx1"/>
            </w14:solidFill>
          </w14:textFill>
        </w:rPr>
        <w:t>事宜达成以下协议，共同遵守履行: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第一条 采购的内容和范围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1.1甲方向乙方采购的内容是：</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牛奶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双方确认，本框架协议下，甲方是否采购以及采购的数量以甲方实际发出的需求为准。乙方对本框架协议下的标的物的供货行为并不是独占和排他的。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第二条  合同期限</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本合同期限为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壹  </w:t>
      </w:r>
      <w:r>
        <w:rPr>
          <w:rFonts w:hint="eastAsia" w:ascii="仿宋_GB2312" w:hAnsi="仿宋_GB2312" w:eastAsia="仿宋_GB2312" w:cs="仿宋_GB2312"/>
          <w:color w:val="000000" w:themeColor="text1"/>
          <w:sz w:val="28"/>
          <w:szCs w:val="28"/>
          <w14:textFill>
            <w14:solidFill>
              <w14:schemeClr w14:val="tx1"/>
            </w14:solidFill>
          </w14:textFill>
        </w:rPr>
        <w:t>年，自      年    月      日起始至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年          月      日止。</w:t>
      </w:r>
      <w:r>
        <w:rPr>
          <w:rFonts w:hint="eastAsia" w:ascii="仿宋_GB2312" w:eastAsia="仿宋_GB2312"/>
          <w:color w:val="000000" w:themeColor="text1"/>
          <w:sz w:val="28"/>
          <w:szCs w:val="28"/>
          <w14:textFill>
            <w14:solidFill>
              <w14:schemeClr w14:val="tx1"/>
            </w14:solidFill>
          </w14:textFill>
        </w:rPr>
        <w:t>合同到期后，在甲方未确定新供应商之前，乙方按此合同履行义务，若甲方确定新供应商后乙方在3个工作日内无条件退出，双方合同自动解除。</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第三条 合同价款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3.1 合同价款是指甲方向乙方实施采购应当向乙方支付的采购费用。具体标准（不含增值税）为：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如下表  </w:t>
      </w:r>
      <w:r>
        <w:rPr>
          <w:rFonts w:hint="eastAsia" w:ascii="仿宋_GB2312" w:hAnsi="仿宋_GB2312" w:eastAsia="仿宋_GB2312" w:cs="仿宋_GB2312"/>
          <w:color w:val="000000" w:themeColor="text1"/>
          <w:sz w:val="28"/>
          <w:szCs w:val="28"/>
          <w14:textFill>
            <w14:solidFill>
              <w14:schemeClr w14:val="tx1"/>
            </w14:solidFill>
          </w14:textFill>
        </w:rPr>
        <w:t xml:space="preserve">      （可附清单说明）；</w:t>
      </w:r>
    </w:p>
    <w:tbl>
      <w:tblPr>
        <w:tblStyle w:val="12"/>
        <w:tblpPr w:leftFromText="180" w:rightFromText="180" w:vertAnchor="text" w:horzAnchor="page" w:tblpXSpec="center" w:tblpY="277"/>
        <w:tblOverlap w:val="never"/>
        <w:tblW w:w="1074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42"/>
        <w:gridCol w:w="1418"/>
        <w:gridCol w:w="3118"/>
        <w:gridCol w:w="2552"/>
        <w:gridCol w:w="24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24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4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31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参数</w:t>
            </w:r>
          </w:p>
        </w:tc>
        <w:tc>
          <w:tcPr>
            <w:tcW w:w="255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规格（件/盒/ML）</w:t>
            </w:r>
          </w:p>
        </w:tc>
        <w:tc>
          <w:tcPr>
            <w:tcW w:w="241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不含税报价（限价）（元/件）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盒装</w:t>
            </w:r>
          </w:p>
        </w:tc>
        <w:tc>
          <w:tcPr>
            <w:tcW w:w="3118"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产品类型：全脂灭菌乳</w:t>
            </w:r>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每件2</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盒</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每盒</w:t>
            </w:r>
            <w:r>
              <w:rPr>
                <w:rFonts w:ascii="方正仿宋_GBK" w:hAnsi="方正仿宋_GBK" w:eastAsia="方正仿宋_GBK" w:cs="方正仿宋_GBK"/>
                <w:color w:val="000000" w:themeColor="text1"/>
                <w:sz w:val="28"/>
                <w:szCs w:val="28"/>
                <w14:textFill>
                  <w14:solidFill>
                    <w14:schemeClr w14:val="tx1"/>
                  </w14:solidFill>
                </w14:textFill>
              </w:rPr>
              <w:t>200</w:t>
            </w:r>
            <w:r>
              <w:rPr>
                <w:rFonts w:hint="eastAsia" w:ascii="方正仿宋_GBK" w:hAnsi="方正仿宋_GBK" w:eastAsia="方正仿宋_GBK" w:cs="方正仿宋_GBK"/>
                <w:color w:val="000000" w:themeColor="text1"/>
                <w:sz w:val="28"/>
                <w:szCs w:val="28"/>
                <w14:textFill>
                  <w14:solidFill>
                    <w14:schemeClr w14:val="tx1"/>
                  </w14:solidFill>
                </w14:textFill>
              </w:rPr>
              <w:t>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盒装</w:t>
            </w:r>
          </w:p>
        </w:tc>
        <w:tc>
          <w:tcPr>
            <w:tcW w:w="3118"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产品类型：全脂灭菌乳</w:t>
            </w:r>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每件2</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盒</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每盒</w:t>
            </w:r>
            <w:r>
              <w:rPr>
                <w:rFonts w:ascii="方正仿宋_GBK" w:hAnsi="方正仿宋_GBK" w:eastAsia="方正仿宋_GBK" w:cs="方正仿宋_GBK"/>
                <w:color w:val="000000" w:themeColor="text1"/>
                <w:sz w:val="28"/>
                <w:szCs w:val="28"/>
                <w14:textFill>
                  <w14:solidFill>
                    <w14:schemeClr w14:val="tx1"/>
                  </w14:solidFill>
                </w14:textFill>
              </w:rPr>
              <w:t>250ML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bl>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3.2合同价款包含：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3.3______________________ (视情况填加)。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第四条 采购方式及费用结算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4.1甲方在合同期限内根据自身需要，在本框架协议约定的采购范围内，定期或不定期向乙方实施采购。采购的方式为以下第  </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 xml:space="preserve">  种。</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4.1.1 甲方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办公室库房 </w:t>
      </w:r>
      <w:r>
        <w:rPr>
          <w:rFonts w:hint="eastAsia" w:ascii="仿宋_GB2312" w:hAnsi="仿宋_GB2312" w:eastAsia="仿宋_GB2312" w:cs="仿宋_GB2312"/>
          <w:color w:val="000000" w:themeColor="text1"/>
          <w:sz w:val="28"/>
          <w:szCs w:val="28"/>
          <w14:textFill>
            <w14:solidFill>
              <w14:schemeClr w14:val="tx1"/>
            </w14:solidFill>
          </w14:textFill>
        </w:rPr>
        <w:t xml:space="preserve">     （具体部门）向乙方发出订单（订单见附件）；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4.1.2 甲乙双方另行签订具体的实施协议。</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4.2 采购费用按次结算\按  </w:t>
      </w:r>
      <w:r>
        <w:rPr>
          <w:rFonts w:hint="eastAsia" w:ascii="仿宋_GB2312" w:hAnsi="仿宋_GB2312" w:eastAsia="仿宋_GB2312" w:cs="仿宋_GB2312"/>
          <w:color w:val="000000" w:themeColor="text1"/>
          <w:sz w:val="28"/>
          <w:szCs w:val="28"/>
          <w:u w:val="single"/>
          <w14:textFill>
            <w14:solidFill>
              <w14:schemeClr w14:val="tx1"/>
            </w14:solidFill>
          </w14:textFill>
        </w:rPr>
        <w:t>月</w:t>
      </w:r>
      <w:r>
        <w:rPr>
          <w:rFonts w:hint="eastAsia" w:ascii="仿宋_GB2312" w:hAnsi="仿宋_GB2312" w:eastAsia="仿宋_GB2312" w:cs="仿宋_GB2312"/>
          <w:color w:val="000000" w:themeColor="text1"/>
          <w:sz w:val="28"/>
          <w:szCs w:val="28"/>
          <w14:textFill>
            <w14:solidFill>
              <w14:schemeClr w14:val="tx1"/>
            </w14:solidFill>
          </w14:textFill>
        </w:rPr>
        <w:t xml:space="preserve">  （时间）结算。乙方按约完成供货（服务、工程）并经甲方验收合格后，乙方提出采购费用支付的申请，经甲方确认后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15</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个工作日内支付。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 乙方需向甲方提供正规增值税发票。如果乙方提供增值税普通发票，甲方支付金额为不含增值税金额；如果乙方提供增值税专用发票，甲方支付金额=不含增值税金额+增值税税额。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第五条 陈述与保证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5.2 乙方承诺所供产品或服务的质量保证期为     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 因产品质量瑕疵或缺陷导致的甲方或第三人损害的，乙方承担赔偿责任。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 （根据项目实际另行增加）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第六条 交付与验收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6.2 验收标准：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第七条 履约保证金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7.1为保证本框架合同的顺利履行，乙方应向甲方交纳履约保证金即人民币：          （        元）。乙方投标保证金（如有）            （        元），自动转为履约保证金，不足部分            （        元），应在中标通知书发出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日内（或签订本合同之前   日内），一次性向甲方缴纳。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7.2履约保证金应由乙方名义开立的账户支付到甲方账户，否则视为未支付，甲方有权追究乙方逾期付款责任。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7.3 乙方支付履约保证金时，应在“付款备注”中写明“（合同编号）XX框架合同履约保证金”。乙方不得与其他合同、其他缴费项目一起支付履约保证金，若因混合支付造成无法确认为本合同款项到账的，视为逾期未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7.4甲方在任何时候都有权从履约保证金中扣除由于乙方违反本合同条款而应支付的违约金和赔偿，并且乙方在接到扣除通知书后5个工作日内，应补充扣除金额，以保持履约保证金的完整性。</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7.5本合同期限届满，全部款项结清后        个日历日内将剩余履约保证金无息返还乙方。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第八条  双方权利与义务</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8.1甲方应按约定向乙方支付采购费用；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8.2甲方超出本框架协议约定的采购内容和范围实施采购的，乙方有权拒绝履行，但乙方应书面回复甲方并说明理由；</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8.3因履行合同需要，乙方如需进入机场隔离区的，甲方应协助乙方按机场管理机构有关规定办理相关通行的手续，费用由乙方自理；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8.4 乙方不得拒绝甲方在本框架协议下的采购需求，否则应承担违约责任；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8.5 甲方有权对乙方履行本框架协议实施监督，并进行考核；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 xml:space="preserve">.6 </w:t>
      </w:r>
      <w:r>
        <w:rPr>
          <w:rFonts w:hint="eastAsia" w:ascii="仿宋_GB2312" w:hAnsi="仿宋_GB2312" w:eastAsia="仿宋_GB2312" w:cs="仿宋_GB2312"/>
          <w:color w:val="000000" w:themeColor="text1"/>
          <w:sz w:val="28"/>
          <w:szCs w:val="28"/>
          <w14:textFill>
            <w14:solidFill>
              <w14:schemeClr w14:val="tx1"/>
            </w14:solidFill>
          </w14:textFill>
        </w:rPr>
        <w:t>因乙方提供食品不符合食品安全卫生标准，造成食品安全事件或侵权事件其产生的赔偿或补偿责任由乙方自行承担；</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 xml:space="preserve"> （根据实际项目的特点，再另行增加条款）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第九条  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9.1乙方逾期交货\提交服务成果\完工，乙方应向甲方偿付逾期违约金。逾期违约金按照          计算。违约金尚不能补偿对方损失时，有权向对方追索实际损失的赔偿金。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9.2 乙方延迟履行或履行不符合约定的，经甲方催告后仍不能的，甲方有权解除合同，履约保证金作为违约金不予退还。履约保证金不足以弥补甲方损失的，甲方有权追偿。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9.3...（根据项目实际增加相应的条款）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第十条 不可抗力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第十一条 通知条款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11.1采用当面签收的，应由合同中指定的联系人或双方授权的代表签收，签收日期即为送达时间。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11.5收件一方若认为邮件封面标题与邮件中实际文件内容不符的，应在收到邮件后三日内通知相对人，逾期视为邮件封面标题与邮件中实际文件内容一致，并视为有效送达收件人。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11.7本合同约定的联系方式与送达方式同时可作为法律文书的联系方式与送达方式。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第十二条 保密条款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第十三条 合同争议的解决方式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13.1 若在合同履行过程中发生争议，甲乙双方应当友好协商解决，协商不成，按以下第（   ） 种方式解决：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（一）提交重庆仲裁委员会，按照申请仲裁时该会现行有效的仲裁规则进行仲裁。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（二）向甲方所在地人民法院起诉。</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13.2在诉讼期间，除正在进行诉讼的部分外，合同其它部分继续执行。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第十四条 合同的变更和解除</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14.1 本合同履行过程中，如果合同履行条件发生变化，由双方进行协商，并以签订补充合同的方式加以确认，补充合同与本合同具有同等效力。若补充协议内容与本合同内容矛盾的，以时间在后的内容为准。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14.2 经双方协商一致，并达成书面合同后，本合同可以解除，双方应就合同解除的后果在解约合同中一并做出约定。一方也可根据合同约定单方行使合同解除权。</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第十五条 合同生效及其他</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15.1 乙方和甲方约定合同内容双方法人代表人或授权代表签字并加盖公司公章或合同专用章后生效。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15.2 本合同一式  份，甲方执  份，乙方执  份，具有同等法律效力。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rPr>
          <w:color w:val="000000" w:themeColor="text1"/>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签订地点：</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hint="eastAsia"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pStyle w:val="6"/>
        <w:numPr>
          <w:ilvl w:val="0"/>
          <w:numId w:val="0"/>
        </w:numPr>
        <w:spacing w:before="120" w:beforeLines="50" w:after="120" w:afterLines="50"/>
        <w:ind w:firstLine="600" w:firstLineChars="200"/>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承诺函</w:t>
      </w:r>
    </w:p>
    <w:p>
      <w:pPr>
        <w:pStyle w:val="6"/>
        <w:numPr>
          <w:ilvl w:val="0"/>
          <w:numId w:val="0"/>
        </w:numPr>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重庆空港贵宾服务有限责任公司：</w:t>
      </w:r>
    </w:p>
    <w:p>
      <w:pPr>
        <w:numPr>
          <w:ilvl w:val="0"/>
          <w:numId w:val="4"/>
        </w:num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我方已仔细研究了 </w:t>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（项目名称）比选文件的全部内容，同意并接受比选文件中的所有要求。</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2．我方承诺有效期90天，在有效期内不修改、撤销响应文件。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3．如我方中选：</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（1）我方承诺在收到成交通知书后，在成交通知书规定的期限内与你方签订合同。</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（2）我方承诺对合同不作原则上的改动并签订。</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（3）我方将严格遵守《中华人民共和国食品安全法》等相关法律法规的规定。</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将依法承担相应的产品质量责任，主动接受政府职能部门和采购人监督和检查，认真强化和落实食品安全第一责任人的规定，加强食品安全管理。若因我方配送的商品造成食物中毒、食用致病等恶性事件，我方一定承担由此产生的相应责任和费用。</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我方一定按约定的品种、规格、数量、时间等要求送货，并提供发票、收据。保证所供物品符合国家相关法律法规的要求和行业标准，质量优良、安全卫生，无毒害、无霉变、无污染、不过期，并按要求出示提供每批商品的检验合格证书；否则，采购人可拒绝接货，由此造成的后果由我方承担，采购人不承担我方任何经济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（6）我方保证建立食品及原料采购索证和验收制度；保证从食品原料采购、食品加工销售，实施有效的全过程质量管理；保证所采购的食品及其原料索取发票，有效证件与记录相一致。</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（7）我方保证不使用不符合国家《食品添加剂使用卫生标准》以及未列入国家新增品种公告目录的食品添加剂；不采购使用无卫生许可证的食品添加剂；不超范围、不超剂量滥用食品添加剂。</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（8） 我方保证不采购使用标签标识不全，以及包装破损或超过保质期的食品。</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（9）我方保证具备标的所需的环境条件、配送条件和相关辅助条件。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（10）我方若配送不合格商品，或配送的食品造成了安全事故，采购人有权单方面中止与我方达成的购货协议，且不承担由此给我方带来的损失。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4．我方在此声明，所递交的响应文件及有关资料内容完整、真实和准确。</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5．中选通知书和响应文件将成为约束双方的合同文件组成部</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56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                   （盖单位公章） </w:t>
      </w: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法定代表人或其委托代理人： （签字）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地址： </w:t>
      </w:r>
      <w:r>
        <w:rPr>
          <w:rFonts w:hint="eastAsia" w:ascii="方正仿宋_GBK" w:hAnsi="方正仿宋_GBK" w:eastAsia="方正仿宋_GBK" w:cs="方正仿宋_GBK"/>
          <w:color w:val="000000" w:themeColor="text1"/>
          <w:sz w:val="30"/>
          <w:szCs w:val="30"/>
          <w14:textFill>
            <w14:solidFill>
              <w14:schemeClr w14:val="tx1"/>
            </w14:solidFill>
          </w14:textFill>
        </w:rPr>
        <w:tab/>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电话：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传真： </w:t>
      </w:r>
    </w:p>
    <w:p>
      <w:pPr>
        <w:tabs>
          <w:tab w:val="left" w:pos="3126"/>
        </w:tabs>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jc w:val="both"/>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2520"/>
          <w:tab w:val="left" w:pos="3836"/>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tabs>
          <w:tab w:val="left" w:pos="1580"/>
          <w:tab w:val="left" w:pos="3260"/>
          <w:tab w:val="left" w:pos="4840"/>
          <w:tab w:val="left" w:pos="630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tabs>
          <w:tab w:val="left" w:pos="33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（比选响应人名称）的法定代表人。</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before="120" w:beforeLines="50" w:after="120" w:afterLines="50"/>
        <w:ind w:firstLine="556"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640" w:firstLineChars="200"/>
        <w:jc w:val="both"/>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法定代表人</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经合法授权，特代表本公司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为正式的合法代理人，并授权该代理人在项目的比选活动中，以我单位的名义签署比选响应文件，与业主协商、签订合同协议书以及执行一切与此有关的事务。</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被授权人或代理人：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附件4        </w:t>
      </w:r>
    </w:p>
    <w:p>
      <w:pPr>
        <w:spacing w:before="120" w:beforeLines="50" w:after="120" w:afterLines="50"/>
        <w:ind w:firstLine="720" w:firstLineChars="200"/>
        <w:jc w:val="center"/>
        <w:rPr>
          <w:rFonts w:ascii="方正小标宋_GBK" w:hAnsi="方正小标宋_GBK" w:eastAsia="方正小标宋_GBK" w:cs="方正小标宋_GBK"/>
          <w:b/>
          <w:color w:val="000000" w:themeColor="text1"/>
          <w:kern w:val="0"/>
          <w:sz w:val="36"/>
          <w:szCs w:val="36"/>
          <w:lang w:bidi="ar"/>
          <w14:textFill>
            <w14:solidFill>
              <w14:schemeClr w14:val="tx1"/>
            </w14:solidFill>
          </w14:textFill>
        </w:rPr>
      </w:pPr>
      <w:r>
        <w:rPr>
          <w:rFonts w:hint="eastAsia" w:ascii="方正小标宋_GBK" w:hAnsi="方正小标宋_GBK" w:eastAsia="方正小标宋_GBK" w:cs="方正小标宋_GBK"/>
          <w:b/>
          <w:color w:val="000000" w:themeColor="text1"/>
          <w:kern w:val="0"/>
          <w:sz w:val="36"/>
          <w:szCs w:val="36"/>
          <w:lang w:bidi="ar"/>
          <w14:textFill>
            <w14:solidFill>
              <w14:schemeClr w14:val="tx1"/>
            </w14:solidFill>
          </w14:textFill>
        </w:rPr>
        <w:t>牛奶报价表</w:t>
      </w:r>
    </w:p>
    <w:tbl>
      <w:tblPr>
        <w:tblStyle w:val="12"/>
        <w:tblpPr w:leftFromText="180" w:rightFromText="180" w:vertAnchor="text" w:horzAnchor="page" w:tblpXSpec="center" w:tblpY="277"/>
        <w:tblOverlap w:val="never"/>
        <w:tblW w:w="1074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42"/>
        <w:gridCol w:w="1418"/>
        <w:gridCol w:w="3118"/>
        <w:gridCol w:w="2552"/>
        <w:gridCol w:w="24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24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4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31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参数</w:t>
            </w:r>
          </w:p>
        </w:tc>
        <w:tc>
          <w:tcPr>
            <w:tcW w:w="255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规格（件/瓶/ML）</w:t>
            </w:r>
          </w:p>
        </w:tc>
        <w:tc>
          <w:tcPr>
            <w:tcW w:w="241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不含税报价（限价）（元/件）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盒装</w:t>
            </w:r>
          </w:p>
        </w:tc>
        <w:tc>
          <w:tcPr>
            <w:tcW w:w="3118"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产品类型：全脂灭菌乳</w:t>
            </w:r>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每件2</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盒</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每盒</w:t>
            </w:r>
            <w:r>
              <w:rPr>
                <w:rFonts w:ascii="方正仿宋_GBK" w:hAnsi="方正仿宋_GBK" w:eastAsia="方正仿宋_GBK" w:cs="方正仿宋_GBK"/>
                <w:color w:val="000000" w:themeColor="text1"/>
                <w:sz w:val="28"/>
                <w:szCs w:val="28"/>
                <w14:textFill>
                  <w14:solidFill>
                    <w14:schemeClr w14:val="tx1"/>
                  </w14:solidFill>
                </w14:textFill>
              </w:rPr>
              <w:t>200</w:t>
            </w:r>
            <w:r>
              <w:rPr>
                <w:rFonts w:hint="eastAsia" w:ascii="方正仿宋_GBK" w:hAnsi="方正仿宋_GBK" w:eastAsia="方正仿宋_GBK" w:cs="方正仿宋_GBK"/>
                <w:color w:val="000000" w:themeColor="text1"/>
                <w:sz w:val="28"/>
                <w:szCs w:val="28"/>
                <w14:textFill>
                  <w14:solidFill>
                    <w14:schemeClr w14:val="tx1"/>
                  </w14:solidFill>
                </w14:textFill>
              </w:rPr>
              <w:t>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盒装</w:t>
            </w:r>
          </w:p>
        </w:tc>
        <w:tc>
          <w:tcPr>
            <w:tcW w:w="3118"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产品类型：全脂灭菌乳</w:t>
            </w:r>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每件2</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盒</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每盒</w:t>
            </w:r>
            <w:r>
              <w:rPr>
                <w:rFonts w:ascii="方正仿宋_GBK" w:hAnsi="方正仿宋_GBK" w:eastAsia="方正仿宋_GBK" w:cs="方正仿宋_GBK"/>
                <w:color w:val="000000" w:themeColor="text1"/>
                <w:sz w:val="28"/>
                <w:szCs w:val="28"/>
                <w14:textFill>
                  <w14:solidFill>
                    <w14:schemeClr w14:val="tx1"/>
                  </w14:solidFill>
                </w14:textFill>
              </w:rPr>
              <w:t>250ML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bl>
    <w:p>
      <w:pPr>
        <w:pStyle w:val="2"/>
        <w:rPr>
          <w:color w:val="000000" w:themeColor="text1"/>
          <w:lang w:bidi="ar"/>
          <w14:textFill>
            <w14:solidFill>
              <w14:schemeClr w14:val="tx1"/>
            </w14:solidFill>
          </w14:textFill>
        </w:rPr>
      </w:pPr>
    </w:p>
    <w:sectPr>
      <w:headerReference r:id="rId5" w:type="default"/>
      <w:footerReference r:id="rId6" w:type="default"/>
      <w:pgSz w:w="11906" w:h="16838"/>
      <w:pgMar w:top="1310" w:right="1276" w:bottom="1310" w:left="1276"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upperLetter"/>
      <w:pStyle w:val="3"/>
      <w:lvlText w:val="%1．"/>
      <w:lvlJc w:val="left"/>
      <w:pPr>
        <w:tabs>
          <w:tab w:val="left" w:pos="1605"/>
        </w:tabs>
        <w:ind w:left="1605" w:hanging="480"/>
      </w:pPr>
    </w:lvl>
  </w:abstractNum>
  <w:abstractNum w:abstractNumId="1">
    <w:nsid w:val="00000007"/>
    <w:multiLevelType w:val="singleLevel"/>
    <w:tmpl w:val="00000007"/>
    <w:lvl w:ilvl="0" w:tentative="0">
      <w:start w:val="2"/>
      <w:numFmt w:val="upperLetter"/>
      <w:pStyle w:val="4"/>
      <w:lvlText w:val="%1、"/>
      <w:lvlJc w:val="left"/>
      <w:pPr>
        <w:tabs>
          <w:tab w:val="left" w:pos="2970"/>
        </w:tabs>
        <w:ind w:left="2970" w:hanging="720"/>
      </w:pPr>
    </w:lvl>
  </w:abstractNum>
  <w:abstractNum w:abstractNumId="2">
    <w:nsid w:val="00000008"/>
    <w:multiLevelType w:val="singleLevel"/>
    <w:tmpl w:val="00000008"/>
    <w:lvl w:ilvl="0" w:tentative="0">
      <w:start w:val="1"/>
      <w:numFmt w:val="upperLetter"/>
      <w:pStyle w:val="6"/>
      <w:lvlText w:val="%1、"/>
      <w:lvlJc w:val="left"/>
      <w:pPr>
        <w:tabs>
          <w:tab w:val="left" w:pos="4121"/>
        </w:tabs>
        <w:ind w:left="4121" w:hanging="480"/>
      </w:pPr>
    </w:lvl>
  </w:abstractNum>
  <w:abstractNum w:abstractNumId="3">
    <w:nsid w:val="3CD31239"/>
    <w:multiLevelType w:val="singleLevel"/>
    <w:tmpl w:val="3CD3123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97"/>
    <w:rsid w:val="00174EF6"/>
    <w:rsid w:val="001B30DB"/>
    <w:rsid w:val="001D3ABB"/>
    <w:rsid w:val="002317A3"/>
    <w:rsid w:val="00347A32"/>
    <w:rsid w:val="00381729"/>
    <w:rsid w:val="003E2D11"/>
    <w:rsid w:val="003E36B4"/>
    <w:rsid w:val="00433235"/>
    <w:rsid w:val="00455DB0"/>
    <w:rsid w:val="00580F6B"/>
    <w:rsid w:val="0059344F"/>
    <w:rsid w:val="005D74AB"/>
    <w:rsid w:val="005E2216"/>
    <w:rsid w:val="005F695E"/>
    <w:rsid w:val="00630F6A"/>
    <w:rsid w:val="006C1C67"/>
    <w:rsid w:val="006D385A"/>
    <w:rsid w:val="006E605F"/>
    <w:rsid w:val="00792E85"/>
    <w:rsid w:val="00797197"/>
    <w:rsid w:val="007A122E"/>
    <w:rsid w:val="007C6001"/>
    <w:rsid w:val="008063AD"/>
    <w:rsid w:val="00836E5E"/>
    <w:rsid w:val="00871074"/>
    <w:rsid w:val="008B171F"/>
    <w:rsid w:val="009615FB"/>
    <w:rsid w:val="00994965"/>
    <w:rsid w:val="009B00DA"/>
    <w:rsid w:val="009C084A"/>
    <w:rsid w:val="00A21242"/>
    <w:rsid w:val="00A82597"/>
    <w:rsid w:val="00B701C0"/>
    <w:rsid w:val="00B75C39"/>
    <w:rsid w:val="00BA14B0"/>
    <w:rsid w:val="00BD5C20"/>
    <w:rsid w:val="00C30923"/>
    <w:rsid w:val="00C3221A"/>
    <w:rsid w:val="00CF6D7B"/>
    <w:rsid w:val="00D473DC"/>
    <w:rsid w:val="00D63796"/>
    <w:rsid w:val="00D90718"/>
    <w:rsid w:val="00DD2DDB"/>
    <w:rsid w:val="00EB7702"/>
    <w:rsid w:val="00FD7924"/>
    <w:rsid w:val="07B63546"/>
    <w:rsid w:val="0CB16337"/>
    <w:rsid w:val="0D093610"/>
    <w:rsid w:val="113E4D46"/>
    <w:rsid w:val="122C3CE3"/>
    <w:rsid w:val="1514228F"/>
    <w:rsid w:val="17EC7CEA"/>
    <w:rsid w:val="1A647CD4"/>
    <w:rsid w:val="1C196F4A"/>
    <w:rsid w:val="20BC606A"/>
    <w:rsid w:val="2ABD7C9D"/>
    <w:rsid w:val="2DB3043F"/>
    <w:rsid w:val="2DFD1F35"/>
    <w:rsid w:val="2E800F2C"/>
    <w:rsid w:val="38CE7C1E"/>
    <w:rsid w:val="38E97072"/>
    <w:rsid w:val="3A822364"/>
    <w:rsid w:val="3AD670EE"/>
    <w:rsid w:val="3CF753F7"/>
    <w:rsid w:val="3DD250A9"/>
    <w:rsid w:val="41A501D7"/>
    <w:rsid w:val="424B4AF8"/>
    <w:rsid w:val="43D54B50"/>
    <w:rsid w:val="44085948"/>
    <w:rsid w:val="4CC2711B"/>
    <w:rsid w:val="50B35F32"/>
    <w:rsid w:val="52DC071C"/>
    <w:rsid w:val="5891117A"/>
    <w:rsid w:val="5AD32E1E"/>
    <w:rsid w:val="5D8437A5"/>
    <w:rsid w:val="675730DA"/>
    <w:rsid w:val="72515E9B"/>
    <w:rsid w:val="78C3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outlineLvl w:val="0"/>
    </w:pPr>
    <w:rPr>
      <w:sz w:val="28"/>
      <w:szCs w:val="20"/>
    </w:rPr>
  </w:style>
  <w:style w:type="paragraph" w:styleId="4">
    <w:name w:val="heading 2"/>
    <w:basedOn w:val="5"/>
    <w:next w:val="1"/>
    <w:qFormat/>
    <w:uiPriority w:val="0"/>
    <w:pPr>
      <w:keepNext/>
      <w:numPr>
        <w:ilvl w:val="0"/>
        <w:numId w:val="2"/>
      </w:numPr>
      <w:outlineLvl w:val="1"/>
    </w:pPr>
    <w:rPr>
      <w:sz w:val="28"/>
      <w:szCs w:val="20"/>
    </w:rPr>
  </w:style>
  <w:style w:type="paragraph" w:styleId="6">
    <w:name w:val="heading 3"/>
    <w:basedOn w:val="1"/>
    <w:next w:val="7"/>
    <w:qFormat/>
    <w:uiPriority w:val="0"/>
    <w:pPr>
      <w:keepNext/>
      <w:numPr>
        <w:ilvl w:val="0"/>
        <w:numId w:val="3"/>
      </w:numPr>
      <w:outlineLvl w:val="2"/>
    </w:pPr>
    <w:rPr>
      <w:sz w:val="28"/>
      <w:szCs w:val="20"/>
    </w:rPr>
  </w:style>
  <w:style w:type="character" w:default="1" w:styleId="13">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line="500" w:lineRule="exact"/>
      <w:ind w:firstLine="555"/>
    </w:pPr>
    <w:rPr>
      <w:rFonts w:ascii="仿宋_GB2312" w:eastAsia="仿宋_GB2312"/>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1833</Words>
  <Characters>10450</Characters>
  <Lines>87</Lines>
  <Paragraphs>24</Paragraphs>
  <TotalTime>209</TotalTime>
  <ScaleCrop>false</ScaleCrop>
  <LinksUpToDate>false</LinksUpToDate>
  <CharactersWithSpaces>12259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YK</dc:creator>
  <cp:lastModifiedBy>dell</cp:lastModifiedBy>
  <cp:lastPrinted>2023-04-21T04:27:00Z</cp:lastPrinted>
  <dcterms:modified xsi:type="dcterms:W3CDTF">2023-05-04T23:18:58Z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316391727_btnclosed</vt:lpwstr>
  </property>
  <property fmtid="{D5CDD505-2E9C-101B-9397-08002B2CF9AE}" pid="4" name="ICV">
    <vt:lpwstr>B16B1034D688419198AFA759FC805C3D</vt:lpwstr>
  </property>
</Properties>
</file>