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关于本次长生导航台油机供电系统</w:t>
      </w:r>
      <w:bookmarkStart w:id="0" w:name="_GoBack"/>
      <w:bookmarkEnd w:id="0"/>
      <w:r>
        <w:rPr>
          <w:rFonts w:hint="eastAsia" w:ascii="方正仿宋_GBK" w:hAnsi="方正仿宋_GBK" w:eastAsia="方正仿宋_GBK" w:cs="方正仿宋_GBK"/>
          <w:sz w:val="32"/>
          <w:szCs w:val="32"/>
          <w:lang w:val="en-US" w:eastAsia="zh-CN"/>
        </w:rPr>
        <w:t>维修项目，我司作出如下郑重承诺：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2023-04-04T01:36:50Z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