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color w:val="000000"/>
          <w:sz w:val="52"/>
          <w:szCs w:val="52"/>
          <w:highlight w:val="none"/>
        </w:rPr>
      </w:pPr>
    </w:p>
    <w:p>
      <w:pPr>
        <w:jc w:val="center"/>
        <w:rPr>
          <w:rFonts w:hint="eastAsia" w:ascii="宋体" w:hAnsi="宋体" w:eastAsia="宋体" w:cs="宋体"/>
          <w:color w:val="000000"/>
          <w:sz w:val="52"/>
          <w:szCs w:val="52"/>
          <w:highlight w:val="none"/>
        </w:rPr>
      </w:pPr>
      <w:r>
        <w:rPr>
          <w:rFonts w:hint="eastAsia" w:ascii="方正小标宋_GBK" w:eastAsia="方正小标宋_GBK"/>
          <w:color w:val="000000"/>
          <w:sz w:val="52"/>
          <w:szCs w:val="52"/>
        </w:rPr>
        <w:t>重庆机场信息通信网络有限公司</w:t>
      </w:r>
    </w:p>
    <w:p>
      <w:pPr>
        <w:jc w:val="center"/>
        <w:rPr>
          <w:rFonts w:hint="eastAsia" w:ascii="宋体" w:hAnsi="宋体" w:eastAsia="宋体" w:cs="宋体"/>
          <w:b/>
          <w:color w:val="000000"/>
          <w:sz w:val="52"/>
          <w:szCs w:val="52"/>
          <w:highlight w:val="none"/>
        </w:rPr>
      </w:pPr>
    </w:p>
    <w:p>
      <w:pPr>
        <w:pStyle w:val="2"/>
        <w:rPr>
          <w:rFonts w:hint="eastAsia"/>
        </w:rPr>
      </w:pPr>
    </w:p>
    <w:p>
      <w:pPr>
        <w:pStyle w:val="2"/>
        <w:rPr>
          <w:rFonts w:hint="eastAsia"/>
        </w:rPr>
      </w:pPr>
    </w:p>
    <w:p>
      <w:pPr>
        <w:adjustRightInd w:val="0"/>
        <w:snapToGrid w:val="0"/>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服务器维修框架项目</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比选文件</w:t>
      </w:r>
    </w:p>
    <w:p>
      <w:pPr>
        <w:autoSpaceDE w:val="0"/>
        <w:autoSpaceDN w:val="0"/>
        <w:adjustRightInd w:val="0"/>
        <w:spacing w:line="360" w:lineRule="auto"/>
        <w:jc w:val="center"/>
        <w:rPr>
          <w:rFonts w:hint="eastAsia" w:ascii="宋体" w:hAnsi="宋体" w:eastAsia="宋体" w:cs="宋体"/>
          <w:b/>
          <w:bCs/>
          <w:color w:val="000000"/>
          <w:sz w:val="36"/>
          <w:szCs w:val="36"/>
          <w:highlight w:val="none"/>
        </w:rPr>
      </w:pPr>
    </w:p>
    <w:p>
      <w:pPr>
        <w:autoSpaceDE w:val="0"/>
        <w:autoSpaceDN w:val="0"/>
        <w:adjustRightInd w:val="0"/>
        <w:spacing w:line="360" w:lineRule="auto"/>
        <w:jc w:val="center"/>
        <w:rPr>
          <w:rFonts w:hint="eastAsia"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t>比选方式—有效最低价法</w:t>
      </w:r>
    </w:p>
    <w:p>
      <w:pPr>
        <w:jc w:val="both"/>
        <w:rPr>
          <w:rFonts w:hint="eastAsia" w:ascii="宋体" w:hAnsi="宋体" w:eastAsia="宋体" w:cs="宋体"/>
          <w:b/>
          <w:color w:val="000000"/>
          <w:sz w:val="32"/>
          <w:highlight w:val="none"/>
        </w:rPr>
      </w:pPr>
    </w:p>
    <w:p>
      <w:pPr>
        <w:autoSpaceDE w:val="0"/>
        <w:autoSpaceDN w:val="0"/>
        <w:adjustRightInd w:val="0"/>
        <w:spacing w:line="360" w:lineRule="auto"/>
        <w:ind w:firstLine="2168" w:firstLineChars="600"/>
        <w:jc w:val="both"/>
        <w:rPr>
          <w:rFonts w:hint="default" w:ascii="宋体" w:hAnsi="宋体" w:eastAsia="宋体" w:cs="宋体"/>
          <w:b/>
          <w:bCs/>
          <w:color w:val="000000"/>
          <w:sz w:val="36"/>
          <w:szCs w:val="36"/>
          <w:highlight w:val="yellow"/>
          <w:lang w:val="en-US" w:eastAsia="zh-CN"/>
        </w:rPr>
      </w:pPr>
      <w:r>
        <w:rPr>
          <w:rFonts w:hint="eastAsia" w:ascii="宋体" w:hAnsi="宋体" w:eastAsia="宋体" w:cs="宋体"/>
          <w:b/>
          <w:bCs/>
          <w:color w:val="000000"/>
          <w:sz w:val="36"/>
          <w:szCs w:val="36"/>
          <w:highlight w:val="none"/>
          <w:lang w:val="zh-CN"/>
        </w:rPr>
        <w:t>编号：框架2022012</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52"/>
          <w:highlight w:val="none"/>
        </w:rPr>
      </w:pPr>
    </w:p>
    <w:p>
      <w:pPr>
        <w:pStyle w:val="2"/>
        <w:jc w:val="both"/>
        <w:rPr>
          <w:rFonts w:hint="eastAsia" w:ascii="宋体" w:hAnsi="宋体" w:eastAsia="宋体" w:cs="宋体"/>
          <w:color w:val="000000"/>
          <w:sz w:val="52"/>
          <w:highlight w:val="none"/>
        </w:rPr>
      </w:pPr>
    </w:p>
    <w:p>
      <w:pPr>
        <w:rPr>
          <w:rFonts w:hint="eastAsia" w:ascii="宋体" w:hAnsi="宋体" w:eastAsia="宋体" w:cs="宋体"/>
          <w:highlight w:val="none"/>
        </w:rPr>
      </w:pP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二〇二二年十一月</w:t>
      </w: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目录</w:t>
      </w:r>
    </w:p>
    <w:p>
      <w:pPr>
        <w:rPr>
          <w:rFonts w:hint="eastAsia" w:ascii="宋体" w:hAnsi="宋体" w:eastAsia="宋体" w:cs="宋体"/>
          <w:highlight w:val="none"/>
        </w:rPr>
      </w:pPr>
    </w:p>
    <w:p>
      <w:pPr>
        <w:pStyle w:val="2"/>
        <w:rPr>
          <w:rFonts w:hint="eastAsia" w:ascii="宋体" w:hAnsi="宋体" w:eastAsia="宋体" w:cs="宋体"/>
          <w:highlight w:val="none"/>
        </w:rPr>
      </w:pP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第一章  比选公告及响应人须知</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第二章  合同条款及格式</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第三章  比选附件</w:t>
      </w:r>
    </w:p>
    <w:p>
      <w:pPr>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4"/>
        <w:rPr>
          <w:rFonts w:hint="eastAsia" w:ascii="宋体" w:hAnsi="宋体" w:eastAsia="宋体" w:cs="宋体"/>
          <w:highlight w:val="none"/>
        </w:rPr>
      </w:pPr>
    </w:p>
    <w:p>
      <w:pPr>
        <w:pStyle w:val="2"/>
        <w:rPr>
          <w:rFonts w:hint="eastAsia" w:ascii="宋体" w:hAnsi="宋体" w:eastAsia="宋体" w:cs="宋体"/>
          <w:b w:val="0"/>
          <w:bCs w:val="0"/>
          <w:color w:val="000000"/>
          <w:sz w:val="44"/>
          <w:szCs w:val="44"/>
          <w:highlight w:val="none"/>
        </w:rPr>
      </w:pPr>
    </w:p>
    <w:p>
      <w:pPr>
        <w:pStyle w:val="2"/>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第一章 比选公告及响应人须知</w:t>
      </w: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我司决定于近期将对</w:t>
      </w:r>
      <w:r>
        <w:rPr>
          <w:rFonts w:hint="eastAsia" w:ascii="方正仿宋_GBK" w:hAnsi="方正仿宋_GBK" w:eastAsia="方正仿宋_GBK" w:cs="方正仿宋_GBK"/>
          <w:sz w:val="28"/>
          <w:szCs w:val="28"/>
          <w:highlight w:val="none"/>
          <w:lang w:eastAsia="zh-CN"/>
        </w:rPr>
        <w:t>服务器维修框架项目</w:t>
      </w:r>
      <w:r>
        <w:rPr>
          <w:rFonts w:hint="eastAsia" w:ascii="方正仿宋_GBK" w:hAnsi="方正仿宋_GBK" w:eastAsia="方正仿宋_GBK" w:cs="方正仿宋_GBK"/>
          <w:sz w:val="28"/>
          <w:szCs w:val="28"/>
          <w:highlight w:val="none"/>
        </w:rPr>
        <w:t>邀请符合相应条件的供应商就本项目进行比选。</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一、项目实施内容</w:t>
      </w: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 项目名称：</w:t>
      </w:r>
      <w:r>
        <w:rPr>
          <w:rFonts w:hint="eastAsia" w:ascii="方正仿宋_GBK" w:hAnsi="方正仿宋_GBK" w:eastAsia="方正仿宋_GBK" w:cs="方正仿宋_GBK"/>
          <w:sz w:val="28"/>
          <w:szCs w:val="28"/>
          <w:highlight w:val="none"/>
          <w:lang w:eastAsia="zh-CN"/>
        </w:rPr>
        <w:t>服务器维修框架项目</w:t>
      </w: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 项目地点：重庆江北国际机场内</w:t>
      </w:r>
    </w:p>
    <w:p>
      <w:pPr>
        <w:ind w:firstLine="560" w:firstLineChars="200"/>
        <w:rPr>
          <w:rFonts w:hint="default" w:ascii="方正仿宋_GBK" w:hAnsi="方正仿宋_GBK" w:eastAsia="方正仿宋_GBK" w:cs="方正仿宋_GBK"/>
          <w:sz w:val="28"/>
          <w:szCs w:val="28"/>
          <w:highlight w:val="none"/>
          <w:lang w:val="en-US"/>
        </w:rPr>
      </w:pPr>
      <w:r>
        <w:rPr>
          <w:rFonts w:hint="eastAsia" w:ascii="方正仿宋_GBK" w:hAnsi="方正仿宋_GBK" w:eastAsia="方正仿宋_GBK" w:cs="方正仿宋_GBK"/>
          <w:sz w:val="28"/>
          <w:szCs w:val="28"/>
          <w:highlight w:val="none"/>
        </w:rPr>
        <w:t>1.3 项目内容：</w:t>
      </w:r>
      <w:r>
        <w:rPr>
          <w:rFonts w:hint="eastAsia" w:ascii="方正仿宋_GBK" w:hAnsi="方正仿宋_GBK" w:eastAsia="方正仿宋_GBK" w:cs="方正仿宋_GBK"/>
          <w:sz w:val="28"/>
          <w:szCs w:val="28"/>
          <w:highlight w:val="none"/>
          <w:lang w:eastAsia="zh-CN"/>
        </w:rPr>
        <w:t>不定期维修、采购</w:t>
      </w:r>
      <w:r>
        <w:rPr>
          <w:rFonts w:hint="eastAsia" w:ascii="方正仿宋_GBK" w:hAnsi="方正仿宋_GBK" w:eastAsia="方正仿宋_GBK" w:cs="方正仿宋_GBK"/>
          <w:sz w:val="28"/>
          <w:szCs w:val="28"/>
          <w:highlight w:val="none"/>
          <w:lang w:val="en-US" w:eastAsia="zh-CN"/>
        </w:rPr>
        <w:t>服务器配件，并由供应商提供配件的更换支持服务。</w:t>
      </w:r>
    </w:p>
    <w:p>
      <w:pPr>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1.4 项目清单</w:t>
      </w:r>
      <w:r>
        <w:rPr>
          <w:rFonts w:hint="eastAsia" w:ascii="方正仿宋_GBK" w:hAnsi="方正仿宋_GBK" w:eastAsia="方正仿宋_GBK" w:cs="方正仿宋_GBK"/>
          <w:sz w:val="28"/>
          <w:szCs w:val="28"/>
          <w:highlight w:val="none"/>
          <w:lang w:eastAsia="zh-CN"/>
        </w:rPr>
        <w:t>：</w:t>
      </w:r>
    </w:p>
    <w:tbl>
      <w:tblPr>
        <w:tblStyle w:val="9"/>
        <w:tblW w:w="8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945"/>
        <w:gridCol w:w="1485"/>
        <w:gridCol w:w="1215"/>
        <w:gridCol w:w="1200"/>
        <w:gridCol w:w="81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编号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品牌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型号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维修/更换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单价控制价</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（不含税）（元）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戴尔</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REDGER410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2950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R711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R430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惠普</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DL380G6</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7903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中兴</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R5300 G3</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KS3200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海康威视</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DS-VM21S-B</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Xbrother</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digivi embedded server</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华为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RH5885v3、RH2288HV3、VCN3010、1288hV5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宇视</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VS-DM9500、IMP8500、VS-TS8500、INSYDE MPP Server</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IBM</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X3650、 X3650 X5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联想</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X3850、X3650M5、thinkserver RD640 MH2S</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戴尔</w:t>
            </w:r>
          </w:p>
        </w:tc>
        <w:tc>
          <w:tcPr>
            <w:tcW w:w="148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PowerEdge R730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4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惠普</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DL388、Z6G4、DL380G10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H3C</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Uis3020、4900 G3、X3040、 R5300 G3</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曙光</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I620-G30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维修或更换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联想</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LenovoVX1U Node</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维修或更换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PCI配件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联想</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SR860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维修或更换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PCI配件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IBM</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IBM Storwize V7000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维修或更换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爱数</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VX1200+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维修或更换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VX1210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维修或更换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AB2000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维修或更换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华为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S2600T</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Oceanstor 5210V5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0"/>
                <w:rFonts w:hint="eastAsia" w:ascii="仿宋" w:hAnsi="仿宋" w:eastAsia="仿宋" w:cs="仿宋"/>
                <w:sz w:val="21"/>
                <w:szCs w:val="21"/>
                <w:lang w:val="en-US" w:eastAsia="zh-CN" w:bidi="ar"/>
              </w:rPr>
            </w:pPr>
            <w:r>
              <w:rPr>
                <w:rStyle w:val="20"/>
                <w:rFonts w:hint="eastAsia" w:ascii="仿宋" w:hAnsi="仿宋" w:eastAsia="仿宋" w:cs="仿宋"/>
                <w:sz w:val="21"/>
                <w:szCs w:val="21"/>
                <w:lang w:val="en-US" w:eastAsia="zh-CN" w:bidi="ar"/>
              </w:rPr>
              <w:t>华为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0"/>
                <w:rFonts w:hint="eastAsia" w:ascii="仿宋" w:hAnsi="仿宋" w:eastAsia="仿宋" w:cs="仿宋"/>
                <w:sz w:val="21"/>
                <w:szCs w:val="21"/>
                <w:lang w:val="en-US" w:eastAsia="zh-CN" w:bidi="ar"/>
              </w:rPr>
              <w:t>SNS2224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0"/>
                <w:rFonts w:hint="eastAsia" w:ascii="仿宋" w:hAnsi="仿宋" w:eastAsia="仿宋" w:cs="仿宋"/>
                <w:sz w:val="21"/>
                <w:szCs w:val="21"/>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0"/>
                <w:rFonts w:hint="eastAsia" w:ascii="仿宋" w:hAnsi="仿宋" w:eastAsia="仿宋" w:cs="仿宋"/>
                <w:sz w:val="21"/>
                <w:szCs w:val="21"/>
                <w:lang w:val="en-US" w:eastAsia="zh-CN" w:bidi="ar"/>
              </w:rPr>
              <w:t>SNS2124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EMC</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DS6510B</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DS300B</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戴尔</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PowerEdge R210    </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R900</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1"/>
                <w:rFonts w:hint="eastAsia" w:ascii="仿宋" w:hAnsi="仿宋" w:eastAsia="仿宋" w:cs="仿宋"/>
                <w:sz w:val="21"/>
                <w:szCs w:val="21"/>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1"/>
                <w:rFonts w:hint="eastAsia" w:ascii="仿宋" w:hAnsi="仿宋" w:eastAsia="仿宋" w:cs="仿宋"/>
                <w:sz w:val="21"/>
                <w:szCs w:val="21"/>
                <w:lang w:val="en-US" w:eastAsia="zh-CN" w:bidi="ar"/>
              </w:rPr>
              <w:t xml:space="preserve"> R710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联想</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SR650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ind w:firstLine="210" w:firstLineChars="100"/>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联想</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LENOVO-x3850 X6</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PCI板卡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auto"/>
                <w:kern w:val="0"/>
                <w:sz w:val="21"/>
                <w:szCs w:val="21"/>
                <w:u w:val="none"/>
                <w:lang w:val="en-US" w:eastAsia="zh-CN" w:bidi="ar"/>
              </w:rPr>
              <w:t>技术支持服务：包括设备软硬件故障诊断、软硬件故障现场处理、软硬件故障处理报告提交、系统漏洞及补丁升级等技术支持。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涉及重大复杂软、硬件故障，特别是复杂的底层逻辑故障，需要原厂工程师提供现场技术支持。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联想</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LENOVO-x3650 M5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PCI板卡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技术支持服务：包括设备软硬件故障诊断、软硬件故障现场处理、软硬件故障处理报告提交、系统漏洞及补丁升级等技术支持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涉及重大复杂软、硬件故障，特别是复杂的底层逻辑故障，需要原厂工程师提供现场技术支持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华为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HUAWEI/OceanStor 5300 V3</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I/O模块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技术支持服务：包括设备软硬件故障诊断、软硬件故障现场处理、软硬件故障处理报告提交、系统漏洞及补丁升级等技术支持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涉及重大复杂软、硬件故障，特别是复杂的底层逻辑故障，需要原厂工程师提供现场技术支持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ind w:firstLine="210" w:firstLineChars="100"/>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IBM</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IBM-PB-POWER8-S822</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I/O板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中心板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技术支持服务：包括设备软硬件故障诊断、软硬件故障现场处理、软硬件故障处理报告提交、系统漏洞及补丁升级等技术支持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涉及重大复杂软、硬件故障，特别是复杂的底层逻辑故障，需要原厂工程师提供现场技术支持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ind w:firstLine="210" w:firstLineChars="10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IBM</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IBM MT7945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ind w:firstLine="210" w:firstLineChars="100"/>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PCI板卡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技术支持服务：包括设备软硬件故障诊断、软硬件故障现场处理、软硬件故障处理报告提交、系统漏洞及补丁升级等技术支持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涉及重大复杂软、硬件故障，特别是复杂的底层逻辑故障，需要原厂工程师提供现场技术支持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p>
            <w:pPr>
              <w:jc w:val="both"/>
              <w:rPr>
                <w:rFonts w:hint="eastAsia" w:ascii="仿宋" w:hAnsi="仿宋" w:eastAsia="仿宋" w:cs="仿宋"/>
                <w:i w:val="0"/>
                <w:iCs w:val="0"/>
                <w:color w:val="000000"/>
                <w:sz w:val="21"/>
                <w:szCs w:val="21"/>
                <w:u w:val="none"/>
              </w:rPr>
            </w:pPr>
          </w:p>
          <w:p>
            <w:pPr>
              <w:jc w:val="both"/>
              <w:rPr>
                <w:rFonts w:hint="eastAsia" w:ascii="仿宋" w:hAnsi="仿宋" w:eastAsia="仿宋" w:cs="仿宋"/>
                <w:i w:val="0"/>
                <w:iCs w:val="0"/>
                <w:color w:val="000000"/>
                <w:sz w:val="21"/>
                <w:szCs w:val="21"/>
                <w:u w:val="none"/>
              </w:rPr>
            </w:pPr>
          </w:p>
          <w:p>
            <w:pPr>
              <w:jc w:val="both"/>
              <w:rPr>
                <w:rFonts w:hint="eastAsia" w:ascii="仿宋" w:hAnsi="仿宋" w:eastAsia="仿宋" w:cs="仿宋"/>
                <w:i w:val="0"/>
                <w:iCs w:val="0"/>
                <w:color w:val="000000"/>
                <w:sz w:val="21"/>
                <w:szCs w:val="21"/>
                <w:u w:val="none"/>
              </w:rPr>
            </w:pPr>
          </w:p>
          <w:p>
            <w:pPr>
              <w:jc w:val="both"/>
              <w:rPr>
                <w:rFonts w:hint="eastAsia" w:ascii="仿宋" w:hAnsi="仿宋" w:eastAsia="仿宋" w:cs="仿宋"/>
                <w:i w:val="0"/>
                <w:iCs w:val="0"/>
                <w:color w:val="000000"/>
                <w:sz w:val="21"/>
                <w:szCs w:val="21"/>
                <w:u w:val="none"/>
              </w:rPr>
            </w:pPr>
          </w:p>
          <w:p>
            <w:pPr>
              <w:jc w:val="both"/>
              <w:rPr>
                <w:rFonts w:hint="eastAsia" w:ascii="仿宋" w:hAnsi="仿宋" w:eastAsia="仿宋" w:cs="仿宋"/>
                <w:i w:val="0"/>
                <w:iCs w:val="0"/>
                <w:color w:val="000000"/>
                <w:sz w:val="21"/>
                <w:szCs w:val="21"/>
                <w:u w:val="none"/>
              </w:rPr>
            </w:pPr>
          </w:p>
          <w:p>
            <w:pPr>
              <w:jc w:val="both"/>
              <w:rPr>
                <w:rFonts w:hint="eastAsia" w:ascii="仿宋" w:hAnsi="仿宋" w:eastAsia="仿宋" w:cs="仿宋"/>
                <w:i w:val="0"/>
                <w:iCs w:val="0"/>
                <w:color w:val="000000"/>
                <w:sz w:val="21"/>
                <w:szCs w:val="21"/>
                <w:u w:val="none"/>
              </w:rPr>
            </w:pPr>
          </w:p>
          <w:p>
            <w:pPr>
              <w:ind w:firstLine="210" w:firstLineChars="10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华为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半框刀片服务器ch121 v3</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PCI板卡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技术支持服务：包括设备软硬件故障诊断、软硬件故障现场处理、软硬件故障处理报告提交、系统漏洞及补丁升级等技术支持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涉及重大复杂软、硬件故障，特别是复杂的底层逻辑故障，需要原厂工程师提供现场技术支持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全框刀片服务器ch222 v3</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PCI板卡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技术支持服务：包括设备软硬件故障诊断、软硬件故障现场处理、软硬件故障处理报告提交、系统漏洞及补丁升级等技术支持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涉及重大复杂软、硬件故障，特别是复杂的底层逻辑故障，需要原厂工程师提供现场技术支持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ind w:firstLine="210" w:firstLineChars="10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华为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Taishan 200（Model 2280）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PCI板卡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技术支持服务：包括设备软硬件故障诊断、软硬件故障现场处理、软硬件故障处理报告提交、系统漏洞及补丁升级等技术支持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涉及重大复杂软、硬件故障，特别是复杂的底层逻辑故障，需要原厂工程师提供现场技术支持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HUAWEIE9000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PCI板卡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技术支持服务：包括设备软硬件故障诊断、软硬件故障现场处理、软硬件故障处理报告提交、系统漏洞及补丁升级等技术支持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涉及重大复杂软、硬件故障，特别是复杂的底层逻辑故障，需要原厂工程师提供现场技术支持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Oracle</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Oracle</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技术支持服务：包括设备软硬件故障诊断、软硬件故障现场处理、软硬件故障处理报告提交、系统漏洞及补丁升级等技术支持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涉及重大复杂软、硬件故障，特别是复杂的底层逻辑故障，需要原厂工程师提供现场技术支持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华为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RH2485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华为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5600V3</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惠普</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DL580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DL388G9</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DL380G7</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MSA2040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EVA440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联想</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RD650/RD450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2"/>
                <w:rFonts w:hint="eastAsia" w:ascii="仿宋" w:hAnsi="仿宋" w:eastAsia="仿宋" w:cs="仿宋"/>
                <w:sz w:val="21"/>
                <w:szCs w:val="21"/>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鼎甲</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DK2002</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2"/>
                <w:rFonts w:hint="eastAsia" w:ascii="仿宋" w:hAnsi="仿宋" w:eastAsia="仿宋" w:cs="仿宋"/>
                <w:sz w:val="21"/>
                <w:szCs w:val="21"/>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联想</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22"/>
                <w:rFonts w:hint="eastAsia" w:ascii="仿宋" w:hAnsi="仿宋" w:eastAsia="仿宋" w:cs="仿宋"/>
                <w:sz w:val="21"/>
                <w:szCs w:val="21"/>
                <w:lang w:val="en-US" w:eastAsia="zh-CN" w:bidi="ar"/>
              </w:rPr>
              <w:t>Prodesk</w:t>
            </w:r>
            <w:r>
              <w:rPr>
                <w:rStyle w:val="23"/>
                <w:rFonts w:hint="eastAsia" w:ascii="仿宋" w:hAnsi="仿宋" w:eastAsia="仿宋" w:cs="仿宋"/>
                <w:sz w:val="21"/>
                <w:szCs w:val="21"/>
                <w:lang w:val="en-US" w:eastAsia="zh-CN" w:bidi="ar"/>
              </w:rPr>
              <w:t xml:space="preserve"> 480</w:t>
            </w:r>
            <w:r>
              <w:rPr>
                <w:rStyle w:val="22"/>
                <w:rFonts w:hint="eastAsia" w:ascii="仿宋" w:hAnsi="仿宋" w:eastAsia="仿宋" w:cs="仿宋"/>
                <w:sz w:val="21"/>
                <w:szCs w:val="21"/>
                <w:lang w:val="en-US" w:eastAsia="zh-CN" w:bidi="ar"/>
              </w:rPr>
              <w:t>G3MT</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惠普</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MSA2040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戴尔</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OPTIPLEX380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OPTIPLEX780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惠普</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2000MT、3000MT、2080MT </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480G3MT</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联想</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M8000T</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启天B4550\M7150\4320\M435E</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1"/>
                <w:szCs w:val="21"/>
                <w:u w:val="none"/>
              </w:rPr>
            </w:pPr>
          </w:p>
        </w:tc>
        <w:tc>
          <w:tcPr>
            <w:tcW w:w="94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495.9</w:t>
            </w:r>
          </w:p>
        </w:tc>
      </w:tr>
    </w:tbl>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1.5维修服务时间:订单确认后，报修设备维修服务时间按如下约定计算：</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1.5.1如果不需要更换硬件设备，甲方告知乙方需维修设备后，乙方在2个日历天完成维修(甲方在备件交接验收单或维修工作报告上签字盖章)。</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1.5.2如果需要更换硬件设备，甲方告知乙方需维修设备后，维修时间=硬件设备采购时间7个日历天+2个日历天的安装调试时间(甲方在备件交接验收单或维修工作报告上签字盖章)。</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 xml:space="preserve"> 服务期：1+1模式，即首签1年，如果1年后双方对合作情况满意，无异议，自动续签1年；如果任何一方有异议，解除合同。</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 xml:space="preserve"> 质保期：</w:t>
      </w:r>
      <w:r>
        <w:rPr>
          <w:rFonts w:hint="eastAsia" w:ascii="方正仿宋_GBK" w:hAnsi="方正仿宋_GBK" w:eastAsia="方正仿宋_GBK" w:cs="方正仿宋_GBK"/>
          <w:sz w:val="28"/>
          <w:szCs w:val="28"/>
          <w:highlight w:val="none"/>
          <w:lang w:val="en-US" w:eastAsia="zh-CN"/>
        </w:rPr>
        <w:t>设备维修正常，经验收之日起算6个月。</w:t>
      </w:r>
    </w:p>
    <w:p>
      <w:pPr>
        <w:pStyle w:val="6"/>
        <w:jc w:val="both"/>
        <w:rPr>
          <w:rFonts w:hint="eastAsia" w:ascii="宋体" w:hAnsi="宋体" w:eastAsia="宋体" w:cs="宋体"/>
          <w:b/>
          <w:sz w:val="28"/>
          <w:szCs w:val="28"/>
          <w:highlight w:val="none"/>
        </w:rPr>
      </w:pPr>
      <w:r>
        <w:rPr>
          <w:rFonts w:hint="eastAsia" w:ascii="宋体" w:hAnsi="宋体" w:eastAsia="宋体" w:cs="宋体"/>
          <w:b/>
          <w:sz w:val="28"/>
          <w:szCs w:val="28"/>
          <w:highlight w:val="none"/>
        </w:rPr>
        <w:t>二、比选响应人资格要求</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2.1 资格要求</w:t>
      </w: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2.1.1 在中华人民共和国依法注册，具有独立法人资格，具有有效营业执照（提供营业执照复印件加盖单位鲜公章）</w:t>
      </w:r>
      <w:r>
        <w:rPr>
          <w:rFonts w:hint="eastAsia" w:ascii="方正仿宋_GBK" w:hAnsi="方正仿宋_GBK" w:eastAsia="方正仿宋_GBK" w:cs="方正仿宋_GBK"/>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2.1.2具有有效的一般纳税人资格证明盖鲜章或者小规模纳税人资格证明盖鲜章。</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2.1.3法定代表人授权书和法定代表人身份证复印件</w:t>
      </w:r>
      <w:r>
        <w:rPr>
          <w:rFonts w:hint="eastAsia" w:ascii="方正仿宋_GBK" w:hAnsi="方正仿宋_GBK" w:eastAsia="方正仿宋_GBK" w:cs="方正仿宋_GBK"/>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2.1.</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被授权人身份证复印件（原件备查）和被授权人近一个月社保证明（须为响应单位在职员工）</w:t>
      </w:r>
      <w:r>
        <w:rPr>
          <w:rFonts w:hint="eastAsia" w:ascii="方正仿宋_GBK" w:hAnsi="方正仿宋_GBK" w:eastAsia="方正仿宋_GBK" w:cs="方正仿宋_GBK"/>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2.1.</w:t>
      </w:r>
      <w:r>
        <w:rPr>
          <w:rFonts w:hint="eastAsia" w:ascii="方正仿宋_GBK" w:hAnsi="方正仿宋_GBK" w:eastAsia="方正仿宋_GBK" w:cs="方正仿宋_GBK"/>
          <w:color w:val="auto"/>
          <w:sz w:val="28"/>
          <w:szCs w:val="28"/>
          <w:highlight w:val="none"/>
          <w:lang w:val="en-US" w:eastAsia="zh-CN"/>
        </w:rPr>
        <w:t xml:space="preserve">5 </w:t>
      </w:r>
      <w:r>
        <w:rPr>
          <w:rFonts w:hint="eastAsia" w:ascii="方正仿宋_GBK" w:hAnsi="方正仿宋_GBK" w:eastAsia="方正仿宋_GBK" w:cs="方正仿宋_GBK"/>
          <w:color w:val="auto"/>
          <w:sz w:val="28"/>
          <w:szCs w:val="28"/>
          <w:highlight w:val="none"/>
        </w:rPr>
        <w:t>需提供超聚变数字技术有限公司针对本项目出具的售后服务承诺函</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原件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2.2 其他要求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2.2.1 本次比选采购不接受联合体。</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highlight w:val="none"/>
          <w:lang w:eastAsia="zh-CN"/>
        </w:rPr>
        <w:t>；④</w:t>
      </w:r>
      <w:r>
        <w:rPr>
          <w:rFonts w:hint="eastAsia" w:ascii="方正仿宋_GBK" w:hAnsi="方正仿宋_GBK" w:eastAsia="方正仿宋_GBK" w:cs="方正仿宋_GBK"/>
          <w:sz w:val="28"/>
          <w:szCs w:val="28"/>
          <w:highlight w:val="none"/>
        </w:rPr>
        <w:t>具有履行合同所必需的设备和专业技术能力。</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3.1</w:t>
      </w:r>
      <w:r>
        <w:rPr>
          <w:rFonts w:hint="eastAsia" w:ascii="方正仿宋_GBK" w:hAnsi="方正仿宋_GBK" w:eastAsia="方正仿宋_GBK" w:cs="方正仿宋_GBK"/>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在质保期内，对有问题设备进行免费更换或维修。</w:t>
      </w:r>
    </w:p>
    <w:p>
      <w:pPr>
        <w:widowControl/>
        <w:spacing w:line="360" w:lineRule="auto"/>
        <w:ind w:firstLine="560" w:firstLineChars="200"/>
        <w:jc w:val="left"/>
        <w:rPr>
          <w:rFonts w:hint="default" w:eastAsia="方正仿宋_GBK"/>
          <w:lang w:val="en-US" w:eastAsia="zh-CN"/>
        </w:rPr>
      </w:pPr>
      <w:r>
        <w:rPr>
          <w:rFonts w:hint="eastAsia" w:ascii="方正仿宋_GBK" w:hAnsi="方正仿宋_GBK" w:eastAsia="方正仿宋_GBK" w:cs="方正仿宋_GBK"/>
          <w:sz w:val="28"/>
          <w:szCs w:val="28"/>
          <w:highlight w:val="none"/>
          <w:lang w:val="en-US" w:eastAsia="zh-CN"/>
        </w:rPr>
        <w:t>3.2本地技术服务中心7*24的现场技术支持服务，服务响应时间为接到服务通知后2小时内赶到现场。</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四、比选响应人报价要求及项目最高限价</w:t>
      </w:r>
    </w:p>
    <w:p>
      <w:pPr>
        <w:widowControl/>
        <w:spacing w:line="360" w:lineRule="auto"/>
        <w:ind w:firstLine="560" w:firstLineChars="200"/>
        <w:jc w:val="left"/>
        <w:rPr>
          <w:rFonts w:hint="eastAsia" w:ascii="宋体" w:hAnsi="宋体" w:eastAsia="方正仿宋_GBK" w:cs="宋体"/>
          <w:sz w:val="28"/>
          <w:szCs w:val="28"/>
          <w:highlight w:val="none"/>
          <w:lang w:eastAsia="zh-CN"/>
        </w:rPr>
      </w:pPr>
      <w:r>
        <w:rPr>
          <w:rFonts w:ascii="方正仿宋_GBK" w:hAnsi="方正仿宋_GBK" w:eastAsia="方正仿宋_GBK" w:cs="方正仿宋_GBK"/>
          <w:sz w:val="28"/>
          <w:szCs w:val="28"/>
          <w:highlight w:val="none"/>
        </w:rPr>
        <w:t>4</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报价的货币应为人民币。本项目的合同价格形式为固定单价合同，</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维修数量</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最终以重庆机场信息通信网络有限公司审核结算为准</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本项目单价</w:t>
      </w:r>
      <w:r>
        <w:rPr>
          <w:rFonts w:hint="eastAsia" w:ascii="方正仿宋_GBK" w:hAnsi="方正仿宋_GBK" w:eastAsia="方正仿宋_GBK" w:cs="方正仿宋_GBK"/>
          <w:sz w:val="28"/>
          <w:szCs w:val="28"/>
          <w:lang w:val="zh-CN"/>
        </w:rPr>
        <w:t>报价不能超过所列出的单价控制价</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left="0" w:leftChars="0" w:firstLine="638" w:firstLineChars="228"/>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17:00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lang w:val="en-US" w:eastAsia="zh-CN"/>
        </w:rPr>
        <w:t>8.1</w:t>
      </w:r>
      <w:r>
        <w:rPr>
          <w:rFonts w:hint="eastAsia" w:ascii="方正仿宋_GBK" w:hAnsi="方正仿宋_GBK" w:eastAsia="方正仿宋_GBK" w:cs="方正仿宋_GBK"/>
          <w:sz w:val="28"/>
          <w:szCs w:val="28"/>
        </w:rPr>
        <w:t>履约保证金为</w:t>
      </w:r>
      <w:r>
        <w:rPr>
          <w:rFonts w:hint="eastAsia" w:ascii="方正仿宋_GBK" w:hAnsi="方正仿宋_GBK" w:eastAsia="方正仿宋_GBK" w:cs="方正仿宋_GBK"/>
          <w:sz w:val="28"/>
          <w:szCs w:val="28"/>
          <w:u w:val="single"/>
          <w:lang w:val="en-US" w:eastAsia="zh-CN"/>
        </w:rPr>
        <w:t>10</w:t>
      </w:r>
      <w:r>
        <w:rPr>
          <w:rFonts w:ascii="方正仿宋_GBK" w:hAnsi="方正仿宋_GBK" w:eastAsia="方正仿宋_GBK" w:cs="方正仿宋_GBK"/>
          <w:sz w:val="28"/>
          <w:szCs w:val="28"/>
          <w:u w:val="single"/>
        </w:rPr>
        <w:t>000</w:t>
      </w:r>
      <w:r>
        <w:rPr>
          <w:rFonts w:hint="eastAsia" w:ascii="方正仿宋_GBK" w:hAnsi="方正仿宋_GBK" w:eastAsia="方正仿宋_GBK" w:cs="方正仿宋_GBK"/>
          <w:sz w:val="28"/>
          <w:szCs w:val="28"/>
          <w:u w:val="single"/>
          <w:lang w:val="en-US" w:eastAsia="zh-CN"/>
        </w:rPr>
        <w:t>.00</w:t>
      </w:r>
      <w:r>
        <w:rPr>
          <w:rFonts w:hint="eastAsia" w:ascii="方正仿宋_GBK" w:hAnsi="方正仿宋_GBK" w:eastAsia="方正仿宋_GBK" w:cs="方正仿宋_GBK"/>
          <w:sz w:val="28"/>
          <w:szCs w:val="28"/>
          <w:u w:val="none"/>
          <w:lang w:eastAsia="zh-CN"/>
        </w:rPr>
        <w:t>元整</w:t>
      </w:r>
      <w:r>
        <w:rPr>
          <w:rFonts w:hint="eastAsia" w:ascii="方正仿宋_GBK" w:hAnsi="方正仿宋_GBK" w:eastAsia="方正仿宋_GBK" w:cs="方正仿宋_GBK"/>
          <w:sz w:val="28"/>
          <w:szCs w:val="28"/>
        </w:rPr>
        <w:t>，在收到成交通知书10日内足额缴纳，于履约结束后，由项目部门一次性退还（不计利息）。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乙方所提供的维修服务经甲方验收合格后</w:t>
      </w:r>
      <w:r>
        <w:rPr>
          <w:rFonts w:hint="eastAsia" w:ascii="方正仿宋_GBK" w:hAnsi="方正仿宋_GBK" w:eastAsia="方正仿宋_GBK" w:cs="方正仿宋_GBK"/>
          <w:kern w:val="0"/>
          <w:sz w:val="28"/>
          <w:szCs w:val="28"/>
        </w:rPr>
        <w:t>，甲方收到乙方开具的</w:t>
      </w:r>
      <w:r>
        <w:rPr>
          <w:rFonts w:hint="eastAsia" w:ascii="方正仿宋_GBK" w:hAnsi="方正仿宋_GBK" w:eastAsia="方正仿宋_GBK" w:cs="方正仿宋_GBK"/>
          <w:kern w:val="0"/>
          <w:sz w:val="28"/>
          <w:szCs w:val="28"/>
          <w:lang w:val="en-US" w:eastAsia="zh-CN"/>
        </w:rPr>
        <w:t>增值税发票后</w:t>
      </w:r>
      <w:r>
        <w:rPr>
          <w:rFonts w:hint="eastAsia" w:ascii="方正仿宋_GBK" w:hAnsi="方正仿宋_GBK" w:eastAsia="方正仿宋_GBK" w:cs="方正仿宋_GBK"/>
          <w:kern w:val="0"/>
          <w:sz w:val="28"/>
          <w:szCs w:val="28"/>
        </w:rPr>
        <w:t>15个工作日内支付本次</w:t>
      </w:r>
      <w:r>
        <w:rPr>
          <w:rFonts w:hint="eastAsia" w:ascii="方正仿宋_GBK" w:hAnsi="方正仿宋_GBK" w:eastAsia="方正仿宋_GBK" w:cs="方正仿宋_GBK"/>
          <w:kern w:val="0"/>
          <w:sz w:val="28"/>
          <w:szCs w:val="28"/>
          <w:lang w:eastAsia="zh-CN"/>
        </w:rPr>
        <w:t>维修</w:t>
      </w:r>
      <w:r>
        <w:rPr>
          <w:rFonts w:hint="eastAsia" w:ascii="方正仿宋_GBK" w:hAnsi="方正仿宋_GBK" w:eastAsia="方正仿宋_GBK" w:cs="方正仿宋_GBK"/>
          <w:kern w:val="0"/>
          <w:sz w:val="28"/>
          <w:szCs w:val="28"/>
        </w:rPr>
        <w:t>设备的总金额。</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技术部分。主要包括材料的规格型号配件等。如果提供的材料和服务与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b w:val="0"/>
          <w:bCs w:val="0"/>
          <w:kern w:val="2"/>
          <w:sz w:val="28"/>
          <w:szCs w:val="28"/>
        </w:rPr>
        <w:t>被授权人身份证复印件和被授权人近一个月社保证明</w:t>
      </w:r>
      <w:r>
        <w:rPr>
          <w:rFonts w:hint="eastAsia" w:ascii="方正仿宋_GBK" w:hAnsi="方正仿宋_GBK" w:eastAsia="方正仿宋_GBK" w:cs="方正仿宋_GBK"/>
          <w:b w:val="0"/>
          <w:bCs w:val="0"/>
          <w:kern w:val="2"/>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bookmarkStart w:id="16" w:name="_GoBack"/>
      <w:bookmarkEnd w:id="16"/>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hint="eastAsia" w:ascii="宋体" w:hAnsi="宋体" w:eastAsia="宋体" w:cs="宋体"/>
          <w:highlight w:val="none"/>
        </w:rPr>
      </w:pPr>
      <w:r>
        <w:rPr>
          <w:rFonts w:hint="eastAsia" w:ascii="方正仿宋_GBK" w:hAnsi="方正仿宋_GBK" w:eastAsia="方正仿宋_GBK" w:cs="方正仿宋_GBK"/>
          <w:color w:val="000000"/>
          <w:sz w:val="28"/>
          <w:szCs w:val="28"/>
        </w:rPr>
        <w:t>邮编：401120</w:t>
      </w:r>
    </w:p>
    <w:p>
      <w:pPr>
        <w:spacing w:line="600" w:lineRule="exact"/>
        <w:jc w:val="both"/>
        <w:rPr>
          <w:rFonts w:hint="eastAsia" w:ascii="宋体" w:hAnsi="宋体" w:eastAsia="宋体" w:cs="宋体"/>
          <w:color w:val="000000"/>
          <w:sz w:val="44"/>
          <w:szCs w:val="44"/>
          <w:highlight w:val="none"/>
        </w:rPr>
      </w:pPr>
    </w:p>
    <w:p>
      <w:pPr>
        <w:spacing w:line="600" w:lineRule="exact"/>
        <w:jc w:val="center"/>
        <w:rPr>
          <w:rFonts w:hint="eastAsia" w:ascii="宋体" w:hAnsi="宋体" w:eastAsia="宋体" w:cs="宋体"/>
          <w:color w:val="000000"/>
          <w:sz w:val="44"/>
          <w:szCs w:val="44"/>
          <w:highlight w:val="none"/>
          <w:lang w:eastAsia="zh-CN"/>
        </w:rPr>
      </w:pPr>
      <w:r>
        <w:rPr>
          <w:rFonts w:hint="eastAsia" w:ascii="宋体" w:hAnsi="宋体" w:eastAsia="宋体" w:cs="宋体"/>
          <w:color w:val="000000"/>
          <w:sz w:val="44"/>
          <w:szCs w:val="44"/>
          <w:highlight w:val="none"/>
        </w:rPr>
        <w:t>第二章  合同条款及格式</w:t>
      </w:r>
      <w:r>
        <w:rPr>
          <w:rFonts w:hint="eastAsia" w:ascii="宋体" w:hAnsi="宋体" w:cs="宋体"/>
          <w:color w:val="000000"/>
          <w:sz w:val="44"/>
          <w:szCs w:val="44"/>
          <w:highlight w:val="none"/>
          <w:lang w:eastAsia="zh-CN"/>
        </w:rPr>
        <w:t>范本</w:t>
      </w:r>
    </w:p>
    <w:p>
      <w:pPr>
        <w:pStyle w:val="2"/>
        <w:jc w:val="both"/>
        <w:rPr>
          <w:rFonts w:hint="eastAsia" w:ascii="宋体" w:hAnsi="宋体" w:eastAsia="宋体" w:cs="宋体"/>
          <w:color w:val="auto"/>
          <w:highlight w:val="none"/>
        </w:rPr>
      </w:pPr>
    </w:p>
    <w:p>
      <w:pPr>
        <w:spacing w:afterLines="50"/>
        <w:ind w:right="964" w:firstLine="600"/>
        <w:jc w:val="right"/>
        <w:rPr>
          <w:rFonts w:hint="eastAsia" w:ascii="宋体" w:hAnsi="宋体" w:eastAsia="宋体" w:cs="宋体"/>
          <w:sz w:val="24"/>
          <w:highlight w:val="none"/>
        </w:rPr>
      </w:pPr>
      <w:r>
        <w:rPr>
          <w:rFonts w:hint="eastAsia" w:ascii="宋体" w:hAnsi="宋体" w:eastAsia="宋体" w:cs="宋体"/>
          <w:sz w:val="24"/>
          <w:highlight w:val="none"/>
        </w:rPr>
        <w:t>合同编号：</w:t>
      </w:r>
    </w:p>
    <w:p>
      <w:pPr>
        <w:spacing w:afterLines="50"/>
        <w:ind w:firstLine="422"/>
        <w:jc w:val="center"/>
        <w:rPr>
          <w:rFonts w:hint="eastAsia" w:ascii="宋体" w:hAnsi="宋体" w:eastAsia="宋体" w:cs="宋体"/>
          <w:b/>
          <w:sz w:val="21"/>
          <w:highlight w:val="none"/>
        </w:rPr>
      </w:pPr>
    </w:p>
    <w:p>
      <w:pPr>
        <w:snapToGrid w:val="0"/>
        <w:spacing w:before="100" w:beforeAutospacing="1" w:after="100" w:afterAutospacing="1"/>
        <w:ind w:firstLine="643"/>
        <w:jc w:val="center"/>
        <w:rPr>
          <w:rFonts w:hint="eastAsia" w:ascii="宋体" w:hAnsi="宋体" w:eastAsia="宋体" w:cs="宋体"/>
          <w:b/>
          <w:color w:val="auto"/>
          <w:sz w:val="32"/>
          <w:szCs w:val="32"/>
          <w:highlight w:val="none"/>
        </w:rPr>
      </w:pPr>
    </w:p>
    <w:p>
      <w:pPr>
        <w:snapToGrid w:val="0"/>
        <w:spacing w:before="100" w:beforeAutospacing="1" w:after="100" w:afterAutospacing="1"/>
        <w:ind w:firstLine="420"/>
        <w:jc w:val="center"/>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905250" cy="1143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9pt;width:307.5pt;z-index:251659264;mso-width-relative:page;mso-height-relative:page;" filled="f" stroked="t" coordsize="21600,21600" o:gfxdata="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vPLzUAAAACQEAAA8AAAAAAAAAAQAgAAAAIgAAAGRycy9kb3ducmV2&#10;LnhtbFBLAQIUABQAAAAIAIdO4kCHtnFOAAIAAPM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信息通信网络有限公司</w:t>
      </w:r>
    </w:p>
    <w:p>
      <w:pPr>
        <w:snapToGrid w:val="0"/>
        <w:spacing w:before="100" w:beforeAutospacing="1" w:after="100" w:afterAutospacing="1"/>
        <w:jc w:val="center"/>
        <w:rPr>
          <w:rFonts w:hint="eastAsia" w:ascii="宋体" w:hAnsi="宋体" w:eastAsia="宋体" w:cs="宋体"/>
          <w:sz w:val="48"/>
          <w:szCs w:val="48"/>
          <w:highlight w:val="none"/>
        </w:rPr>
      </w:pPr>
      <w:r>
        <w:rPr>
          <w:rFonts w:hint="eastAsia" w:ascii="宋体" w:hAnsi="宋体" w:cs="宋体"/>
          <w:sz w:val="48"/>
          <w:szCs w:val="48"/>
          <w:highlight w:val="none"/>
          <w:lang w:eastAsia="zh-CN"/>
        </w:rPr>
        <w:t>服务器维修框架项目</w:t>
      </w:r>
      <w:r>
        <w:rPr>
          <w:rFonts w:hint="eastAsia" w:ascii="宋体" w:hAnsi="宋体" w:eastAsia="宋体" w:cs="宋体"/>
          <w:sz w:val="48"/>
          <w:szCs w:val="48"/>
          <w:highlight w:val="none"/>
        </w:rPr>
        <w:t>协议</w:t>
      </w:r>
    </w:p>
    <w:p>
      <w:pPr>
        <w:snapToGrid w:val="0"/>
        <w:spacing w:before="100" w:beforeAutospacing="1" w:after="100" w:afterAutospacing="1"/>
        <w:ind w:firstLine="420"/>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227965</wp:posOffset>
                </wp:positionV>
                <wp:extent cx="3905250" cy="1143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75pt;margin-top:17.95pt;height:0.9pt;width:307.5pt;z-index:251660288;mso-width-relative:page;mso-height-relative:page;" filled="f" stroked="t" coordsize="21600,21600" o:gfxdata="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hQTUAAAACQEAAA8AAAAAAAAAAQAgAAAAIgAAAGRycy9kb3ducmV2&#10;LnhtbFBLAQIUABQAAAAIAIdO4kAN0PQHAAIAAPE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2195" w:firstLineChars="784"/>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甲方：重庆机场</w:t>
      </w:r>
      <w:r>
        <w:rPr>
          <w:rFonts w:hint="eastAsia" w:ascii="宋体" w:hAnsi="宋体" w:eastAsia="宋体" w:cs="宋体"/>
          <w:sz w:val="28"/>
          <w:szCs w:val="28"/>
          <w:highlight w:val="none"/>
          <w:lang w:val="en-US" w:eastAsia="zh-CN"/>
        </w:rPr>
        <w:t>信息通信网络</w:t>
      </w:r>
      <w:r>
        <w:rPr>
          <w:rFonts w:hint="eastAsia" w:ascii="宋体" w:hAnsi="宋体" w:eastAsia="宋体" w:cs="宋体"/>
          <w:sz w:val="28"/>
          <w:szCs w:val="28"/>
          <w:highlight w:val="none"/>
        </w:rPr>
        <w:t>有限公司</w:t>
      </w:r>
      <w:r>
        <w:rPr>
          <w:rFonts w:hint="eastAsia" w:ascii="宋体" w:hAnsi="宋体" w:eastAsia="宋体" w:cs="宋体"/>
          <w:sz w:val="28"/>
          <w:szCs w:val="28"/>
          <w:highlight w:val="none"/>
          <w:lang w:val="en-US" w:eastAsia="zh-CN"/>
        </w:rPr>
        <w:t xml:space="preserve"> </w:t>
      </w:r>
    </w:p>
    <w:p>
      <w:pPr>
        <w:snapToGrid w:val="0"/>
        <w:ind w:firstLine="2195" w:firstLineChars="784"/>
        <w:rPr>
          <w:rFonts w:hint="eastAsia" w:ascii="宋体" w:hAnsi="宋体" w:eastAsia="宋体" w:cs="宋体"/>
          <w:b/>
          <w:bCs/>
          <w:highlight w:val="none"/>
          <w:u w:val="single"/>
          <w:lang w:val="en-US"/>
        </w:rPr>
      </w:pPr>
      <w:r>
        <w:rPr>
          <w:rFonts w:hint="eastAsia" w:ascii="宋体" w:hAnsi="宋体" w:eastAsia="宋体" w:cs="宋体"/>
          <w:sz w:val="28"/>
          <w:szCs w:val="28"/>
          <w:highlight w:val="none"/>
        </w:rPr>
        <w:t>乙方：</w:t>
      </w:r>
      <w:r>
        <w:rPr>
          <w:rFonts w:hint="eastAsia" w:ascii="宋体" w:hAnsi="宋体" w:eastAsia="宋体" w:cs="宋体"/>
          <w:bCs w:val="0"/>
          <w:color w:val="auto"/>
          <w:sz w:val="28"/>
          <w:szCs w:val="28"/>
          <w:highlight w:val="none"/>
          <w:lang w:val="en-US" w:eastAsia="zh-CN"/>
        </w:rPr>
        <w:t xml:space="preserve">     </w:t>
      </w:r>
      <w:r>
        <w:rPr>
          <w:rFonts w:hint="eastAsia" w:ascii="宋体" w:hAnsi="宋体" w:eastAsia="宋体" w:cs="宋体"/>
          <w:bCs w:val="0"/>
          <w:color w:val="auto"/>
          <w:sz w:val="21"/>
          <w:szCs w:val="24"/>
          <w:highlight w:val="none"/>
          <w:lang w:val="en-US" w:eastAsia="zh-CN"/>
        </w:rPr>
        <w:t xml:space="preserve">                        </w:t>
      </w:r>
    </w:p>
    <w:p>
      <w:pPr>
        <w:widowControl/>
        <w:ind w:firstLine="643"/>
        <w:jc w:val="left"/>
        <w:rPr>
          <w:rFonts w:hint="eastAsia" w:ascii="宋体" w:hAnsi="宋体" w:eastAsia="宋体" w:cs="宋体"/>
          <w:b/>
          <w:bCs/>
          <w:sz w:val="32"/>
          <w:szCs w:val="32"/>
          <w:highlight w:val="none"/>
        </w:rPr>
        <w:sectPr>
          <w:footerReference r:id="rId3" w:type="default"/>
          <w:pgSz w:w="11900" w:h="16840"/>
          <w:pgMar w:top="1440" w:right="1800" w:bottom="1440" w:left="1800" w:header="851" w:footer="992" w:gutter="0"/>
          <w:pgNumType w:fmt="decimal"/>
          <w:cols w:space="720" w:num="1"/>
          <w:docGrid w:type="lines" w:linePitch="312" w:charSpace="0"/>
        </w:sectPr>
      </w:pP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甲方：重庆机场</w:t>
      </w:r>
      <w:r>
        <w:rPr>
          <w:rFonts w:hint="eastAsia" w:ascii="宋体" w:hAnsi="宋体" w:eastAsia="宋体" w:cs="宋体"/>
          <w:bCs/>
          <w:color w:val="auto"/>
          <w:sz w:val="28"/>
          <w:szCs w:val="28"/>
          <w:highlight w:val="none"/>
          <w:lang w:val="en-US" w:eastAsia="zh-CN"/>
        </w:rPr>
        <w:t>信息通信网络</w:t>
      </w:r>
      <w:r>
        <w:rPr>
          <w:rFonts w:hint="eastAsia" w:ascii="宋体" w:hAnsi="宋体" w:eastAsia="宋体" w:cs="宋体"/>
          <w:bCs/>
          <w:color w:val="auto"/>
          <w:sz w:val="28"/>
          <w:szCs w:val="28"/>
          <w:highlight w:val="none"/>
        </w:rPr>
        <w:t>有限公司</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统一社会信用代码：915001127093887860</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通讯地址：重庆市渝北区江北机场内</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法定代表人或委托代理人：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联系电话：</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邮箱地址：</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开户银行：中国建设银行重庆渝北机场支行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开户名称：重庆机场信息通信网络有限公司</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账号：5000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1083</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8000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5020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0627</w:t>
      </w:r>
    </w:p>
    <w:p>
      <w:pPr>
        <w:pStyle w:val="16"/>
        <w:ind w:firstLine="560"/>
        <w:rPr>
          <w:rFonts w:hint="eastAsia" w:ascii="宋体" w:hAnsi="宋体" w:eastAsia="宋体" w:cs="宋体"/>
          <w:bCs/>
          <w:color w:val="auto"/>
          <w:sz w:val="28"/>
          <w:szCs w:val="28"/>
          <w:highlight w:val="none"/>
        </w:rPr>
      </w:pPr>
    </w:p>
    <w:p>
      <w:pPr>
        <w:pStyle w:val="16"/>
        <w:ind w:firstLine="0" w:firstLineChars="0"/>
        <w:rPr>
          <w:rFonts w:hint="eastAsia"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rPr>
        <w:t>乙方：</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统一社会信用代码：</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通讯地址：</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 xml:space="preserve">法定代表人或委托代理人： </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邮箱地址：</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开户银行：</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开户名称：</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账号：</w:t>
      </w:r>
      <w:r>
        <w:rPr>
          <w:rFonts w:hint="eastAsia" w:ascii="宋体" w:hAnsi="宋体" w:eastAsia="宋体" w:cs="宋体"/>
          <w:bCs/>
          <w:color w:val="auto"/>
          <w:sz w:val="28"/>
          <w:szCs w:val="28"/>
          <w:highlight w:val="none"/>
          <w:lang w:val="en-US" w:eastAsia="zh-CN"/>
        </w:rPr>
        <w:t xml:space="preserve"> </w:t>
      </w:r>
    </w:p>
    <w:p>
      <w:pPr>
        <w:pStyle w:val="17"/>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》及相关法律法规规定，经双方协商，一致同意就甲方向乙方采购</w:t>
      </w:r>
      <w:r>
        <w:rPr>
          <w:rFonts w:hint="eastAsia" w:ascii="宋体" w:hAnsi="宋体" w:cs="宋体"/>
          <w:color w:val="auto"/>
          <w:highlight w:val="none"/>
          <w:u w:val="single"/>
          <w:lang w:val="en-US" w:eastAsia="zh-CN"/>
        </w:rPr>
        <w:t>服务器维修框架项目</w:t>
      </w:r>
      <w:r>
        <w:rPr>
          <w:rFonts w:hint="eastAsia" w:ascii="宋体" w:hAnsi="宋体" w:eastAsia="宋体" w:cs="宋体"/>
          <w:color w:val="auto"/>
          <w:highlight w:val="none"/>
        </w:rPr>
        <w:t>事宜达成以下协议，</w:t>
      </w:r>
      <w:r>
        <w:rPr>
          <w:rFonts w:hint="eastAsia" w:ascii="宋体" w:hAnsi="宋体" w:eastAsia="宋体" w:cs="宋体"/>
          <w:color w:val="auto"/>
          <w:highlight w:val="none"/>
          <w:lang w:eastAsia="zh-CN"/>
        </w:rPr>
        <w:t>以期</w:t>
      </w:r>
      <w:r>
        <w:rPr>
          <w:rFonts w:hint="eastAsia" w:ascii="宋体" w:hAnsi="宋体" w:eastAsia="宋体" w:cs="宋体"/>
          <w:color w:val="auto"/>
          <w:highlight w:val="none"/>
        </w:rPr>
        <w:t>共同遵守履行:</w:t>
      </w:r>
    </w:p>
    <w:p>
      <w:pPr>
        <w:pStyle w:val="3"/>
        <w:ind w:firstLine="640"/>
        <w:rPr>
          <w:rFonts w:hint="eastAsia" w:ascii="宋体" w:hAnsi="宋体" w:eastAsia="宋体" w:cs="宋体"/>
          <w:color w:val="auto"/>
          <w:highlight w:val="none"/>
        </w:rPr>
      </w:pPr>
      <w:bookmarkStart w:id="1" w:name="_Toc24700706"/>
      <w:r>
        <w:rPr>
          <w:rFonts w:hint="eastAsia" w:ascii="宋体" w:hAnsi="宋体" w:eastAsia="宋体" w:cs="宋体"/>
          <w:color w:val="auto"/>
          <w:highlight w:val="none"/>
        </w:rPr>
        <w:t>第一条 采购的内容和范围</w:t>
      </w:r>
      <w:bookmarkEnd w:id="1"/>
    </w:p>
    <w:p>
      <w:pPr>
        <w:ind w:firstLine="600"/>
        <w:rPr>
          <w:rFonts w:hint="default"/>
          <w:lang w:val="en-US" w:eastAsia="zh-CN"/>
        </w:rPr>
      </w:pPr>
      <w:r>
        <w:rPr>
          <w:rFonts w:hint="eastAsia" w:ascii="宋体" w:hAnsi="宋体" w:eastAsia="宋体" w:cs="宋体"/>
          <w:color w:val="auto"/>
          <w:highlight w:val="none"/>
        </w:rPr>
        <w:t>1.1甲方向乙方采购的内容</w:t>
      </w:r>
      <w:r>
        <w:rPr>
          <w:rFonts w:hint="eastAsia" w:ascii="宋体" w:hAnsi="宋体" w:eastAsia="宋体" w:cs="宋体"/>
          <w:color w:val="auto"/>
          <w:highlight w:val="none"/>
          <w:lang w:val="en-US" w:eastAsia="zh-CN"/>
        </w:rPr>
        <w:t>详见</w:t>
      </w:r>
      <w:r>
        <w:rPr>
          <w:rFonts w:hint="eastAsia" w:ascii="宋体" w:hAnsi="宋体" w:cs="宋体"/>
          <w:color w:val="auto"/>
          <w:highlight w:val="none"/>
          <w:lang w:val="en-US" w:eastAsia="zh-CN"/>
        </w:rPr>
        <w:t>清单。</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1.2 双方确认，本框架协议下，甲方是否采购以及采购的数量以甲方实际发出的需求为准。乙方对本框架协议下的标的物的供货行为并不是独占和排他的。</w:t>
      </w:r>
    </w:p>
    <w:p>
      <w:pPr>
        <w:pStyle w:val="3"/>
        <w:ind w:firstLine="640"/>
        <w:rPr>
          <w:rFonts w:hint="eastAsia" w:ascii="宋体" w:hAnsi="宋体" w:eastAsia="宋体" w:cs="宋体"/>
          <w:color w:val="auto"/>
          <w:highlight w:val="none"/>
        </w:rPr>
      </w:pPr>
      <w:bookmarkStart w:id="2" w:name="_Toc24700707"/>
      <w:r>
        <w:rPr>
          <w:rFonts w:hint="eastAsia" w:ascii="宋体" w:hAnsi="宋体" w:eastAsia="宋体" w:cs="宋体"/>
          <w:color w:val="auto"/>
          <w:highlight w:val="none"/>
        </w:rPr>
        <w:t>第二条  合同期限</w:t>
      </w:r>
      <w:bookmarkEnd w:id="2"/>
    </w:p>
    <w:p>
      <w:pPr>
        <w:ind w:left="840" w:leftChars="20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本合同期限首签一年，自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日起始至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日止。期满后若双方</w:t>
      </w:r>
    </w:p>
    <w:p>
      <w:pPr>
        <w:rPr>
          <w:rFonts w:hint="eastAsia" w:ascii="宋体" w:hAnsi="宋体" w:eastAsia="宋体" w:cs="宋体"/>
          <w:color w:val="auto"/>
          <w:highlight w:val="none"/>
        </w:rPr>
      </w:pPr>
      <w:r>
        <w:rPr>
          <w:rFonts w:hint="eastAsia" w:ascii="宋体" w:hAnsi="宋体" w:eastAsia="宋体" w:cs="宋体"/>
          <w:color w:val="auto"/>
          <w:highlight w:val="none"/>
        </w:rPr>
        <w:t>无异议，协议自动续签一年；如果任何一方有异议，解除合同。</w:t>
      </w:r>
    </w:p>
    <w:p>
      <w:pPr>
        <w:pStyle w:val="3"/>
        <w:ind w:firstLine="640"/>
        <w:rPr>
          <w:rFonts w:hint="eastAsia" w:ascii="宋体" w:hAnsi="宋体" w:eastAsia="宋体" w:cs="宋体"/>
          <w:color w:val="auto"/>
          <w:highlight w:val="none"/>
        </w:rPr>
      </w:pPr>
      <w:bookmarkStart w:id="3" w:name="_Toc24700708"/>
      <w:r>
        <w:rPr>
          <w:rFonts w:hint="eastAsia" w:ascii="宋体" w:hAnsi="宋体" w:eastAsia="宋体" w:cs="宋体"/>
          <w:color w:val="auto"/>
          <w:highlight w:val="none"/>
        </w:rPr>
        <w:t>第三条 合同价款</w:t>
      </w:r>
      <w:bookmarkEnd w:id="3"/>
    </w:p>
    <w:p>
      <w:pPr>
        <w:ind w:firstLine="600"/>
        <w:rPr>
          <w:color w:val="FF0000"/>
        </w:rPr>
      </w:pPr>
      <w:bookmarkStart w:id="4" w:name="_Toc24700709"/>
      <w:r>
        <w:rPr>
          <w:rFonts w:hint="eastAsia"/>
        </w:rPr>
        <w:t>3.1 合同价款是指甲方向乙方实施采购应当向乙方支付的采购费用。具体标准</w:t>
      </w:r>
      <w:r>
        <w:rPr>
          <w:rFonts w:hint="eastAsia"/>
          <w:color w:val="FF0000"/>
        </w:rPr>
        <w:t>（含增值税）</w:t>
      </w:r>
      <w:r>
        <w:rPr>
          <w:rFonts w:hint="eastAsia"/>
        </w:rPr>
        <w:t>为：</w:t>
      </w:r>
      <w:r>
        <w:rPr>
          <w:rFonts w:hint="eastAsia"/>
          <w:u w:val="single"/>
        </w:rPr>
        <w:t xml:space="preserve">          </w:t>
      </w:r>
      <w:r>
        <w:rPr>
          <w:rFonts w:hint="eastAsia"/>
          <w:color w:val="FF0000"/>
        </w:rPr>
        <w:t>（可附清单说明）</w:t>
      </w:r>
      <w:r>
        <w:rPr>
          <w:rFonts w:hint="eastAsia"/>
          <w:color w:val="FF0000"/>
          <w:lang w:eastAsia="zh-CN"/>
        </w:rPr>
        <w:t>，税率</w:t>
      </w:r>
      <w:r>
        <w:rPr>
          <w:rFonts w:hint="eastAsia"/>
          <w:color w:val="FF0000"/>
          <w:u w:val="single"/>
          <w:lang w:val="en-US" w:eastAsia="zh-CN"/>
        </w:rPr>
        <w:t xml:space="preserve">      </w:t>
      </w:r>
      <w:r>
        <w:rPr>
          <w:rFonts w:hint="eastAsia"/>
          <w:color w:val="FF0000"/>
        </w:rPr>
        <w:t>；</w:t>
      </w:r>
    </w:p>
    <w:p>
      <w:pPr>
        <w:ind w:firstLine="600"/>
      </w:pPr>
      <w:r>
        <w:rPr>
          <w:rFonts w:hint="eastAsia"/>
        </w:rPr>
        <w:t>3.2合同价款包含：</w:t>
      </w:r>
      <w:r>
        <w:rPr>
          <w:rFonts w:hint="eastAsia"/>
          <w:u w:val="single"/>
        </w:rPr>
        <w:t xml:space="preserve">                             </w:t>
      </w:r>
      <w:r>
        <w:rPr>
          <w:rFonts w:hint="eastAsia"/>
        </w:rPr>
        <w:t>。</w:t>
      </w:r>
    </w:p>
    <w:p>
      <w:pPr>
        <w:ind w:firstLine="600"/>
      </w:pPr>
      <w:r>
        <w:rPr>
          <w:rFonts w:hint="eastAsia"/>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rPr>
          <w:rFonts w:hint="eastAsia" w:ascii="宋体" w:hAnsi="宋体" w:eastAsia="宋体" w:cs="宋体"/>
          <w:color w:val="auto"/>
          <w:highlight w:val="none"/>
        </w:rPr>
      </w:pPr>
      <w:r>
        <w:rPr>
          <w:rFonts w:hint="eastAsia" w:ascii="宋体" w:hAnsi="宋体" w:eastAsia="宋体" w:cs="宋体"/>
          <w:color w:val="auto"/>
          <w:highlight w:val="none"/>
        </w:rPr>
        <w:t>第四条 采购方式及费用结算</w:t>
      </w:r>
      <w:bookmarkEnd w:id="4"/>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4.1甲方在合同期限内根据自身需要，在本框架协议约定的采购范围内，定期或不定期向乙方实施采购。采购的方式为以下第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4.1.1 甲方</w:t>
      </w:r>
      <w:r>
        <w:rPr>
          <w:rFonts w:hint="eastAsia" w:ascii="宋体" w:hAnsi="宋体" w:eastAsia="宋体" w:cs="宋体"/>
          <w:color w:val="auto"/>
          <w:highlight w:val="none"/>
          <w:u w:val="single"/>
          <w:lang w:val="en-US" w:eastAsia="zh-CN"/>
        </w:rPr>
        <w:t xml:space="preserve"> 重庆机场信息通信网络有限公司</w:t>
      </w:r>
      <w:r>
        <w:rPr>
          <w:rFonts w:hint="eastAsia" w:ascii="宋体" w:hAnsi="宋体" w:eastAsia="宋体" w:cs="宋体"/>
          <w:color w:val="auto"/>
          <w:highlight w:val="none"/>
          <w:u w:val="none"/>
          <w:lang w:val="en-US" w:eastAsia="zh-CN"/>
        </w:rPr>
        <w:t>向</w:t>
      </w:r>
      <w:r>
        <w:rPr>
          <w:rFonts w:hint="eastAsia" w:ascii="宋体" w:hAnsi="宋体" w:eastAsia="宋体" w:cs="宋体"/>
          <w:color w:val="auto"/>
          <w:highlight w:val="none"/>
        </w:rPr>
        <w:t>乙方发出订单；</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4.1.2 甲乙双方另行签订具体的实施协议。</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4.2 采购费用按次结算。乙方按约完成供货并经甲方验收合格后，乙方提出采购费用支付的申请，经甲方确认后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个工作日内支付。</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3"/>
        <w:ind w:firstLine="640"/>
        <w:rPr>
          <w:rFonts w:hint="eastAsia" w:ascii="宋体" w:hAnsi="宋体" w:eastAsia="宋体" w:cs="宋体"/>
          <w:color w:val="auto"/>
          <w:highlight w:val="none"/>
        </w:rPr>
      </w:pPr>
      <w:bookmarkStart w:id="5" w:name="_Toc24700710"/>
      <w:r>
        <w:rPr>
          <w:rFonts w:hint="eastAsia" w:ascii="宋体" w:hAnsi="宋体" w:eastAsia="宋体" w:cs="宋体"/>
          <w:color w:val="auto"/>
          <w:highlight w:val="none"/>
        </w:rPr>
        <w:t>第五条 陈述与保证</w:t>
      </w:r>
      <w:bookmarkEnd w:id="5"/>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 xml:space="preserve">5.2 </w:t>
      </w:r>
      <w:r>
        <w:rPr>
          <w:rFonts w:hint="eastAsia" w:ascii="宋体" w:hAnsi="宋体" w:cs="宋体"/>
          <w:color w:val="auto"/>
          <w:highlight w:val="none"/>
          <w:lang w:eastAsia="zh-CN"/>
        </w:rPr>
        <w:t>验收合格后，</w:t>
      </w:r>
      <w:r>
        <w:rPr>
          <w:rFonts w:hint="eastAsia" w:ascii="宋体" w:hAnsi="宋体" w:eastAsia="宋体" w:cs="宋体"/>
          <w:color w:val="auto"/>
          <w:highlight w:val="none"/>
        </w:rPr>
        <w:t>乙方承诺所供产品或服务的质量保证期为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个</w:t>
      </w:r>
      <w:r>
        <w:rPr>
          <w:rFonts w:hint="eastAsia" w:ascii="宋体" w:hAnsi="宋体" w:eastAsia="宋体" w:cs="宋体"/>
          <w:color w:val="auto"/>
          <w:highlight w:val="none"/>
        </w:rPr>
        <w:t>月；</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5.3 因产品质量瑕疵或缺陷导致的甲方或第三人损害的，乙方承担赔偿责任</w:t>
      </w:r>
      <w:r>
        <w:rPr>
          <w:rFonts w:hint="eastAsia" w:ascii="宋体" w:hAnsi="宋体" w:eastAsia="宋体" w:cs="宋体"/>
          <w:color w:val="auto"/>
          <w:highlight w:val="none"/>
          <w:lang w:eastAsia="zh-CN"/>
        </w:rPr>
        <w:t>（赔偿范围包括但不限于律师费、诉讼费、赔偿金等）</w:t>
      </w:r>
      <w:r>
        <w:rPr>
          <w:rFonts w:hint="eastAsia" w:ascii="宋体" w:hAnsi="宋体" w:eastAsia="宋体" w:cs="宋体"/>
          <w:color w:val="auto"/>
          <w:highlight w:val="none"/>
        </w:rPr>
        <w:t>。</w:t>
      </w:r>
    </w:p>
    <w:p>
      <w:pPr>
        <w:pStyle w:val="3"/>
        <w:ind w:firstLine="640"/>
        <w:rPr>
          <w:rFonts w:hint="eastAsia" w:ascii="宋体" w:hAnsi="宋体" w:eastAsia="宋体" w:cs="宋体"/>
          <w:color w:val="auto"/>
          <w:highlight w:val="none"/>
        </w:rPr>
      </w:pPr>
      <w:bookmarkStart w:id="6" w:name="_Toc24700711"/>
      <w:r>
        <w:rPr>
          <w:rFonts w:hint="eastAsia" w:ascii="宋体" w:hAnsi="宋体" w:eastAsia="宋体" w:cs="宋体"/>
          <w:color w:val="auto"/>
          <w:highlight w:val="none"/>
        </w:rPr>
        <w:t>第六条 交付与验收</w:t>
      </w:r>
      <w:bookmarkEnd w:id="6"/>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6.1乙方按甲方需求及时交付采购标的物</w:t>
      </w:r>
      <w:r>
        <w:rPr>
          <w:rFonts w:hint="eastAsia" w:ascii="宋体" w:hAnsi="宋体" w:cs="宋体"/>
          <w:color w:val="auto"/>
          <w:highlight w:val="none"/>
          <w:lang w:eastAsia="zh-CN"/>
        </w:rPr>
        <w:t>（交货期限见附件）</w:t>
      </w:r>
      <w:r>
        <w:rPr>
          <w:rFonts w:hint="eastAsia" w:ascii="宋体" w:hAnsi="宋体" w:eastAsia="宋体" w:cs="宋体"/>
          <w:color w:val="auto"/>
          <w:highlight w:val="none"/>
        </w:rPr>
        <w:t>。除非采购订单或实施协议另有规定外，原则上，交付地点为重庆江北国际机场甲方指定地点；交付方式为重庆江北国际机场卸货落地交货（货物类）。</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6.2 验收标准：</w:t>
      </w:r>
      <w:r>
        <w:rPr>
          <w:rFonts w:hint="eastAsia" w:ascii="宋体" w:hAnsi="宋体" w:eastAsia="宋体" w:cs="宋体"/>
          <w:color w:val="auto"/>
          <w:highlight w:val="none"/>
          <w:lang w:eastAsia="zh-CN"/>
        </w:rPr>
        <w:t>双方按约定的包装和质量与技术标准进行验收。</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6.3 </w:t>
      </w:r>
      <w:r>
        <w:rPr>
          <w:rFonts w:hint="eastAsia" w:ascii="宋体" w:hAnsi="宋体" w:eastAsia="宋体" w:cs="宋体"/>
          <w:color w:val="auto"/>
          <w:highlight w:val="none"/>
          <w:lang w:eastAsia="zh-CN"/>
        </w:rPr>
        <w:t>验收及异议：甲方应在乙方交付产品后及时进行验收。甲方的收货行为不代表认可产品合格。</w:t>
      </w:r>
    </w:p>
    <w:p>
      <w:pPr>
        <w:pStyle w:val="3"/>
        <w:ind w:firstLine="640"/>
        <w:rPr>
          <w:rFonts w:hint="eastAsia" w:ascii="宋体" w:hAnsi="宋体" w:eastAsia="宋体" w:cs="宋体"/>
          <w:color w:val="auto"/>
          <w:highlight w:val="none"/>
          <w:u w:val="single"/>
        </w:rPr>
      </w:pPr>
      <w:bookmarkStart w:id="7" w:name="_Toc24700712"/>
      <w:r>
        <w:rPr>
          <w:rFonts w:hint="eastAsia" w:ascii="宋体" w:hAnsi="宋体" w:eastAsia="宋体" w:cs="宋体"/>
          <w:color w:val="auto"/>
          <w:highlight w:val="none"/>
        </w:rPr>
        <w:t>第七条 履约保证金</w:t>
      </w:r>
      <w:bookmarkEnd w:id="7"/>
    </w:p>
    <w:p>
      <w:pPr>
        <w:ind w:firstLine="600"/>
        <w:rPr>
          <w:color w:val="FF0000"/>
        </w:rPr>
      </w:pPr>
      <w:bookmarkStart w:id="8" w:name="_Toc24700713"/>
      <w:r>
        <w:rPr>
          <w:rFonts w:hint="eastAsia"/>
          <w:color w:val="FF0000"/>
        </w:rPr>
        <w:t>7.1为保证本框架合同的顺利履行，乙方应向甲方交纳履约保证金即人民币</w:t>
      </w:r>
      <w:r>
        <w:rPr>
          <w:rFonts w:hint="eastAsia"/>
          <w:color w:val="FF0000"/>
          <w:u w:val="single"/>
        </w:rPr>
        <w:t xml:space="preserve">： </w:t>
      </w:r>
      <w:r>
        <w:rPr>
          <w:color w:val="FF0000"/>
          <w:u w:val="single"/>
        </w:rPr>
        <w:t xml:space="preserve">10000  </w:t>
      </w:r>
      <w:r>
        <w:rPr>
          <w:rFonts w:hint="eastAsia"/>
          <w:color w:val="FF0000"/>
        </w:rPr>
        <w:t>（</w:t>
      </w:r>
      <w:r>
        <w:rPr>
          <w:rFonts w:hint="eastAsia"/>
          <w:color w:val="FF0000"/>
          <w:u w:val="single"/>
        </w:rPr>
        <w:t xml:space="preserve"> </w:t>
      </w:r>
      <w:r>
        <w:rPr>
          <w:color w:val="FF0000"/>
          <w:u w:val="single"/>
        </w:rPr>
        <w:t xml:space="preserve"> </w:t>
      </w:r>
      <w:r>
        <w:rPr>
          <w:rFonts w:hint="eastAsia"/>
          <w:color w:val="FF0000"/>
          <w:u w:val="single"/>
        </w:rPr>
        <w:t xml:space="preserve">壹万 </w:t>
      </w:r>
      <w:r>
        <w:rPr>
          <w:rFonts w:hint="eastAsia"/>
          <w:color w:val="FF0000"/>
        </w:rPr>
        <w:t>元），应在中标通知书发出</w:t>
      </w:r>
      <w:r>
        <w:rPr>
          <w:color w:val="FF0000"/>
          <w:u w:val="single"/>
        </w:rPr>
        <w:t xml:space="preserve">      </w:t>
      </w:r>
      <w:r>
        <w:rPr>
          <w:rFonts w:hint="eastAsia"/>
          <w:color w:val="FF0000"/>
        </w:rPr>
        <w:t>日内（或签订本合同之前   日内），一次性向甲方缴纳。</w:t>
      </w:r>
    </w:p>
    <w:p>
      <w:r>
        <w:rPr>
          <w:rFonts w:hint="eastAsia"/>
        </w:rPr>
        <w:t xml:space="preserve">   7.2履约保证金应由乙方名义开立的账户支付到甲方账户，否则视为未支付，甲方有权追究乙方逾期付款责任。</w:t>
      </w:r>
    </w:p>
    <w:p>
      <w:r>
        <w:rPr>
          <w:rFonts w:hint="eastAsia"/>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rPr>
          <w:color w:val="FF0000"/>
        </w:rPr>
      </w:pPr>
    </w:p>
    <w:p>
      <w:pPr>
        <w:ind w:firstLine="600"/>
      </w:pPr>
      <w:r>
        <w:rPr>
          <w:rFonts w:hint="eastAsia"/>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7.5本合同期限届满，全部款项结清后</w:t>
      </w:r>
      <w:r>
        <w:rPr>
          <w:rFonts w:hint="eastAsia"/>
          <w:u w:val="single"/>
        </w:rPr>
        <w:t xml:space="preserve"> </w:t>
      </w:r>
      <w:r>
        <w:rPr>
          <w:u w:val="single"/>
        </w:rPr>
        <w:t>30</w:t>
      </w:r>
      <w:r>
        <w:rPr>
          <w:rFonts w:hint="eastAsia"/>
          <w:u w:val="single"/>
        </w:rPr>
        <w:t xml:space="preserve"> </w:t>
      </w:r>
      <w:r>
        <w:rPr>
          <w:rFonts w:hint="eastAsia"/>
        </w:rPr>
        <w:t>个日历日内将剩余履约保证金无息返还乙方。</w:t>
      </w:r>
    </w:p>
    <w:p>
      <w:pPr>
        <w:pStyle w:val="3"/>
        <w:ind w:firstLine="640"/>
        <w:rPr>
          <w:rFonts w:hint="eastAsia" w:ascii="宋体" w:hAnsi="宋体" w:eastAsia="宋体" w:cs="宋体"/>
          <w:color w:val="auto"/>
          <w:highlight w:val="none"/>
        </w:rPr>
      </w:pPr>
      <w:r>
        <w:rPr>
          <w:rFonts w:hint="eastAsia" w:ascii="宋体" w:hAnsi="宋体" w:eastAsia="宋体" w:cs="宋体"/>
          <w:color w:val="auto"/>
          <w:highlight w:val="none"/>
        </w:rPr>
        <w:t>第八条  双方权利与义务</w:t>
      </w:r>
      <w:bookmarkEnd w:id="8"/>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8.1甲方应按约定向乙方支付采购费用</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8.2甲方超出本框架协议约定的采购内容和范围实施采购的，乙方有权拒绝履行，但乙方应书面回复甲方并说明理由</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8.3因履行合同需要，乙方如需进入机场隔离区的，甲方应协助乙方按机场管理机构有关规定办理相关通行的手续，费用由乙方自理</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8.4 乙方不得拒绝甲方在本框架协议下的采购需求，否则应承担违约责任</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8.5 甲方有权对乙方履行本框架协议实施监督，并进行考核</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 xml:space="preserve">8.6 </w:t>
      </w:r>
      <w:r>
        <w:rPr>
          <w:rFonts w:hint="eastAsia" w:ascii="宋体" w:hAnsi="宋体" w:eastAsia="宋体" w:cs="宋体"/>
          <w:color w:val="auto"/>
          <w:highlight w:val="none"/>
          <w:lang w:eastAsia="zh-CN"/>
        </w:rPr>
        <w:t>双方可</w:t>
      </w:r>
      <w:r>
        <w:rPr>
          <w:rFonts w:hint="eastAsia" w:ascii="宋体" w:hAnsi="宋体" w:eastAsia="宋体" w:cs="宋体"/>
          <w:color w:val="auto"/>
          <w:highlight w:val="none"/>
        </w:rPr>
        <w:t>根据实际项目的特点，另行增加条款</w:t>
      </w:r>
      <w:r>
        <w:rPr>
          <w:rFonts w:hint="eastAsia" w:ascii="宋体" w:hAnsi="宋体" w:eastAsia="宋体" w:cs="宋体"/>
          <w:color w:val="auto"/>
          <w:highlight w:val="none"/>
          <w:lang w:eastAsia="zh-CN"/>
        </w:rPr>
        <w:t>。</w:t>
      </w:r>
    </w:p>
    <w:p>
      <w:pPr>
        <w:pStyle w:val="3"/>
        <w:ind w:firstLine="640"/>
        <w:rPr>
          <w:rFonts w:hint="eastAsia" w:ascii="宋体" w:hAnsi="宋体" w:eastAsia="宋体" w:cs="宋体"/>
          <w:color w:val="auto"/>
          <w:highlight w:val="none"/>
        </w:rPr>
      </w:pPr>
      <w:bookmarkStart w:id="9" w:name="_Toc24700714"/>
      <w:r>
        <w:rPr>
          <w:rFonts w:hint="eastAsia" w:ascii="宋体" w:hAnsi="宋体" w:eastAsia="宋体" w:cs="宋体"/>
          <w:color w:val="auto"/>
          <w:highlight w:val="none"/>
        </w:rPr>
        <w:t>第九条  违约责任</w:t>
      </w:r>
      <w:bookmarkEnd w:id="9"/>
    </w:p>
    <w:p>
      <w:pPr>
        <w:ind w:firstLine="600"/>
      </w:pPr>
      <w:bookmarkStart w:id="10" w:name="_Toc24700715"/>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每延期一日，乙方应向甲方支付总货款千分之二的违约金，但总计不超过总货款的百分之五。</w:t>
      </w:r>
      <w:r>
        <w:rPr>
          <w:rFonts w:hint="eastAsia"/>
        </w:rPr>
        <w:t>计算。</w:t>
      </w:r>
      <w:r>
        <w:t>违约金尚不能补偿对方损失时，有权向对方追索实际损失的赔偿金。</w:t>
      </w:r>
    </w:p>
    <w:p>
      <w:pPr>
        <w:pStyle w:val="3"/>
        <w:ind w:firstLine="640"/>
        <w:rPr>
          <w:rFonts w:hint="eastAsia" w:ascii="宋体" w:hAnsi="宋体" w:eastAsia="宋体" w:cs="宋体"/>
          <w:color w:val="auto"/>
          <w:highlight w:val="none"/>
        </w:rPr>
      </w:pPr>
      <w:r>
        <w:rPr>
          <w:rFonts w:hint="eastAsia" w:ascii="Times New Roman" w:hAnsi="Times New Roman" w:eastAsia="宋体" w:cs="Times New Roman"/>
          <w:bCs w:val="0"/>
          <w:kern w:val="2"/>
          <w:sz w:val="21"/>
          <w:szCs w:val="24"/>
          <w:u w:val="single"/>
          <w:lang w:val="en-US" w:eastAsia="zh-CN" w:bidi="ar-SA"/>
        </w:rPr>
        <w:t>9.2 乙方延迟履行或履行不符合约定的，经甲方催告后仍不能的，甲方有权解除合同，履约保证金作为违约金不予退还。履约保证金不足以弥补甲方损失的，甲方有权追偿。</w:t>
      </w:r>
      <w:r>
        <w:rPr>
          <w:rFonts w:hint="eastAsia" w:ascii="宋体" w:hAnsi="宋体" w:eastAsia="宋体" w:cs="宋体"/>
          <w:color w:val="auto"/>
          <w:highlight w:val="none"/>
        </w:rPr>
        <w:t>第十条 不可抗力</w:t>
      </w:r>
      <w:bookmarkEnd w:id="10"/>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rFonts w:hint="eastAsia" w:ascii="宋体" w:hAnsi="宋体" w:eastAsia="宋体" w:cs="宋体"/>
          <w:color w:val="auto"/>
          <w:highlight w:val="none"/>
        </w:rPr>
      </w:pPr>
      <w:bookmarkStart w:id="11" w:name="_Toc24700716"/>
      <w:r>
        <w:rPr>
          <w:rFonts w:hint="eastAsia" w:ascii="宋体" w:hAnsi="宋体" w:eastAsia="宋体" w:cs="宋体"/>
          <w:color w:val="auto"/>
          <w:highlight w:val="none"/>
        </w:rPr>
        <w:t>第十一条 通知条款</w:t>
      </w:r>
      <w:bookmarkEnd w:id="11"/>
    </w:p>
    <w:p>
      <w:pPr>
        <w:ind w:firstLine="600"/>
        <w:rPr>
          <w:rFonts w:hint="eastAsia" w:ascii="宋体" w:hAnsi="宋体" w:eastAsia="宋体" w:cs="宋体"/>
          <w:highlight w:val="none"/>
        </w:rPr>
      </w:pPr>
      <w:r>
        <w:rPr>
          <w:rFonts w:hint="eastAsia" w:ascii="宋体" w:hAnsi="宋体" w:eastAsia="宋体" w:cs="宋体"/>
          <w:color w:val="auto"/>
          <w:highlight w:val="none"/>
        </w:rPr>
        <w:t>任何一方均应本着诚实信用原则来对待另一方在履行合同时的通知、告知事项，如因重大事项须履行通知义务的，均应当以当面签收或特快专递、电子邮件方式送达相对人。</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甲方指定的联系方式：</w:t>
      </w:r>
    </w:p>
    <w:p>
      <w:pPr>
        <w:ind w:firstLine="6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 xml:space="preserve"> </w:t>
      </w:r>
    </w:p>
    <w:p>
      <w:pPr>
        <w:ind w:firstLine="600"/>
        <w:rPr>
          <w:rFonts w:hint="default" w:ascii="宋体" w:hAnsi="宋体" w:eastAsia="宋体" w:cs="宋体"/>
          <w:highlight w:val="none"/>
          <w:lang w:val="en-US" w:eastAsia="zh-CN"/>
        </w:rPr>
      </w:pPr>
      <w:r>
        <w:rPr>
          <w:rFonts w:hint="eastAsia" w:ascii="宋体" w:hAnsi="宋体" w:eastAsia="宋体" w:cs="宋体"/>
          <w:color w:val="auto"/>
          <w:highlight w:val="none"/>
        </w:rPr>
        <w:t>联系电话：</w:t>
      </w:r>
      <w:r>
        <w:rPr>
          <w:rFonts w:hint="eastAsia" w:ascii="宋体" w:hAnsi="宋体" w:cs="宋体"/>
          <w:color w:val="auto"/>
          <w:highlight w:val="none"/>
          <w:lang w:val="en-US" w:eastAsia="zh-CN"/>
        </w:rPr>
        <w:t xml:space="preserve"> </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通讯地址：</w:t>
      </w:r>
      <w:r>
        <w:rPr>
          <w:rFonts w:hint="eastAsia" w:ascii="宋体" w:hAnsi="宋体" w:cs="宋体"/>
          <w:color w:val="auto"/>
          <w:highlight w:val="none"/>
          <w:lang w:val="en-US" w:eastAsia="zh-CN"/>
        </w:rPr>
        <w:t xml:space="preserve"> </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电子邮件：</w:t>
      </w:r>
      <w:r>
        <w:rPr>
          <w:rFonts w:hint="eastAsia" w:ascii="宋体" w:hAnsi="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乙方指定的联系方式：</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电子邮件：</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11.1采用当面签收的，应由合同中指定的联系人或双方授权的代表签收，签收日期即为送达时间。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11.7本合同约定的联系方式与送达方式同时可作为</w:t>
      </w:r>
      <w:r>
        <w:rPr>
          <w:rFonts w:hint="eastAsia" w:ascii="宋体" w:hAnsi="宋体" w:eastAsia="宋体" w:cs="宋体"/>
          <w:color w:val="auto"/>
          <w:highlight w:val="none"/>
          <w:lang w:eastAsia="zh-CN"/>
        </w:rPr>
        <w:t>诉讼</w:t>
      </w:r>
      <w:r>
        <w:rPr>
          <w:rFonts w:hint="eastAsia" w:ascii="宋体" w:hAnsi="宋体" w:eastAsia="宋体" w:cs="宋体"/>
          <w:color w:val="auto"/>
          <w:highlight w:val="none"/>
          <w:lang w:val="en-US" w:eastAsia="zh-CN"/>
        </w:rPr>
        <w:t>/仲裁中</w:t>
      </w:r>
      <w:r>
        <w:rPr>
          <w:rFonts w:hint="eastAsia" w:ascii="宋体" w:hAnsi="宋体" w:eastAsia="宋体" w:cs="宋体"/>
          <w:color w:val="auto"/>
          <w:highlight w:val="none"/>
        </w:rPr>
        <w:t>法律文书的联系方式与送达方式。</w:t>
      </w:r>
    </w:p>
    <w:p>
      <w:pPr>
        <w:pStyle w:val="3"/>
        <w:ind w:firstLine="640"/>
        <w:rPr>
          <w:rFonts w:hint="eastAsia" w:ascii="宋体" w:hAnsi="宋体" w:eastAsia="宋体" w:cs="宋体"/>
          <w:color w:val="auto"/>
          <w:highlight w:val="none"/>
        </w:rPr>
      </w:pPr>
      <w:bookmarkStart w:id="12" w:name="_Toc24700717"/>
      <w:r>
        <w:rPr>
          <w:rFonts w:hint="eastAsia" w:ascii="宋体" w:hAnsi="宋体" w:eastAsia="宋体" w:cs="宋体"/>
          <w:color w:val="auto"/>
          <w:highlight w:val="none"/>
        </w:rPr>
        <w:t>第十二条 保密条款</w:t>
      </w:r>
      <w:bookmarkEnd w:id="12"/>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Fonts w:hint="eastAsia" w:ascii="宋体" w:hAnsi="宋体" w:eastAsia="宋体" w:cs="宋体"/>
          <w:color w:val="auto"/>
          <w:highlight w:val="none"/>
        </w:rPr>
      </w:pPr>
      <w:bookmarkStart w:id="13" w:name="_Toc24700718"/>
      <w:r>
        <w:rPr>
          <w:rFonts w:hint="eastAsia" w:ascii="宋体" w:hAnsi="宋体" w:eastAsia="宋体" w:cs="宋体"/>
          <w:color w:val="auto"/>
          <w:highlight w:val="none"/>
        </w:rPr>
        <w:t>第十三条 合同争议的解决方式</w:t>
      </w:r>
      <w:bookmarkEnd w:id="13"/>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13.1 若在合同履行过程中发生争议，甲乙双方应当友好协商解决，协商不成，按以下第（</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 种方式解决：</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（一）提交重庆仲裁委员会，按照申请仲裁时该会现行有效的仲裁规则进行仲裁。</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（二）向甲方所在地人民法院起诉。</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13.2在诉讼期间，除正在进行诉讼的部分外，合同其它部分继续执行。</w:t>
      </w:r>
    </w:p>
    <w:p>
      <w:pPr>
        <w:pStyle w:val="3"/>
        <w:ind w:firstLine="640"/>
        <w:rPr>
          <w:rFonts w:hint="eastAsia" w:ascii="宋体" w:hAnsi="宋体" w:eastAsia="宋体" w:cs="宋体"/>
          <w:color w:val="auto"/>
          <w:highlight w:val="none"/>
        </w:rPr>
      </w:pPr>
      <w:bookmarkStart w:id="14" w:name="_Toc24700719"/>
      <w:r>
        <w:rPr>
          <w:rFonts w:hint="eastAsia" w:ascii="宋体" w:hAnsi="宋体" w:eastAsia="宋体" w:cs="宋体"/>
          <w:color w:val="auto"/>
          <w:highlight w:val="none"/>
        </w:rPr>
        <w:t>第十四条 合同的变更和解除</w:t>
      </w:r>
      <w:bookmarkEnd w:id="14"/>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14.2 经双方协商一致，并达成书面</w:t>
      </w:r>
      <w:r>
        <w:rPr>
          <w:rFonts w:hint="eastAsia" w:ascii="宋体" w:hAnsi="宋体" w:cs="宋体"/>
          <w:color w:val="auto"/>
          <w:highlight w:val="none"/>
          <w:lang w:eastAsia="zh-CN"/>
        </w:rPr>
        <w:t>协议</w:t>
      </w:r>
      <w:r>
        <w:rPr>
          <w:rFonts w:hint="eastAsia" w:ascii="宋体" w:hAnsi="宋体" w:eastAsia="宋体" w:cs="宋体"/>
          <w:color w:val="auto"/>
          <w:highlight w:val="none"/>
        </w:rPr>
        <w:t>后，本合同可以解除，双方应就合同解除的后果在解约</w:t>
      </w:r>
      <w:r>
        <w:rPr>
          <w:rFonts w:hint="eastAsia" w:ascii="宋体" w:hAnsi="宋体" w:cs="宋体"/>
          <w:color w:val="auto"/>
          <w:highlight w:val="none"/>
          <w:lang w:eastAsia="zh-CN"/>
        </w:rPr>
        <w:t>协议</w:t>
      </w:r>
      <w:r>
        <w:rPr>
          <w:rFonts w:hint="eastAsia" w:ascii="宋体" w:hAnsi="宋体" w:eastAsia="宋体" w:cs="宋体"/>
          <w:color w:val="auto"/>
          <w:highlight w:val="none"/>
        </w:rPr>
        <w:t>中一并做出约定。一方也可根据合同约定单方行使合同解除权。</w:t>
      </w:r>
    </w:p>
    <w:p>
      <w:pPr>
        <w:pStyle w:val="3"/>
        <w:ind w:firstLine="640"/>
        <w:rPr>
          <w:rFonts w:hint="eastAsia" w:ascii="宋体" w:hAnsi="宋体" w:eastAsia="宋体" w:cs="宋体"/>
          <w:color w:val="auto"/>
          <w:highlight w:val="none"/>
        </w:rPr>
      </w:pPr>
      <w:bookmarkStart w:id="15" w:name="_Toc24700720"/>
      <w:r>
        <w:rPr>
          <w:rFonts w:hint="eastAsia" w:ascii="宋体" w:hAnsi="宋体" w:eastAsia="宋体" w:cs="宋体"/>
          <w:color w:val="auto"/>
          <w:highlight w:val="none"/>
        </w:rPr>
        <w:t>第十五条 合同生效及其他</w:t>
      </w:r>
      <w:bookmarkEnd w:id="15"/>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15.1 乙方和甲方约定合同内容双方法人代表人或授权代表签字并加盖公司公章或合同专用章后生效</w:t>
      </w:r>
      <w:r>
        <w:rPr>
          <w:rFonts w:hint="eastAsia" w:ascii="宋体" w:hAnsi="宋体" w:eastAsia="宋体" w:cs="宋体"/>
          <w:color w:val="auto"/>
          <w:highlight w:val="none"/>
          <w:lang w:val="en-US" w:eastAsia="zh-CN"/>
        </w:rPr>
        <w:t>；有效期为一年。</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15.2 本合同一式</w:t>
      </w:r>
      <w:r>
        <w:rPr>
          <w:rFonts w:hint="eastAsia" w:ascii="宋体" w:hAnsi="宋体" w:eastAsia="宋体" w:cs="宋体"/>
          <w:color w:val="auto"/>
          <w:highlight w:val="none"/>
          <w:lang w:val="en-US" w:eastAsia="zh-CN"/>
        </w:rPr>
        <w:t>伍</w:t>
      </w:r>
      <w:r>
        <w:rPr>
          <w:rFonts w:hint="eastAsia" w:ascii="宋体" w:hAnsi="宋体" w:eastAsia="宋体" w:cs="宋体"/>
          <w:color w:val="auto"/>
          <w:highlight w:val="none"/>
        </w:rPr>
        <w:t>份，甲方执</w:t>
      </w:r>
      <w:r>
        <w:rPr>
          <w:rFonts w:hint="eastAsia" w:ascii="宋体" w:hAnsi="宋体" w:eastAsia="宋体" w:cs="宋体"/>
          <w:color w:val="auto"/>
          <w:highlight w:val="none"/>
          <w:lang w:val="en-US" w:eastAsia="zh-CN"/>
        </w:rPr>
        <w:t>肆</w:t>
      </w:r>
      <w:r>
        <w:rPr>
          <w:rFonts w:hint="eastAsia" w:ascii="宋体" w:hAnsi="宋体" w:eastAsia="宋体" w:cs="宋体"/>
          <w:color w:val="auto"/>
          <w:highlight w:val="none"/>
        </w:rPr>
        <w:t>份，乙方执</w:t>
      </w:r>
      <w:r>
        <w:rPr>
          <w:rFonts w:hint="eastAsia" w:ascii="宋体" w:hAnsi="宋体" w:eastAsia="宋体" w:cs="宋体"/>
          <w:color w:val="auto"/>
          <w:highlight w:val="none"/>
          <w:lang w:val="en-US" w:eastAsia="zh-CN"/>
        </w:rPr>
        <w:t>壹</w:t>
      </w:r>
      <w:r>
        <w:rPr>
          <w:rFonts w:hint="eastAsia" w:ascii="宋体" w:hAnsi="宋体" w:eastAsia="宋体" w:cs="宋体"/>
          <w:color w:val="auto"/>
          <w:highlight w:val="none"/>
        </w:rPr>
        <w:t>份，具有同等法律效力。</w:t>
      </w:r>
      <w:r>
        <w:rPr>
          <w:rFonts w:hint="eastAsia" w:ascii="宋体" w:hAnsi="宋体" w:cs="宋体"/>
          <w:color w:val="auto"/>
          <w:highlight w:val="none"/>
          <w:lang w:eastAsia="zh-CN"/>
        </w:rPr>
        <w:t>（以下无正文。）</w:t>
      </w:r>
    </w:p>
    <w:p>
      <w:pPr>
        <w:ind w:left="420" w:leftChars="200" w:firstLine="0" w:firstLineChars="0"/>
        <w:rPr>
          <w:rFonts w:hint="eastAsia" w:ascii="宋体" w:hAnsi="宋体" w:eastAsia="宋体" w:cs="宋体"/>
          <w:b/>
          <w:bCs/>
          <w:color w:val="auto"/>
          <w:highlight w:val="none"/>
        </w:rPr>
      </w:pPr>
    </w:p>
    <w:p>
      <w:pPr>
        <w:ind w:left="420" w:leftChars="200" w:firstLine="0" w:firstLineChars="0"/>
        <w:rPr>
          <w:rFonts w:hint="eastAsia" w:ascii="宋体" w:hAnsi="宋体" w:eastAsia="宋体" w:cs="宋体"/>
          <w:b/>
          <w:bCs/>
          <w:color w:val="auto"/>
          <w:highlight w:val="none"/>
        </w:rPr>
      </w:pPr>
    </w:p>
    <w:p>
      <w:pPr>
        <w:ind w:left="420" w:leftChars="200" w:firstLine="211" w:firstLineChars="100"/>
        <w:rPr>
          <w:rFonts w:hint="eastAsia" w:ascii="宋体" w:hAnsi="宋体" w:eastAsia="宋体" w:cs="宋体"/>
          <w:b/>
          <w:bCs/>
          <w:color w:val="auto"/>
          <w:highlight w:val="none"/>
        </w:rPr>
      </w:pPr>
    </w:p>
    <w:p>
      <w:pPr>
        <w:ind w:left="420" w:leftChars="200" w:firstLine="211" w:firstLineChars="100"/>
        <w:rPr>
          <w:rFonts w:hint="eastAsia" w:ascii="宋体" w:hAnsi="宋体" w:eastAsia="宋体" w:cs="宋体"/>
          <w:b/>
          <w:bCs/>
          <w:color w:val="auto"/>
          <w:highlight w:val="none"/>
        </w:rPr>
      </w:pPr>
    </w:p>
    <w:p>
      <w:pPr>
        <w:ind w:left="420" w:leftChars="200" w:firstLine="211" w:firstLineChars="100"/>
        <w:rPr>
          <w:rFonts w:hint="eastAsia" w:ascii="宋体" w:hAnsi="宋体" w:eastAsia="宋体" w:cs="宋体"/>
          <w:b/>
          <w:bCs/>
          <w:color w:val="auto"/>
          <w:highlight w:val="none"/>
        </w:rPr>
      </w:pPr>
    </w:p>
    <w:p>
      <w:pPr>
        <w:ind w:left="420" w:leftChars="200" w:firstLine="211" w:firstLineChars="100"/>
        <w:rPr>
          <w:rFonts w:hint="eastAsia" w:ascii="宋体" w:hAnsi="宋体" w:eastAsia="宋体" w:cs="宋体"/>
          <w:b/>
          <w:bCs/>
          <w:color w:val="auto"/>
          <w:highlight w:val="none"/>
        </w:rPr>
      </w:pPr>
    </w:p>
    <w:p>
      <w:pPr>
        <w:ind w:left="420" w:leftChars="200" w:firstLine="211" w:firstLineChars="100"/>
        <w:rPr>
          <w:rFonts w:hint="eastAsia" w:ascii="宋体" w:hAnsi="宋体" w:eastAsia="宋体" w:cs="宋体"/>
          <w:b/>
          <w:bCs/>
          <w:color w:val="auto"/>
          <w:highlight w:val="none"/>
        </w:rPr>
      </w:pPr>
    </w:p>
    <w:p>
      <w:pPr>
        <w:ind w:left="420" w:leftChars="200"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甲方（盖章）：</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法定代表人或授权代表（签字）：</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签订日期：     年   月   日</w:t>
      </w:r>
    </w:p>
    <w:p>
      <w:pPr>
        <w:pStyle w:val="6"/>
        <w:rPr>
          <w:rFonts w:hint="eastAsia"/>
          <w:highlight w:val="none"/>
        </w:rPr>
      </w:pP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乙方（盖章）：</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法定代表人或授权代表（签字）：</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签订日期：     年   月   日</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签订地点：</w:t>
      </w:r>
    </w:p>
    <w:p>
      <w:pPr>
        <w:rPr>
          <w:rFonts w:hint="eastAsia" w:ascii="宋体" w:hAnsi="宋体" w:eastAsia="宋体" w:cs="宋体"/>
          <w:b/>
          <w:bCs/>
          <w:color w:val="auto"/>
          <w:sz w:val="28"/>
          <w:szCs w:val="28"/>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b w:val="0"/>
          <w:bCs w:val="0"/>
          <w:sz w:val="28"/>
          <w:szCs w:val="28"/>
          <w:u w:val="single"/>
        </w:rPr>
        <w:t>）</w:t>
      </w:r>
      <w:r>
        <w:rPr>
          <w:rFonts w:hint="eastAsia" w:ascii="仿宋" w:hAnsi="仿宋" w:eastAsia="仿宋"/>
          <w:b w:val="0"/>
          <w:bCs w:val="0"/>
          <w:sz w:val="28"/>
          <w:szCs w:val="28"/>
          <w:u w:val="none"/>
          <w:lang w:eastAsia="zh-CN"/>
        </w:rPr>
        <w:t>不</w:t>
      </w:r>
      <w:r>
        <w:rPr>
          <w:rFonts w:hint="eastAsia" w:ascii="仿宋" w:hAnsi="仿宋" w:eastAsia="仿宋"/>
          <w:b w:val="0"/>
          <w:bCs w:val="0"/>
          <w:sz w:val="28"/>
          <w:szCs w:val="28"/>
          <w:u w:val="none"/>
        </w:rPr>
        <w:t>含</w:t>
      </w:r>
      <w:r>
        <w:rPr>
          <w:rFonts w:hint="eastAsia" w:ascii="仿宋" w:hAnsi="仿宋" w:eastAsia="仿宋"/>
          <w:b w:val="0"/>
          <w:bCs w:val="0"/>
          <w:sz w:val="28"/>
          <w:szCs w:val="28"/>
        </w:rPr>
        <w:t>增值税税额的总报价，</w:t>
      </w:r>
      <w:r>
        <w:rPr>
          <w:rFonts w:hint="eastAsia" w:ascii="仿宋_GB2312" w:hAnsi="宋体" w:eastAsia="仿宋_GB2312"/>
          <w:b w:val="0"/>
          <w:bCs w:val="0"/>
          <w:sz w:val="28"/>
          <w:szCs w:val="28"/>
        </w:rPr>
        <w:t>增值税税率</w:t>
      </w:r>
      <w:r>
        <w:rPr>
          <w:rFonts w:hint="eastAsia" w:ascii="仿宋_GB2312" w:hAnsi="宋体" w:eastAsia="仿宋_GB2312"/>
          <w:b w:val="0"/>
          <w:bCs w:val="0"/>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30"/>
        <w:gridCol w:w="815"/>
        <w:gridCol w:w="874"/>
        <w:gridCol w:w="769"/>
        <w:gridCol w:w="700"/>
        <w:gridCol w:w="986"/>
        <w:gridCol w:w="761"/>
        <w:gridCol w:w="100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序号</w:t>
            </w:r>
          </w:p>
        </w:tc>
        <w:tc>
          <w:tcPr>
            <w:tcW w:w="930"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类型</w:t>
            </w:r>
          </w:p>
        </w:tc>
        <w:tc>
          <w:tcPr>
            <w:tcW w:w="815"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874"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参数</w:t>
            </w:r>
          </w:p>
        </w:tc>
        <w:tc>
          <w:tcPr>
            <w:tcW w:w="76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品牌</w:t>
            </w:r>
          </w:p>
        </w:tc>
        <w:tc>
          <w:tcPr>
            <w:tcW w:w="700"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单位</w:t>
            </w:r>
          </w:p>
        </w:tc>
        <w:tc>
          <w:tcPr>
            <w:tcW w:w="986" w:type="dxa"/>
            <w:vAlign w:val="center"/>
          </w:tcPr>
          <w:p>
            <w:pPr>
              <w:keepNext w:val="0"/>
              <w:keepLines w:val="0"/>
              <w:widowControl/>
              <w:suppressLineNumbers w:val="0"/>
              <w:jc w:val="center"/>
              <w:textAlignment w:val="center"/>
              <w:rPr>
                <w:b/>
                <w:sz w:val="24"/>
              </w:rPr>
            </w:pPr>
            <w:r>
              <w:rPr>
                <w:rFonts w:hint="eastAsia" w:ascii="宋体" w:hAnsi="宋体" w:cs="宋体"/>
                <w:i w:val="0"/>
                <w:iCs w:val="0"/>
                <w:color w:val="000000"/>
                <w:kern w:val="0"/>
                <w:sz w:val="20"/>
                <w:szCs w:val="20"/>
                <w:highlight w:val="none"/>
                <w:u w:val="none"/>
                <w:lang w:val="en-US" w:eastAsia="zh-CN" w:bidi="ar"/>
              </w:rPr>
              <w:t>不</w:t>
            </w:r>
            <w:r>
              <w:rPr>
                <w:rFonts w:hint="eastAsia" w:ascii="宋体" w:hAnsi="宋体" w:eastAsia="宋体" w:cs="宋体"/>
                <w:i w:val="0"/>
                <w:iCs w:val="0"/>
                <w:color w:val="000000"/>
                <w:kern w:val="0"/>
                <w:sz w:val="20"/>
                <w:szCs w:val="20"/>
                <w:highlight w:val="none"/>
                <w:u w:val="none"/>
                <w:lang w:val="en-US" w:eastAsia="zh-CN" w:bidi="ar"/>
              </w:rPr>
              <w:t>含税</w:t>
            </w:r>
            <w:r>
              <w:rPr>
                <w:rFonts w:hint="eastAsia" w:ascii="宋体" w:hAnsi="宋体" w:cs="宋体"/>
                <w:i w:val="0"/>
                <w:iCs w:val="0"/>
                <w:color w:val="000000"/>
                <w:kern w:val="0"/>
                <w:sz w:val="20"/>
                <w:szCs w:val="20"/>
                <w:highlight w:val="none"/>
                <w:u w:val="none"/>
                <w:lang w:val="en-US" w:eastAsia="zh-CN" w:bidi="ar"/>
              </w:rPr>
              <w:t>报</w:t>
            </w:r>
            <w:r>
              <w:rPr>
                <w:rFonts w:hint="eastAsia" w:ascii="宋体" w:hAnsi="宋体" w:eastAsia="宋体" w:cs="宋体"/>
                <w:i w:val="0"/>
                <w:iCs w:val="0"/>
                <w:color w:val="000000"/>
                <w:kern w:val="0"/>
                <w:sz w:val="20"/>
                <w:szCs w:val="20"/>
                <w:highlight w:val="none"/>
                <w:u w:val="none"/>
                <w:lang w:val="en-US" w:eastAsia="zh-CN" w:bidi="ar"/>
              </w:rPr>
              <w:t>价</w:t>
            </w:r>
          </w:p>
        </w:tc>
        <w:tc>
          <w:tcPr>
            <w:tcW w:w="761"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税</w:t>
            </w:r>
            <w:r>
              <w:rPr>
                <w:rFonts w:hint="eastAsia" w:ascii="宋体" w:hAnsi="宋体" w:cs="宋体"/>
                <w:i w:val="0"/>
                <w:iCs w:val="0"/>
                <w:color w:val="000000"/>
                <w:kern w:val="0"/>
                <w:sz w:val="20"/>
                <w:szCs w:val="20"/>
                <w:highlight w:val="none"/>
                <w:u w:val="none"/>
                <w:lang w:val="en-US" w:eastAsia="zh-CN" w:bidi="ar"/>
              </w:rPr>
              <w:t>率</w:t>
            </w:r>
          </w:p>
        </w:tc>
        <w:tc>
          <w:tcPr>
            <w:tcW w:w="1009" w:type="dxa"/>
            <w:vAlign w:val="center"/>
          </w:tcPr>
          <w:p>
            <w:pPr>
              <w:keepNext w:val="0"/>
              <w:keepLines w:val="0"/>
              <w:widowControl/>
              <w:suppressLineNumbers w:val="0"/>
              <w:jc w:val="center"/>
              <w:textAlignment w:val="center"/>
              <w:rPr>
                <w:b/>
                <w:sz w:val="24"/>
              </w:rPr>
            </w:pPr>
            <w:r>
              <w:rPr>
                <w:rFonts w:hint="eastAsia" w:ascii="宋体" w:hAnsi="宋体" w:cs="宋体"/>
                <w:i w:val="0"/>
                <w:iCs w:val="0"/>
                <w:color w:val="000000"/>
                <w:kern w:val="0"/>
                <w:sz w:val="20"/>
                <w:szCs w:val="20"/>
                <w:highlight w:val="none"/>
                <w:u w:val="none"/>
                <w:lang w:val="en-US" w:eastAsia="zh-CN" w:bidi="ar"/>
              </w:rPr>
              <w:t>维修  时间</w:t>
            </w:r>
          </w:p>
        </w:tc>
        <w:tc>
          <w:tcPr>
            <w:tcW w:w="795" w:type="dxa"/>
            <w:vAlign w:val="center"/>
          </w:tcPr>
          <w:p>
            <w:pPr>
              <w:keepNext w:val="0"/>
              <w:keepLines w:val="0"/>
              <w:widowControl/>
              <w:suppressLineNumbers w:val="0"/>
              <w:jc w:val="center"/>
              <w:textAlignment w:val="center"/>
              <w:rPr>
                <w:b/>
                <w:sz w:val="24"/>
              </w:rPr>
            </w:pPr>
            <w:r>
              <w:rPr>
                <w:rFonts w:hint="eastAsia" w:ascii="宋体" w:hAnsi="宋体" w:cs="宋体"/>
                <w:i w:val="0"/>
                <w:iCs w:val="0"/>
                <w:color w:val="000000"/>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986" w:type="dxa"/>
            <w:vAlign w:val="center"/>
          </w:tcPr>
          <w:p>
            <w:pPr>
              <w:jc w:val="center"/>
              <w:rPr>
                <w:b/>
                <w:sz w:val="24"/>
              </w:rPr>
            </w:pPr>
          </w:p>
        </w:tc>
        <w:tc>
          <w:tcPr>
            <w:tcW w:w="761" w:type="dxa"/>
            <w:vAlign w:val="center"/>
          </w:tcPr>
          <w:p>
            <w:pPr>
              <w:rPr>
                <w:b/>
                <w:sz w:val="24"/>
              </w:rPr>
            </w:pPr>
          </w:p>
        </w:tc>
        <w:tc>
          <w:tcPr>
            <w:tcW w:w="1009" w:type="dxa"/>
            <w:vAlign w:val="center"/>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986" w:type="dxa"/>
            <w:vAlign w:val="center"/>
          </w:tcPr>
          <w:p>
            <w:pPr>
              <w:jc w:val="center"/>
              <w:rPr>
                <w:b/>
                <w:sz w:val="24"/>
              </w:rPr>
            </w:pPr>
          </w:p>
        </w:tc>
        <w:tc>
          <w:tcPr>
            <w:tcW w:w="761"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986" w:type="dxa"/>
            <w:vAlign w:val="center"/>
          </w:tcPr>
          <w:p>
            <w:pPr>
              <w:jc w:val="center"/>
              <w:rPr>
                <w:b/>
                <w:sz w:val="24"/>
              </w:rPr>
            </w:pPr>
          </w:p>
        </w:tc>
        <w:tc>
          <w:tcPr>
            <w:tcW w:w="761"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986" w:type="dxa"/>
            <w:vAlign w:val="center"/>
          </w:tcPr>
          <w:p>
            <w:pPr>
              <w:jc w:val="center"/>
              <w:rPr>
                <w:b/>
                <w:sz w:val="24"/>
              </w:rPr>
            </w:pPr>
          </w:p>
        </w:tc>
        <w:tc>
          <w:tcPr>
            <w:tcW w:w="761"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986" w:type="dxa"/>
            <w:vAlign w:val="center"/>
          </w:tcPr>
          <w:p>
            <w:pPr>
              <w:jc w:val="center"/>
              <w:rPr>
                <w:b/>
                <w:sz w:val="24"/>
              </w:rPr>
            </w:pPr>
          </w:p>
        </w:tc>
        <w:tc>
          <w:tcPr>
            <w:tcW w:w="761"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986" w:type="dxa"/>
            <w:vAlign w:val="center"/>
          </w:tcPr>
          <w:p>
            <w:pPr>
              <w:jc w:val="center"/>
              <w:rPr>
                <w:b/>
                <w:sz w:val="24"/>
              </w:rPr>
            </w:pPr>
          </w:p>
        </w:tc>
        <w:tc>
          <w:tcPr>
            <w:tcW w:w="761"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986" w:type="dxa"/>
            <w:vAlign w:val="center"/>
          </w:tcPr>
          <w:p>
            <w:pPr>
              <w:jc w:val="center"/>
              <w:rPr>
                <w:b/>
                <w:sz w:val="24"/>
              </w:rPr>
            </w:pPr>
          </w:p>
        </w:tc>
        <w:tc>
          <w:tcPr>
            <w:tcW w:w="761" w:type="dxa"/>
          </w:tcPr>
          <w:p>
            <w:pPr>
              <w:rPr>
                <w:b/>
                <w:sz w:val="24"/>
              </w:rPr>
            </w:pPr>
          </w:p>
        </w:tc>
        <w:tc>
          <w:tcPr>
            <w:tcW w:w="1009" w:type="dxa"/>
          </w:tcPr>
          <w:p>
            <w:pPr>
              <w:rPr>
                <w:b/>
                <w:sz w:val="24"/>
              </w:rPr>
            </w:pPr>
          </w:p>
        </w:tc>
        <w:tc>
          <w:tcPr>
            <w:tcW w:w="795"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rPr>
          <w:rFonts w:hint="eastAsia"/>
          <w:highlight w:val="none"/>
        </w:rPr>
      </w:pPr>
    </w:p>
    <w:p>
      <w:pPr>
        <w:pStyle w:val="2"/>
        <w:rPr>
          <w:rFonts w:hint="eastAsia"/>
          <w:highlight w:val="none"/>
        </w:rPr>
      </w:pPr>
    </w:p>
    <w:p>
      <w:pPr>
        <w:rPr>
          <w:rFonts w:hint="eastAsia"/>
          <w:highlight w:val="none"/>
        </w:rPr>
      </w:pPr>
    </w:p>
    <w:p>
      <w:pPr>
        <w:bidi w:val="0"/>
        <w:rPr>
          <w:rFonts w:hint="default"/>
          <w:lang w:val="en-US" w:eastAsia="zh-CN"/>
        </w:rPr>
      </w:pPr>
    </w:p>
    <w:p>
      <w:pPr>
        <w:bidi w:val="0"/>
        <w:rPr>
          <w:rFonts w:hint="eastAsia"/>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17</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507B3"/>
    <w:multiLevelType w:val="singleLevel"/>
    <w:tmpl w:val="106507B3"/>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A1AD8"/>
    <w:rsid w:val="003A475B"/>
    <w:rsid w:val="00412C50"/>
    <w:rsid w:val="004F0999"/>
    <w:rsid w:val="00543C0A"/>
    <w:rsid w:val="00585EC4"/>
    <w:rsid w:val="00625D50"/>
    <w:rsid w:val="006E3031"/>
    <w:rsid w:val="00712C58"/>
    <w:rsid w:val="007A63AD"/>
    <w:rsid w:val="009B6BA7"/>
    <w:rsid w:val="00A10E30"/>
    <w:rsid w:val="00B2182E"/>
    <w:rsid w:val="00BF3511"/>
    <w:rsid w:val="00C86BEB"/>
    <w:rsid w:val="00D365FF"/>
    <w:rsid w:val="00E52085"/>
    <w:rsid w:val="00F14ABB"/>
    <w:rsid w:val="01595E0B"/>
    <w:rsid w:val="01976EAE"/>
    <w:rsid w:val="01AB1DE1"/>
    <w:rsid w:val="03B13C82"/>
    <w:rsid w:val="053F56AA"/>
    <w:rsid w:val="05533181"/>
    <w:rsid w:val="056A3F6E"/>
    <w:rsid w:val="05CF5B0E"/>
    <w:rsid w:val="06191FF2"/>
    <w:rsid w:val="07652792"/>
    <w:rsid w:val="096E6E51"/>
    <w:rsid w:val="0B324D34"/>
    <w:rsid w:val="0C021824"/>
    <w:rsid w:val="0C415E00"/>
    <w:rsid w:val="0C593553"/>
    <w:rsid w:val="0E063EDC"/>
    <w:rsid w:val="0EEA4AEA"/>
    <w:rsid w:val="11B269CE"/>
    <w:rsid w:val="11EA166F"/>
    <w:rsid w:val="12F6691D"/>
    <w:rsid w:val="131A4BB1"/>
    <w:rsid w:val="134F66CB"/>
    <w:rsid w:val="138619BF"/>
    <w:rsid w:val="13E7048F"/>
    <w:rsid w:val="14450C04"/>
    <w:rsid w:val="186B6750"/>
    <w:rsid w:val="18F33575"/>
    <w:rsid w:val="1A181E32"/>
    <w:rsid w:val="1BEE177A"/>
    <w:rsid w:val="1C052F0C"/>
    <w:rsid w:val="1D362361"/>
    <w:rsid w:val="1E8828BA"/>
    <w:rsid w:val="20C5313C"/>
    <w:rsid w:val="21F12C12"/>
    <w:rsid w:val="24311D9D"/>
    <w:rsid w:val="25D636F2"/>
    <w:rsid w:val="265706A2"/>
    <w:rsid w:val="26D06F67"/>
    <w:rsid w:val="27202513"/>
    <w:rsid w:val="28073E16"/>
    <w:rsid w:val="29F42FB5"/>
    <w:rsid w:val="2BD81883"/>
    <w:rsid w:val="2D8078B6"/>
    <w:rsid w:val="2F297195"/>
    <w:rsid w:val="2FB76115"/>
    <w:rsid w:val="2FE9580A"/>
    <w:rsid w:val="30726A6F"/>
    <w:rsid w:val="32451540"/>
    <w:rsid w:val="35352E7D"/>
    <w:rsid w:val="37371BC1"/>
    <w:rsid w:val="388F3C25"/>
    <w:rsid w:val="38FB798C"/>
    <w:rsid w:val="3A2C382D"/>
    <w:rsid w:val="3A6964D9"/>
    <w:rsid w:val="3A6C7EBE"/>
    <w:rsid w:val="3BCC3394"/>
    <w:rsid w:val="3DE23256"/>
    <w:rsid w:val="3F0D5A08"/>
    <w:rsid w:val="41077B0E"/>
    <w:rsid w:val="41A73354"/>
    <w:rsid w:val="436108C8"/>
    <w:rsid w:val="445A74E8"/>
    <w:rsid w:val="45DA763D"/>
    <w:rsid w:val="464934BD"/>
    <w:rsid w:val="46DD5786"/>
    <w:rsid w:val="48F450CA"/>
    <w:rsid w:val="49A26324"/>
    <w:rsid w:val="4A5A64A9"/>
    <w:rsid w:val="4A8B25E5"/>
    <w:rsid w:val="4AD92D3D"/>
    <w:rsid w:val="4C512510"/>
    <w:rsid w:val="4D7B4276"/>
    <w:rsid w:val="4EF505BD"/>
    <w:rsid w:val="4EF86F02"/>
    <w:rsid w:val="4FE94FB3"/>
    <w:rsid w:val="4FF817AC"/>
    <w:rsid w:val="56110A9C"/>
    <w:rsid w:val="56893956"/>
    <w:rsid w:val="57F929D2"/>
    <w:rsid w:val="595815A3"/>
    <w:rsid w:val="5F5526B2"/>
    <w:rsid w:val="5F902129"/>
    <w:rsid w:val="5FDA5503"/>
    <w:rsid w:val="61B02386"/>
    <w:rsid w:val="631711E9"/>
    <w:rsid w:val="636F5DAB"/>
    <w:rsid w:val="6410689C"/>
    <w:rsid w:val="65243E3D"/>
    <w:rsid w:val="65DF7A60"/>
    <w:rsid w:val="668822FF"/>
    <w:rsid w:val="687D7FCC"/>
    <w:rsid w:val="68E52113"/>
    <w:rsid w:val="691B6509"/>
    <w:rsid w:val="6A732015"/>
    <w:rsid w:val="6DAF6368"/>
    <w:rsid w:val="6E03596D"/>
    <w:rsid w:val="6E8E3EB5"/>
    <w:rsid w:val="6E990D62"/>
    <w:rsid w:val="70524843"/>
    <w:rsid w:val="70780E28"/>
    <w:rsid w:val="71D92806"/>
    <w:rsid w:val="73692FC1"/>
    <w:rsid w:val="740F42BD"/>
    <w:rsid w:val="741303AC"/>
    <w:rsid w:val="755132E5"/>
    <w:rsid w:val="774B36C7"/>
    <w:rsid w:val="78CD346B"/>
    <w:rsid w:val="7AB16732"/>
    <w:rsid w:val="7ACF47A6"/>
    <w:rsid w:val="7C0C4897"/>
    <w:rsid w:val="7C2036F4"/>
    <w:rsid w:val="7DE9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outlineLvl w:val="1"/>
    </w:pPr>
    <w:rPr>
      <w:rFonts w:ascii="Arial" w:hAnsi="Arial" w:eastAsia="黑体" w:cs="Times New Roman"/>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line="360" w:lineRule="auto"/>
      <w:jc w:val="center"/>
      <w:outlineLvl w:val="0"/>
    </w:pPr>
    <w:rPr>
      <w:rFonts w:ascii="Calibri" w:hAnsi="Calibri"/>
      <w:b/>
      <w:bCs/>
      <w:sz w:val="32"/>
      <w:szCs w:val="32"/>
    </w:r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ascii="幼圆" w:eastAsia="幼圆"/>
      <w:b/>
      <w:sz w:val="4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0"/>
    <w:rPr>
      <w:kern w:val="2"/>
      <w:sz w:val="18"/>
      <w:szCs w:val="18"/>
    </w:rPr>
  </w:style>
  <w:style w:type="character" w:customStyle="1" w:styleId="14">
    <w:name w:val="标题 Char"/>
    <w:basedOn w:val="11"/>
    <w:link w:val="2"/>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jc w:val="left"/>
    </w:pPr>
  </w:style>
  <w:style w:type="paragraph" w:customStyle="1" w:styleId="17">
    <w:name w:val="列出段落1"/>
    <w:basedOn w:val="1"/>
    <w:qFormat/>
    <w:uiPriority w:val="99"/>
    <w:pPr>
      <w:ind w:firstLine="420" w:firstLineChars="200"/>
    </w:pPr>
  </w:style>
  <w:style w:type="character" w:customStyle="1" w:styleId="18">
    <w:name w:val="font71"/>
    <w:basedOn w:val="11"/>
    <w:qFormat/>
    <w:uiPriority w:val="0"/>
    <w:rPr>
      <w:rFonts w:hint="eastAsia" w:ascii="宋体" w:hAnsi="宋体" w:eastAsia="宋体" w:cs="宋体"/>
      <w:color w:val="000000"/>
      <w:sz w:val="20"/>
      <w:szCs w:val="20"/>
      <w:u w:val="none"/>
    </w:rPr>
  </w:style>
  <w:style w:type="character" w:customStyle="1" w:styleId="19">
    <w:name w:val="font21"/>
    <w:basedOn w:val="11"/>
    <w:qFormat/>
    <w:uiPriority w:val="0"/>
    <w:rPr>
      <w:rFonts w:hint="eastAsia" w:ascii="微软雅黑" w:hAnsi="微软雅黑" w:eastAsia="微软雅黑" w:cs="微软雅黑"/>
      <w:color w:val="000000"/>
      <w:sz w:val="20"/>
      <w:szCs w:val="20"/>
      <w:u w:val="none"/>
    </w:rPr>
  </w:style>
  <w:style w:type="character" w:customStyle="1" w:styleId="20">
    <w:name w:val="font41"/>
    <w:basedOn w:val="11"/>
    <w:qFormat/>
    <w:uiPriority w:val="0"/>
    <w:rPr>
      <w:rFonts w:hint="default" w:ascii="Tahoma" w:hAnsi="Tahoma" w:eastAsia="Tahoma" w:cs="Tahoma"/>
      <w:color w:val="000000"/>
      <w:sz w:val="20"/>
      <w:szCs w:val="20"/>
      <w:u w:val="none"/>
    </w:rPr>
  </w:style>
  <w:style w:type="character" w:customStyle="1" w:styleId="21">
    <w:name w:val="font51"/>
    <w:basedOn w:val="11"/>
    <w:qFormat/>
    <w:uiPriority w:val="0"/>
    <w:rPr>
      <w:rFonts w:hint="eastAsia" w:ascii="宋体" w:hAnsi="宋体" w:eastAsia="宋体" w:cs="宋体"/>
      <w:color w:val="000000"/>
      <w:sz w:val="20"/>
      <w:szCs w:val="20"/>
      <w:u w:val="none"/>
    </w:rPr>
  </w:style>
  <w:style w:type="character" w:customStyle="1" w:styleId="22">
    <w:name w:val="font101"/>
    <w:basedOn w:val="11"/>
    <w:qFormat/>
    <w:uiPriority w:val="0"/>
    <w:rPr>
      <w:rFonts w:hint="eastAsia" w:ascii="宋体" w:hAnsi="宋体" w:eastAsia="宋体" w:cs="宋体"/>
      <w:color w:val="000000"/>
      <w:sz w:val="21"/>
      <w:szCs w:val="21"/>
      <w:u w:val="none"/>
    </w:rPr>
  </w:style>
  <w:style w:type="character" w:customStyle="1" w:styleId="23">
    <w:name w:val="font121"/>
    <w:basedOn w:val="11"/>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40</Pages>
  <Words>13319</Words>
  <Characters>15862</Characters>
  <Lines>55</Lines>
  <Paragraphs>15</Paragraphs>
  <TotalTime>111</TotalTime>
  <ScaleCrop>false</ScaleCrop>
  <LinksUpToDate>false</LinksUpToDate>
  <CharactersWithSpaces>16768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2022-03-24T07:05:00Z</cp:lastPrinted>
  <dcterms:modified xsi:type="dcterms:W3CDTF">2022-11-09T07:37:50Z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A2CF89479C714FF1A95BF6D5981633F6</vt:lpwstr>
  </property>
</Properties>
</file>