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u w:val="single"/>
        </w:rPr>
        <w:t xml:space="preserve">  航站楼隔离围挡采购  </w:t>
      </w:r>
      <w:r>
        <w:rPr>
          <w:rFonts w:hint="eastAsia" w:ascii="方正小标宋_GBK" w:hAnsi="方正小标宋_GBK" w:eastAsia="方正小标宋_GBK" w:cs="方正小标宋_GBK"/>
          <w:sz w:val="44"/>
          <w:szCs w:val="44"/>
        </w:rPr>
        <w:t>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BX-2022-021</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航站楼管理部</w:t>
      </w:r>
    </w:p>
    <w:p>
      <w:pPr>
        <w:rPr>
          <w:rFonts w:hint="eastAsia" w:ascii="方正小标宋_GBK" w:hAnsi="方正小标宋_GBK" w:eastAsia="方正小标宋_GBK" w:cs="方正小标宋_GBK"/>
          <w:b/>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二〇二二年</w:t>
      </w:r>
      <w:r>
        <w:rPr>
          <w:rFonts w:hint="eastAsia" w:ascii="方正小标宋_GBK" w:hAnsi="方正小标宋_GBK" w:eastAsia="方正小标宋_GBK" w:cs="方正小标宋_GBK"/>
          <w:color w:val="000000"/>
          <w:sz w:val="32"/>
          <w:szCs w:val="32"/>
          <w:lang w:eastAsia="zh-CN"/>
        </w:rPr>
        <w:t>十</w:t>
      </w:r>
      <w:r>
        <w:rPr>
          <w:rFonts w:hint="eastAsia" w:ascii="方正小标宋_GBK" w:hAnsi="方正小标宋_GBK" w:eastAsia="方正小标宋_GBK" w:cs="方正小标宋_GBK"/>
          <w:color w:val="000000"/>
          <w:sz w:val="32"/>
          <w:szCs w:val="32"/>
        </w:rPr>
        <w:t>月</w:t>
      </w:r>
    </w:p>
    <w:p>
      <w:pPr>
        <w:pStyle w:val="2"/>
        <w:ind w:firstLine="5301" w:firstLineChars="1200"/>
        <w:rPr>
          <w:rFonts w:hint="eastAsia"/>
        </w:rPr>
      </w:pPr>
    </w:p>
    <w:p>
      <w:pPr>
        <w:adjustRightInd w:val="0"/>
        <w:snapToGrid w:val="0"/>
        <w:spacing w:line="360" w:lineRule="auto"/>
        <w:jc w:val="center"/>
        <w:rPr>
          <w:rFonts w:ascii="仿宋" w:hAnsi="仿宋" w:eastAsia="仿宋"/>
          <w:b/>
          <w:bCs/>
          <w:color w:val="000000"/>
          <w:sz w:val="44"/>
          <w:szCs w:val="44"/>
        </w:rPr>
      </w:pPr>
      <w:r>
        <w:rPr>
          <w:rFonts w:hint="eastAsia" w:ascii="仿宋" w:hAnsi="仿宋" w:eastAsia="仿宋"/>
          <w:b/>
          <w:bCs/>
          <w:color w:val="000000"/>
          <w:sz w:val="44"/>
          <w:szCs w:val="44"/>
        </w:rPr>
        <w:t>目     录</w:t>
      </w:r>
    </w:p>
    <w:p>
      <w:pPr>
        <w:spacing w:line="360" w:lineRule="auto"/>
        <w:rPr>
          <w:rFonts w:hint="eastAsia" w:ascii="仿宋" w:hAnsi="仿宋" w:eastAsia="仿宋"/>
          <w:b/>
          <w:bCs/>
          <w:sz w:val="32"/>
          <w:szCs w:val="32"/>
        </w:rPr>
      </w:pPr>
      <w:r>
        <w:rPr>
          <w:rFonts w:hint="eastAsia" w:ascii="仿宋" w:hAnsi="仿宋" w:eastAsia="仿宋"/>
          <w:b/>
          <w:bCs/>
          <w:sz w:val="32"/>
          <w:szCs w:val="32"/>
        </w:rPr>
        <w:t xml:space="preserve"> </w:t>
      </w:r>
    </w:p>
    <w:p>
      <w:pPr>
        <w:spacing w:line="360" w:lineRule="auto"/>
        <w:rPr>
          <w:rFonts w:hint="eastAsia" w:ascii="仿宋" w:hAnsi="仿宋" w:eastAsia="仿宋"/>
          <w:b/>
          <w:bCs/>
          <w:sz w:val="32"/>
          <w:szCs w:val="32"/>
        </w:rPr>
      </w:pPr>
      <w:r>
        <w:rPr>
          <w:rFonts w:hint="eastAsia" w:ascii="仿宋" w:hAnsi="仿宋" w:eastAsia="仿宋"/>
          <w:b/>
          <w:bCs/>
          <w:sz w:val="32"/>
          <w:szCs w:val="32"/>
        </w:rPr>
        <w:t>第一章  比选文件（有效最低价法）</w:t>
      </w:r>
    </w:p>
    <w:p>
      <w:pPr>
        <w:spacing w:line="360" w:lineRule="auto"/>
        <w:rPr>
          <w:rFonts w:hint="eastAsia" w:ascii="仿宋" w:hAnsi="仿宋" w:eastAsia="仿宋"/>
          <w:b/>
          <w:bCs/>
          <w:sz w:val="32"/>
          <w:szCs w:val="32"/>
        </w:rPr>
      </w:pPr>
      <w:r>
        <w:rPr>
          <w:rFonts w:hint="eastAsia" w:ascii="仿宋" w:hAnsi="仿宋" w:eastAsia="仿宋"/>
          <w:b/>
          <w:bCs/>
          <w:sz w:val="32"/>
          <w:szCs w:val="32"/>
        </w:rPr>
        <w:t xml:space="preserve">第二章  比选要求附件 </w:t>
      </w:r>
    </w:p>
    <w:p>
      <w:pPr>
        <w:spacing w:line="360" w:lineRule="auto"/>
        <w:rPr>
          <w:rFonts w:hint="eastAsia" w:ascii="仿宋" w:hAnsi="仿宋" w:eastAsia="仿宋"/>
          <w:b/>
          <w:bCs/>
          <w:sz w:val="32"/>
          <w:szCs w:val="32"/>
        </w:rPr>
      </w:pPr>
      <w:r>
        <w:rPr>
          <w:rFonts w:hint="eastAsia" w:ascii="仿宋" w:hAnsi="仿宋" w:eastAsia="仿宋"/>
          <w:b/>
          <w:bCs/>
          <w:sz w:val="32"/>
          <w:szCs w:val="32"/>
        </w:rPr>
        <w:t>第三章  合同书格式</w:t>
      </w:r>
    </w:p>
    <w:p>
      <w:pPr>
        <w:spacing w:line="360" w:lineRule="auto"/>
        <w:rPr>
          <w:rFonts w:hint="eastAsia" w:ascii="仿宋" w:hAnsi="仿宋" w:eastAsia="仿宋"/>
          <w:b/>
          <w:bCs/>
          <w:sz w:val="32"/>
          <w:szCs w:val="32"/>
        </w:rPr>
      </w:pPr>
      <w:r>
        <w:rPr>
          <w:rFonts w:hint="eastAsia" w:ascii="仿宋" w:hAnsi="仿宋" w:eastAsia="仿宋"/>
          <w:b/>
          <w:bCs/>
          <w:sz w:val="32"/>
          <w:szCs w:val="32"/>
        </w:rPr>
        <w:t>第四章  技术参数及工艺</w:t>
      </w: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120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ascii="幼圆" w:hAnsi="Calibri" w:eastAsia="幼圆" w:cs="Times New Roman"/>
          <w:color w:val="auto"/>
          <w:sz w:val="44"/>
          <w:szCs w:val="24"/>
        </w:rPr>
      </w:pPr>
    </w:p>
    <w:p>
      <w:pPr>
        <w:rPr>
          <w:rFonts w:ascii="方正小标宋简体" w:eastAsia="方正小标宋简体"/>
          <w:color w:val="000000"/>
          <w:sz w:val="32"/>
          <w:szCs w:val="32"/>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rPr>
        <w:t xml:space="preserve"> 航站楼隔离围挡 </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1.1项目名称：航站楼隔离围挡采购项目</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1.2项目</w:t>
      </w:r>
      <w:r>
        <w:rPr>
          <w:rFonts w:hint="eastAsia" w:ascii="仿宋" w:hAnsi="仿宋" w:eastAsia="仿宋" w:cs="仿宋"/>
          <w:sz w:val="28"/>
          <w:szCs w:val="28"/>
        </w:rPr>
        <w:t>概述：需在T3A航站楼设置中转旅客休息区及现场核酸检测点，拟采购一批封闭性较强的隔离围挡替换现有的隔离栏杆。</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2.1项目地点：重庆江北国际机场T3A航站楼</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2.2质保期限：不锈钢隔离护栏提供一年质保期限。（自到货并验收合格之日起算。）</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2.3项目要求：隔离围挡</w:t>
      </w:r>
      <w:r>
        <w:rPr>
          <w:rFonts w:hint="eastAsia" w:ascii="仿宋" w:hAnsi="仿宋" w:eastAsia="仿宋" w:cs="仿宋"/>
          <w:kern w:val="0"/>
          <w:sz w:val="28"/>
          <w:szCs w:val="28"/>
        </w:rPr>
        <w:t>的设计、制作、安装、维护等工作。（采购人可根据实际状况适当调整部分施工内容，响应人应予以支持配合，本项目总费用不变。）</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3.2 企业所持的有效营业执照须包含围挡、护栏制作、销售、租赁等任一项。（注：并提供有效的营业执照副本复印件并加盖鲜章。）</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比选响应人未被“中国执行信息公开网”网站（zxgk.court.gov.cn）列为失信被执行人，未被“信用中国”网站（www.creditchina.gov.cn）列入严重失信主体名单。在响应文件资格审查资料中提供相关查询截图并加盖比选响应人公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3.4法定代表人为同一个人的两个及两个以上法人，母公司、全资子公司及其控股公司，以及其他形式有管理关系的响应人，都不得参与同一比选项目。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3.5本项目不接受联合体投标，不得转包、分包。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widowControl/>
        <w:spacing w:line="46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31</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日   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rPr>
        <w:t xml:space="preserve">      @cqa.com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4.3.1比选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000000"/>
          <w:kern w:val="0"/>
          <w:sz w:val="28"/>
          <w:szCs w:val="28"/>
          <w:lang w:val="en-US" w:eastAsia="zh-CN"/>
        </w:rPr>
        <w:t>2022</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11</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日</w:t>
      </w:r>
      <w:r>
        <w:rPr>
          <w:rFonts w:hint="eastAsia" w:ascii="仿宋" w:hAnsi="仿宋" w:eastAsia="仿宋" w:cs="仿宋"/>
          <w:color w:val="000000"/>
          <w:kern w:val="0"/>
          <w:sz w:val="28"/>
          <w:szCs w:val="28"/>
          <w:lang w:val="en-US" w:eastAsia="zh-CN"/>
        </w:rPr>
        <w:t>9时至10时</w:t>
      </w:r>
      <w:r>
        <w:rPr>
          <w:rFonts w:hint="eastAsia" w:ascii="仿宋" w:hAnsi="仿宋" w:eastAsia="仿宋" w:cs="仿宋"/>
          <w:color w:val="000000"/>
          <w:kern w:val="0"/>
          <w:sz w:val="28"/>
          <w:szCs w:val="28"/>
        </w:rPr>
        <w:t>送</w:t>
      </w:r>
      <w:r>
        <w:rPr>
          <w:rFonts w:hint="eastAsia" w:ascii="仿宋" w:hAnsi="仿宋" w:eastAsia="仿宋" w:cs="仿宋"/>
          <w:kern w:val="0"/>
          <w:sz w:val="28"/>
          <w:szCs w:val="28"/>
        </w:rPr>
        <w:t>到重庆江北国际机场T3A航站楼31117办公室（东区派出所旁），过期不予受理。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时在</w:t>
      </w:r>
      <w:r>
        <w:rPr>
          <w:rFonts w:hint="eastAsia" w:ascii="仿宋" w:hAnsi="仿宋" w:eastAsia="仿宋" w:cs="仿宋"/>
          <w:kern w:val="0"/>
          <w:sz w:val="28"/>
          <w:szCs w:val="28"/>
        </w:rPr>
        <w:t>重庆江北国际机场T3A航站楼31117办公室（东区派出所旁）</w:t>
      </w:r>
      <w:r>
        <w:rPr>
          <w:rFonts w:hint="eastAsia" w:ascii="仿宋" w:hAnsi="仿宋" w:eastAsia="仿宋" w:cs="仿宋"/>
          <w:sz w:val="28"/>
          <w:szCs w:val="28"/>
        </w:rPr>
        <w:t>对本项目进行比选，各响应人须参加。</w:t>
      </w:r>
      <w:r>
        <w:rPr>
          <w:rFonts w:hint="eastAsia" w:ascii="仿宋" w:hAnsi="仿宋" w:eastAsia="仿宋" w:cs="仿宋"/>
          <w:kern w:val="0"/>
          <w:sz w:val="28"/>
          <w:szCs w:val="28"/>
        </w:rPr>
        <w:t>注：比选开始前，各比选响应人须在重庆江北国际机场T3A航站楼31117室等候通知具体比选地点。</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4.3.4各潜在比选响应人应主动佩戴口罩，并积极配合工作人员查验健康码及行程码，进行实名登记和体温检测。各比选响应人需提供48小时内的核酸检测阴性报告（从开标时间算起），否则采购人将拒收比选响应文件。</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color w:val="000000"/>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rPr>
        <w:t>报价应包括：隔离围挡</w:t>
      </w:r>
      <w:r>
        <w:rPr>
          <w:rFonts w:hint="eastAsia" w:ascii="仿宋" w:hAnsi="仿宋" w:eastAsia="仿宋" w:cs="仿宋"/>
          <w:kern w:val="0"/>
          <w:sz w:val="28"/>
          <w:szCs w:val="28"/>
        </w:rPr>
        <w:t>的设计、制作、安装、维护及涉及到的其他所有费用，本项目报价为包干价，不再另行增加费用。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rPr>
        <w:t>人民币4.53097万元（不含税）</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pStyle w:val="13"/>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如果因投标人原因造成单价与总价不一致的，按有利于招标人原则调整单价及总价，中标人必须无条件接受，否则按中标人违约处理。</w:t>
      </w:r>
    </w:p>
    <w:p>
      <w:pPr>
        <w:spacing w:line="360" w:lineRule="auto"/>
        <w:ind w:firstLine="560" w:firstLineChars="200"/>
        <w:rPr>
          <w:rFonts w:hint="eastAsia"/>
        </w:rPr>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highlight w:val="none"/>
        </w:rPr>
        <w:t>比选规则</w:t>
      </w:r>
      <w:r>
        <w:rPr>
          <w:rFonts w:hint="eastAsia" w:ascii="仿宋" w:hAnsi="仿宋" w:eastAsia="仿宋" w:cs="仿宋"/>
          <w:color w:val="000000"/>
          <w:kern w:val="0"/>
          <w:sz w:val="28"/>
          <w:szCs w:val="28"/>
          <w:highlight w:val="none"/>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rPr>
        <w:t>6.3项目重新比选时，经评审有有效比选响应人的，应当按规定程序确定成交候选人，无有效比选响应人的，由采购人出具书面说明告知项目单位，由项目单位另行研究。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比选响应保证金：金额为人民币</w:t>
      </w:r>
      <w:r>
        <w:rPr>
          <w:rFonts w:hint="eastAsia" w:ascii="仿宋" w:hAnsi="仿宋" w:eastAsia="仿宋" w:cs="仿宋"/>
          <w:color w:val="000000"/>
          <w:kern w:val="0"/>
          <w:sz w:val="28"/>
          <w:szCs w:val="28"/>
          <w:u w:val="single"/>
        </w:rPr>
        <w:t xml:space="preserve"> 壹仟</w:t>
      </w:r>
      <w:r>
        <w:rPr>
          <w:rFonts w:hint="eastAsia" w:ascii="仿宋" w:hAnsi="仿宋" w:eastAsia="仿宋" w:cs="仿宋"/>
          <w:color w:val="000000"/>
          <w:kern w:val="0"/>
          <w:sz w:val="28"/>
          <w:szCs w:val="28"/>
        </w:rPr>
        <w:t>元整。</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color w:val="000000"/>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7.1.3 项目比选响应保证金的退还：成交候选人以外的项目比选响应保证金在成交结果公示期结束且无异议后，</w:t>
      </w:r>
      <w:r>
        <w:rPr>
          <w:rFonts w:hint="eastAsia" w:ascii="仿宋" w:hAnsi="仿宋" w:eastAsia="仿宋" w:cs="仿宋"/>
          <w:b/>
          <w:color w:val="000000"/>
          <w:kern w:val="0"/>
          <w:sz w:val="28"/>
          <w:szCs w:val="28"/>
        </w:rPr>
        <w:t>比选响应人开具收据（加盖比选响应人财务专用章），附比选响应保证金退还申请（加盖公章）</w:t>
      </w:r>
      <w:r>
        <w:rPr>
          <w:rFonts w:hint="eastAsia" w:ascii="仿宋" w:hAnsi="仿宋" w:eastAsia="仿宋" w:cs="仿宋"/>
          <w:color w:val="000000"/>
          <w:kern w:val="0"/>
          <w:sz w:val="28"/>
          <w:szCs w:val="28"/>
        </w:rPr>
        <w:t>一并递交采购部门，采购部门凭借该收据根据相关规定在20个工作日内将项目比选响应保证金以银行转账方式退还至比选响应人，该项目比选响应保证金递交期间不计利息。</w:t>
      </w:r>
      <w:r>
        <w:rPr>
          <w:rFonts w:hint="eastAsia" w:ascii="仿宋" w:hAnsi="仿宋" w:eastAsia="仿宋" w:cs="仿宋"/>
          <w:color w:val="000000"/>
          <w:sz w:val="28"/>
          <w:szCs w:val="28"/>
        </w:rPr>
        <w:t>成交的比选响应人交纳的比选响应保证金将自动转为</w:t>
      </w:r>
      <w:r>
        <w:rPr>
          <w:rFonts w:hint="eastAsia" w:ascii="仿宋" w:hAnsi="仿宋" w:eastAsia="仿宋" w:cs="仿宋"/>
          <w:sz w:val="28"/>
          <w:szCs w:val="28"/>
        </w:rPr>
        <w:t>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履约保证金为合同总金额（含税）的</w:t>
      </w:r>
      <w:r>
        <w:rPr>
          <w:rFonts w:hint="eastAsia" w:ascii="仿宋" w:hAnsi="仿宋" w:eastAsia="仿宋" w:cs="仿宋"/>
          <w:sz w:val="28"/>
          <w:szCs w:val="28"/>
          <w:u w:val="single"/>
        </w:rPr>
        <w:t xml:space="preserve">  10  %</w:t>
      </w:r>
      <w:r>
        <w:rPr>
          <w:rFonts w:hint="eastAsia" w:ascii="仿宋" w:hAnsi="仿宋" w:eastAsia="仿宋" w:cs="仿宋"/>
          <w:sz w:val="28"/>
          <w:szCs w:val="28"/>
        </w:rPr>
        <w:t>，在收到成交通知书10日内且在合同签订前缴齐，履约结束后30个工作日内一次性退还（不计利息）。</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jc w:val="left"/>
        <w:rPr>
          <w:rFonts w:ascii="仿宋" w:hAnsi="仿宋" w:eastAsia="仿宋" w:cs="仿宋"/>
          <w:color w:val="FF0000"/>
          <w:sz w:val="28"/>
          <w:szCs w:val="28"/>
        </w:rPr>
      </w:pPr>
      <w:r>
        <w:rPr>
          <w:rFonts w:hint="eastAsia" w:ascii="仿宋" w:hAnsi="仿宋" w:eastAsia="仿宋" w:cs="仿宋"/>
          <w:color w:val="000000"/>
          <w:sz w:val="28"/>
          <w:szCs w:val="28"/>
        </w:rPr>
        <w:t xml:space="preserve">8.1 </w:t>
      </w:r>
      <w:r>
        <w:rPr>
          <w:rFonts w:hint="eastAsia" w:ascii="仿宋" w:hAnsi="仿宋" w:eastAsia="仿宋" w:cs="仿宋"/>
          <w:sz w:val="28"/>
          <w:szCs w:val="28"/>
          <w:u w:val="single"/>
        </w:rPr>
        <w:t>项目完成后验收合格后20个工作日内支付97%项目款。质保期结束后无质量问题后支付剩下3%的项目款。</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8.4如税率发生国家法规调整，折算为不含税价后以新适用税率结算。</w:t>
      </w:r>
    </w:p>
    <w:p>
      <w:pPr>
        <w:spacing w:line="46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九、工期/服务期/到货时间</w:t>
      </w:r>
    </w:p>
    <w:p>
      <w:pPr>
        <w:pStyle w:val="2"/>
        <w:ind w:firstLine="560" w:firstLineChars="200"/>
        <w:jc w:val="both"/>
        <w:rPr>
          <w:rFonts w:hint="eastAsia" w:ascii="仿宋" w:hAnsi="仿宋" w:eastAsia="仿宋" w:cs="仿宋"/>
          <w:b w:val="0"/>
          <w:sz w:val="28"/>
          <w:szCs w:val="28"/>
        </w:rPr>
      </w:pPr>
      <w:r>
        <w:rPr>
          <w:rFonts w:hint="eastAsia" w:ascii="仿宋" w:hAnsi="仿宋" w:eastAsia="仿宋" w:cs="仿宋"/>
          <w:b w:val="0"/>
          <w:sz w:val="28"/>
          <w:szCs w:val="28"/>
        </w:rPr>
        <w:t>9.1到货时间：自合同签订之日起30天</w:t>
      </w:r>
    </w:p>
    <w:p>
      <w:pPr>
        <w:pStyle w:val="2"/>
        <w:ind w:firstLine="560" w:firstLineChars="200"/>
        <w:jc w:val="both"/>
        <w:rPr>
          <w:rFonts w:hint="eastAsia" w:ascii="仿宋" w:hAnsi="仿宋" w:eastAsia="仿宋" w:cs="仿宋"/>
          <w:color w:val="000000"/>
          <w:sz w:val="28"/>
          <w:szCs w:val="28"/>
        </w:rPr>
      </w:pPr>
      <w:r>
        <w:rPr>
          <w:rFonts w:hint="eastAsia" w:ascii="仿宋" w:hAnsi="仿宋" w:eastAsia="仿宋" w:cs="仿宋"/>
          <w:b w:val="0"/>
          <w:sz w:val="28"/>
          <w:szCs w:val="28"/>
        </w:rPr>
        <w:t>9.2质保期：1年</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lang w:val="zh-CN"/>
        </w:rPr>
        <w:t>内容，报价应包括</w:t>
      </w:r>
      <w:r>
        <w:rPr>
          <w:rFonts w:hint="eastAsia" w:ascii="仿宋" w:hAnsi="仿宋" w:eastAsia="仿宋" w:cs="仿宋"/>
          <w:sz w:val="28"/>
          <w:szCs w:val="28"/>
          <w:u w:val="single"/>
          <w:lang w:eastAsia="zh-CN"/>
        </w:rPr>
        <w:t>全部</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hint="eastAsia"/>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主要包括拟提供隔离围挡技术资料。技术部分应满足采购第四章隔离围挡采购技术参数及工艺要求。如果提供的隔离围挡与比选采购文件要求有偏离（包括正、负偏离），必须详细说明。须经比选采购小组评定和采购人许可，才能作为报价人实质性响应。</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1</w:t>
      </w:r>
      <w:r>
        <w:rPr>
          <w:rFonts w:hint="eastAsia" w:ascii="仿宋" w:hAnsi="仿宋" w:eastAsia="仿宋" w:cs="仿宋"/>
          <w:sz w:val="28"/>
          <w:szCs w:val="28"/>
          <w:lang w:val="zh-CN"/>
        </w:rPr>
        <w:t>.2.5 商务部分。主要包括营业执照（复印件，</w:t>
      </w:r>
      <w:r>
        <w:rPr>
          <w:rFonts w:hint="eastAsia" w:ascii="仿宋" w:hAnsi="仿宋" w:eastAsia="仿宋" w:cs="仿宋"/>
          <w:sz w:val="28"/>
          <w:szCs w:val="28"/>
        </w:rPr>
        <w:t>加盖鲜章</w:t>
      </w:r>
      <w:r>
        <w:rPr>
          <w:rFonts w:hint="eastAsia" w:ascii="仿宋" w:hAnsi="仿宋" w:eastAsia="仿宋" w:cs="仿宋"/>
          <w:sz w:val="28"/>
          <w:szCs w:val="28"/>
          <w:lang w:val="zh-CN"/>
        </w:rPr>
        <w:t>），</w:t>
      </w:r>
      <w:r>
        <w:rPr>
          <w:rFonts w:hint="eastAsia" w:ascii="仿宋" w:hAnsi="仿宋" w:eastAsia="仿宋" w:cs="仿宋"/>
          <w:sz w:val="28"/>
          <w:szCs w:val="28"/>
        </w:rPr>
        <w:t>法定代表人身份证明（原件盖鲜章并附法定代表人身份证复印件加盖鲜章），法定代表人授权委托书</w:t>
      </w:r>
      <w:r>
        <w:rPr>
          <w:rFonts w:hint="eastAsia" w:ascii="仿宋" w:hAnsi="仿宋" w:eastAsia="仿宋" w:cs="仿宋"/>
          <w:sz w:val="28"/>
          <w:szCs w:val="28"/>
          <w:lang w:val="zh-CN"/>
        </w:rPr>
        <w:t>（原件</w:t>
      </w:r>
      <w:r>
        <w:rPr>
          <w:rFonts w:hint="eastAsia" w:ascii="仿宋" w:hAnsi="仿宋" w:eastAsia="仿宋" w:cs="仿宋"/>
          <w:sz w:val="28"/>
          <w:szCs w:val="28"/>
        </w:rPr>
        <w:t>盖鲜章并附委托代理人身份证复印件加盖鲜章</w:t>
      </w:r>
      <w:r>
        <w:rPr>
          <w:rFonts w:hint="eastAsia" w:ascii="仿宋" w:hAnsi="仿宋" w:eastAsia="仿宋" w:cs="仿宋"/>
          <w:sz w:val="28"/>
          <w:szCs w:val="28"/>
          <w:lang w:val="zh-CN"/>
        </w:rPr>
        <w:t>）、材料的合格证明或检测报告以及服务承诺。</w:t>
      </w:r>
    </w:p>
    <w:p>
      <w:pPr>
        <w:pStyle w:val="12"/>
        <w:ind w:firstLine="560" w:firstLineChars="200"/>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份；电子比选响应文件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pStyle w:val="12"/>
        <w:numPr>
          <w:ilvl w:val="0"/>
          <w:numId w:val="1"/>
        </w:numPr>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比选须知</w:t>
      </w:r>
    </w:p>
    <w:p>
      <w:pPr>
        <w:pStyle w:val="12"/>
        <w:spacing w:line="460" w:lineRule="exact"/>
        <w:ind w:firstLine="560" w:firstLineChars="200"/>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rPr>
        <w:t>12.1比选响应人有以下情形之一的，采购人有权拒收比选响应人文件：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olor w:val="000000"/>
          <w:sz w:val="28"/>
          <w:szCs w:val="28"/>
        </w:rPr>
        <w:t>12.1.</w:t>
      </w:r>
      <w:r>
        <w:rPr>
          <w:rFonts w:hint="eastAsia" w:ascii="仿宋" w:hAnsi="仿宋" w:eastAsia="仿宋" w:cs="仿宋"/>
          <w:color w:val="000000"/>
          <w:sz w:val="28"/>
          <w:szCs w:val="28"/>
        </w:rPr>
        <w:t>1</w:t>
      </w:r>
      <w:r>
        <w:rPr>
          <w:rFonts w:hint="eastAsia" w:ascii="仿宋" w:hAnsi="仿宋" w:eastAsia="仿宋"/>
          <w:color w:val="000000"/>
          <w:sz w:val="28"/>
          <w:szCs w:val="28"/>
        </w:rPr>
        <w:t>未在递交比选响应文件时出示采购人计财部开具的</w:t>
      </w:r>
      <w:r>
        <w:rPr>
          <w:rFonts w:hint="eastAsia" w:ascii="仿宋" w:hAnsi="仿宋" w:eastAsia="仿宋" w:cs="仿宋"/>
          <w:color w:val="000000"/>
          <w:sz w:val="28"/>
          <w:szCs w:val="28"/>
        </w:rPr>
        <w:t>比选响应保证金收据的；</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12.1.2</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12.1.3</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十二、比选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注明“项目名称”“项目编号”“比选响应单位名称”，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十五、监督部门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航站楼管理部监督小组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电话：023-67155511</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十六、结果异议提交渠道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十七、</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 xml:space="preserve">联系人： </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电话：</w:t>
      </w:r>
    </w:p>
    <w:p>
      <w:pPr>
        <w:snapToGrid w:val="0"/>
        <w:spacing w:line="460" w:lineRule="exact"/>
        <w:ind w:firstLine="539"/>
        <w:rPr>
          <w:rFonts w:ascii="仿宋" w:hAnsi="仿宋" w:eastAsia="仿宋" w:cs="仿宋"/>
          <w:sz w:val="28"/>
          <w:szCs w:val="28"/>
        </w:rPr>
      </w:pPr>
      <w:r>
        <w:rPr>
          <w:rFonts w:hint="eastAsia" w:ascii="仿宋" w:hAnsi="仿宋" w:eastAsia="仿宋" w:cs="仿宋"/>
          <w:sz w:val="28"/>
          <w:szCs w:val="28"/>
        </w:rPr>
        <w:t>邮箱：</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传真：                                   </w:t>
      </w:r>
    </w:p>
    <w:p>
      <w:pPr>
        <w:spacing w:line="360" w:lineRule="auto"/>
        <w:ind w:firstLine="2640" w:firstLineChars="600"/>
        <w:rPr>
          <w:rFonts w:hint="eastAsia" w:ascii="仿宋" w:hAnsi="仿宋" w:eastAsia="仿宋"/>
          <w:b/>
          <w:bCs/>
          <w:sz w:val="32"/>
          <w:szCs w:val="32"/>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sz w:val="44"/>
          <w:szCs w:val="44"/>
        </w:rPr>
        <w:t>第二章 比选要求附件</w:t>
      </w:r>
    </w:p>
    <w:p>
      <w:pPr>
        <w:snapToGrid w:val="0"/>
        <w:spacing w:line="460" w:lineRule="exact"/>
        <w:rPr>
          <w:rFonts w:hint="eastAsia" w:ascii="方正小标宋_GBK" w:hAnsi="方正小标宋_GBK" w:eastAsia="方正小标宋_GBK" w:cs="方正小标宋_GBK"/>
          <w:color w:val="000000"/>
          <w:sz w:val="44"/>
          <w:szCs w:val="44"/>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盖单位鲜公章）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460" w:lineRule="exact"/>
        <w:jc w:val="left"/>
      </w:pPr>
    </w:p>
    <w:p>
      <w:pPr>
        <w:spacing w:after="120" w:afterLines="50"/>
        <w:ind w:right="964" w:firstLine="6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第三章  合同书格式</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5"/>
        <w:ind w:right="600" w:firstLine="480"/>
        <w:jc w:val="right"/>
        <w:rPr>
          <w:color w:val="auto"/>
        </w:rPr>
      </w:pPr>
      <w:r>
        <w:rPr>
          <w:rFonts w:hint="eastAsia" w:ascii="黑体" w:hAnsi="黑体" w:eastAsia="黑体"/>
          <w:color w:val="auto"/>
          <w:sz w:val="24"/>
        </w:rPr>
        <w:t>合同编号：</w:t>
      </w:r>
      <w:r>
        <w:rPr>
          <w:color w:val="auto"/>
        </w:rPr>
        <w:t xml:space="preserve">         </w:t>
      </w:r>
    </w:p>
    <w:bookmarkEnd w:id="0"/>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27"/>
        <w:ind w:firstLine="3604" w:firstLineChars="500"/>
        <w:rPr>
          <w:color w:val="auto"/>
        </w:rPr>
      </w:pPr>
      <w:bookmarkStart w:id="1" w:name="_Hlk18508344"/>
      <w:r>
        <w:rPr>
          <w:rFonts w:hint="eastAsia"/>
          <w:color w:val="auto"/>
        </w:rPr>
        <w:t>买卖合同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360" w:lineRule="auto"/>
        <w:rPr>
          <w:rFonts w:cs="宋体"/>
          <w:b/>
          <w:bCs/>
        </w:rPr>
        <w:sectPr>
          <w:headerReference r:id="rId4" w:type="default"/>
          <w:footerReference r:id="rId5" w:type="default"/>
          <w:pgSz w:w="12240" w:h="15840"/>
          <w:pgMar w:top="1440" w:right="1440" w:bottom="1440" w:left="1440" w:header="720" w:footer="720" w:gutter="0"/>
          <w:cols w:space="720" w:num="1"/>
        </w:sect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bookmarkEnd w:id="2"/>
    </w:p>
    <w:p>
      <w:pPr>
        <w:pStyle w:val="28"/>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1"/>
        <w:tabs>
          <w:tab w:val="right" w:leader="dot" w:pos="9350"/>
        </w:tabs>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7"/>
          <w:rFonts w:hint="eastAsia" w:ascii="仿宋_GB2312" w:eastAsia="仿宋_GB2312"/>
          <w:color w:val="auto"/>
          <w:sz w:val="30"/>
          <w:szCs w:val="30"/>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"_Toc25588101" </w:instrText>
      </w:r>
      <w:r>
        <w:fldChar w:fldCharType="separate"/>
      </w:r>
      <w:r>
        <w:rPr>
          <w:rStyle w:val="17"/>
          <w:rFonts w:hint="eastAsia" w:ascii="仿宋_GB2312" w:eastAsia="仿宋_GB2312"/>
          <w:color w:val="auto"/>
          <w:sz w:val="30"/>
          <w:szCs w:val="30"/>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"_Toc25588102" </w:instrText>
      </w:r>
      <w:r>
        <w:fldChar w:fldCharType="separate"/>
      </w:r>
      <w:r>
        <w:rPr>
          <w:rStyle w:val="17"/>
          <w:rFonts w:hint="eastAsia" w:ascii="仿宋_GB2312" w:eastAsia="仿宋_GB2312"/>
          <w:color w:val="auto"/>
          <w:sz w:val="30"/>
          <w:szCs w:val="30"/>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"_Toc25588103" </w:instrText>
      </w:r>
      <w:r>
        <w:fldChar w:fldCharType="separate"/>
      </w:r>
      <w:r>
        <w:rPr>
          <w:rStyle w:val="17"/>
          <w:rFonts w:hint="eastAsia" w:ascii="仿宋_GB2312" w:eastAsia="仿宋_GB2312"/>
          <w:color w:val="auto"/>
          <w:sz w:val="30"/>
          <w:szCs w:val="30"/>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"_Toc25588104" </w:instrText>
      </w:r>
      <w:r>
        <w:fldChar w:fldCharType="separate"/>
      </w:r>
      <w:r>
        <w:rPr>
          <w:rStyle w:val="17"/>
          <w:rFonts w:hint="eastAsia" w:ascii="仿宋_GB2312" w:eastAsia="仿宋_GB2312"/>
          <w:color w:val="auto"/>
          <w:sz w:val="30"/>
          <w:szCs w:val="30"/>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"_Toc25588105" </w:instrText>
      </w:r>
      <w:r>
        <w:fldChar w:fldCharType="separate"/>
      </w:r>
      <w:r>
        <w:rPr>
          <w:rStyle w:val="17"/>
          <w:rFonts w:hint="eastAsia" w:ascii="仿宋_GB2312" w:eastAsia="仿宋_GB2312"/>
          <w:color w:val="auto"/>
          <w:sz w:val="30"/>
          <w:szCs w:val="30"/>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"_Toc25588106" </w:instrText>
      </w:r>
      <w:r>
        <w:fldChar w:fldCharType="separate"/>
      </w:r>
      <w:r>
        <w:rPr>
          <w:rStyle w:val="17"/>
          <w:rFonts w:hint="eastAsia" w:ascii="仿宋_GB2312" w:eastAsia="仿宋_GB2312"/>
          <w:color w:val="auto"/>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"_Toc25588107" </w:instrText>
      </w:r>
      <w:r>
        <w:fldChar w:fldCharType="separate"/>
      </w:r>
      <w:r>
        <w:rPr>
          <w:rStyle w:val="17"/>
          <w:rFonts w:hint="eastAsia" w:ascii="仿宋_GB2312" w:eastAsia="仿宋_GB2312"/>
          <w:color w:val="auto"/>
          <w:sz w:val="30"/>
          <w:szCs w:val="30"/>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"_Toc25588108" </w:instrText>
      </w:r>
      <w:r>
        <w:fldChar w:fldCharType="separate"/>
      </w:r>
      <w:r>
        <w:rPr>
          <w:rStyle w:val="17"/>
          <w:rFonts w:hint="eastAsia" w:ascii="仿宋_GB2312" w:eastAsia="仿宋_GB2312"/>
          <w:color w:val="auto"/>
          <w:sz w:val="30"/>
          <w:szCs w:val="30"/>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"_Toc25588109" </w:instrText>
      </w:r>
      <w:r>
        <w:fldChar w:fldCharType="separate"/>
      </w:r>
      <w:r>
        <w:rPr>
          <w:rStyle w:val="17"/>
          <w:rFonts w:hint="eastAsia" w:ascii="仿宋_GB2312" w:eastAsia="仿宋_GB2312"/>
          <w:color w:val="auto"/>
          <w:sz w:val="30"/>
          <w:szCs w:val="30"/>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"_Toc25588110" </w:instrText>
      </w:r>
      <w:r>
        <w:fldChar w:fldCharType="separate"/>
      </w:r>
      <w:r>
        <w:rPr>
          <w:rStyle w:val="17"/>
          <w:rFonts w:hint="eastAsia" w:ascii="仿宋_GB2312" w:eastAsia="仿宋_GB2312"/>
          <w:color w:val="auto"/>
          <w:sz w:val="30"/>
          <w:szCs w:val="30"/>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"_Toc25588111" </w:instrText>
      </w:r>
      <w:r>
        <w:fldChar w:fldCharType="separate"/>
      </w:r>
      <w:r>
        <w:rPr>
          <w:rStyle w:val="17"/>
          <w:rFonts w:hint="eastAsia" w:ascii="仿宋_GB2312" w:eastAsia="仿宋_GB2312"/>
          <w:color w:val="auto"/>
          <w:sz w:val="30"/>
          <w:szCs w:val="30"/>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"_Toc25588112" </w:instrText>
      </w:r>
      <w:r>
        <w:fldChar w:fldCharType="separate"/>
      </w:r>
      <w:r>
        <w:rPr>
          <w:rStyle w:val="17"/>
          <w:rFonts w:hint="eastAsia" w:ascii="仿宋_GB2312" w:eastAsia="仿宋_GB2312"/>
          <w:color w:val="auto"/>
          <w:sz w:val="30"/>
          <w:szCs w:val="30"/>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"_Toc25588113" </w:instrText>
      </w:r>
      <w:r>
        <w:fldChar w:fldCharType="separate"/>
      </w:r>
      <w:r>
        <w:rPr>
          <w:rStyle w:val="17"/>
          <w:rFonts w:hint="eastAsia" w:ascii="仿宋_GB2312" w:eastAsia="仿宋_GB2312"/>
          <w:color w:val="auto"/>
          <w:sz w:val="30"/>
          <w:szCs w:val="30"/>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p>
      <w:pPr>
        <w:ind w:firstLine="422" w:firstLineChars="200"/>
        <w:rPr>
          <w:rFonts w:cs="宋体"/>
          <w:b/>
          <w:bCs/>
        </w:rPr>
      </w:pPr>
    </w:p>
    <w:p>
      <w:pPr>
        <w:ind w:firstLine="422" w:firstLineChars="200"/>
        <w:rPr>
          <w:rFonts w:cs="宋体"/>
          <w:b/>
          <w:bCs/>
        </w:rPr>
        <w:sectPr>
          <w:footerReference r:id="rId6" w:type="default"/>
          <w:pgSz w:w="12240" w:h="15840"/>
          <w:pgMar w:top="1440" w:right="1440" w:bottom="1440" w:left="1440" w:header="720" w:footer="720" w:gutter="0"/>
          <w:cols w:space="720" w:num="1"/>
        </w:sectPr>
      </w:pPr>
    </w:p>
    <w:p>
      <w:pPr>
        <w:ind w:firstLine="422" w:firstLineChars="200"/>
        <w:rPr>
          <w:rFonts w:cs="宋体"/>
          <w:b/>
          <w:bCs/>
        </w:rPr>
      </w:pPr>
    </w:p>
    <w:p>
      <w:pPr>
        <w:pStyle w:val="5"/>
        <w:ind w:firstLine="602"/>
        <w:rPr>
          <w:b/>
          <w:bCs/>
          <w:color w:val="auto"/>
        </w:rPr>
      </w:pPr>
      <w:r>
        <w:rPr>
          <w:rFonts w:hint="eastAsia"/>
          <w:b/>
          <w:bCs/>
          <w:color w:val="auto"/>
        </w:rPr>
        <w:t>甲方（买方）：重庆机场集团有限公司</w:t>
      </w:r>
    </w:p>
    <w:p>
      <w:pPr>
        <w:pStyle w:val="5"/>
        <w:ind w:firstLine="602"/>
        <w:rPr>
          <w:b/>
          <w:bCs/>
          <w:color w:val="auto"/>
        </w:rPr>
      </w:pPr>
      <w:r>
        <w:rPr>
          <w:rFonts w:hint="eastAsia"/>
          <w:b/>
          <w:bCs/>
          <w:color w:val="auto"/>
        </w:rPr>
        <w:t>统一信用代码：</w:t>
      </w:r>
    </w:p>
    <w:p>
      <w:pPr>
        <w:pStyle w:val="5"/>
        <w:ind w:firstLine="602"/>
        <w:rPr>
          <w:b/>
          <w:bCs/>
          <w:color w:val="auto"/>
        </w:rPr>
      </w:pPr>
      <w:r>
        <w:rPr>
          <w:rFonts w:hint="eastAsia"/>
          <w:b/>
          <w:bCs/>
          <w:color w:val="auto"/>
        </w:rPr>
        <w:t>送达地址：</w:t>
      </w:r>
    </w:p>
    <w:p>
      <w:pPr>
        <w:pStyle w:val="5"/>
        <w:ind w:firstLine="602"/>
        <w:rPr>
          <w:b/>
          <w:bCs/>
          <w:color w:val="auto"/>
        </w:rPr>
      </w:pPr>
      <w:r>
        <w:rPr>
          <w:rFonts w:hint="eastAsia"/>
          <w:b/>
          <w:bCs/>
          <w:color w:val="auto"/>
        </w:rPr>
        <w:t xml:space="preserve">联系人： </w:t>
      </w:r>
    </w:p>
    <w:p>
      <w:pPr>
        <w:pStyle w:val="5"/>
        <w:ind w:firstLine="602"/>
        <w:rPr>
          <w:b/>
          <w:bCs/>
          <w:color w:val="auto"/>
        </w:rPr>
      </w:pPr>
      <w:r>
        <w:rPr>
          <w:rFonts w:hint="eastAsia"/>
          <w:b/>
          <w:bCs/>
          <w:color w:val="auto"/>
        </w:rPr>
        <w:t>联系电话：</w:t>
      </w:r>
    </w:p>
    <w:p>
      <w:pPr>
        <w:pStyle w:val="5"/>
        <w:ind w:firstLine="602"/>
        <w:rPr>
          <w:b/>
          <w:bCs/>
          <w:color w:val="auto"/>
        </w:rPr>
      </w:pPr>
      <w:r>
        <w:rPr>
          <w:rFonts w:hint="eastAsia"/>
          <w:b/>
          <w:bCs/>
          <w:color w:val="auto"/>
        </w:rPr>
        <w:t>邮箱：</w:t>
      </w:r>
    </w:p>
    <w:p>
      <w:pPr>
        <w:pStyle w:val="5"/>
        <w:ind w:firstLine="602"/>
        <w:rPr>
          <w:b/>
          <w:bCs/>
          <w:color w:val="auto"/>
        </w:rPr>
      </w:pPr>
      <w:r>
        <w:rPr>
          <w:rFonts w:hint="eastAsia"/>
          <w:b/>
          <w:bCs/>
          <w:color w:val="auto"/>
        </w:rPr>
        <w:t xml:space="preserve">乙方（卖方）： </w:t>
      </w:r>
    </w:p>
    <w:p>
      <w:pPr>
        <w:pStyle w:val="5"/>
        <w:ind w:firstLine="602"/>
        <w:rPr>
          <w:b/>
          <w:bCs/>
          <w:color w:val="auto"/>
        </w:rPr>
      </w:pPr>
      <w:r>
        <w:rPr>
          <w:rFonts w:hint="eastAsia"/>
          <w:b/>
          <w:bCs/>
          <w:color w:val="auto"/>
        </w:rPr>
        <w:t>统一信用代码：</w:t>
      </w:r>
    </w:p>
    <w:p>
      <w:pPr>
        <w:pStyle w:val="5"/>
        <w:ind w:firstLine="602"/>
        <w:rPr>
          <w:b/>
          <w:bCs/>
          <w:color w:val="auto"/>
        </w:rPr>
      </w:pPr>
      <w:r>
        <w:rPr>
          <w:rFonts w:hint="eastAsia"/>
          <w:b/>
          <w:bCs/>
          <w:color w:val="auto"/>
        </w:rPr>
        <w:t>送达地址：</w:t>
      </w:r>
    </w:p>
    <w:p>
      <w:pPr>
        <w:pStyle w:val="5"/>
        <w:ind w:firstLine="602"/>
        <w:rPr>
          <w:b/>
          <w:bCs/>
          <w:color w:val="auto"/>
        </w:rPr>
      </w:pPr>
      <w:r>
        <w:rPr>
          <w:rFonts w:hint="eastAsia"/>
          <w:b/>
          <w:bCs/>
          <w:color w:val="auto"/>
        </w:rPr>
        <w:t xml:space="preserve">联系人： </w:t>
      </w:r>
    </w:p>
    <w:p>
      <w:pPr>
        <w:pStyle w:val="5"/>
        <w:ind w:firstLine="602"/>
        <w:rPr>
          <w:b/>
          <w:bCs/>
          <w:color w:val="auto"/>
        </w:rPr>
      </w:pPr>
      <w:r>
        <w:rPr>
          <w:rFonts w:hint="eastAsia"/>
          <w:b/>
          <w:bCs/>
          <w:color w:val="auto"/>
        </w:rPr>
        <w:t>联系电话：</w:t>
      </w:r>
    </w:p>
    <w:p>
      <w:pPr>
        <w:pStyle w:val="5"/>
        <w:ind w:firstLine="602"/>
        <w:rPr>
          <w:b/>
          <w:bCs/>
          <w:color w:val="auto"/>
        </w:rPr>
      </w:pPr>
      <w:r>
        <w:rPr>
          <w:rFonts w:hint="eastAsia"/>
          <w:b/>
          <w:bCs/>
          <w:color w:val="auto"/>
        </w:rPr>
        <w:t>邮箱：</w:t>
      </w:r>
    </w:p>
    <w:p>
      <w:pPr>
        <w:pStyle w:val="5"/>
        <w:ind w:firstLine="602"/>
        <w:rPr>
          <w:b/>
          <w:bCs/>
          <w:color w:val="auto"/>
        </w:rPr>
      </w:pPr>
      <w:r>
        <w:rPr>
          <w:rFonts w:hint="eastAsia"/>
          <w:b/>
          <w:bCs/>
          <w:color w:val="auto"/>
        </w:rPr>
        <w:t xml:space="preserve">签订地点： </w:t>
      </w:r>
    </w:p>
    <w:p>
      <w:pPr>
        <w:pStyle w:val="5"/>
        <w:ind w:firstLine="602"/>
        <w:rPr>
          <w:b/>
          <w:bCs/>
          <w:color w:val="auto"/>
        </w:rPr>
      </w:pPr>
      <w:r>
        <w:rPr>
          <w:rFonts w:hint="eastAsia"/>
          <w:b/>
          <w:bCs/>
          <w:color w:val="auto"/>
        </w:rPr>
        <w:t>签订时间：</w:t>
      </w:r>
      <w:r>
        <w:rPr>
          <w:rFonts w:hint="eastAsia"/>
          <w:b/>
          <w:bCs/>
          <w:color w:val="auto"/>
          <w:u w:val="single"/>
        </w:rPr>
        <w:t xml:space="preserve">    </w:t>
      </w:r>
      <w:r>
        <w:rPr>
          <w:rFonts w:hint="eastAsia"/>
          <w:b/>
          <w:bCs/>
          <w:color w:val="auto"/>
        </w:rPr>
        <w:t>年</w:t>
      </w:r>
      <w:r>
        <w:rPr>
          <w:rFonts w:hint="eastAsia"/>
          <w:b/>
          <w:bCs/>
          <w:color w:val="auto"/>
          <w:u w:val="single"/>
        </w:rPr>
        <w:t xml:space="preserve">  </w:t>
      </w:r>
      <w:r>
        <w:rPr>
          <w:rFonts w:hint="eastAsia"/>
          <w:b/>
          <w:bCs/>
          <w:color w:val="auto"/>
        </w:rPr>
        <w:t>月</w:t>
      </w:r>
      <w:r>
        <w:rPr>
          <w:rFonts w:hint="eastAsia"/>
          <w:b/>
          <w:bCs/>
          <w:color w:val="auto"/>
          <w:u w:val="single"/>
        </w:rPr>
        <w:t xml:space="preserve">  </w:t>
      </w:r>
      <w:r>
        <w:rPr>
          <w:rFonts w:hint="eastAsia"/>
          <w:b/>
          <w:bCs/>
          <w:color w:val="auto"/>
        </w:rPr>
        <w:t>日</w:t>
      </w:r>
    </w:p>
    <w:p>
      <w:pPr>
        <w:pStyle w:val="5"/>
        <w:ind w:firstLine="600"/>
        <w:rPr>
          <w:color w:val="auto"/>
        </w:rPr>
      </w:pPr>
    </w:p>
    <w:p>
      <w:pPr>
        <w:pStyle w:val="5"/>
        <w:ind w:firstLine="600"/>
        <w:rPr>
          <w:rFonts w:hAnsi="仿宋_GB2312"/>
          <w:color w:val="auto"/>
        </w:rPr>
      </w:pPr>
      <w:r>
        <w:rPr>
          <w:rFonts w:hint="eastAsia" w:hAnsi="仿宋_GB2312"/>
          <w:color w:val="auto"/>
        </w:rPr>
        <w:t>甲乙双方依照《中华人民共和国民法典》及相关法律、法规规定，本着平等、自愿的原则，经友好协商，现就甲方向乙方购买</w:t>
      </w:r>
      <w:r>
        <w:rPr>
          <w:rFonts w:hint="eastAsia" w:hAnsi="仿宋_GB2312"/>
          <w:color w:val="auto"/>
          <w:u w:val="single"/>
        </w:rPr>
        <w:t xml:space="preserve"> </w:t>
      </w:r>
      <w:r>
        <w:rPr>
          <w:rFonts w:hAnsi="仿宋_GB2312"/>
          <w:color w:val="auto"/>
          <w:u w:val="single"/>
        </w:rPr>
        <w:t xml:space="preserve">                 </w:t>
      </w:r>
      <w:r>
        <w:rPr>
          <w:rFonts w:hint="eastAsia" w:hAnsi="仿宋_GB2312"/>
          <w:color w:val="auto"/>
          <w:u w:val="single"/>
        </w:rPr>
        <w:t xml:space="preserve"> </w:t>
      </w:r>
      <w:r>
        <w:rPr>
          <w:rFonts w:hint="eastAsia" w:hAnsi="仿宋_GB2312"/>
          <w:color w:val="auto"/>
        </w:rPr>
        <w:t>，（并安装，调试）</w:t>
      </w:r>
      <w:r>
        <w:rPr>
          <w:rFonts w:hAnsi="仿宋_GB2312"/>
          <w:color w:val="auto"/>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color w:val="auto"/>
          <w:sz w:val="24"/>
          <w:szCs w:val="24"/>
        </w:rPr>
      </w:pPr>
      <w:r>
        <w:rPr>
          <w:rFonts w:hint="eastAsia"/>
          <w:color w:val="auto"/>
        </w:rPr>
        <w:t>1</w:t>
      </w:r>
      <w:r>
        <w:rPr>
          <w:color w:val="auto"/>
        </w:rPr>
        <w:t>.1本合同</w:t>
      </w:r>
      <w:r>
        <w:rPr>
          <w:rFonts w:hint="eastAsia"/>
          <w:color w:val="auto"/>
        </w:rPr>
        <w:t>项下乙方所供</w:t>
      </w:r>
      <w:r>
        <w:rPr>
          <w:color w:val="auto"/>
        </w:rPr>
        <w:t>货物</w:t>
      </w:r>
      <w:r>
        <w:rPr>
          <w:rFonts w:hint="eastAsia"/>
          <w:color w:val="auto"/>
        </w:rPr>
        <w:t>情况</w:t>
      </w:r>
      <w:r>
        <w:rPr>
          <w:color w:val="auto"/>
        </w:rPr>
        <w:t>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名称</w:t>
            </w:r>
          </w:p>
        </w:tc>
        <w:tc>
          <w:tcPr>
            <w:tcW w:w="1206"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品牌</w:t>
            </w:r>
          </w:p>
        </w:tc>
        <w:tc>
          <w:tcPr>
            <w:tcW w:w="1722"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规格（型号）</w:t>
            </w:r>
          </w:p>
        </w:tc>
        <w:tc>
          <w:tcPr>
            <w:tcW w:w="1448"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数量</w:t>
            </w:r>
          </w:p>
        </w:tc>
        <w:tc>
          <w:tcPr>
            <w:tcW w:w="1448"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单价</w:t>
            </w:r>
          </w:p>
        </w:tc>
        <w:tc>
          <w:tcPr>
            <w:tcW w:w="1448"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noWrap w:val="0"/>
            <w:vAlign w:val="top"/>
          </w:tcPr>
          <w:p>
            <w:pPr>
              <w:pStyle w:val="29"/>
              <w:spacing w:line="560" w:lineRule="exact"/>
              <w:ind w:firstLine="0" w:firstLineChars="0"/>
              <w:rPr>
                <w:rFonts w:ascii="仿宋_GB2312" w:hAnsi="仿宋_GB2312" w:eastAsia="仿宋_GB2312" w:cs="宋体"/>
                <w:sz w:val="24"/>
              </w:rPr>
            </w:pPr>
          </w:p>
        </w:tc>
        <w:tc>
          <w:tcPr>
            <w:tcW w:w="1206" w:type="dxa"/>
            <w:noWrap w:val="0"/>
            <w:vAlign w:val="top"/>
          </w:tcPr>
          <w:p>
            <w:pPr>
              <w:pStyle w:val="29"/>
              <w:spacing w:line="560" w:lineRule="exact"/>
              <w:ind w:firstLine="0" w:firstLineChars="0"/>
              <w:rPr>
                <w:rFonts w:ascii="仿宋_GB2312" w:hAnsi="仿宋_GB2312" w:eastAsia="仿宋_GB2312" w:cs="宋体"/>
                <w:sz w:val="24"/>
              </w:rPr>
            </w:pPr>
          </w:p>
        </w:tc>
        <w:tc>
          <w:tcPr>
            <w:tcW w:w="1722"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noWrap w:val="0"/>
            <w:vAlign w:val="top"/>
          </w:tcPr>
          <w:p>
            <w:pPr>
              <w:pStyle w:val="29"/>
              <w:spacing w:line="560" w:lineRule="exact"/>
              <w:ind w:firstLine="0" w:firstLineChars="0"/>
              <w:rPr>
                <w:rFonts w:ascii="仿宋_GB2312" w:hAnsi="仿宋_GB2312" w:eastAsia="仿宋_GB2312" w:cs="宋体"/>
                <w:sz w:val="24"/>
              </w:rPr>
            </w:pPr>
          </w:p>
        </w:tc>
        <w:tc>
          <w:tcPr>
            <w:tcW w:w="1206" w:type="dxa"/>
            <w:noWrap w:val="0"/>
            <w:vAlign w:val="top"/>
          </w:tcPr>
          <w:p>
            <w:pPr>
              <w:pStyle w:val="29"/>
              <w:spacing w:line="560" w:lineRule="exact"/>
              <w:ind w:firstLine="0" w:firstLineChars="0"/>
              <w:rPr>
                <w:rFonts w:ascii="仿宋_GB2312" w:hAnsi="仿宋_GB2312" w:eastAsia="仿宋_GB2312" w:cs="宋体"/>
                <w:sz w:val="24"/>
              </w:rPr>
            </w:pPr>
          </w:p>
        </w:tc>
        <w:tc>
          <w:tcPr>
            <w:tcW w:w="1722"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总计</w:t>
            </w:r>
          </w:p>
        </w:tc>
        <w:tc>
          <w:tcPr>
            <w:tcW w:w="1206" w:type="dxa"/>
            <w:noWrap w:val="0"/>
            <w:vAlign w:val="top"/>
          </w:tcPr>
          <w:p>
            <w:pPr>
              <w:pStyle w:val="29"/>
              <w:spacing w:line="560" w:lineRule="exact"/>
              <w:ind w:firstLine="0" w:firstLineChars="0"/>
              <w:rPr>
                <w:rFonts w:ascii="仿宋_GB2312" w:hAnsi="仿宋_GB2312" w:eastAsia="仿宋_GB2312" w:cs="宋体"/>
                <w:sz w:val="24"/>
              </w:rPr>
            </w:pPr>
          </w:p>
        </w:tc>
        <w:tc>
          <w:tcPr>
            <w:tcW w:w="1722"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r>
    </w:tbl>
    <w:p>
      <w:pPr>
        <w:pStyle w:val="5"/>
        <w:ind w:firstLine="600"/>
        <w:rPr>
          <w:color w:val="auto"/>
        </w:rPr>
      </w:pPr>
      <w:r>
        <w:rPr>
          <w:rFonts w:hint="eastAsia"/>
          <w:color w:val="auto"/>
        </w:rPr>
        <w:t>（以下能明确的尽量明确）</w:t>
      </w: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auto"/>
        </w:rPr>
      </w:pPr>
      <w:r>
        <w:rPr>
          <w:color w:val="auto"/>
        </w:rPr>
        <w:t>2.1 合同</w:t>
      </w:r>
      <w:r>
        <w:rPr>
          <w:rFonts w:hint="eastAsia"/>
          <w:color w:val="auto"/>
        </w:rPr>
        <w:t>金额</w:t>
      </w:r>
      <w:r>
        <w:rPr>
          <w:rFonts w:hint="eastAsia"/>
          <w:b/>
          <w:bCs/>
          <w:color w:val="auto"/>
          <w:u w:val="single"/>
        </w:rPr>
        <w:t>（不含增值税）</w:t>
      </w:r>
      <w:r>
        <w:rPr>
          <w:color w:val="auto"/>
        </w:rPr>
        <w:t>为人民币</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r>
        <w:rPr>
          <w:color w:val="auto"/>
        </w:rPr>
        <w:t>合同</w:t>
      </w:r>
      <w:r>
        <w:rPr>
          <w:rFonts w:hint="eastAsia"/>
          <w:color w:val="auto"/>
        </w:rPr>
        <w:t>金额</w:t>
      </w:r>
      <w:r>
        <w:rPr>
          <w:rFonts w:hint="eastAsia"/>
          <w:b/>
          <w:bCs/>
          <w:color w:val="auto"/>
          <w:u w:val="single"/>
        </w:rPr>
        <w:t>（含增值税）</w:t>
      </w:r>
      <w:r>
        <w:rPr>
          <w:color w:val="auto"/>
        </w:rPr>
        <w:t>为人民币</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5"/>
        <w:ind w:firstLine="600"/>
        <w:rPr>
          <w:color w:val="auto"/>
        </w:rPr>
      </w:pPr>
      <w:r>
        <w:rPr>
          <w:color w:val="auto"/>
        </w:rPr>
        <w:t>2.2 合同价款含保险费和运输费用等。</w:t>
      </w:r>
    </w:p>
    <w:p>
      <w:pPr>
        <w:pStyle w:val="5"/>
        <w:ind w:firstLine="600"/>
        <w:rPr>
          <w:color w:val="auto"/>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color w:val="auto"/>
        </w:rPr>
      </w:pPr>
      <w:r>
        <w:rPr>
          <w:color w:val="auto"/>
        </w:rPr>
        <w:t>3.1 乙方应严格按甲方要求，并符合有关国家标准和行业标准进行供货。</w:t>
      </w:r>
    </w:p>
    <w:p>
      <w:pPr>
        <w:pStyle w:val="5"/>
        <w:ind w:firstLine="600"/>
        <w:rPr>
          <w:color w:val="auto"/>
        </w:rPr>
      </w:pPr>
      <w:r>
        <w:rPr>
          <w:color w:val="auto"/>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rPr>
      </w:pPr>
      <w:r>
        <w:rPr>
          <w:rFonts w:hint="eastAsia"/>
          <w:color w:val="auto"/>
        </w:rPr>
        <w:t>3.3 乙方所供货物的质量保证期为</w:t>
      </w:r>
      <w:r>
        <w:rPr>
          <w:rFonts w:hint="eastAsia"/>
          <w:color w:val="auto"/>
          <w:u w:val="single"/>
        </w:rPr>
        <w:t xml:space="preserve">     </w:t>
      </w:r>
      <w:r>
        <w:rPr>
          <w:rFonts w:hint="eastAsia"/>
          <w:color w:val="auto"/>
        </w:rPr>
        <w:t>年，自货到并验收合格之日起算。</w:t>
      </w:r>
    </w:p>
    <w:p>
      <w:pPr>
        <w:pStyle w:val="4"/>
        <w:ind w:firstLine="640"/>
        <w:rPr>
          <w:lang w:eastAsia="zh-CN"/>
        </w:rPr>
      </w:pPr>
      <w:bookmarkStart w:id="6" w:name="_Toc25588103"/>
      <w:r>
        <w:rPr>
          <w:lang w:eastAsia="zh-CN"/>
        </w:rPr>
        <w:t>第</w:t>
      </w:r>
      <w:r>
        <w:rPr>
          <w:rFonts w:hint="eastAsia"/>
          <w:lang w:eastAsia="zh-CN"/>
        </w:rPr>
        <w:t>四</w:t>
      </w:r>
      <w:r>
        <w:rPr>
          <w:lang w:eastAsia="zh-CN"/>
        </w:rPr>
        <w:t>条 交货日期、方式和地点</w:t>
      </w:r>
      <w:bookmarkEnd w:id="6"/>
    </w:p>
    <w:p>
      <w:pPr>
        <w:pStyle w:val="5"/>
        <w:ind w:firstLine="600"/>
        <w:rPr>
          <w:color w:val="auto"/>
          <w:u w:val="single"/>
        </w:rPr>
      </w:pPr>
      <w:r>
        <w:rPr>
          <w:color w:val="auto"/>
        </w:rPr>
        <w:t>4.1 合同签订后，乙方应及时供货，并于</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年</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月</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日</w:t>
      </w:r>
      <w:r>
        <w:rPr>
          <w:rFonts w:hint="eastAsia"/>
          <w:color w:val="auto"/>
        </w:rPr>
        <w:t>前完成交货，交货地点：</w:t>
      </w:r>
      <w:r>
        <w:rPr>
          <w:rFonts w:ascii="Calibri" w:hAnsi="Calibri"/>
          <w:color w:val="auto"/>
          <w:u w:val="single"/>
        </w:rPr>
        <w:t> </w:t>
      </w:r>
      <w:r>
        <w:rPr>
          <w:rFonts w:hint="eastAsia" w:ascii="Calibri" w:hAnsi="Calibri"/>
          <w:color w:val="auto"/>
          <w:u w:val="single"/>
        </w:rPr>
        <w:t>重庆江北国际机场T3A航站楼</w:t>
      </w:r>
      <w:r>
        <w:rPr>
          <w:color w:val="auto"/>
          <w:u w:val="single"/>
        </w:rPr>
        <w:t xml:space="preserve"> </w:t>
      </w:r>
      <w:r>
        <w:rPr>
          <w:rFonts w:ascii="Calibri" w:hAnsi="Calibri"/>
          <w:color w:val="auto"/>
          <w:u w:val="single"/>
        </w:rPr>
        <w:t> </w:t>
      </w:r>
      <w:r>
        <w:rPr>
          <w:rFonts w:hint="eastAsia"/>
          <w:color w:val="auto"/>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color w:val="auto"/>
        </w:rPr>
      </w:pPr>
      <w:r>
        <w:rPr>
          <w:color w:val="auto"/>
        </w:rPr>
        <w:t xml:space="preserve">5.1 </w:t>
      </w:r>
      <w:r>
        <w:rPr>
          <w:rFonts w:hint="eastAsia"/>
          <w:color w:val="auto"/>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8" w:name="_Toc25588105"/>
      <w:r>
        <w:rPr>
          <w:rFonts w:hint="eastAsia"/>
          <w:lang w:eastAsia="zh-CN"/>
        </w:rPr>
        <w:t>第六条 保证金</w:t>
      </w:r>
      <w:bookmarkEnd w:id="8"/>
    </w:p>
    <w:p>
      <w:pPr>
        <w:pStyle w:val="5"/>
        <w:ind w:firstLine="600"/>
        <w:rPr>
          <w:color w:val="auto"/>
        </w:rPr>
      </w:pPr>
      <w:r>
        <w:rPr>
          <w:rFonts w:hint="eastAsia"/>
          <w:color w:val="auto"/>
        </w:rPr>
        <w:t>6.1 乙方应在</w:t>
      </w:r>
      <w:r>
        <w:rPr>
          <w:rStyle w:val="30"/>
          <w:rFonts w:hint="eastAsia" w:ascii="方正仿宋_GBK" w:hAnsi="方正仿宋_GBK" w:eastAsia="方正仿宋_GBK" w:cs="方正仿宋_GBK"/>
          <w:color w:val="auto"/>
          <w:u w:val="single"/>
        </w:rPr>
        <w:t>中标通知书发出后   日内（或本合同签订   日之前）</w:t>
      </w:r>
      <w:r>
        <w:rPr>
          <w:rFonts w:hint="eastAsia"/>
          <w:color w:val="auto"/>
          <w:u w:val="single"/>
        </w:rPr>
        <w:t xml:space="preserve">         </w:t>
      </w:r>
      <w:r>
        <w:rPr>
          <w:rFonts w:hint="eastAsia"/>
          <w:color w:val="auto"/>
        </w:rPr>
        <w:t>以</w:t>
      </w:r>
      <w:r>
        <w:rPr>
          <w:rFonts w:hint="eastAsia"/>
          <w:color w:val="auto"/>
          <w:u w:val="single"/>
        </w:rPr>
        <w:t xml:space="preserve">      </w:t>
      </w:r>
      <w:r>
        <w:rPr>
          <w:rFonts w:hint="eastAsia"/>
          <w:color w:val="auto"/>
        </w:rPr>
        <w:t>形式向甲方缴纳履约保证金，以作为乙方履行本合同项下相关义务的担保 。履约保证金共计人民币</w:t>
      </w:r>
      <w:r>
        <w:rPr>
          <w:rFonts w:hint="eastAsia"/>
          <w:color w:val="auto"/>
          <w:u w:val="single"/>
        </w:rPr>
        <w:t xml:space="preserve">      </w:t>
      </w:r>
      <w:r>
        <w:rPr>
          <w:rFonts w:hint="eastAsia"/>
          <w:color w:val="auto"/>
        </w:rPr>
        <w:t>元，大写人民币</w:t>
      </w:r>
      <w:r>
        <w:rPr>
          <w:rFonts w:hint="eastAsia"/>
          <w:color w:val="auto"/>
          <w:u w:val="single"/>
        </w:rPr>
        <w:t xml:space="preserve">         </w:t>
      </w:r>
      <w:r>
        <w:rPr>
          <w:rFonts w:hint="eastAsia"/>
          <w:color w:val="auto"/>
        </w:rPr>
        <w:t>元。待乙方所供物货验收合格后15个工作日内无息退还；</w:t>
      </w:r>
    </w:p>
    <w:p>
      <w:pPr>
        <w:pStyle w:val="5"/>
        <w:ind w:firstLine="600"/>
        <w:rPr>
          <w:rFonts w:hint="eastAsia"/>
          <w:color w:val="auto"/>
        </w:rPr>
      </w:pPr>
      <w:r>
        <w:rPr>
          <w:rFonts w:hint="eastAsia"/>
          <w:color w:val="auto"/>
        </w:rPr>
        <w:t>6.2 合同总价的</w:t>
      </w:r>
      <w:r>
        <w:rPr>
          <w:rFonts w:ascii="Calibri" w:hAnsi="Calibri" w:cs="Calibri"/>
          <w:color w:val="auto"/>
          <w:u w:val="single"/>
        </w:rPr>
        <w:t>       </w:t>
      </w:r>
      <w:r>
        <w:rPr>
          <w:color w:val="auto"/>
        </w:rPr>
        <w:t>%</w:t>
      </w:r>
      <w:r>
        <w:rPr>
          <w:rFonts w:hint="eastAsia"/>
          <w:color w:val="auto"/>
        </w:rPr>
        <w:t>为乙方所供货物的质量保证金，质保期满后，无质量问题后，无息退还。</w:t>
      </w:r>
    </w:p>
    <w:p>
      <w:pPr>
        <w:pStyle w:val="5"/>
        <w:ind w:firstLine="600"/>
        <w:rPr>
          <w:rStyle w:val="30"/>
          <w:rFonts w:hint="eastAsia" w:ascii="仿宋_GB2312" w:eastAsia="仿宋_GB2312"/>
          <w:color w:val="auto"/>
        </w:rPr>
      </w:pPr>
      <w:r>
        <w:rPr>
          <w:rStyle w:val="30"/>
          <w:rFonts w:hint="eastAsia" w:ascii="方正仿宋_GBK" w:hAnsi="方正仿宋_GBK" w:eastAsia="方正仿宋_GBK" w:cs="方正仿宋_GBK"/>
          <w:color w:val="auto"/>
        </w:rPr>
        <w:t xml:space="preserve">6.3 </w:t>
      </w:r>
      <w:r>
        <w:rPr>
          <w:rStyle w:val="30"/>
          <w:rFonts w:hint="eastAsia" w:ascii="仿宋_GB2312" w:eastAsia="仿宋_GB2312"/>
          <w:color w:val="auto"/>
        </w:rPr>
        <w:t>保证金应由乙方名义开立的账户支付到甲方账户，否则视为未支付，甲方有权追究乙方逾期付款责任。</w:t>
      </w:r>
    </w:p>
    <w:p>
      <w:pPr>
        <w:pStyle w:val="5"/>
        <w:ind w:firstLine="600"/>
        <w:rPr>
          <w:rStyle w:val="30"/>
          <w:rFonts w:hint="eastAsia" w:ascii="仿宋_GB2312" w:eastAsia="仿宋_GB2312"/>
          <w:color w:val="auto"/>
        </w:rPr>
      </w:pPr>
      <w:r>
        <w:rPr>
          <w:rStyle w:val="30"/>
          <w:rFonts w:hint="eastAsia" w:ascii="方正仿宋_GBK" w:hAnsi="方正仿宋_GBK" w:eastAsia="方正仿宋_GBK" w:cs="方正仿宋_GBK"/>
          <w:color w:val="auto"/>
        </w:rPr>
        <w:t xml:space="preserve">6.4 </w:t>
      </w:r>
      <w:r>
        <w:rPr>
          <w:rStyle w:val="30"/>
          <w:rFonts w:hint="eastAsia" w:ascii="仿宋_GB2312" w:eastAsia="仿宋_GB2312"/>
          <w:color w:val="auto"/>
        </w:rPr>
        <w:t>乙方支付履约保证金时，应在“付款备注”中写明“</w:t>
      </w:r>
      <w:r>
        <w:rPr>
          <w:rStyle w:val="30"/>
          <w:rFonts w:hint="eastAsia"/>
          <w:color w:val="auto"/>
        </w:rPr>
        <w:t>（合同编号）</w:t>
      </w:r>
      <w:r>
        <w:rPr>
          <w:rStyle w:val="30"/>
          <w:rFonts w:hint="eastAsia" w:ascii="仿宋_GB2312" w:eastAsia="仿宋_GB2312"/>
          <w:color w:val="auto"/>
        </w:rPr>
        <w:t>XX</w:t>
      </w:r>
      <w:r>
        <w:rPr>
          <w:rStyle w:val="30"/>
          <w:rFonts w:hint="eastAsia"/>
          <w:color w:val="auto"/>
        </w:rPr>
        <w:t>买卖合同履约</w:t>
      </w:r>
      <w:r>
        <w:rPr>
          <w:rStyle w:val="30"/>
          <w:rFonts w:hint="eastAsia" w:ascii="仿宋_GB2312" w:eastAsia="仿宋_GB2312"/>
          <w:color w:val="auto"/>
        </w:rPr>
        <w:t>保证金”。乙方不得与其他合同、其他缴费项目一起支付履约保证金，若因混合支付造成无法确认为本合同款项到账的，视为逾期未支付。</w:t>
      </w:r>
    </w:p>
    <w:p>
      <w:pPr>
        <w:pStyle w:val="5"/>
        <w:ind w:firstLine="600"/>
        <w:rPr>
          <w:rFonts w:hint="eastAsia"/>
          <w:color w:val="auto"/>
        </w:rPr>
      </w:pP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auto"/>
        </w:rPr>
      </w:pPr>
      <w:r>
        <w:rPr>
          <w:rFonts w:hint="eastAsia"/>
          <w:color w:val="auto"/>
        </w:rPr>
        <w:t>7</w:t>
      </w:r>
      <w:r>
        <w:rPr>
          <w:color w:val="auto"/>
        </w:rPr>
        <w:t>.</w:t>
      </w:r>
      <w:r>
        <w:rPr>
          <w:rFonts w:hint="eastAsia"/>
          <w:color w:val="auto"/>
        </w:rPr>
        <w:t>1 本合同签订后，甲方收到乙方开具收据后，预付合同总价款</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7.2</w:t>
      </w:r>
      <w:r>
        <w:rPr>
          <w:color w:val="auto"/>
        </w:rPr>
        <w:t>合同标的物运至甲方现场</w:t>
      </w:r>
      <w:r>
        <w:rPr>
          <w:rFonts w:hint="eastAsia"/>
          <w:color w:val="auto"/>
        </w:rPr>
        <w:t>（并安装调试完成）</w:t>
      </w:r>
      <w:r>
        <w:rPr>
          <w:color w:val="auto"/>
        </w:rPr>
        <w:t>，</w:t>
      </w:r>
      <w:r>
        <w:rPr>
          <w:rFonts w:hint="eastAsia"/>
          <w:color w:val="auto"/>
        </w:rPr>
        <w:t>甲方收到乙方开具全额增值税发票后，</w:t>
      </w:r>
      <w:r>
        <w:rPr>
          <w:color w:val="auto"/>
        </w:rPr>
        <w:t>支付</w:t>
      </w:r>
      <w:r>
        <w:rPr>
          <w:rFonts w:hint="eastAsia"/>
          <w:color w:val="auto"/>
        </w:rPr>
        <w:t>至</w:t>
      </w:r>
      <w:r>
        <w:rPr>
          <w:color w:val="auto"/>
        </w:rPr>
        <w:t>合同总价款的</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w:t>
      </w:r>
      <w:r>
        <w:rPr>
          <w:color w:val="auto"/>
        </w:rPr>
        <w:t>.</w:t>
      </w:r>
      <w:r>
        <w:rPr>
          <w:rFonts w:hint="eastAsia"/>
          <w:color w:val="auto"/>
        </w:rPr>
        <w:t>3</w:t>
      </w:r>
      <w:r>
        <w:rPr>
          <w:color w:val="auto"/>
        </w:rPr>
        <w:t xml:space="preserve"> </w:t>
      </w:r>
      <w:r>
        <w:rPr>
          <w:rFonts w:hint="eastAsia"/>
          <w:color w:val="auto"/>
        </w:rPr>
        <w:t>质保期满后</w:t>
      </w:r>
      <w:r>
        <w:rPr>
          <w:color w:val="auto"/>
        </w:rPr>
        <w:t>，无任何质量问题，甲方</w:t>
      </w:r>
      <w:r>
        <w:rPr>
          <w:rFonts w:hint="eastAsia"/>
          <w:color w:val="auto"/>
        </w:rPr>
        <w:t>收到乙方提出付款申请后，</w:t>
      </w:r>
      <w:r>
        <w:rPr>
          <w:color w:val="auto"/>
        </w:rPr>
        <w:t>一次性付清余款</w:t>
      </w:r>
      <w:r>
        <w:rPr>
          <w:rFonts w:hint="eastAsia"/>
          <w:color w:val="auto"/>
        </w:rPr>
        <w:t>（退还质量保证金）</w:t>
      </w:r>
      <w:r>
        <w:rPr>
          <w:color w:val="auto"/>
        </w:rPr>
        <w:t>。</w:t>
      </w:r>
    </w:p>
    <w:p>
      <w:pPr>
        <w:pStyle w:val="5"/>
        <w:ind w:firstLine="600"/>
        <w:rPr>
          <w:color w:val="auto"/>
        </w:rPr>
      </w:pPr>
      <w:r>
        <w:rPr>
          <w:rFonts w:hint="eastAsia"/>
          <w:color w:val="auto"/>
        </w:rPr>
        <w:t>7.4乙方需向甲方提供正规增值税发票。如果乙方提供增值税普通发票，甲方支付金额为不含增值税金额；如果乙方提供增值税专用发票，甲方支付金额</w:t>
      </w:r>
      <w:r>
        <w:rPr>
          <w:color w:val="auto"/>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color w:val="auto"/>
        </w:rPr>
      </w:pPr>
      <w:r>
        <w:rPr>
          <w:rFonts w:hint="eastAsia"/>
          <w:color w:val="auto"/>
        </w:rPr>
        <w:t>8</w:t>
      </w:r>
      <w:r>
        <w:rPr>
          <w:color w:val="auto"/>
        </w:rPr>
        <w:t>. 1乙方逾期交</w:t>
      </w:r>
      <w:r>
        <w:rPr>
          <w:rFonts w:hint="eastAsia"/>
          <w:color w:val="auto"/>
        </w:rPr>
        <w:t>货</w:t>
      </w:r>
      <w:r>
        <w:rPr>
          <w:color w:val="auto"/>
        </w:rPr>
        <w:t>，乙方应向甲方偿付逾期交付违约金。逾期违约金按</w:t>
      </w:r>
      <w:r>
        <w:rPr>
          <w:rFonts w:hint="eastAsia"/>
          <w:color w:val="auto"/>
        </w:rPr>
        <w:t>照合同总价款每日万分之三计算。</w:t>
      </w:r>
      <w:r>
        <w:rPr>
          <w:color w:val="auto"/>
        </w:rPr>
        <w:t>甲方可在</w:t>
      </w:r>
      <w:r>
        <w:rPr>
          <w:rFonts w:hint="eastAsia"/>
          <w:color w:val="auto"/>
        </w:rPr>
        <w:t>货物</w:t>
      </w:r>
      <w:r>
        <w:rPr>
          <w:color w:val="auto"/>
        </w:rPr>
        <w:t>结算款中扣除。违约金尚不能补偿对方损失时，有权向对方追索实际损失的赔偿金。</w:t>
      </w:r>
    </w:p>
    <w:p>
      <w:pPr>
        <w:pStyle w:val="5"/>
        <w:ind w:firstLine="600"/>
        <w:rPr>
          <w:color w:val="auto"/>
        </w:rPr>
      </w:pPr>
      <w:r>
        <w:rPr>
          <w:rFonts w:hint="eastAsia"/>
          <w:color w:val="auto"/>
        </w:rPr>
        <w:t>8</w:t>
      </w:r>
      <w:r>
        <w:rPr>
          <w:color w:val="auto"/>
        </w:rPr>
        <w:t>.2 乙方</w:t>
      </w:r>
      <w:r>
        <w:rPr>
          <w:rFonts w:hint="eastAsia"/>
          <w:color w:val="auto"/>
        </w:rPr>
        <w:t>逾期交货，</w:t>
      </w:r>
      <w:r>
        <w:rPr>
          <w:color w:val="auto"/>
        </w:rPr>
        <w:t>或不履行售后服务，</w:t>
      </w:r>
      <w:r>
        <w:rPr>
          <w:rFonts w:hint="eastAsia"/>
          <w:color w:val="auto"/>
        </w:rPr>
        <w:t>经甲方催告后仍不能履行的，</w:t>
      </w:r>
      <w:r>
        <w:rPr>
          <w:color w:val="auto"/>
        </w:rPr>
        <w:t>甲方有权</w:t>
      </w:r>
      <w:r>
        <w:rPr>
          <w:rFonts w:hint="eastAsia"/>
          <w:color w:val="auto"/>
        </w:rPr>
        <w:t>解除合同，保证金作为违约金不予退还。保证金不足以弥补甲方损失的，甲方有权追偿。</w:t>
      </w:r>
    </w:p>
    <w:p>
      <w:pPr>
        <w:pStyle w:val="5"/>
        <w:ind w:firstLine="600"/>
        <w:rPr>
          <w:bCs/>
          <w:color w:val="auto"/>
        </w:rPr>
      </w:pPr>
      <w:r>
        <w:rPr>
          <w:rFonts w:hint="eastAsia"/>
          <w:color w:val="auto"/>
        </w:rPr>
        <w:t>8</w:t>
      </w:r>
      <w:r>
        <w:rPr>
          <w:color w:val="auto"/>
        </w:rPr>
        <w:t xml:space="preserve">.3 </w:t>
      </w:r>
      <w:r>
        <w:rPr>
          <w:rFonts w:hint="eastAsia"/>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rPr>
      </w:pPr>
      <w:r>
        <w:rPr>
          <w:rFonts w:hint="eastAsia"/>
          <w:bCs/>
          <w:color w:val="auto"/>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5"/>
        <w:ind w:firstLine="600"/>
        <w:rPr>
          <w:color w:val="auto"/>
        </w:rPr>
      </w:pPr>
      <w:r>
        <w:rPr>
          <w:rFonts w:hint="eastAsia"/>
          <w:color w:val="auto"/>
        </w:rPr>
        <w:t>9</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rPr>
      </w:pPr>
      <w:r>
        <w:rPr>
          <w:rFonts w:hint="eastAsia"/>
          <w:color w:val="auto"/>
        </w:rPr>
        <w:t>9</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5"/>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rPr>
      </w:pPr>
      <w:r>
        <w:rPr>
          <w:rFonts w:hint="eastAsia"/>
          <w:color w:val="auto"/>
        </w:rPr>
        <w:t>甲方指定的联系方式：</w:t>
      </w:r>
    </w:p>
    <w:p>
      <w:pPr>
        <w:pStyle w:val="5"/>
        <w:ind w:firstLine="600"/>
        <w:rPr>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乙方指定的联系方式：</w:t>
      </w:r>
    </w:p>
    <w:p>
      <w:pPr>
        <w:pStyle w:val="5"/>
        <w:ind w:firstLine="600"/>
        <w:rPr>
          <w:rFonts w:ascii="Times New Roman" w:hAnsi="Times New Roman" w:cs="Times New Roman"/>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rFonts w:ascii="Times New Roman" w:hAnsi="Times New Roman" w:cs="Times New Roman"/>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10</w:t>
      </w:r>
      <w:r>
        <w:rPr>
          <w:color w:val="auto"/>
        </w:rPr>
        <w:t>.1采用当面签收的，应由合同中指定的联系人或双方授权的代表签收，签收日期即为送达时间。</w:t>
      </w:r>
    </w:p>
    <w:p>
      <w:pPr>
        <w:pStyle w:val="5"/>
        <w:ind w:firstLine="600"/>
        <w:rPr>
          <w:color w:val="auto"/>
        </w:rPr>
      </w:pPr>
      <w:r>
        <w:rPr>
          <w:rFonts w:hint="eastAsia"/>
          <w:color w:val="auto"/>
        </w:rPr>
        <w:t>10</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rPr>
      </w:pPr>
      <w:r>
        <w:rPr>
          <w:rFonts w:hint="eastAsia"/>
          <w:color w:val="auto"/>
        </w:rPr>
        <w:t>10</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rPr>
      </w:pPr>
      <w:r>
        <w:rPr>
          <w:rFonts w:hint="eastAsia"/>
          <w:color w:val="auto"/>
        </w:rPr>
        <w:t>10</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rPr>
      </w:pPr>
      <w:r>
        <w:rPr>
          <w:rFonts w:hint="eastAsia"/>
          <w:color w:val="auto"/>
        </w:rPr>
        <w:t>10</w:t>
      </w:r>
      <w:r>
        <w:rPr>
          <w:color w:val="auto"/>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rPr>
      </w:pPr>
      <w:r>
        <w:rPr>
          <w:rFonts w:hint="eastAsia"/>
          <w:color w:val="auto"/>
        </w:rPr>
        <w:t>10</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rPr>
      </w:pPr>
      <w:r>
        <w:rPr>
          <w:rFonts w:hint="eastAsia"/>
          <w:color w:val="auto"/>
        </w:rPr>
        <w:t>10</w:t>
      </w:r>
      <w:r>
        <w:rPr>
          <w:color w:val="auto"/>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5"/>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5"/>
        <w:ind w:firstLine="600"/>
        <w:rPr>
          <w:color w:val="auto"/>
        </w:rPr>
      </w:pPr>
      <w:r>
        <w:rPr>
          <w:color w:val="auto"/>
        </w:rPr>
        <w:t>1</w:t>
      </w:r>
      <w:r>
        <w:rPr>
          <w:rFonts w:hint="eastAsia"/>
          <w:color w:val="auto"/>
        </w:rPr>
        <w:t>2</w:t>
      </w:r>
      <w:r>
        <w:rPr>
          <w:color w:val="auto"/>
        </w:rPr>
        <w:t xml:space="preserve">.1 </w:t>
      </w:r>
      <w:r>
        <w:rPr>
          <w:rFonts w:hint="eastAsia"/>
          <w:color w:val="auto"/>
        </w:rPr>
        <w:t>若在合同履行过程中发生争议，甲乙双方应当友好协商解决，协商不成，按以下第（</w:t>
      </w:r>
      <w:r>
        <w:rPr>
          <w:color w:val="auto"/>
        </w:rPr>
        <w:t xml:space="preserve">   ） 种方式解决：</w:t>
      </w:r>
    </w:p>
    <w:p>
      <w:pPr>
        <w:pStyle w:val="5"/>
        <w:ind w:firstLine="600"/>
        <w:rPr>
          <w:color w:val="auto"/>
        </w:rPr>
      </w:pPr>
      <w:r>
        <w:rPr>
          <w:rFonts w:hint="eastAsia"/>
          <w:color w:val="auto"/>
        </w:rPr>
        <w:t>（一）提交重庆仲裁委员会，按照申请仲裁时该会现行有效的仲裁规则进行仲裁。</w:t>
      </w:r>
    </w:p>
    <w:p>
      <w:pPr>
        <w:pStyle w:val="5"/>
        <w:ind w:firstLine="600"/>
        <w:rPr>
          <w:color w:val="auto"/>
        </w:rPr>
      </w:pPr>
      <w:r>
        <w:rPr>
          <w:rFonts w:hint="eastAsia"/>
          <w:color w:val="auto"/>
        </w:rPr>
        <w:t>（二）向</w:t>
      </w:r>
      <w:r>
        <w:rPr>
          <w:color w:val="auto"/>
        </w:rPr>
        <w:t>甲方所在地人民法院起诉。</w:t>
      </w:r>
    </w:p>
    <w:p>
      <w:pPr>
        <w:pStyle w:val="5"/>
        <w:ind w:firstLine="600"/>
        <w:rPr>
          <w:color w:val="auto"/>
        </w:rPr>
      </w:pPr>
      <w:r>
        <w:rPr>
          <w:color w:val="auto"/>
        </w:rPr>
        <w:t>1</w:t>
      </w:r>
      <w:r>
        <w:rPr>
          <w:rFonts w:hint="eastAsia"/>
          <w:color w:val="auto"/>
        </w:rPr>
        <w:t>2</w:t>
      </w:r>
      <w:r>
        <w:rPr>
          <w:color w:val="auto"/>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5"/>
        <w:ind w:firstLine="600"/>
        <w:rPr>
          <w:color w:val="auto"/>
        </w:rPr>
      </w:pPr>
      <w:r>
        <w:rPr>
          <w:color w:val="auto"/>
        </w:rPr>
        <w:t>1</w:t>
      </w:r>
      <w:r>
        <w:rPr>
          <w:rFonts w:hint="eastAsia"/>
          <w:color w:val="auto"/>
        </w:rPr>
        <w:t>3</w:t>
      </w:r>
      <w:r>
        <w:rPr>
          <w:color w:val="auto"/>
        </w:rPr>
        <w:t>.1 本合同履行过程中，</w:t>
      </w:r>
      <w:bookmarkStart w:id="17" w:name="_GoBack"/>
      <w:bookmarkEnd w:id="17"/>
      <w:r>
        <w:rPr>
          <w:color w:val="auto"/>
        </w:rPr>
        <w:t>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pStyle w:val="5"/>
        <w:ind w:firstLine="600"/>
        <w:rPr>
          <w:color w:val="auto"/>
        </w:rPr>
      </w:pPr>
      <w:r>
        <w:rPr>
          <w:color w:val="auto"/>
        </w:rPr>
        <w:t>1</w:t>
      </w:r>
      <w:r>
        <w:rPr>
          <w:rFonts w:hint="eastAsia"/>
          <w:color w:val="auto"/>
        </w:rPr>
        <w:t>3</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5"/>
        <w:ind w:firstLine="600"/>
        <w:rPr>
          <w:color w:val="auto"/>
        </w:rPr>
      </w:pPr>
      <w:r>
        <w:rPr>
          <w:color w:val="auto"/>
        </w:rPr>
        <w:t>1</w:t>
      </w:r>
      <w:r>
        <w:rPr>
          <w:rFonts w:hint="eastAsia"/>
          <w:color w:val="auto"/>
        </w:rPr>
        <w:t>4</w:t>
      </w:r>
      <w:r>
        <w:rPr>
          <w:color w:val="auto"/>
        </w:rPr>
        <w:t xml:space="preserve">.1 </w:t>
      </w:r>
      <w:r>
        <w:rPr>
          <w:rFonts w:hint="eastAsia"/>
          <w:color w:val="auto"/>
        </w:rPr>
        <w:t>乙方和甲方约定合同内容双方签字或盖章后生效，生效后不得以其他原因单方取消约定</w:t>
      </w:r>
      <w:r>
        <w:rPr>
          <w:color w:val="auto"/>
        </w:rPr>
        <w:t>。</w:t>
      </w:r>
    </w:p>
    <w:p>
      <w:pPr>
        <w:pStyle w:val="5"/>
        <w:ind w:firstLine="600"/>
        <w:rPr>
          <w:color w:val="auto"/>
        </w:rPr>
      </w:pPr>
      <w:r>
        <w:rPr>
          <w:color w:val="auto"/>
        </w:rPr>
        <w:t>1</w:t>
      </w:r>
      <w:r>
        <w:rPr>
          <w:rFonts w:hint="eastAsia"/>
          <w:color w:val="auto"/>
        </w:rPr>
        <w:t>4</w:t>
      </w:r>
      <w:r>
        <w:rPr>
          <w:color w:val="auto"/>
        </w:rPr>
        <w:t>.</w:t>
      </w:r>
      <w:r>
        <w:rPr>
          <w:rFonts w:hint="eastAsia"/>
          <w:color w:val="auto"/>
        </w:rPr>
        <w:t>2</w:t>
      </w:r>
      <w:r>
        <w:rPr>
          <w:color w:val="auto"/>
        </w:rPr>
        <w:t xml:space="preserve"> 本合同一式</w:t>
      </w:r>
      <w:r>
        <w:rPr>
          <w:rFonts w:hint="eastAsia"/>
          <w:color w:val="auto"/>
        </w:rPr>
        <w:t xml:space="preserve">【 </w:t>
      </w:r>
      <w:r>
        <w:rPr>
          <w:color w:val="auto"/>
        </w:rPr>
        <w:t xml:space="preserve"> </w:t>
      </w:r>
      <w:r>
        <w:rPr>
          <w:rFonts w:hint="eastAsia"/>
          <w:color w:val="auto"/>
        </w:rPr>
        <w:t>】</w:t>
      </w:r>
      <w:r>
        <w:rPr>
          <w:color w:val="auto"/>
        </w:rPr>
        <w:t>份，甲方执</w:t>
      </w:r>
      <w:r>
        <w:rPr>
          <w:rFonts w:hint="eastAsia"/>
          <w:color w:val="auto"/>
        </w:rPr>
        <w:t xml:space="preserve">【 </w:t>
      </w:r>
      <w:r>
        <w:rPr>
          <w:color w:val="auto"/>
        </w:rPr>
        <w:t xml:space="preserve"> </w:t>
      </w:r>
      <w:r>
        <w:rPr>
          <w:rFonts w:hint="eastAsia"/>
          <w:color w:val="auto"/>
        </w:rPr>
        <w:t>】</w:t>
      </w:r>
      <w:r>
        <w:rPr>
          <w:color w:val="auto"/>
        </w:rPr>
        <w:t>份，乙方执</w:t>
      </w:r>
      <w:r>
        <w:rPr>
          <w:rFonts w:hint="eastAsia"/>
          <w:color w:val="auto"/>
        </w:rPr>
        <w:t xml:space="preserve">【 </w:t>
      </w:r>
      <w:r>
        <w:rPr>
          <w:color w:val="auto"/>
        </w:rPr>
        <w:t xml:space="preserve"> </w:t>
      </w:r>
      <w:r>
        <w:rPr>
          <w:rFonts w:hint="eastAsia"/>
          <w:color w:val="auto"/>
        </w:rPr>
        <w:t>】</w:t>
      </w:r>
      <w:r>
        <w:rPr>
          <w:color w:val="auto"/>
        </w:rPr>
        <w:t>份</w:t>
      </w:r>
      <w:r>
        <w:rPr>
          <w:rFonts w:hint="eastAsia"/>
          <w:color w:val="auto"/>
        </w:rPr>
        <w:t>，具有同等法律效力</w:t>
      </w:r>
      <w:r>
        <w:rPr>
          <w:color w:val="auto"/>
        </w:rPr>
        <w:t>。</w:t>
      </w:r>
    </w:p>
    <w:p>
      <w:pPr>
        <w:pStyle w:val="5"/>
        <w:ind w:firstLine="602"/>
        <w:rPr>
          <w:rFonts w:hint="eastAsia"/>
          <w:b/>
          <w:bCs/>
          <w:color w:val="auto"/>
        </w:rPr>
      </w:pPr>
    </w:p>
    <w:p>
      <w:pPr>
        <w:pStyle w:val="5"/>
        <w:ind w:firstLine="602"/>
        <w:rPr>
          <w:color w:val="auto"/>
        </w:rPr>
      </w:pPr>
      <w:r>
        <w:rPr>
          <w:b/>
          <w:bCs/>
          <w:color w:val="auto"/>
        </w:rPr>
        <w:t>甲方（盖章）：</w:t>
      </w:r>
    </w:p>
    <w:p>
      <w:pPr>
        <w:pStyle w:val="5"/>
        <w:ind w:firstLine="600"/>
        <w:rPr>
          <w:color w:val="auto"/>
        </w:rPr>
      </w:pPr>
      <w:r>
        <w:rPr>
          <w:color w:val="auto"/>
        </w:rPr>
        <w:t>法定代表人或授权代表（签字）：</w:t>
      </w:r>
    </w:p>
    <w:p>
      <w:pPr>
        <w:pStyle w:val="5"/>
        <w:ind w:firstLine="600"/>
        <w:rPr>
          <w:color w:val="auto"/>
        </w:rPr>
      </w:pPr>
    </w:p>
    <w:p>
      <w:pPr>
        <w:pStyle w:val="5"/>
        <w:ind w:firstLine="602"/>
        <w:rPr>
          <w:rFonts w:hint="eastAsia"/>
          <w:b/>
          <w:bCs/>
          <w:color w:val="auto"/>
        </w:rPr>
      </w:pPr>
    </w:p>
    <w:p>
      <w:pPr>
        <w:pStyle w:val="5"/>
        <w:ind w:firstLine="602"/>
        <w:rPr>
          <w:color w:val="auto"/>
        </w:rPr>
      </w:pPr>
      <w:r>
        <w:rPr>
          <w:b/>
          <w:bCs/>
          <w:color w:val="auto"/>
        </w:rPr>
        <w:t>乙方（盖章）：</w:t>
      </w:r>
    </w:p>
    <w:p>
      <w:pPr>
        <w:pStyle w:val="5"/>
        <w:ind w:firstLine="600"/>
        <w:rPr>
          <w:rFonts w:ascii="仿宋" w:eastAsia="仿宋" w:cs="仿宋"/>
          <w:bCs/>
          <w:color w:val="auto"/>
          <w:szCs w:val="21"/>
        </w:rPr>
        <w:sectPr>
          <w:footerReference r:id="rId7" w:type="default"/>
          <w:pgSz w:w="11906" w:h="16838"/>
          <w:pgMar w:top="1440" w:right="1800" w:bottom="1440" w:left="1800" w:header="851" w:footer="992" w:gutter="0"/>
          <w:cols w:space="720" w:num="1"/>
          <w:docGrid w:type="lines" w:linePitch="312" w:charSpace="0"/>
        </w:sectPr>
      </w:pPr>
      <w:r>
        <w:rPr>
          <w:color w:val="auto"/>
        </w:rPr>
        <w:t>法定代表人或授权代表（签字）</w:t>
      </w:r>
    </w:p>
    <w:p>
      <w:pPr>
        <w:spacing w:after="156" w:afterLines="50"/>
        <w:ind w:right="964" w:firstLine="6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第四章 技术参数及工艺</w:t>
      </w:r>
    </w:p>
    <w:p>
      <w:pPr>
        <w:pStyle w:val="5"/>
        <w:ind w:firstLine="0" w:firstLineChars="0"/>
        <w:jc w:val="center"/>
        <w:rPr>
          <w:color w:val="auto"/>
        </w:rPr>
      </w:pPr>
      <w:r>
        <w:rPr>
          <w:rFonts w:hint="eastAsia"/>
          <w:color w:val="auto"/>
        </w:rPr>
        <w:t>隔离围挡参考图</w:t>
      </w:r>
    </w:p>
    <w:p>
      <w:pPr>
        <w:pStyle w:val="13"/>
        <w:jc w:val="both"/>
        <w:rPr>
          <w:rFonts w:hint="eastAsia"/>
        </w:rPr>
      </w:pPr>
    </w:p>
    <w:p>
      <w:r>
        <w:rPr>
          <w:rFonts w:hint="eastAsia"/>
        </w:rPr>
        <w:pict>
          <v:shape id="图片 1" o:spid="_x0000_s1026" o:spt="75" alt="7b5e63e5da7a611d24881a8cfafcdb4" type="#_x0000_t75" style="position:absolute;left:0pt;margin-left:-34.7pt;margin-top:1.5pt;height:270pt;width:492pt;mso-wrap-distance-bottom:0pt;mso-wrap-distance-left:9pt;mso-wrap-distance-right:9pt;mso-wrap-distance-top:0pt;z-index:251659264;mso-width-relative:page;mso-height-relative:page;" filled="f" o:preferrelative="t" stroked="f" coordsize="21600,21600">
            <v:path/>
            <v:fill on="f" focussize="0,0"/>
            <v:stroke on="f"/>
            <v:imagedata r:id="rId10" o:title="7b5e63e5da7a611d24881a8cfafcdb4"/>
            <o:lock v:ext="edit" aspectratio="t"/>
            <w10:wrap type="square"/>
          </v:shape>
        </w:pict>
      </w:r>
    </w:p>
    <w:p>
      <w:pPr>
        <w:pStyle w:val="2"/>
      </w:pPr>
    </w:p>
    <w:p/>
    <w:p>
      <w:pPr>
        <w:pStyle w:val="2"/>
      </w:pPr>
    </w:p>
    <w:p/>
    <w:p>
      <w:pPr>
        <w:pStyle w:val="2"/>
      </w:pPr>
    </w:p>
    <w:p/>
    <w:p>
      <w:pPr>
        <w:pStyle w:val="2"/>
      </w:pPr>
    </w:p>
    <w:p/>
    <w:p>
      <w:pPr>
        <w:pStyle w:val="2"/>
      </w:pPr>
    </w:p>
    <w:p/>
    <w:p>
      <w:pPr>
        <w:pStyle w:val="2"/>
      </w:pPr>
    </w:p>
    <w:p>
      <w:pPr>
        <w:snapToGrid w:val="0"/>
        <w:jc w:val="center"/>
        <w:rPr>
          <w:rFonts w:ascii="仿宋" w:hAnsi="仿宋" w:eastAsia="仿宋" w:cs="仿宋"/>
          <w:sz w:val="28"/>
          <w:szCs w:val="28"/>
        </w:rPr>
      </w:pPr>
      <w:r>
        <w:rPr>
          <w:rFonts w:hint="eastAsia" w:ascii="仿宋" w:hAnsi="仿宋" w:eastAsia="仿宋" w:cs="仿宋"/>
          <w:sz w:val="28"/>
          <w:szCs w:val="28"/>
        </w:rPr>
        <w:t>采购需求表</w:t>
      </w:r>
    </w:p>
    <w:p/>
    <w:p>
      <w:pPr>
        <w:pStyle w:val="2"/>
      </w:pPr>
    </w:p>
    <w:tbl>
      <w:tblPr>
        <w:tblStyle w:val="14"/>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605"/>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7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品名</w:t>
            </w:r>
          </w:p>
        </w:tc>
        <w:tc>
          <w:tcPr>
            <w:tcW w:w="1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数量</w:t>
            </w:r>
          </w:p>
        </w:tc>
        <w:tc>
          <w:tcPr>
            <w:tcW w:w="6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7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隔离围挡</w:t>
            </w:r>
          </w:p>
        </w:tc>
        <w:tc>
          <w:tcPr>
            <w:tcW w:w="1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200块</w:t>
            </w:r>
          </w:p>
        </w:tc>
        <w:tc>
          <w:tcPr>
            <w:tcW w:w="6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1.产品材质：</w:t>
            </w: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1 \* GB3 \* MERGEFORMAT </w:instrText>
            </w:r>
            <w:r>
              <w:rPr>
                <w:rFonts w:hint="eastAsia" w:ascii="方正仿宋_GBK" w:hAnsi="方正仿宋_GBK" w:eastAsia="方正仿宋_GBK" w:cs="方正仿宋_GBK"/>
                <w:bCs/>
                <w:sz w:val="32"/>
                <w:szCs w:val="44"/>
                <w:lang w:val="en-US" w:eastAsia="zh-CN"/>
              </w:rPr>
              <w:fldChar w:fldCharType="separate"/>
            </w:r>
            <w:r>
              <w:t>①</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不锈钢管+PVC弯头连接。</w:t>
            </w: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2 \* GB3 \* MERGEFORMAT </w:instrText>
            </w:r>
            <w:r>
              <w:rPr>
                <w:rFonts w:hint="eastAsia" w:ascii="方正仿宋_GBK" w:hAnsi="方正仿宋_GBK" w:eastAsia="方正仿宋_GBK" w:cs="方正仿宋_GBK"/>
                <w:bCs/>
                <w:sz w:val="32"/>
                <w:szCs w:val="44"/>
                <w:lang w:val="en-US" w:eastAsia="zh-CN"/>
              </w:rPr>
              <w:fldChar w:fldCharType="separate"/>
            </w:r>
            <w:r>
              <w:t>②</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优质牛津布。</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2.产品规格：每块1800mm*550mm。</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3.产品要求：</w:t>
            </w: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1 \* GB3 \* MERGEFORMAT </w:instrText>
            </w:r>
            <w:r>
              <w:rPr>
                <w:rFonts w:hint="eastAsia" w:ascii="方正仿宋_GBK" w:hAnsi="方正仿宋_GBK" w:eastAsia="方正仿宋_GBK" w:cs="方正仿宋_GBK"/>
                <w:bCs/>
                <w:sz w:val="32"/>
                <w:szCs w:val="44"/>
                <w:lang w:val="en-US" w:eastAsia="zh-CN"/>
              </w:rPr>
              <w:fldChar w:fldCharType="separate"/>
            </w:r>
            <w:r>
              <w:t>①</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每块围挡中间有反光条。</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2 \* GB3 \* MERGEFORMAT </w:instrText>
            </w:r>
            <w:r>
              <w:rPr>
                <w:rFonts w:hint="eastAsia" w:ascii="方正仿宋_GBK" w:hAnsi="方正仿宋_GBK" w:eastAsia="方正仿宋_GBK" w:cs="方正仿宋_GBK"/>
                <w:bCs/>
                <w:sz w:val="32"/>
                <w:szCs w:val="44"/>
                <w:lang w:val="en-US" w:eastAsia="zh-CN"/>
              </w:rPr>
              <w:fldChar w:fldCharType="separate"/>
            </w:r>
            <w:r>
              <w:t>②</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每块围挡配置2个底脚保证单块可独立。</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3 \* GB3 \* MERGEFORMAT </w:instrText>
            </w:r>
            <w:r>
              <w:rPr>
                <w:rFonts w:hint="eastAsia" w:ascii="方正仿宋_GBK" w:hAnsi="方正仿宋_GBK" w:eastAsia="方正仿宋_GBK" w:cs="方正仿宋_GBK"/>
                <w:bCs/>
                <w:sz w:val="32"/>
                <w:szCs w:val="44"/>
                <w:lang w:val="en-US" w:eastAsia="zh-CN"/>
              </w:rPr>
              <w:fldChar w:fldCharType="separate"/>
            </w:r>
            <w:r>
              <w:t>③</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每块围挡配置2个卡扣保证多块围挡连接稳定。</w:t>
            </w:r>
          </w:p>
        </w:tc>
      </w:tr>
    </w:tbl>
    <w:p>
      <w:pPr>
        <w:pStyle w:val="13"/>
        <w:jc w:val="both"/>
      </w:pPr>
    </w:p>
    <w:p>
      <w:pPr>
        <w:pStyle w:val="10"/>
        <w:rPr>
          <w:rFonts w:hint="eastAsia"/>
        </w:rPr>
      </w:pPr>
    </w:p>
    <w:p>
      <w:pPr>
        <w:rPr>
          <w:rFonts w:hint="eastAsia" w:eastAsiaTheme="minorEastAsia"/>
          <w:lang w:eastAsia="zh-CN"/>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16</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17</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18</w:t>
    </w:r>
    <w:r>
      <w:rPr>
        <w:lang w:val="zh-CN"/>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3D26F"/>
    <w:multiLevelType w:val="singleLevel"/>
    <w:tmpl w:val="0B03D26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MzQzNzAyZGQwMTA0YzZmMWRmYzJhN2JkMDdhYTEifQ=="/>
  </w:docVars>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86DAC"/>
    <w:rsid w:val="000A3B23"/>
    <w:rsid w:val="000B4109"/>
    <w:rsid w:val="000B753E"/>
    <w:rsid w:val="000B7659"/>
    <w:rsid w:val="000C02DD"/>
    <w:rsid w:val="000D124A"/>
    <w:rsid w:val="000D521A"/>
    <w:rsid w:val="000E2F2F"/>
    <w:rsid w:val="000E5E1E"/>
    <w:rsid w:val="000F3310"/>
    <w:rsid w:val="000F4E07"/>
    <w:rsid w:val="00103882"/>
    <w:rsid w:val="00106E21"/>
    <w:rsid w:val="00126337"/>
    <w:rsid w:val="0013184B"/>
    <w:rsid w:val="00140784"/>
    <w:rsid w:val="001460DD"/>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52ADC"/>
    <w:rsid w:val="00264544"/>
    <w:rsid w:val="00266533"/>
    <w:rsid w:val="0028006E"/>
    <w:rsid w:val="002834F6"/>
    <w:rsid w:val="00286536"/>
    <w:rsid w:val="00287E0A"/>
    <w:rsid w:val="002B75E8"/>
    <w:rsid w:val="002C0F34"/>
    <w:rsid w:val="002C2033"/>
    <w:rsid w:val="002C2AD3"/>
    <w:rsid w:val="002C46DA"/>
    <w:rsid w:val="002C52F9"/>
    <w:rsid w:val="002D6F8E"/>
    <w:rsid w:val="002E5FDE"/>
    <w:rsid w:val="002F5A5B"/>
    <w:rsid w:val="002F6E00"/>
    <w:rsid w:val="002F7CA1"/>
    <w:rsid w:val="002F7F31"/>
    <w:rsid w:val="00300C2A"/>
    <w:rsid w:val="00306DDC"/>
    <w:rsid w:val="00311324"/>
    <w:rsid w:val="00317034"/>
    <w:rsid w:val="00331C37"/>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28F7"/>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BF2"/>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AF2"/>
    <w:rsid w:val="004F2FAB"/>
    <w:rsid w:val="004F307F"/>
    <w:rsid w:val="004F3384"/>
    <w:rsid w:val="004F3F16"/>
    <w:rsid w:val="004F6B0B"/>
    <w:rsid w:val="0052266E"/>
    <w:rsid w:val="00550BF1"/>
    <w:rsid w:val="00566ECB"/>
    <w:rsid w:val="005766B4"/>
    <w:rsid w:val="0058393D"/>
    <w:rsid w:val="005863EB"/>
    <w:rsid w:val="00591811"/>
    <w:rsid w:val="00596D40"/>
    <w:rsid w:val="005A0892"/>
    <w:rsid w:val="005B2C03"/>
    <w:rsid w:val="005B593D"/>
    <w:rsid w:val="005B5E40"/>
    <w:rsid w:val="005B623B"/>
    <w:rsid w:val="005B6DF6"/>
    <w:rsid w:val="005B72F8"/>
    <w:rsid w:val="005C1EB5"/>
    <w:rsid w:val="005C4CBA"/>
    <w:rsid w:val="005C7814"/>
    <w:rsid w:val="005C79AE"/>
    <w:rsid w:val="005D79B3"/>
    <w:rsid w:val="005E3A7E"/>
    <w:rsid w:val="005E467A"/>
    <w:rsid w:val="005F4A5B"/>
    <w:rsid w:val="006078C9"/>
    <w:rsid w:val="00610FBA"/>
    <w:rsid w:val="00622C32"/>
    <w:rsid w:val="00626931"/>
    <w:rsid w:val="00632C72"/>
    <w:rsid w:val="006331B5"/>
    <w:rsid w:val="006448B9"/>
    <w:rsid w:val="00646279"/>
    <w:rsid w:val="0064646F"/>
    <w:rsid w:val="0064740A"/>
    <w:rsid w:val="00650D7A"/>
    <w:rsid w:val="006523A8"/>
    <w:rsid w:val="00653540"/>
    <w:rsid w:val="006603E9"/>
    <w:rsid w:val="0066423D"/>
    <w:rsid w:val="0066539F"/>
    <w:rsid w:val="0066710E"/>
    <w:rsid w:val="0066722C"/>
    <w:rsid w:val="006700E0"/>
    <w:rsid w:val="0067214B"/>
    <w:rsid w:val="00677063"/>
    <w:rsid w:val="00677C64"/>
    <w:rsid w:val="00693C5F"/>
    <w:rsid w:val="00694CA2"/>
    <w:rsid w:val="00694E61"/>
    <w:rsid w:val="006964FC"/>
    <w:rsid w:val="006A6604"/>
    <w:rsid w:val="006B78A8"/>
    <w:rsid w:val="006C49D1"/>
    <w:rsid w:val="006E0BFC"/>
    <w:rsid w:val="006E55F4"/>
    <w:rsid w:val="006E7700"/>
    <w:rsid w:val="006E7EC8"/>
    <w:rsid w:val="006F0D23"/>
    <w:rsid w:val="00701961"/>
    <w:rsid w:val="0070395B"/>
    <w:rsid w:val="007118BA"/>
    <w:rsid w:val="00722EF1"/>
    <w:rsid w:val="00725B66"/>
    <w:rsid w:val="00736352"/>
    <w:rsid w:val="007540E5"/>
    <w:rsid w:val="007544BD"/>
    <w:rsid w:val="007565FF"/>
    <w:rsid w:val="00760A24"/>
    <w:rsid w:val="0076301C"/>
    <w:rsid w:val="00766B00"/>
    <w:rsid w:val="0077011C"/>
    <w:rsid w:val="0078149A"/>
    <w:rsid w:val="00783017"/>
    <w:rsid w:val="00783450"/>
    <w:rsid w:val="007872F8"/>
    <w:rsid w:val="00790155"/>
    <w:rsid w:val="00790859"/>
    <w:rsid w:val="007950D5"/>
    <w:rsid w:val="007A23F4"/>
    <w:rsid w:val="007A25BA"/>
    <w:rsid w:val="007A2B55"/>
    <w:rsid w:val="007B21E1"/>
    <w:rsid w:val="007C1F70"/>
    <w:rsid w:val="007E0D23"/>
    <w:rsid w:val="007E19FA"/>
    <w:rsid w:val="007E4029"/>
    <w:rsid w:val="007E667B"/>
    <w:rsid w:val="007F0083"/>
    <w:rsid w:val="008137A3"/>
    <w:rsid w:val="0081544B"/>
    <w:rsid w:val="00833172"/>
    <w:rsid w:val="00835B1F"/>
    <w:rsid w:val="008376F2"/>
    <w:rsid w:val="008602A9"/>
    <w:rsid w:val="00867EEC"/>
    <w:rsid w:val="008760AC"/>
    <w:rsid w:val="008800A8"/>
    <w:rsid w:val="00883BBC"/>
    <w:rsid w:val="00883E00"/>
    <w:rsid w:val="008841FD"/>
    <w:rsid w:val="008903C7"/>
    <w:rsid w:val="008913B8"/>
    <w:rsid w:val="008A0078"/>
    <w:rsid w:val="008B073C"/>
    <w:rsid w:val="008B5D37"/>
    <w:rsid w:val="008C5EA9"/>
    <w:rsid w:val="008C74BC"/>
    <w:rsid w:val="008E2C9F"/>
    <w:rsid w:val="008E77FF"/>
    <w:rsid w:val="0093115C"/>
    <w:rsid w:val="009325DE"/>
    <w:rsid w:val="00941604"/>
    <w:rsid w:val="00942CCC"/>
    <w:rsid w:val="0096421C"/>
    <w:rsid w:val="00973BDE"/>
    <w:rsid w:val="0098379E"/>
    <w:rsid w:val="009865AA"/>
    <w:rsid w:val="00990CE0"/>
    <w:rsid w:val="00996A4C"/>
    <w:rsid w:val="009A6D83"/>
    <w:rsid w:val="009B1D87"/>
    <w:rsid w:val="009B30A2"/>
    <w:rsid w:val="009B4B99"/>
    <w:rsid w:val="009C1103"/>
    <w:rsid w:val="009D00D9"/>
    <w:rsid w:val="009D1F92"/>
    <w:rsid w:val="009D5971"/>
    <w:rsid w:val="009E193A"/>
    <w:rsid w:val="009E7138"/>
    <w:rsid w:val="009F1A57"/>
    <w:rsid w:val="009F7D2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C7AC1"/>
    <w:rsid w:val="00AD0062"/>
    <w:rsid w:val="00AD04F5"/>
    <w:rsid w:val="00AD1B3B"/>
    <w:rsid w:val="00AD3C9F"/>
    <w:rsid w:val="00AD460B"/>
    <w:rsid w:val="00AD5218"/>
    <w:rsid w:val="00AE1E61"/>
    <w:rsid w:val="00AE450D"/>
    <w:rsid w:val="00AF1739"/>
    <w:rsid w:val="00AF6F3E"/>
    <w:rsid w:val="00B0617B"/>
    <w:rsid w:val="00B07E47"/>
    <w:rsid w:val="00B22AD5"/>
    <w:rsid w:val="00B23001"/>
    <w:rsid w:val="00B27562"/>
    <w:rsid w:val="00B31151"/>
    <w:rsid w:val="00B3115C"/>
    <w:rsid w:val="00B44196"/>
    <w:rsid w:val="00B719CE"/>
    <w:rsid w:val="00B73FE8"/>
    <w:rsid w:val="00B81C3E"/>
    <w:rsid w:val="00B83591"/>
    <w:rsid w:val="00B9601F"/>
    <w:rsid w:val="00B9641D"/>
    <w:rsid w:val="00BA0571"/>
    <w:rsid w:val="00BA1401"/>
    <w:rsid w:val="00BA1D26"/>
    <w:rsid w:val="00BB07FB"/>
    <w:rsid w:val="00BB0CC3"/>
    <w:rsid w:val="00BC4195"/>
    <w:rsid w:val="00BE5FE2"/>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D06"/>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2910"/>
    <w:rsid w:val="00D75600"/>
    <w:rsid w:val="00D80CA9"/>
    <w:rsid w:val="00D81DC5"/>
    <w:rsid w:val="00D83800"/>
    <w:rsid w:val="00DA1CBE"/>
    <w:rsid w:val="00DB73DB"/>
    <w:rsid w:val="00DB7989"/>
    <w:rsid w:val="00DD5764"/>
    <w:rsid w:val="00DD6002"/>
    <w:rsid w:val="00DF0117"/>
    <w:rsid w:val="00DF1292"/>
    <w:rsid w:val="00DF18B6"/>
    <w:rsid w:val="00DF642B"/>
    <w:rsid w:val="00E039E8"/>
    <w:rsid w:val="00E053CA"/>
    <w:rsid w:val="00E14889"/>
    <w:rsid w:val="00E16198"/>
    <w:rsid w:val="00E20738"/>
    <w:rsid w:val="00E22D77"/>
    <w:rsid w:val="00E259EA"/>
    <w:rsid w:val="00E26BB4"/>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03FCB"/>
    <w:rsid w:val="00F1365F"/>
    <w:rsid w:val="00F15466"/>
    <w:rsid w:val="00F172DB"/>
    <w:rsid w:val="00F23D92"/>
    <w:rsid w:val="00F25E04"/>
    <w:rsid w:val="00F2773C"/>
    <w:rsid w:val="00F3207E"/>
    <w:rsid w:val="00F33397"/>
    <w:rsid w:val="00F33FB2"/>
    <w:rsid w:val="00F40190"/>
    <w:rsid w:val="00F479F7"/>
    <w:rsid w:val="00F50101"/>
    <w:rsid w:val="00F5221B"/>
    <w:rsid w:val="00F534C5"/>
    <w:rsid w:val="00F60BBD"/>
    <w:rsid w:val="00F62309"/>
    <w:rsid w:val="00F62AC2"/>
    <w:rsid w:val="00F62E33"/>
    <w:rsid w:val="00F70CF8"/>
    <w:rsid w:val="00F74A15"/>
    <w:rsid w:val="00F8042D"/>
    <w:rsid w:val="00F83691"/>
    <w:rsid w:val="00F85181"/>
    <w:rsid w:val="00FA17E2"/>
    <w:rsid w:val="00FA6503"/>
    <w:rsid w:val="00FB4220"/>
    <w:rsid w:val="00FD5A31"/>
    <w:rsid w:val="00FE1A52"/>
    <w:rsid w:val="00FE7DA0"/>
    <w:rsid w:val="00FF1C7D"/>
    <w:rsid w:val="00FF5E49"/>
    <w:rsid w:val="01602F86"/>
    <w:rsid w:val="018E717F"/>
    <w:rsid w:val="01F659BF"/>
    <w:rsid w:val="03CF7E11"/>
    <w:rsid w:val="040A367A"/>
    <w:rsid w:val="060F729A"/>
    <w:rsid w:val="06926D13"/>
    <w:rsid w:val="06B0704C"/>
    <w:rsid w:val="07672918"/>
    <w:rsid w:val="08426FE4"/>
    <w:rsid w:val="0D627774"/>
    <w:rsid w:val="101B284F"/>
    <w:rsid w:val="12A53375"/>
    <w:rsid w:val="142106CB"/>
    <w:rsid w:val="15562486"/>
    <w:rsid w:val="15925856"/>
    <w:rsid w:val="160328D4"/>
    <w:rsid w:val="16301051"/>
    <w:rsid w:val="17DE7B89"/>
    <w:rsid w:val="1AE76FFF"/>
    <w:rsid w:val="1B16111B"/>
    <w:rsid w:val="1B9F424C"/>
    <w:rsid w:val="1BB82069"/>
    <w:rsid w:val="1C2D30C9"/>
    <w:rsid w:val="1DF02B0F"/>
    <w:rsid w:val="1F280F81"/>
    <w:rsid w:val="1F35392A"/>
    <w:rsid w:val="1F9C4C67"/>
    <w:rsid w:val="212A49FB"/>
    <w:rsid w:val="212D69FF"/>
    <w:rsid w:val="23E76A3C"/>
    <w:rsid w:val="244E24FB"/>
    <w:rsid w:val="249049CA"/>
    <w:rsid w:val="25483BCA"/>
    <w:rsid w:val="26DF36D3"/>
    <w:rsid w:val="27BA305D"/>
    <w:rsid w:val="2A274E2E"/>
    <w:rsid w:val="2B3542A3"/>
    <w:rsid w:val="2BD72CF4"/>
    <w:rsid w:val="2CFB11A2"/>
    <w:rsid w:val="2DF405C8"/>
    <w:rsid w:val="30325ADB"/>
    <w:rsid w:val="31D2212D"/>
    <w:rsid w:val="32033C93"/>
    <w:rsid w:val="34D216D9"/>
    <w:rsid w:val="34DB1494"/>
    <w:rsid w:val="352F51AE"/>
    <w:rsid w:val="35A34467"/>
    <w:rsid w:val="36A37587"/>
    <w:rsid w:val="36B961EF"/>
    <w:rsid w:val="37E65FB7"/>
    <w:rsid w:val="38FA1B4F"/>
    <w:rsid w:val="3C72087E"/>
    <w:rsid w:val="3EC95C23"/>
    <w:rsid w:val="476A02AE"/>
    <w:rsid w:val="478606C9"/>
    <w:rsid w:val="482F185E"/>
    <w:rsid w:val="496E70F1"/>
    <w:rsid w:val="4B7B0B96"/>
    <w:rsid w:val="4C0842E9"/>
    <w:rsid w:val="4C751AC4"/>
    <w:rsid w:val="4CB2340C"/>
    <w:rsid w:val="4E143DFE"/>
    <w:rsid w:val="4E770AF7"/>
    <w:rsid w:val="4F5A7728"/>
    <w:rsid w:val="4F627390"/>
    <w:rsid w:val="50405490"/>
    <w:rsid w:val="521C4028"/>
    <w:rsid w:val="53F3079B"/>
    <w:rsid w:val="55135CF8"/>
    <w:rsid w:val="556C49F8"/>
    <w:rsid w:val="55F16B50"/>
    <w:rsid w:val="57A71AC0"/>
    <w:rsid w:val="57B36946"/>
    <w:rsid w:val="58094566"/>
    <w:rsid w:val="589769FA"/>
    <w:rsid w:val="58F218A3"/>
    <w:rsid w:val="5AA813B1"/>
    <w:rsid w:val="5AEF3917"/>
    <w:rsid w:val="5B6A0EC7"/>
    <w:rsid w:val="5C3A4E1A"/>
    <w:rsid w:val="5CEA61C6"/>
    <w:rsid w:val="5D4F0448"/>
    <w:rsid w:val="5DB177DC"/>
    <w:rsid w:val="5F457474"/>
    <w:rsid w:val="60681418"/>
    <w:rsid w:val="60D92970"/>
    <w:rsid w:val="628435E1"/>
    <w:rsid w:val="63DA469D"/>
    <w:rsid w:val="649033DA"/>
    <w:rsid w:val="667D7612"/>
    <w:rsid w:val="67F65044"/>
    <w:rsid w:val="67FC6B6C"/>
    <w:rsid w:val="684C2802"/>
    <w:rsid w:val="685B6492"/>
    <w:rsid w:val="68D77461"/>
    <w:rsid w:val="68E8359D"/>
    <w:rsid w:val="6B4E3E2F"/>
    <w:rsid w:val="6B995283"/>
    <w:rsid w:val="6C5E0BC9"/>
    <w:rsid w:val="6DBD715A"/>
    <w:rsid w:val="6E952507"/>
    <w:rsid w:val="704B51EC"/>
    <w:rsid w:val="70577E51"/>
    <w:rsid w:val="705A169C"/>
    <w:rsid w:val="71193D3B"/>
    <w:rsid w:val="71D52E04"/>
    <w:rsid w:val="72E10794"/>
    <w:rsid w:val="73163A5B"/>
    <w:rsid w:val="74E25A74"/>
    <w:rsid w:val="76130AA6"/>
    <w:rsid w:val="77611D7E"/>
    <w:rsid w:val="78362829"/>
    <w:rsid w:val="78A70655"/>
    <w:rsid w:val="794B4998"/>
    <w:rsid w:val="79CD3021"/>
    <w:rsid w:val="7A424D83"/>
    <w:rsid w:val="7A746B16"/>
    <w:rsid w:val="7B016B80"/>
    <w:rsid w:val="7B3957FB"/>
    <w:rsid w:val="7BD439EA"/>
    <w:rsid w:val="7C330743"/>
    <w:rsid w:val="7E3A7483"/>
    <w:rsid w:val="7E6459CD"/>
    <w:rsid w:val="7F5F4B0F"/>
    <w:rsid w:val="7FA1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link w:val="18"/>
    <w:qFormat/>
    <w:locked/>
    <w:uiPriority w:val="1"/>
    <w:pPr>
      <w:spacing w:before="120" w:after="120"/>
      <w:outlineLvl w:val="1"/>
    </w:pPr>
    <w:rPr>
      <w:rFonts w:ascii="Times New Roman" w:hAnsi="Times New Roman" w:eastAsia="黑体" w:cs="Times New Roman"/>
      <w:color w:val="auto"/>
      <w:sz w:val="32"/>
      <w:szCs w:val="24"/>
    </w:rPr>
  </w:style>
  <w:style w:type="character" w:default="1" w:styleId="16">
    <w:name w:val="Default Paragraph Font"/>
    <w:unhideWhenUsed/>
    <w:uiPriority w:val="1"/>
  </w:style>
  <w:style w:type="table" w:default="1" w:styleId="14">
    <w:name w:val="Normal Table"/>
    <w:unhideWhenUsed/>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6">
    <w:name w:val="Normal Indent"/>
    <w:basedOn w:val="1"/>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9"/>
    <w:uiPriority w:val="99"/>
    <w:rPr>
      <w:rFonts w:ascii="Times New Roman" w:hAnsi="Times New Roman"/>
      <w:sz w:val="18"/>
      <w:szCs w:val="20"/>
    </w:rPr>
  </w:style>
  <w:style w:type="paragraph" w:styleId="8">
    <w:name w:val="footer"/>
    <w:basedOn w:val="1"/>
    <w:link w:val="20"/>
    <w:uiPriority w:val="99"/>
    <w:pPr>
      <w:tabs>
        <w:tab w:val="center" w:pos="4153"/>
        <w:tab w:val="right" w:pos="8306"/>
      </w:tabs>
      <w:snapToGrid w:val="0"/>
      <w:jc w:val="left"/>
    </w:pPr>
    <w:rPr>
      <w:kern w:val="0"/>
      <w:sz w:val="18"/>
      <w:szCs w:val="20"/>
    </w:rPr>
  </w:style>
  <w:style w:type="paragraph" w:styleId="9">
    <w:name w:val="header"/>
    <w:basedOn w:val="1"/>
    <w:link w:val="21"/>
    <w:semiHidden/>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rFonts w:ascii="Calibri" w:hAnsi="Calibri" w:eastAsia="宋体" w:cs="Times New Roman"/>
      <w:color w:val="0000FF"/>
      <w:u w:val="single"/>
    </w:rPr>
  </w:style>
  <w:style w:type="character" w:customStyle="1" w:styleId="18">
    <w:name w:val="标题 2 Char"/>
    <w:link w:val="4"/>
    <w:uiPriority w:val="1"/>
    <w:rPr>
      <w:rFonts w:ascii="Times New Roman" w:hAnsi="Times New Roman" w:eastAsia="黑体" w:cs="Times New Roman"/>
      <w:color w:val="auto"/>
      <w:sz w:val="32"/>
      <w:szCs w:val="24"/>
    </w:rPr>
  </w:style>
  <w:style w:type="character" w:customStyle="1" w:styleId="19">
    <w:name w:val="批注框文本 Char"/>
    <w:link w:val="7"/>
    <w:semiHidden/>
    <w:qFormat/>
    <w:uiPriority w:val="99"/>
    <w:rPr>
      <w:rFonts w:ascii="Times New Roman" w:hAnsi="Times New Roman" w:eastAsia="宋体" w:cs="Times New Roman"/>
      <w:sz w:val="18"/>
      <w:szCs w:val="20"/>
    </w:rPr>
  </w:style>
  <w:style w:type="character" w:customStyle="1" w:styleId="20">
    <w:name w:val="页脚 Char"/>
    <w:link w:val="8"/>
    <w:qFormat/>
    <w:uiPriority w:val="99"/>
    <w:rPr>
      <w:rFonts w:ascii="Calibri" w:hAnsi="Calibri" w:eastAsia="宋体" w:cs="Times New Roman"/>
      <w:kern w:val="0"/>
      <w:sz w:val="18"/>
      <w:szCs w:val="20"/>
    </w:rPr>
  </w:style>
  <w:style w:type="character" w:customStyle="1" w:styleId="21">
    <w:name w:val="页眉 Char"/>
    <w:link w:val="9"/>
    <w:semiHidden/>
    <w:qFormat/>
    <w:uiPriority w:val="99"/>
    <w:rPr>
      <w:rFonts w:ascii="Calibri" w:hAnsi="Calibri" w:eastAsia="宋体" w:cs="Times New Roman"/>
      <w:kern w:val="0"/>
      <w:sz w:val="18"/>
      <w:szCs w:val="20"/>
    </w:rPr>
  </w:style>
  <w:style w:type="character" w:customStyle="1" w:styleId="22">
    <w:name w:val="f14w1"/>
    <w:qFormat/>
    <w:uiPriority w:val="99"/>
    <w:rPr>
      <w:rFonts w:ascii="Calibri" w:hAnsi="Calibri" w:eastAsia="宋体" w:cs="Times New Roman"/>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2"/>
    <w:basedOn w:val="1"/>
    <w:qFormat/>
    <w:uiPriority w:val="99"/>
    <w:pPr>
      <w:ind w:firstLine="420" w:firstLineChars="200"/>
    </w:pPr>
    <w:rPr>
      <w:rFonts w:ascii="Calibri" w:hAnsi="Calibri"/>
      <w:szCs w:val="22"/>
    </w:rPr>
  </w:style>
  <w:style w:type="paragraph" w:customStyle="1" w:styleId="25">
    <w:name w:val="列出段落11"/>
    <w:basedOn w:val="1"/>
    <w:qFormat/>
    <w:uiPriority w:val="99"/>
    <w:pPr>
      <w:ind w:firstLine="420" w:firstLineChars="200"/>
    </w:pPr>
  </w:style>
  <w:style w:type="paragraph" w:customStyle="1" w:styleId="26">
    <w:name w:val="列出段落1"/>
    <w:basedOn w:val="1"/>
    <w:qFormat/>
    <w:uiPriority w:val="99"/>
    <w:pPr>
      <w:ind w:firstLine="420" w:firstLineChars="200"/>
    </w:p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paragraph" w:styleId="29">
    <w:name w:val="List Paragraph"/>
    <w:basedOn w:val="1"/>
    <w:qFormat/>
    <w:uiPriority w:val="34"/>
    <w:pPr>
      <w:ind w:firstLine="420" w:firstLineChars="200"/>
    </w:pPr>
  </w:style>
  <w:style w:type="character" w:customStyle="1" w:styleId="30">
    <w:name w:val="Body text (2)_"/>
    <w:link w:val="31"/>
    <w:qFormat/>
    <w:uiPriority w:val="99"/>
    <w:rPr>
      <w:rFonts w:ascii="MingLiU" w:hAnsi="Calibri" w:eastAsia="MingLiU" w:cs="Times New Roman"/>
      <w:kern w:val="0"/>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eastAsia="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9966</Words>
  <Characters>10760</Characters>
  <Lines>0</Lines>
  <Paragraphs>0</Paragraphs>
  <TotalTime>23</TotalTime>
  <ScaleCrop>false</ScaleCrop>
  <LinksUpToDate>false</LinksUpToDate>
  <CharactersWithSpaces>11426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2022-10-13T01:45:00Z</dcterms:created>
  <dc:creator>WPS_1483505832</dc:creator>
  <cp:lastModifiedBy>黄同学</cp:lastModifiedBy>
  <dcterms:modified xsi:type="dcterms:W3CDTF">2022-10-31T02:44:06Z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8319629267FE42228A03262971C54950</vt:lpwstr>
  </property>
</Properties>
</file>