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rPr>
          <w:rFonts w:ascii="仿宋" w:hAnsi="仿宋" w:eastAsia="仿宋"/>
          <w:b/>
          <w:color w:val="000000"/>
          <w:sz w:val="52"/>
          <w:szCs w:val="52"/>
        </w:rPr>
      </w:pPr>
    </w:p>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UPS设备维保服务项目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both"/>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编号：采购2022035</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Pr>
        <w:pStyle w:val="2"/>
        <w:jc w:val="both"/>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w:t>
      </w:r>
      <w:r>
        <w:rPr>
          <w:rFonts w:hint="eastAsia" w:ascii="仿宋_GB2312" w:hAnsi="仿宋" w:eastAsia="仿宋_GB2312" w:cs="宋体"/>
          <w:b/>
          <w:bCs/>
          <w:color w:val="000000"/>
          <w:sz w:val="32"/>
          <w:szCs w:val="32"/>
          <w:lang w:val="zh-CN"/>
        </w:rPr>
        <w:t>月</w:t>
      </w: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highlight w:val="none"/>
          <w:lang w:val="en-US" w:eastAsia="zh-CN"/>
        </w:rPr>
        <w:t>UPS设备维保服务项目</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color w:val="auto"/>
          <w:sz w:val="28"/>
          <w:szCs w:val="28"/>
          <w:highlight w:val="none"/>
          <w:lang w:val="en-US" w:eastAsia="zh-CN"/>
        </w:rPr>
        <w:t>UPS设备维保服务项目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color w:val="auto"/>
          <w:sz w:val="28"/>
          <w:szCs w:val="28"/>
        </w:rPr>
        <w:t>内容：</w:t>
      </w:r>
      <w:r>
        <w:rPr>
          <w:rFonts w:hint="eastAsia" w:ascii="方正仿宋_GBK" w:hAnsi="方正仿宋_GBK" w:eastAsia="方正仿宋_GBK" w:cs="方正仿宋_GBK"/>
          <w:color w:val="auto"/>
          <w:sz w:val="28"/>
          <w:szCs w:val="28"/>
          <w:lang w:val="en-US" w:eastAsia="zh-CN"/>
        </w:rPr>
        <w:t>重庆机场弱电机房内96台UPS设备的</w:t>
      </w:r>
      <w:r>
        <w:rPr>
          <w:rFonts w:hint="eastAsia" w:ascii="方正仿宋_GBK" w:hAnsi="方正仿宋_GBK" w:eastAsia="方正仿宋_GBK" w:cs="方正仿宋_GBK"/>
          <w:color w:val="auto"/>
          <w:sz w:val="28"/>
          <w:szCs w:val="28"/>
          <w:highlight w:val="none"/>
          <w:lang w:val="en-US" w:eastAsia="zh-CN"/>
        </w:rPr>
        <w:t>维保服务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维保服务</w:t>
      </w:r>
      <w:r>
        <w:rPr>
          <w:rFonts w:hint="eastAsia" w:ascii="方正仿宋_GBK" w:hAnsi="方正仿宋_GBK" w:eastAsia="方正仿宋_GBK" w:cs="方正仿宋_GBK"/>
          <w:sz w:val="28"/>
          <w:szCs w:val="28"/>
          <w:lang w:val="en-US" w:eastAsia="zh-CN"/>
        </w:rPr>
        <w:t>清单</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color w:val="auto"/>
          <w:sz w:val="28"/>
          <w:szCs w:val="28"/>
          <w:highlight w:val="none"/>
          <w:lang w:eastAsia="zh-CN"/>
        </w:rPr>
        <w:t>巡检设备</w:t>
      </w:r>
      <w:r>
        <w:rPr>
          <w:rFonts w:hint="eastAsia" w:ascii="方正仿宋_GBK" w:hAnsi="方正仿宋_GBK" w:eastAsia="方正仿宋_GBK" w:cs="方正仿宋_GBK"/>
          <w:color w:val="auto"/>
          <w:sz w:val="28"/>
          <w:szCs w:val="28"/>
          <w:highlight w:val="none"/>
        </w:rPr>
        <w:t>清单</w:t>
      </w:r>
    </w:p>
    <w:tbl>
      <w:tblPr>
        <w:tblStyle w:val="8"/>
        <w:tblpPr w:leftFromText="180" w:rightFromText="180" w:vertAnchor="text" w:horzAnchor="page" w:tblpX="2001" w:tblpY="171"/>
        <w:tblOverlap w:val="never"/>
        <w:tblW w:w="8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050"/>
        <w:gridCol w:w="2450"/>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区域</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UPS数量（台）</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T1航站楼</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其中2台在隔离区内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T2航站楼</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其中16台在隔离区内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货库区</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其中3台在隔离区内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西区单体楼</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东区单体楼</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color w:val="auto"/>
          <w:sz w:val="28"/>
          <w:szCs w:val="28"/>
          <w:highlight w:val="none"/>
          <w:lang w:eastAsia="zh-CN"/>
        </w:rPr>
        <w:t>服务内容</w:t>
      </w:r>
    </w:p>
    <w:tbl>
      <w:tblPr>
        <w:tblStyle w:val="9"/>
        <w:tblpPr w:leftFromText="180" w:rightFromText="180" w:vertAnchor="text" w:horzAnchor="page" w:tblpX="1814"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275"/>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23" w:type="dxa"/>
            <w:vAlign w:val="center"/>
          </w:tcPr>
          <w:p>
            <w:pPr>
              <w:pStyle w:val="2"/>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275" w:type="dxa"/>
            <w:vAlign w:val="center"/>
          </w:tcPr>
          <w:p>
            <w:pPr>
              <w:pStyle w:val="2"/>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项目</w:t>
            </w:r>
          </w:p>
        </w:tc>
        <w:tc>
          <w:tcPr>
            <w:tcW w:w="6318" w:type="dxa"/>
            <w:vAlign w:val="center"/>
          </w:tcPr>
          <w:p>
            <w:pPr>
              <w:pStyle w:val="2"/>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exact"/>
        </w:trPr>
        <w:tc>
          <w:tcPr>
            <w:tcW w:w="923" w:type="dxa"/>
            <w:vAlign w:val="center"/>
          </w:tcPr>
          <w:p>
            <w:pPr>
              <w:pStyle w:val="2"/>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275" w:type="dxa"/>
            <w:vAlign w:val="center"/>
          </w:tcPr>
          <w:p>
            <w:pPr>
              <w:pStyle w:val="2"/>
              <w:numPr>
                <w:ilvl w:val="0"/>
                <w:numId w:val="0"/>
              </w:numPr>
              <w:jc w:val="center"/>
              <w:rPr>
                <w:rFonts w:hint="eastAsia"/>
                <w:color w:val="auto"/>
                <w:highlight w:val="none"/>
                <w:vertAlign w:val="baseline"/>
                <w:lang w:eastAsia="zh-CN"/>
              </w:rPr>
            </w:pPr>
            <w:r>
              <w:rPr>
                <w:rFonts w:hint="eastAsia" w:ascii="仿宋" w:hAnsi="仿宋" w:eastAsia="仿宋" w:cs="仿宋"/>
                <w:b/>
                <w:bCs/>
                <w:color w:val="auto"/>
                <w:sz w:val="28"/>
                <w:szCs w:val="28"/>
                <w:highlight w:val="none"/>
                <w:lang w:val="en-US" w:eastAsia="zh-CN" w:bidi="ar-SA"/>
              </w:rPr>
              <w:t>UPS电源检查</w:t>
            </w:r>
          </w:p>
        </w:tc>
        <w:tc>
          <w:tcPr>
            <w:tcW w:w="6318" w:type="dxa"/>
            <w:vAlign w:val="center"/>
          </w:tcPr>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（1）设备状态参数是否正常，模块参数</w:t>
            </w:r>
            <w:r>
              <w:rPr>
                <w:rFonts w:hint="eastAsia" w:ascii="Calibri" w:hAnsi="宋体" w:cs="Times New Roman"/>
                <w:b w:val="0"/>
                <w:bCs w:val="0"/>
                <w:color w:val="auto"/>
                <w:kern w:val="2"/>
                <w:sz w:val="24"/>
                <w:szCs w:val="32"/>
                <w:highlight w:val="none"/>
                <w:lang w:val="en-US" w:eastAsia="zh-CN" w:bidi="ar-SA"/>
              </w:rPr>
              <w:t>季度</w:t>
            </w:r>
            <w:r>
              <w:rPr>
                <w:rFonts w:hint="eastAsia" w:ascii="Calibri" w:hAnsi="宋体" w:eastAsia="宋体" w:cs="Times New Roman"/>
                <w:b w:val="0"/>
                <w:bCs w:val="0"/>
                <w:color w:val="auto"/>
                <w:kern w:val="2"/>
                <w:sz w:val="24"/>
                <w:szCs w:val="32"/>
                <w:highlight w:val="none"/>
                <w:lang w:val="en-US" w:eastAsia="zh-CN" w:bidi="ar-SA"/>
              </w:rPr>
              <w:t xml:space="preserve">对比；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（2）总结季度的历史告警信息是否准确，并记录；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（3）检查系统主机的电压、电流值并测量实际值进行对比；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（4）检查系统所有参数设置是否正常；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（5）检查各项参数及状态是否正常；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（6）UPS 内、外部除尘及电气元件检查；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（7）触控显示屏是否操作灵敏、顺畅；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（8）UPS 切换动作特性测试，逆变/旁路性能检测</w:t>
            </w:r>
            <w:r>
              <w:rPr>
                <w:rFonts w:hint="eastAsia" w:ascii="Calibri" w:hAnsi="宋体" w:cs="Times New Roman"/>
                <w:b w:val="0"/>
                <w:bCs w:val="0"/>
                <w:color w:val="auto"/>
                <w:kern w:val="2"/>
                <w:sz w:val="24"/>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923" w:type="dxa"/>
            <w:vAlign w:val="center"/>
          </w:tcPr>
          <w:p>
            <w:pPr>
              <w:pStyle w:val="2"/>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275" w:type="dxa"/>
            <w:vAlign w:val="center"/>
          </w:tcPr>
          <w:p>
            <w:pPr>
              <w:pStyle w:val="2"/>
              <w:numPr>
                <w:ilvl w:val="0"/>
                <w:numId w:val="0"/>
              </w:numPr>
              <w:jc w:val="center"/>
              <w:rPr>
                <w:rFonts w:hint="eastAsia"/>
                <w:color w:val="auto"/>
                <w:highlight w:val="none"/>
                <w:vertAlign w:val="baseline"/>
                <w:lang w:eastAsia="zh-CN"/>
              </w:rPr>
            </w:pPr>
            <w:r>
              <w:rPr>
                <w:rFonts w:ascii="仿宋" w:hAnsi="仿宋" w:eastAsia="仿宋" w:cs="仿宋"/>
                <w:color w:val="auto"/>
                <w:kern w:val="0"/>
                <w:sz w:val="28"/>
                <w:szCs w:val="28"/>
                <w:highlight w:val="none"/>
                <w:lang w:val="en-US" w:eastAsia="zh-CN" w:bidi="ar"/>
              </w:rPr>
              <w:t xml:space="preserve">UPS </w:t>
            </w:r>
            <w:r>
              <w:rPr>
                <w:rFonts w:hint="eastAsia" w:ascii="仿宋" w:hAnsi="仿宋" w:eastAsia="仿宋" w:cs="仿宋"/>
                <w:color w:val="auto"/>
                <w:kern w:val="0"/>
                <w:sz w:val="28"/>
                <w:szCs w:val="28"/>
                <w:highlight w:val="none"/>
                <w:lang w:val="en-US" w:eastAsia="zh-CN" w:bidi="ar"/>
              </w:rPr>
              <w:t xml:space="preserve">  </w:t>
            </w:r>
            <w:r>
              <w:rPr>
                <w:rFonts w:ascii="仿宋" w:hAnsi="仿宋" w:eastAsia="仿宋" w:cs="仿宋"/>
                <w:color w:val="auto"/>
                <w:kern w:val="0"/>
                <w:sz w:val="28"/>
                <w:szCs w:val="28"/>
                <w:highlight w:val="none"/>
                <w:lang w:val="en-US" w:eastAsia="zh-CN" w:bidi="ar"/>
              </w:rPr>
              <w:t>蓄电池检查</w:t>
            </w:r>
          </w:p>
        </w:tc>
        <w:tc>
          <w:tcPr>
            <w:tcW w:w="6318" w:type="dxa"/>
          </w:tcPr>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（1）电池电压测量，检查充电电压是否和电池数量相匹配；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（2）带载放电测试，测试电池稳定性，检查后备时间是否满足运行最低要求；</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（3）电池连接线及电缆连接紧固，松动、老化、腐蚀情况；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（4）电池内阻检测；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（5）电池外观检查：外观是否变形、渗漏，安全阀周围有无酸雾酸液，极柱是否有腐蚀、爬酸现象，极柱与电池连接线是否有松动，电池排气孔有无异物；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（6）当电池达到使用年限时，提前通知用户</w:t>
            </w:r>
            <w:r>
              <w:rPr>
                <w:rFonts w:hint="eastAsia" w:ascii="Calibri" w:hAnsi="宋体" w:cs="Times New Roman"/>
                <w:b w:val="0"/>
                <w:bCs w:val="0"/>
                <w:color w:val="auto"/>
                <w:kern w:val="2"/>
                <w:sz w:val="24"/>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923" w:type="dxa"/>
            <w:vAlign w:val="center"/>
          </w:tcPr>
          <w:p>
            <w:pPr>
              <w:pStyle w:val="2"/>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275" w:type="dxa"/>
            <w:vAlign w:val="center"/>
          </w:tcPr>
          <w:p>
            <w:pPr>
              <w:pStyle w:val="2"/>
              <w:numPr>
                <w:ilvl w:val="0"/>
                <w:numId w:val="0"/>
              </w:numPr>
              <w:jc w:val="center"/>
              <w:rPr>
                <w:rFonts w:hint="eastAsia"/>
                <w:color w:val="auto"/>
                <w:highlight w:val="none"/>
                <w:vertAlign w:val="baseline"/>
                <w:lang w:eastAsia="zh-CN"/>
              </w:rPr>
            </w:pPr>
            <w:r>
              <w:rPr>
                <w:rFonts w:ascii="仿宋" w:hAnsi="仿宋" w:eastAsia="仿宋" w:cs="仿宋"/>
                <w:color w:val="auto"/>
                <w:kern w:val="0"/>
                <w:sz w:val="28"/>
                <w:szCs w:val="28"/>
                <w:highlight w:val="none"/>
                <w:lang w:val="en-US" w:eastAsia="zh-CN" w:bidi="ar"/>
              </w:rPr>
              <w:t>供配</w:t>
            </w:r>
            <w:r>
              <w:rPr>
                <w:rFonts w:hint="eastAsia" w:ascii="仿宋" w:hAnsi="仿宋" w:eastAsia="仿宋" w:cs="仿宋"/>
                <w:color w:val="auto"/>
                <w:kern w:val="0"/>
                <w:sz w:val="28"/>
                <w:szCs w:val="28"/>
                <w:highlight w:val="none"/>
                <w:lang w:val="en-US" w:eastAsia="zh-CN" w:bidi="ar"/>
              </w:rPr>
              <w:t xml:space="preserve">  </w:t>
            </w:r>
            <w:r>
              <w:rPr>
                <w:rFonts w:ascii="仿宋" w:hAnsi="仿宋" w:eastAsia="仿宋" w:cs="仿宋"/>
                <w:color w:val="auto"/>
                <w:kern w:val="0"/>
                <w:sz w:val="28"/>
                <w:szCs w:val="28"/>
                <w:highlight w:val="none"/>
                <w:lang w:val="en-US" w:eastAsia="zh-CN" w:bidi="ar"/>
              </w:rPr>
              <w:t>电系统检查</w:t>
            </w:r>
          </w:p>
        </w:tc>
        <w:tc>
          <w:tcPr>
            <w:tcW w:w="6318" w:type="dxa"/>
          </w:tcPr>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（1）开关接点接触是否良好；动作及工作温度；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（2）防雷器件是否正常，有无损坏；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（3）检查隔离变压器有无异常发热，输入、输出电缆有无老化、破损；</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（4）设备通风及散热情况，环境温度、湿度，灰尘等情况检查；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（5）检查负载情况，输入输出电压、电流情况检查；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（6）输入输出电缆有无老化、破损、电缆头连接是否良好，电缆老化后有无发热现象等；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 xml:space="preserve">（7）检查最大负载时是否发热及是否有无发生异味等； </w:t>
            </w:r>
          </w:p>
          <w:p>
            <w:pPr>
              <w:keepNext w:val="0"/>
              <w:keepLines w:val="0"/>
              <w:widowControl/>
              <w:suppressLineNumbers w:val="0"/>
              <w:jc w:val="left"/>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（8）检查接地保护是否有效。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923" w:type="dxa"/>
            <w:vAlign w:val="center"/>
          </w:tcPr>
          <w:p>
            <w:pPr>
              <w:pStyle w:val="2"/>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275" w:type="dxa"/>
            <w:vAlign w:val="center"/>
          </w:tcPr>
          <w:p>
            <w:pPr>
              <w:pStyle w:val="2"/>
              <w:numPr>
                <w:ilvl w:val="0"/>
                <w:numId w:val="0"/>
              </w:numPr>
              <w:jc w:val="center"/>
              <w:rPr>
                <w:rFonts w:hint="eastAsia"/>
                <w:color w:val="auto"/>
                <w:highlight w:val="none"/>
                <w:vertAlign w:val="baseline"/>
                <w:lang w:eastAsia="zh-CN"/>
              </w:rPr>
            </w:pPr>
            <w:r>
              <w:rPr>
                <w:rFonts w:hint="eastAsia" w:ascii="仿宋" w:hAnsi="仿宋" w:eastAsia="仿宋" w:cs="仿宋"/>
                <w:color w:val="auto"/>
                <w:kern w:val="0"/>
                <w:sz w:val="28"/>
                <w:szCs w:val="28"/>
                <w:highlight w:val="none"/>
                <w:lang w:val="en-US" w:eastAsia="zh-CN" w:bidi="ar"/>
              </w:rPr>
              <w:t>UPS应急抢修</w:t>
            </w:r>
          </w:p>
        </w:tc>
        <w:tc>
          <w:tcPr>
            <w:tcW w:w="6318" w:type="dxa"/>
          </w:tcPr>
          <w:p>
            <w:pPr>
              <w:pStyle w:val="2"/>
              <w:numPr>
                <w:ilvl w:val="0"/>
                <w:numId w:val="0"/>
              </w:numPr>
              <w:ind w:firstLine="480" w:firstLineChars="200"/>
              <w:jc w:val="both"/>
              <w:rPr>
                <w:rFonts w:hint="eastAsia" w:eastAsia="宋体"/>
                <w:color w:val="auto"/>
                <w:highlight w:val="none"/>
                <w:vertAlign w:val="baseline"/>
                <w:lang w:eastAsia="zh-CN"/>
              </w:rPr>
            </w:pPr>
            <w:r>
              <w:rPr>
                <w:rFonts w:hint="eastAsia" w:ascii="Calibri" w:hAnsi="宋体" w:eastAsia="宋体" w:cs="Times New Roman"/>
                <w:b w:val="0"/>
                <w:bCs w:val="0"/>
                <w:color w:val="auto"/>
                <w:kern w:val="2"/>
                <w:sz w:val="24"/>
                <w:szCs w:val="32"/>
                <w:highlight w:val="none"/>
                <w:lang w:val="en-US" w:eastAsia="zh-CN" w:bidi="ar-SA"/>
              </w:rPr>
              <w:t>UPS电源设备出现任何故障或紧急告警后,乙方维护人员4小时内到达现场确认故障原因，并进行故障修复处理，将设备恢复至正常。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23" w:type="dxa"/>
            <w:vAlign w:val="center"/>
          </w:tcPr>
          <w:p>
            <w:pPr>
              <w:pStyle w:val="2"/>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275" w:type="dxa"/>
            <w:vAlign w:val="center"/>
          </w:tcPr>
          <w:p>
            <w:pPr>
              <w:pStyle w:val="2"/>
              <w:numPr>
                <w:ilvl w:val="0"/>
                <w:numId w:val="0"/>
              </w:numPr>
              <w:jc w:val="center"/>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维护人员资质</w:t>
            </w:r>
          </w:p>
        </w:tc>
        <w:tc>
          <w:tcPr>
            <w:tcW w:w="6318" w:type="dxa"/>
            <w:vAlign w:val="center"/>
          </w:tcPr>
          <w:p>
            <w:pPr>
              <w:pStyle w:val="2"/>
              <w:numPr>
                <w:ilvl w:val="0"/>
                <w:numId w:val="0"/>
              </w:numPr>
              <w:ind w:firstLine="480" w:firstLineChars="200"/>
              <w:jc w:val="both"/>
              <w:rPr>
                <w:rFonts w:hint="eastAsia" w:ascii="Calibri" w:hAnsi="宋体" w:eastAsia="宋体" w:cs="Times New Roman"/>
                <w:b w:val="0"/>
                <w:bCs w:val="0"/>
                <w:color w:val="auto"/>
                <w:kern w:val="2"/>
                <w:sz w:val="24"/>
                <w:szCs w:val="32"/>
                <w:highlight w:val="none"/>
                <w:lang w:val="en-US" w:eastAsia="zh-CN" w:bidi="ar-SA"/>
              </w:rPr>
            </w:pPr>
            <w:r>
              <w:rPr>
                <w:rFonts w:hint="eastAsia" w:ascii="Calibri" w:hAnsi="宋体" w:eastAsia="宋体" w:cs="Times New Roman"/>
                <w:b w:val="0"/>
                <w:bCs w:val="0"/>
                <w:color w:val="auto"/>
                <w:kern w:val="2"/>
                <w:sz w:val="24"/>
                <w:szCs w:val="32"/>
                <w:highlight w:val="none"/>
                <w:lang w:val="en-US" w:eastAsia="zh-CN" w:bidi="ar-SA"/>
              </w:rPr>
              <w:t>乙方维护人员必须持有电工证。</w:t>
            </w:r>
          </w:p>
        </w:tc>
      </w:tr>
    </w:tbl>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b w:val="0"/>
          <w:bCs/>
          <w:color w:val="auto"/>
          <w:sz w:val="28"/>
          <w:szCs w:val="28"/>
          <w:highlight w:val="none"/>
          <w:lang w:eastAsia="zh-CN"/>
        </w:rPr>
        <w:t>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比选响应人的报价应包含为完成本项目各阶段服务所发生的相应费用。包括但不限于完成本项目所需的人工费、设备费、物资费、</w:t>
      </w:r>
      <w:r>
        <w:rPr>
          <w:rFonts w:hint="eastAsia" w:ascii="方正仿宋_GBK" w:hAnsi="方正仿宋_GBK" w:eastAsia="方正仿宋_GBK" w:cs="方正仿宋_GBK"/>
          <w:color w:val="auto"/>
          <w:sz w:val="28"/>
          <w:szCs w:val="28"/>
        </w:rPr>
        <w:t>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本项目（不含）增值税税额的最高限价为人民币</w:t>
      </w:r>
      <w:r>
        <w:rPr>
          <w:rFonts w:hint="eastAsia" w:ascii="方正仿宋_GBK" w:hAnsi="方正仿宋_GBK" w:eastAsia="方正仿宋_GBK" w:cs="方正仿宋_GBK"/>
          <w:color w:val="auto"/>
          <w:sz w:val="28"/>
          <w:szCs w:val="28"/>
          <w:highlight w:val="none"/>
          <w:lang w:val="en-US" w:eastAsia="zh-CN"/>
        </w:rPr>
        <w:t>50000.00</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伍万</w:t>
      </w:r>
      <w:r>
        <w:rPr>
          <w:rFonts w:hint="eastAsia" w:ascii="方正仿宋_GBK" w:hAnsi="方正仿宋_GBK" w:eastAsia="方正仿宋_GBK" w:cs="方正仿宋_GBK"/>
          <w:color w:val="auto"/>
          <w:sz w:val="28"/>
          <w:szCs w:val="28"/>
          <w:highlight w:val="none"/>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六</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val="en-US" w:eastAsia="zh-CN"/>
        </w:rPr>
        <w:t>七、</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w:t>
      </w:r>
      <w:r>
        <w:rPr>
          <w:rFonts w:hint="eastAsia" w:ascii="方正仿宋_GBK" w:hAnsi="方正仿宋_GBK" w:eastAsia="方正仿宋_GBK" w:cs="方正仿宋_GBK"/>
          <w:color w:val="auto"/>
          <w:sz w:val="28"/>
          <w:szCs w:val="28"/>
        </w:rPr>
        <w:t>约保证金为合同总价款的5%，在收到成交通知书10</w:t>
      </w:r>
      <w:r>
        <w:rPr>
          <w:rFonts w:hint="eastAsia" w:ascii="方正仿宋_GBK" w:hAnsi="方正仿宋_GBK" w:eastAsia="方正仿宋_GBK" w:cs="方正仿宋_GBK"/>
          <w:sz w:val="28"/>
          <w:szCs w:val="28"/>
        </w:rPr>
        <w:t>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CN"/>
        </w:rPr>
        <w:t>6个月</w:t>
      </w:r>
      <w:r>
        <w:rPr>
          <w:rFonts w:hint="eastAsia" w:ascii="方正仿宋_GBK" w:hAnsi="方正仿宋_GBK" w:eastAsia="方正仿宋_GBK" w:cs="方正仿宋_GBK"/>
          <w:b w:val="0"/>
          <w:bCs/>
          <w:color w:val="auto"/>
          <w:kern w:val="0"/>
          <w:sz w:val="28"/>
          <w:szCs w:val="28"/>
          <w:highlight w:val="none"/>
          <w:lang w:val="zh-CN" w:eastAsia="zh-CN"/>
        </w:rPr>
        <w:t>甲方在收到乙方开具增值税发票后</w:t>
      </w:r>
      <w:r>
        <w:rPr>
          <w:rFonts w:hint="eastAsia" w:ascii="方正仿宋_GBK" w:hAnsi="方正仿宋_GBK" w:eastAsia="方正仿宋_GBK" w:cs="方正仿宋_GBK"/>
          <w:b w:val="0"/>
          <w:bCs/>
          <w:color w:val="auto"/>
          <w:kern w:val="0"/>
          <w:sz w:val="28"/>
          <w:szCs w:val="28"/>
          <w:highlight w:val="none"/>
          <w:lang w:val="en-US" w:eastAsia="zh-CN"/>
        </w:rPr>
        <w:t>20工作日内支付合同款的1/2，直至服务期结束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w:t>
      </w:r>
      <w:r>
        <w:rPr>
          <w:rFonts w:hint="eastAsia" w:ascii="方正仿宋_GBK" w:hAnsi="方正仿宋_GBK" w:eastAsia="方正仿宋_GBK" w:cs="方正仿宋_GBK"/>
          <w:color w:val="auto"/>
          <w:sz w:val="28"/>
          <w:szCs w:val="28"/>
          <w:lang w:val="zh-CN"/>
        </w:rPr>
        <w:t>价部分。</w:t>
      </w:r>
      <w:r>
        <w:rPr>
          <w:rFonts w:hint="eastAsia" w:ascii="方正仿宋_GBK" w:hAnsi="方正仿宋_GBK" w:eastAsia="方正仿宋_GBK" w:cs="方正仿宋_GBK"/>
          <w:color w:val="auto"/>
          <w:sz w:val="28"/>
          <w:szCs w:val="28"/>
          <w:highlight w:val="none"/>
          <w:lang w:val="zh-CN" w:eastAsia="zh-CN"/>
        </w:rPr>
        <w:t>报价应包括相关税金和服务等全部费用</w:t>
      </w:r>
      <w:r>
        <w:rPr>
          <w:rFonts w:hint="eastAsia" w:ascii="方正仿宋_GBK" w:hAnsi="方正仿宋_GBK" w:eastAsia="方正仿宋_GBK" w:cs="方正仿宋_GBK"/>
          <w:color w:val="auto"/>
          <w:sz w:val="28"/>
          <w:szCs w:val="28"/>
          <w:lang w:val="zh-CN"/>
        </w:rPr>
        <w:t>，报价为不含增值税税额的报价，增值税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highlight w:val="none"/>
          <w:lang w:val="zh-CN" w:eastAsia="zh-CN"/>
        </w:rPr>
        <w:t>主要包括项目服务方案等的详细说明。如果提供的材料和服务与</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采购文件要求有偏差，必须详细说明。</w:t>
      </w:r>
      <w:r>
        <w:rPr>
          <w:rFonts w:hint="eastAsia" w:ascii="方正仿宋_GBK" w:hAnsi="方正仿宋_GBK" w:eastAsia="方正仿宋_GBK" w:cs="方正仿宋_GBK"/>
          <w:color w:val="auto"/>
          <w:sz w:val="28"/>
          <w:szCs w:val="28"/>
          <w:highlight w:val="none"/>
          <w:lang w:val="en-US" w:eastAsia="zh-CN"/>
        </w:rPr>
        <w:t>须经比选小组评定和采购人许可，才能作为供应商实质性响应(表格自制)</w:t>
      </w:r>
      <w:r>
        <w:rPr>
          <w:rFonts w:hint="eastAsia" w:ascii="方正仿宋_GBK" w:hAnsi="方正仿宋_GBK" w:eastAsia="方正仿宋_GBK" w:cs="方正仿宋_GBK"/>
          <w:color w:val="auto"/>
          <w:sz w:val="28"/>
          <w:szCs w:val="28"/>
          <w:highlight w:val="none"/>
          <w:lang w:val="zh-CN"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12.3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val="0"/>
          <w:bCs w:val="0"/>
          <w:color w:val="000000"/>
          <w:sz w:val="28"/>
          <w:szCs w:val="28"/>
          <w:lang w:val="en-US" w:eastAsia="zh-CN"/>
        </w:rPr>
        <w:t>6</w:t>
      </w:r>
      <w:r>
        <w:rPr>
          <w:rFonts w:hint="eastAsia" w:ascii="方正仿宋_GBK" w:hAnsi="方正仿宋_GBK" w:eastAsia="方正仿宋_GBK" w:cs="方正仿宋_GBK"/>
          <w:b w:val="0"/>
          <w:bCs w:val="0"/>
          <w:color w:val="000000"/>
          <w:sz w:val="28"/>
          <w:szCs w:val="28"/>
        </w:rPr>
        <w:t>.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2"/>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ind w:firstLine="560" w:firstLineChars="200"/>
        <w:rPr>
          <w:rFonts w:ascii="方正仿宋_GBK" w:hAnsi="方正仿宋_GBK" w:eastAsia="方正仿宋_GBK" w:cs="方正仿宋_GBK"/>
          <w:color w:val="FF0000"/>
          <w:sz w:val="28"/>
          <w:szCs w:val="28"/>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1587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1587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footerReference r:id="rId3" w:type="default"/>
          <w:pgSz w:w="11900" w:h="16840"/>
          <w:pgMar w:top="1440" w:right="1800" w:bottom="1440" w:left="1800" w:header="851" w:footer="992" w:gutter="0"/>
          <w:pgNumType w:fmt="decimal" w:start="1"/>
          <w:cols w:space="720" w:num="1"/>
          <w:docGrid w:type="lines" w:linePitch="312" w:charSpace="0"/>
        </w:sectPr>
      </w:pP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14"/>
        <w:ind w:firstLine="560"/>
        <w:rPr>
          <w:rFonts w:hint="eastAsia" w:ascii="宋体" w:hAnsi="宋体" w:eastAsia="宋体"/>
          <w:bCs/>
          <w:color w:val="auto"/>
          <w:sz w:val="28"/>
          <w:szCs w:val="28"/>
          <w:highlight w:val="none"/>
        </w:rPr>
      </w:pP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鉴于甲方需要就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UPS设备维保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w:t>
      </w:r>
      <w:r>
        <w:rPr>
          <w:rFonts w:hint="eastAsia" w:ascii="仿宋" w:hAnsi="仿宋" w:eastAsia="仿宋" w:cs="仿宋"/>
          <w:color w:val="auto"/>
          <w:sz w:val="28"/>
          <w:szCs w:val="28"/>
          <w:highlight w:val="none"/>
          <w:lang w:val="en-US" w:eastAsia="zh-CN"/>
        </w:rPr>
        <w:t>如下</w:t>
      </w:r>
      <w:r>
        <w:rPr>
          <w:rFonts w:hint="eastAsia" w:ascii="仿宋" w:hAnsi="仿宋" w:eastAsia="仿宋" w:cs="仿宋"/>
          <w:color w:val="auto"/>
          <w:sz w:val="28"/>
          <w:szCs w:val="28"/>
          <w:highlight w:val="none"/>
          <w:lang w:eastAsia="zh-CN"/>
        </w:rPr>
        <w:t>：</w:t>
      </w:r>
    </w:p>
    <w:p>
      <w:pPr>
        <w:spacing w:line="360" w:lineRule="auto"/>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1.1.1技术报务检查设备：</w:t>
      </w:r>
    </w:p>
    <w:tbl>
      <w:tblPr>
        <w:tblStyle w:val="8"/>
        <w:tblW w:w="78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050"/>
        <w:gridCol w:w="245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区域</w:t>
            </w:r>
          </w:p>
        </w:tc>
        <w:tc>
          <w:tcPr>
            <w:tcW w:w="24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UPS数量（台/套）</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T1航站楼</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其中2台在隔离区内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T2航站楼</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其中16台在隔离区内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货库区</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其中3台在隔离区内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西区单体楼</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东区单体楼</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其中1台在隔离区内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24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r>
    </w:tbl>
    <w:p>
      <w:pPr>
        <w:rPr>
          <w:rFonts w:hint="eastAsia"/>
          <w:lang w:val="en-US" w:eastAsia="zh-CN"/>
        </w:rPr>
      </w:pPr>
    </w:p>
    <w:p>
      <w:pPr>
        <w:pStyle w:val="2"/>
        <w:jc w:val="left"/>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1.1.2 UPS电源检查</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 xml:space="preserve">（1）设备状态参数是否正常，模块参数月度对比；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（2）总结季度的历史告警信息是否准确，并记录；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（3）检查系统主机的电压、电流值并测量实际值进行对比；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（4）检查系统所有参数设置是否正常；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（5）检查各项参数及状态是否正常；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（6）UPS 内、外部除尘及电气元件检查；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（7）触控显示屏是否操作灵敏、顺畅；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（8）UPS 切换动作特性测试，逆变/旁路性能检测；</w:t>
      </w:r>
    </w:p>
    <w:p>
      <w:pPr>
        <w:keepNext w:val="0"/>
        <w:keepLines w:val="0"/>
        <w:widowControl/>
        <w:suppressLineNumbers w:val="0"/>
        <w:jc w:val="left"/>
        <w:rPr>
          <w:color w:val="auto"/>
          <w:highlight w:val="none"/>
        </w:rPr>
      </w:pPr>
      <w:r>
        <w:rPr>
          <w:rFonts w:hint="eastAsia" w:ascii="仿宋" w:hAnsi="仿宋" w:eastAsia="仿宋" w:cs="仿宋"/>
          <w:b w:val="0"/>
          <w:bCs w:val="0"/>
          <w:color w:val="auto"/>
          <w:sz w:val="28"/>
          <w:szCs w:val="28"/>
          <w:highlight w:val="none"/>
          <w:lang w:val="en-US" w:eastAsia="zh-CN" w:bidi="ar-SA"/>
        </w:rPr>
        <w:t>1.1.3</w:t>
      </w:r>
      <w:r>
        <w:rPr>
          <w:rFonts w:ascii="仿宋" w:hAnsi="仿宋" w:eastAsia="仿宋" w:cs="仿宋"/>
          <w:color w:val="auto"/>
          <w:kern w:val="0"/>
          <w:sz w:val="28"/>
          <w:szCs w:val="28"/>
          <w:highlight w:val="none"/>
          <w:lang w:val="en-US" w:eastAsia="zh-CN" w:bidi="ar"/>
        </w:rPr>
        <w:t xml:space="preserve"> UPS 蓄电池检查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（1）电池电压测量，检查充电电压是否和电池数量相匹配；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（2）带载放电测试，测试电池稳定性，检查后备时间是否满足运行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最低要求；</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 xml:space="preserve">（3）电池连接线及电缆连接紧固，松动、老化、腐蚀情况；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（4）电池内阻检测；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（5）电池外观检查：外观是否变形、渗漏，安全阀周围有无酸雾酸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液，极柱是否有腐蚀、爬酸现象，极柱与电池连接线是否有松动，电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池排气孔有无异物；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（6）当电池达到使用年限时，提前通知用户；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巡检、维护工作结束，乙方应将设备系统恢复到正常工作状态，并保持机房原样。同时，在巡检后向用户提供巡检报告，对部分存在问题的地方，提出相关整改建议。</w:t>
      </w:r>
    </w:p>
    <w:p>
      <w:pPr>
        <w:keepNext w:val="0"/>
        <w:keepLines w:val="0"/>
        <w:widowControl/>
        <w:suppressLineNumbers w:val="0"/>
        <w:jc w:val="left"/>
        <w:rPr>
          <w:color w:val="auto"/>
          <w:highlight w:val="none"/>
        </w:rPr>
      </w:pPr>
      <w:r>
        <w:rPr>
          <w:rFonts w:hint="eastAsia" w:ascii="仿宋" w:hAnsi="仿宋" w:eastAsia="仿宋" w:cs="仿宋"/>
          <w:b w:val="0"/>
          <w:bCs w:val="0"/>
          <w:color w:val="auto"/>
          <w:sz w:val="28"/>
          <w:szCs w:val="28"/>
          <w:highlight w:val="none"/>
          <w:lang w:val="en-US" w:eastAsia="zh-CN" w:bidi="ar-SA"/>
        </w:rPr>
        <w:t>1.1.4</w:t>
      </w:r>
      <w:r>
        <w:rPr>
          <w:rFonts w:ascii="仿宋" w:hAnsi="仿宋" w:eastAsia="仿宋" w:cs="仿宋"/>
          <w:color w:val="auto"/>
          <w:kern w:val="0"/>
          <w:sz w:val="28"/>
          <w:szCs w:val="28"/>
          <w:highlight w:val="none"/>
          <w:lang w:val="en-US" w:eastAsia="zh-CN" w:bidi="ar"/>
        </w:rPr>
        <w:t xml:space="preserve">供配电系统检查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（1）开关接点接触是否良好；动作及工作温度；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（2）防雷器件是否正常，有无损坏；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（3）检查隔离变压器有无异常发热，输入、输出电缆有无老化、破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损；</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（4）设备通风及散热情况，环境温度、湿度，灰尘等情况检查；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（5）检查负载情况，输入输出电压、电流情况检查；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（6）输入输出电缆有无老化、破损、电缆头连接是否良好，电缆老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化后有无发热现象等；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（7）检查最大负载时是否发热及是否有无发生异味等；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（8）检查接地保护是否有效。</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1.1.4负责UPS的应急抢修：UPS电源设备出现任何故障或紧急告警后,乙方维护人员4小时内到达现场确认故障原因，并立即进行故障修复处理，将设备恢复至正常。</w:t>
      </w:r>
    </w:p>
    <w:p>
      <w:pPr>
        <w:keepNext w:val="0"/>
        <w:keepLines w:val="0"/>
        <w:widowControl/>
        <w:suppressLineNumbers w:val="0"/>
        <w:jc w:val="left"/>
        <w:rPr>
          <w:color w:val="auto"/>
          <w:highlight w:val="none"/>
        </w:rPr>
      </w:pPr>
      <w:r>
        <w:rPr>
          <w:rFonts w:hint="eastAsia" w:ascii="仿宋" w:hAnsi="仿宋" w:eastAsia="仿宋" w:cs="仿宋"/>
          <w:b w:val="0"/>
          <w:bCs w:val="0"/>
          <w:color w:val="auto"/>
          <w:sz w:val="28"/>
          <w:szCs w:val="28"/>
          <w:highlight w:val="none"/>
          <w:lang w:val="en-US" w:eastAsia="zh-CN" w:bidi="ar-SA"/>
        </w:rPr>
        <w:t>1.2</w:t>
      </w:r>
      <w:r>
        <w:rPr>
          <w:rFonts w:ascii="仿宋" w:hAnsi="仿宋" w:eastAsia="仿宋" w:cs="仿宋"/>
          <w:color w:val="auto"/>
          <w:kern w:val="0"/>
          <w:sz w:val="28"/>
          <w:szCs w:val="28"/>
          <w:highlight w:val="none"/>
          <w:lang w:val="en-US" w:eastAsia="zh-CN" w:bidi="ar"/>
        </w:rPr>
        <w:t xml:space="preserve">技术服务的方式：乙方工程师每季度到现场对甲方设备进行全面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检测，确认设备运行状态，检查系统错误记录，排查隐患故障并进行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设备保养工作。</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 技术服务的要求 ：</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1.3.1 乙方必须按照合同内容进行</w:t>
      </w:r>
      <w:r>
        <w:rPr>
          <w:rFonts w:hint="eastAsia" w:ascii="仿宋" w:hAnsi="仿宋" w:eastAsia="仿宋" w:cs="仿宋"/>
          <w:color w:val="auto"/>
          <w:kern w:val="0"/>
          <w:sz w:val="28"/>
          <w:szCs w:val="28"/>
          <w:highlight w:val="none"/>
          <w:lang w:val="en-US" w:eastAsia="zh-CN" w:bidi="ar"/>
        </w:rPr>
        <w:t xml:space="preserve">技术检查服务，以保证工作顺利完成，最终达到预防性检查目的。 </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1.3.2 乙方在每季度技术服务完成后五个工作日内向甲方提供专业的检查报告给甲方，提供专业的建议，保证设备的可靠运行。</w:t>
      </w:r>
    </w:p>
    <w:p>
      <w:pPr>
        <w:pStyle w:val="2"/>
        <w:jc w:val="both"/>
        <w:rPr>
          <w:rFonts w:hint="default"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1.3.3乙方维护人员必须持有电工证。</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hint="eastAsia" w:ascii="方正仿宋_GBK" w:hAnsi="方正仿宋_GBK" w:eastAsia="方正仿宋_GBK" w:cs="方正仿宋_GBK"/>
          <w:color w:val="auto"/>
          <w:kern w:val="0"/>
          <w:sz w:val="28"/>
          <w:szCs w:val="28"/>
          <w:highlight w:val="none"/>
          <w:u w:val="none"/>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日起至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日止。</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不含税、税率    %）</w:t>
      </w:r>
      <w:r>
        <w:rPr>
          <w:rFonts w:hint="eastAsia" w:ascii="仿宋" w:hAnsi="仿宋" w:eastAsia="仿宋" w:cs="仿宋"/>
          <w:color w:val="auto"/>
          <w:sz w:val="28"/>
          <w:szCs w:val="28"/>
          <w:highlight w:val="none"/>
          <w:u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分期（每</w:t>
      </w:r>
      <w:r>
        <w:rPr>
          <w:rFonts w:hint="eastAsia" w:ascii="仿宋" w:hAnsi="仿宋" w:eastAsia="仿宋" w:cs="仿宋"/>
          <w:color w:val="auto"/>
          <w:sz w:val="28"/>
          <w:szCs w:val="28"/>
          <w:highlight w:val="none"/>
          <w:u w:val="single"/>
          <w:lang w:val="en-US" w:eastAsia="zh-CN"/>
        </w:rPr>
        <w:t>6个月</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lang w:eastAsia="zh-CN"/>
        </w:rPr>
        <w:t>支付乙方。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合同签订后，乙方按约进行维保服务，每</w:t>
      </w:r>
      <w:r>
        <w:rPr>
          <w:rFonts w:hint="eastAsia" w:ascii="仿宋" w:hAnsi="仿宋" w:eastAsia="仿宋" w:cs="仿宋"/>
          <w:color w:val="auto"/>
          <w:sz w:val="28"/>
          <w:szCs w:val="28"/>
          <w:highlight w:val="none"/>
          <w:lang w:val="en-US" w:eastAsia="zh-CN"/>
        </w:rPr>
        <w:t>6个月</w:t>
      </w:r>
      <w:r>
        <w:rPr>
          <w:rFonts w:hint="eastAsia" w:ascii="仿宋" w:hAnsi="仿宋" w:eastAsia="仿宋" w:cs="仿宋"/>
          <w:color w:val="auto"/>
          <w:sz w:val="28"/>
          <w:szCs w:val="28"/>
          <w:highlight w:val="none"/>
          <w:lang w:eastAsia="zh-CN"/>
        </w:rPr>
        <w:t>甲方在收到乙方开具的增值税发票后20工作日内，向乙方支付合同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款的</w:t>
      </w:r>
      <w:r>
        <w:rPr>
          <w:rFonts w:hint="eastAsia" w:ascii="仿宋" w:hAnsi="仿宋" w:eastAsia="仿宋" w:cs="仿宋"/>
          <w:color w:val="auto"/>
          <w:sz w:val="28"/>
          <w:szCs w:val="28"/>
          <w:highlight w:val="none"/>
          <w:lang w:val="en-US" w:eastAsia="zh-CN"/>
        </w:rPr>
        <w:t>50</w:t>
      </w:r>
      <w:bookmarkStart w:id="3" w:name="_GoBack"/>
      <w:bookmarkEnd w:id="3"/>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，直至维保服务期结束。</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1"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%。在收到成交通知书10日历天内缴纳，本合同期限届满，若乙方在约定时间内完成履行合同义务且无违约情形，甲方在收到乙方退还履约保证金的申请后，十五个工作日之内无息退还。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按照本合同第一条执行。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每季度</w:t>
      </w:r>
      <w:r>
        <w:rPr>
          <w:rFonts w:hint="eastAsia" w:ascii="仿宋" w:hAnsi="仿宋" w:eastAsia="仿宋" w:cs="仿宋"/>
          <w:color w:val="auto"/>
          <w:sz w:val="28"/>
          <w:szCs w:val="28"/>
          <w:highlight w:val="none"/>
          <w:u w:val="single"/>
          <w:lang w:eastAsia="zh-CN"/>
        </w:rPr>
        <w:t>巡检结束后，五</w:t>
      </w:r>
      <w:r>
        <w:rPr>
          <w:rFonts w:hint="eastAsia" w:ascii="仿宋" w:hAnsi="仿宋" w:eastAsia="仿宋" w:cs="仿宋"/>
          <w:color w:val="auto"/>
          <w:sz w:val="28"/>
          <w:szCs w:val="28"/>
          <w:highlight w:val="none"/>
          <w:u w:val="single"/>
          <w:lang w:val="en-US" w:eastAsia="zh-CN"/>
        </w:rPr>
        <w:t>个工作日</w:t>
      </w:r>
      <w:r>
        <w:rPr>
          <w:rFonts w:hint="eastAsia" w:ascii="仿宋" w:hAnsi="仿宋" w:eastAsia="仿宋" w:cs="仿宋"/>
          <w:color w:val="auto"/>
          <w:sz w:val="28"/>
          <w:szCs w:val="28"/>
          <w:highlight w:val="none"/>
          <w:u w:val="single"/>
          <w:lang w:eastAsia="zh-CN"/>
        </w:rPr>
        <w:t>之内出具服务报告</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2"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10.1甲方指定的联系方式包括：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r>
        <w:rPr>
          <w:rFonts w:hint="eastAsia" w:ascii="黑体" w:hAnsi="黑体" w:eastAsia="黑体" w:cs="黑体"/>
          <w:color w:val="auto"/>
          <w:sz w:val="28"/>
          <w:szCs w:val="28"/>
          <w:highlight w:val="none"/>
          <w:lang w:val="en-US" w:eastAsia="zh-CN"/>
        </w:rPr>
        <w:t>巫平</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lang w:val="en-US" w:eastAsia="zh-CN"/>
        </w:rPr>
        <w:t>023-67151212/13594021099</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重庆机场ITC大楼</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lang w:val="en-US" w:eastAsia="zh-CN"/>
        </w:rPr>
        <w:t>wuping@cqa.cn</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10.1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
      <w:pPr>
        <w:pStyle w:val="2"/>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w:t>
      </w:r>
      <w:r>
        <w:rPr>
          <w:rFonts w:hint="eastAsia" w:ascii="仿宋" w:hAnsi="仿宋" w:eastAsia="仿宋"/>
          <w:b w:val="0"/>
          <w:bCs w:val="0"/>
          <w:color w:val="auto"/>
          <w:sz w:val="28"/>
          <w:szCs w:val="28"/>
        </w:rPr>
        <w:t>以人民币</w:t>
      </w:r>
      <w:r>
        <w:rPr>
          <w:rFonts w:hint="eastAsia" w:ascii="仿宋" w:hAnsi="仿宋" w:eastAsia="仿宋"/>
          <w:b w:val="0"/>
          <w:bCs w:val="0"/>
          <w:color w:val="auto"/>
          <w:sz w:val="28"/>
          <w:szCs w:val="28"/>
          <w:u w:val="single"/>
        </w:rPr>
        <w:t>（大写）</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eastAsia="仿宋"/>
          <w:b w:val="0"/>
          <w:bCs w:val="0"/>
          <w:color w:val="auto"/>
          <w:sz w:val="28"/>
          <w:szCs w:val="28"/>
          <w:u w:val="single"/>
        </w:rPr>
        <w:t>¥</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hint="eastAsia" w:ascii="仿宋" w:hAnsi="仿宋" w:eastAsia="仿宋"/>
          <w:b w:val="0"/>
          <w:bCs w:val="0"/>
          <w:color w:val="auto"/>
          <w:sz w:val="28"/>
          <w:szCs w:val="28"/>
        </w:rPr>
        <w:t>不含增值税税额的总报价，</w:t>
      </w:r>
      <w:r>
        <w:rPr>
          <w:rFonts w:hint="eastAsia" w:ascii="仿宋_GB2312" w:hAnsi="宋体" w:eastAsia="仿宋_GB2312"/>
          <w:b w:val="0"/>
          <w:bCs w:val="0"/>
          <w:color w:val="auto"/>
          <w:sz w:val="28"/>
          <w:szCs w:val="28"/>
        </w:rPr>
        <w:t>增值税税率</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w:t>
      </w:r>
      <w:r>
        <w:rPr>
          <w:rFonts w:hint="eastAsia" w:ascii="仿宋" w:hAnsi="仿宋" w:eastAsia="仿宋"/>
          <w:sz w:val="28"/>
          <w:szCs w:val="28"/>
          <w:lang w:eastAsia="zh-CN"/>
        </w:rPr>
        <w:t>服务期</w:t>
      </w:r>
      <w:r>
        <w:rPr>
          <w:rFonts w:ascii="仿宋" w:hAnsi="仿宋" w:eastAsia="仿宋"/>
          <w:b w:val="0"/>
          <w:bCs w:val="0"/>
          <w:color w:val="auto"/>
          <w:sz w:val="24"/>
          <w:szCs w:val="24"/>
          <w:highlight w:val="none"/>
          <w:u w:val="single"/>
        </w:rPr>
        <w:tab/>
      </w:r>
      <w:r>
        <w:rPr>
          <w:rFonts w:hint="eastAsia" w:ascii="仿宋" w:hAnsi="仿宋" w:eastAsia="仿宋"/>
          <w:b w:val="0"/>
          <w:bCs w:val="0"/>
          <w:color w:val="auto"/>
          <w:sz w:val="24"/>
          <w:szCs w:val="24"/>
          <w:highlight w:val="none"/>
          <w:u w:val="single"/>
          <w:lang w:val="en-US" w:eastAsia="zh-CN"/>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8E2A0E"/>
    <w:rsid w:val="009B6BA7"/>
    <w:rsid w:val="00A10E30"/>
    <w:rsid w:val="00B2182E"/>
    <w:rsid w:val="00BF3511"/>
    <w:rsid w:val="00C86BEB"/>
    <w:rsid w:val="00D365FF"/>
    <w:rsid w:val="00E52085"/>
    <w:rsid w:val="00F14ABB"/>
    <w:rsid w:val="04CD6009"/>
    <w:rsid w:val="05533181"/>
    <w:rsid w:val="05B55287"/>
    <w:rsid w:val="05CF5B0E"/>
    <w:rsid w:val="060C68AF"/>
    <w:rsid w:val="07652792"/>
    <w:rsid w:val="096E6E51"/>
    <w:rsid w:val="099A0675"/>
    <w:rsid w:val="0AF366C8"/>
    <w:rsid w:val="0C415E00"/>
    <w:rsid w:val="0EEA4AEA"/>
    <w:rsid w:val="0F566DED"/>
    <w:rsid w:val="105A13BF"/>
    <w:rsid w:val="10B76825"/>
    <w:rsid w:val="12C91510"/>
    <w:rsid w:val="134F66CB"/>
    <w:rsid w:val="15DA0777"/>
    <w:rsid w:val="17B82097"/>
    <w:rsid w:val="18F33575"/>
    <w:rsid w:val="19525A0A"/>
    <w:rsid w:val="1BEE177A"/>
    <w:rsid w:val="1C817AE6"/>
    <w:rsid w:val="1E68132C"/>
    <w:rsid w:val="24311D9D"/>
    <w:rsid w:val="2541744C"/>
    <w:rsid w:val="26D06F67"/>
    <w:rsid w:val="2BD81883"/>
    <w:rsid w:val="2D8078B6"/>
    <w:rsid w:val="31AA6DF8"/>
    <w:rsid w:val="351E69DC"/>
    <w:rsid w:val="379D1621"/>
    <w:rsid w:val="382622B4"/>
    <w:rsid w:val="38FB798C"/>
    <w:rsid w:val="3A6C7EBE"/>
    <w:rsid w:val="3F7E1EEC"/>
    <w:rsid w:val="43153EBD"/>
    <w:rsid w:val="445A74E8"/>
    <w:rsid w:val="4967336A"/>
    <w:rsid w:val="4BCA200B"/>
    <w:rsid w:val="4C512510"/>
    <w:rsid w:val="4D7B4276"/>
    <w:rsid w:val="4D882944"/>
    <w:rsid w:val="4FF817AC"/>
    <w:rsid w:val="51B62AAC"/>
    <w:rsid w:val="52224913"/>
    <w:rsid w:val="529A036B"/>
    <w:rsid w:val="52D82873"/>
    <w:rsid w:val="58831FCD"/>
    <w:rsid w:val="5A6800F2"/>
    <w:rsid w:val="60BF0592"/>
    <w:rsid w:val="63514E9A"/>
    <w:rsid w:val="65243E3D"/>
    <w:rsid w:val="66417024"/>
    <w:rsid w:val="668822FF"/>
    <w:rsid w:val="68E5013A"/>
    <w:rsid w:val="6DAF6368"/>
    <w:rsid w:val="6E03596D"/>
    <w:rsid w:val="70780E28"/>
    <w:rsid w:val="76BB24DB"/>
    <w:rsid w:val="7A1E2315"/>
    <w:rsid w:val="7CE2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10416</Words>
  <Characters>11253</Characters>
  <Lines>55</Lines>
  <Paragraphs>15</Paragraphs>
  <TotalTime>197</TotalTime>
  <ScaleCrop>false</ScaleCrop>
  <LinksUpToDate>false</LinksUpToDate>
  <CharactersWithSpaces>12223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2022-10-27T02:26:29Z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1F4800B629C7428581A03A0E4B403F70</vt:lpwstr>
  </property>
</Properties>
</file>