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p>
    <w:p>
      <w:pPr>
        <w:jc w:val="center"/>
        <w:rPr>
          <w:rFonts w:eastAsia="方正小标宋_GBK"/>
          <w:sz w:val="52"/>
          <w:szCs w:val="52"/>
        </w:rPr>
      </w:pPr>
      <w:r>
        <w:rPr>
          <w:rFonts w:eastAsia="方正小标宋_GBK"/>
          <w:sz w:val="52"/>
          <w:szCs w:val="52"/>
        </w:rPr>
        <w:t>重庆江北国际机场有限公司</w:t>
      </w:r>
    </w:p>
    <w:p>
      <w:pPr>
        <w:rPr>
          <w:rFonts w:eastAsia="方正仿宋_GBK"/>
          <w:b/>
          <w:sz w:val="44"/>
          <w:szCs w:val="44"/>
        </w:rPr>
      </w:pPr>
    </w:p>
    <w:p>
      <w:pPr>
        <w:pStyle w:val="2"/>
        <w:rPr>
          <w:rFonts w:ascii="Times New Roman" w:hAnsi="Times New Roman"/>
        </w:rPr>
      </w:pPr>
    </w:p>
    <w:p>
      <w:pPr>
        <w:jc w:val="center"/>
        <w:rPr>
          <w:rFonts w:eastAsia="方正小标宋简体"/>
          <w:sz w:val="44"/>
          <w:szCs w:val="44"/>
        </w:rPr>
      </w:pPr>
      <w:r>
        <w:rPr>
          <w:rFonts w:eastAsia="方正小标宋简体"/>
          <w:sz w:val="44"/>
          <w:szCs w:val="44"/>
        </w:rPr>
        <w:t>康明斯品牌柴油发电机消耗材料</w:t>
      </w:r>
    </w:p>
    <w:p>
      <w:pPr>
        <w:jc w:val="center"/>
        <w:rPr>
          <w:rFonts w:eastAsia="方正小标宋简体"/>
          <w:sz w:val="44"/>
          <w:szCs w:val="44"/>
        </w:rPr>
      </w:pPr>
      <w:r>
        <w:rPr>
          <w:rFonts w:eastAsia="方正小标宋简体"/>
          <w:sz w:val="44"/>
          <w:szCs w:val="44"/>
        </w:rPr>
        <w:t>采购项目</w:t>
      </w:r>
      <w:r>
        <w:rPr>
          <w:rFonts w:hint="eastAsia" w:eastAsia="方正小标宋简体"/>
          <w:sz w:val="44"/>
          <w:szCs w:val="44"/>
          <w:lang w:eastAsia="zh-CN"/>
        </w:rPr>
        <w:t>（</w:t>
      </w:r>
      <w:r>
        <w:rPr>
          <w:rFonts w:hint="eastAsia" w:eastAsia="方正小标宋简体"/>
          <w:sz w:val="44"/>
          <w:szCs w:val="44"/>
          <w:lang w:val="en-US" w:eastAsia="zh-CN"/>
        </w:rPr>
        <w:t>第二次</w:t>
      </w:r>
      <w:r>
        <w:rPr>
          <w:rFonts w:hint="eastAsia" w:eastAsia="方正小标宋简体"/>
          <w:sz w:val="44"/>
          <w:szCs w:val="44"/>
          <w:lang w:eastAsia="zh-CN"/>
        </w:rPr>
        <w:t>）</w:t>
      </w: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fc-2022-17</w:t>
      </w:r>
    </w:p>
    <w:p>
      <w:pPr>
        <w:jc w:val="center"/>
        <w:rPr>
          <w:rFonts w:eastAsia="仿宋"/>
          <w:b/>
          <w:sz w:val="32"/>
        </w:rPr>
      </w:pPr>
    </w:p>
    <w:p>
      <w:pP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二〇二二年</w:t>
      </w:r>
      <w:r>
        <w:rPr>
          <w:rFonts w:hint="eastAsia" w:eastAsia="方正小标宋简体"/>
          <w:sz w:val="32"/>
          <w:szCs w:val="32"/>
        </w:rPr>
        <w:t>八</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简体"/>
          <w:sz w:val="44"/>
          <w:szCs w:val="44"/>
        </w:rPr>
      </w:pPr>
      <w:r>
        <w:rPr>
          <w:rFonts w:eastAsia="方正小标宋简体"/>
          <w:sz w:val="44"/>
          <w:szCs w:val="44"/>
        </w:rPr>
        <w:t>康明斯品牌柴油发电机消耗材料</w:t>
      </w:r>
    </w:p>
    <w:p>
      <w:pPr>
        <w:jc w:val="center"/>
      </w:pPr>
      <w:r>
        <w:rPr>
          <w:rFonts w:eastAsia="方正小标宋简体"/>
          <w:sz w:val="44"/>
          <w:szCs w:val="44"/>
        </w:rPr>
        <w:t>采购项目</w:t>
      </w:r>
      <w:r>
        <w:rPr>
          <w:rFonts w:hint="eastAsia" w:eastAsia="方正小标宋简体"/>
          <w:sz w:val="44"/>
          <w:szCs w:val="44"/>
          <w:lang w:eastAsia="zh-CN"/>
        </w:rPr>
        <w:t>（</w:t>
      </w:r>
      <w:r>
        <w:rPr>
          <w:rFonts w:hint="eastAsia" w:eastAsia="方正小标宋简体"/>
          <w:sz w:val="44"/>
          <w:szCs w:val="44"/>
          <w:lang w:val="en-US" w:eastAsia="zh-CN"/>
        </w:rPr>
        <w:t>第二次</w:t>
      </w:r>
      <w:r>
        <w:rPr>
          <w:rFonts w:hint="eastAsia" w:eastAsia="方正小标宋简体"/>
          <w:sz w:val="44"/>
          <w:szCs w:val="44"/>
          <w:lang w:eastAsia="zh-CN"/>
        </w:rPr>
        <w:t>）</w:t>
      </w:r>
      <w:r>
        <w:rPr>
          <w:rFonts w:eastAsia="方正小标宋简体"/>
          <w:sz w:val="44"/>
          <w:szCs w:val="44"/>
        </w:rPr>
        <w:t>比选文件</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我司决定于近期就康明斯品牌柴油发电机消耗材料采购项目</w:t>
      </w:r>
      <w:r>
        <w:rPr>
          <w:rFonts w:hint="eastAsia" w:eastAsia="方正仿宋_GBK"/>
          <w:sz w:val="28"/>
          <w:szCs w:val="28"/>
          <w:lang w:eastAsia="zh-CN"/>
        </w:rPr>
        <w:t>（</w:t>
      </w:r>
      <w:r>
        <w:rPr>
          <w:rFonts w:hint="eastAsia" w:eastAsia="方正仿宋_GBK"/>
          <w:sz w:val="28"/>
          <w:szCs w:val="28"/>
          <w:lang w:val="en-US" w:eastAsia="zh-CN"/>
        </w:rPr>
        <w:t>第二次</w:t>
      </w:r>
      <w:r>
        <w:rPr>
          <w:rFonts w:hint="eastAsia" w:eastAsia="方正仿宋_GBK"/>
          <w:sz w:val="28"/>
          <w:szCs w:val="28"/>
          <w:lang w:eastAsia="zh-CN"/>
        </w:rPr>
        <w:t>）</w:t>
      </w:r>
      <w:r>
        <w:rPr>
          <w:rFonts w:eastAsia="方正仿宋_GBK"/>
          <w:sz w:val="28"/>
          <w:szCs w:val="28"/>
        </w:rPr>
        <w:t>对符合相应条件的供应商进行比选。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360" w:lineRule="auto"/>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在中华人民共和国依法注册、具有独立法人资格，具有有效营业执照（须提供营业执照复印件并加盖比选响应人鲜章）。</w:t>
      </w:r>
    </w:p>
    <w:p>
      <w:pPr>
        <w:widowControl/>
        <w:spacing w:line="360" w:lineRule="auto"/>
        <w:ind w:firstLine="560" w:firstLineChars="200"/>
        <w:jc w:val="left"/>
      </w:pPr>
      <w:r>
        <w:rPr>
          <w:rFonts w:eastAsia="方正仿宋_GBK"/>
          <w:sz w:val="28"/>
          <w:szCs w:val="28"/>
        </w:rPr>
        <w:t>1.1.2比选响应人应当具备连续</w:t>
      </w:r>
      <w:r>
        <w:rPr>
          <w:rFonts w:hint="eastAsia" w:eastAsia="方正仿宋_GBK"/>
          <w:sz w:val="28"/>
          <w:szCs w:val="28"/>
        </w:rPr>
        <w:t>3</w:t>
      </w:r>
      <w:r>
        <w:rPr>
          <w:rFonts w:eastAsia="方正仿宋_GBK"/>
          <w:sz w:val="28"/>
          <w:szCs w:val="28"/>
        </w:rPr>
        <w:t>年以上（含</w:t>
      </w:r>
      <w:r>
        <w:rPr>
          <w:rFonts w:hint="eastAsia" w:eastAsia="方正仿宋_GBK"/>
          <w:sz w:val="28"/>
          <w:szCs w:val="28"/>
        </w:rPr>
        <w:t>3</w:t>
      </w:r>
      <w:r>
        <w:rPr>
          <w:rFonts w:eastAsia="方正仿宋_GBK"/>
          <w:sz w:val="28"/>
          <w:szCs w:val="28"/>
        </w:rPr>
        <w:t>年）获得有效的康明斯授权经销商（柴油发电机组服务）授权证明，提供由康明斯（中国）投资有限公司发放的康明斯电力发电机组服务资质证书复印件或授权证明复印件（加盖比选响应人鲜章）。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1.1.3比选响应人应提供技术人员的康明斯东亚培训中心发放的“电控基础与INPOWER”培训证书复印件（加盖比选响应人鲜章）。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1.1.4信誉要求：响应人未被“信用中国”（www.creditchina.gov.cn）列入严重失信主体名单，在投标文件资格审查资料中提供相关查询截图加盖比选响应人鲜章。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1.1.5法定代表人为同一个人的两个及两个以上法人，母公司、全资子公司及其控股公司，以及其他形式有管理关系的响应人，都不得在同一比选项目中同时参与比选（提供承诺函并加盖比选响应人鲜章）。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1.1.6本项目不接受联合体，不得转包、分包（提供不转包、分包承诺函并加盖比选响应人鲜章）。</w:t>
      </w:r>
    </w:p>
    <w:p>
      <w:pPr>
        <w:widowControl/>
        <w:spacing w:line="360" w:lineRule="auto"/>
        <w:ind w:firstLine="562" w:firstLineChars="200"/>
        <w:jc w:val="left"/>
        <w:rPr>
          <w:sz w:val="24"/>
        </w:rPr>
      </w:pPr>
      <w:r>
        <w:rPr>
          <w:rFonts w:eastAsia="方正仿宋_GBK"/>
          <w:b/>
          <w:bCs/>
          <w:sz w:val="28"/>
          <w:szCs w:val="28"/>
        </w:rPr>
        <w:t>1.2 项目要求及报价要求</w:t>
      </w:r>
    </w:p>
    <w:p>
      <w:pPr>
        <w:widowControl/>
        <w:numPr>
          <w:ilvl w:val="255"/>
          <w:numId w:val="0"/>
        </w:numPr>
        <w:spacing w:line="360" w:lineRule="auto"/>
        <w:ind w:firstLine="560" w:firstLineChars="200"/>
        <w:jc w:val="left"/>
        <w:rPr>
          <w:rFonts w:eastAsia="方正仿宋_GBK"/>
          <w:sz w:val="28"/>
          <w:szCs w:val="28"/>
        </w:rPr>
      </w:pPr>
      <w:r>
        <w:rPr>
          <w:rFonts w:eastAsia="方正仿宋_GBK"/>
          <w:sz w:val="28"/>
          <w:szCs w:val="28"/>
        </w:rPr>
        <w:t>1.2.1项目内容：根据</w:t>
      </w:r>
      <w:r>
        <w:rPr>
          <w:rFonts w:eastAsia="方正仿宋_GBK"/>
          <w:kern w:val="0"/>
          <w:sz w:val="28"/>
          <w:szCs w:val="28"/>
        </w:rPr>
        <w:t>《项目采购需求表》（响应文件格式</w:t>
      </w:r>
      <w:r>
        <w:rPr>
          <w:rFonts w:hint="eastAsia" w:eastAsia="方正仿宋_GBK"/>
          <w:kern w:val="0"/>
          <w:sz w:val="28"/>
          <w:szCs w:val="28"/>
        </w:rPr>
        <w:t>四</w:t>
      </w:r>
      <w:r>
        <w:rPr>
          <w:rFonts w:eastAsia="方正仿宋_GBK"/>
          <w:kern w:val="0"/>
          <w:sz w:val="28"/>
          <w:szCs w:val="28"/>
        </w:rPr>
        <w:t>）</w:t>
      </w:r>
      <w:r>
        <w:rPr>
          <w:rFonts w:eastAsia="方正仿宋_GBK"/>
          <w:sz w:val="28"/>
          <w:szCs w:val="28"/>
        </w:rPr>
        <w:t>提供符合采购要求的耗材，所有耗材必须是全新的，且保证属原厂正品（提供有效的合格证），同时按以下内容同步完成3、4号灯光站柴油发电机</w:t>
      </w:r>
      <w:r>
        <w:rPr>
          <w:rFonts w:hint="eastAsia" w:eastAsia="方正仿宋_GBK"/>
          <w:sz w:val="28"/>
          <w:szCs w:val="28"/>
        </w:rPr>
        <w:t>，</w:t>
      </w:r>
      <w:r>
        <w:rPr>
          <w:rFonts w:eastAsia="方正仿宋_GBK"/>
          <w:sz w:val="28"/>
          <w:szCs w:val="28"/>
        </w:rPr>
        <w:t>发电机型号：3号站（1台）C1675 D5A 1500KVA、4号站（1台）C1400 D5 1250KVA的维护保养工作以及购买备件的更换工作：</w:t>
      </w:r>
    </w:p>
    <w:p>
      <w:pPr>
        <w:widowControl/>
        <w:spacing w:line="360" w:lineRule="auto"/>
        <w:ind w:firstLine="560" w:firstLineChars="200"/>
        <w:jc w:val="left"/>
        <w:rPr>
          <w:rFonts w:eastAsia="方正仿宋_GBK"/>
          <w:sz w:val="28"/>
          <w:szCs w:val="28"/>
        </w:rPr>
      </w:pPr>
      <w:r>
        <w:rPr>
          <w:rFonts w:eastAsia="方正仿宋_GBK"/>
          <w:sz w:val="28"/>
          <w:szCs w:val="28"/>
        </w:rPr>
        <w:t>（1）根据柴油发电机维护保养规范要求，更换机油滤清器、柴油滤清器、空气滤清器、冷却液、蓄电池、机油等。</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（2）对主机表面及辅助设备进行清洁，清除表面灰尘及油污。</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（3）检查电气连接情况，检查油路、水路连接是否可靠，有无渗漏现象。</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（4）检查水温、油温、油压、转速传感器、皮带等附件情况。</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（5）检查充电机及加热泵运行情况。</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（6）对柴油发电机进行试机，检查油机性能、查看各项运行参数是否满足标准。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（7）比选响应人需自行准备维护保养所用到的工具、器材、盛装废弃冷却液和机油的容器，负责废弃耗材的回收、处理（含机油、冷却液、滤清器、蓄电池等）</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1.2.2供应商所供应的产品必须是符合国家技术规范和质量标准合格产品，符合比选方的采购要求，并能出具增值税发票，交货时需提供所交货物的相关资料及合格证书，在验货过程中若发现数量或质量问题，成交</w:t>
      </w:r>
      <w:r>
        <w:rPr>
          <w:rFonts w:hint="eastAsia" w:eastAsia="方正仿宋_GBK"/>
          <w:sz w:val="28"/>
          <w:szCs w:val="28"/>
        </w:rPr>
        <w:t>单位</w:t>
      </w:r>
      <w:r>
        <w:rPr>
          <w:rFonts w:eastAsia="方正仿宋_GBK"/>
          <w:sz w:val="28"/>
          <w:szCs w:val="28"/>
        </w:rPr>
        <w:t>需对其进行补充或者更换。</w:t>
      </w:r>
    </w:p>
    <w:p>
      <w:pPr>
        <w:spacing w:line="360" w:lineRule="auto"/>
        <w:ind w:firstLine="560" w:firstLineChars="200"/>
        <w:jc w:val="left"/>
        <w:rPr>
          <w:rFonts w:eastAsia="方正仿宋_GBK"/>
          <w:sz w:val="28"/>
          <w:szCs w:val="28"/>
        </w:rPr>
      </w:pPr>
      <w:r>
        <w:rPr>
          <w:rFonts w:eastAsia="方正仿宋_GBK"/>
          <w:sz w:val="28"/>
          <w:szCs w:val="28"/>
        </w:rPr>
        <w:t>1.2.3本项目为飞行区内。</w:t>
      </w:r>
      <w:r>
        <w:rPr>
          <w:rFonts w:hint="eastAsia" w:eastAsia="方正仿宋_GBK"/>
          <w:sz w:val="28"/>
          <w:szCs w:val="28"/>
        </w:rPr>
        <w:t>维护</w:t>
      </w:r>
      <w:r>
        <w:rPr>
          <w:rFonts w:eastAsia="方正仿宋_GBK"/>
          <w:sz w:val="28"/>
          <w:szCs w:val="28"/>
        </w:rPr>
        <w:t>期间必须确保飞行安全、空防安全、消防安全、施工安全、交通安全，遵守疫情防控要求，杜绝一切因管理不善而发生的各种不安全事件和染疫事件。</w:t>
      </w:r>
    </w:p>
    <w:p>
      <w:pPr>
        <w:spacing w:line="360" w:lineRule="auto"/>
        <w:ind w:firstLine="560" w:firstLineChars="200"/>
        <w:jc w:val="left"/>
        <w:rPr>
          <w:rFonts w:eastAsia="方正仿宋_GBK"/>
          <w:sz w:val="28"/>
          <w:szCs w:val="28"/>
        </w:rPr>
      </w:pPr>
      <w:r>
        <w:rPr>
          <w:rFonts w:eastAsia="方正仿宋_GBK"/>
          <w:sz w:val="28"/>
          <w:szCs w:val="28"/>
        </w:rPr>
        <w:t>1.2.4 本项目的报价（不含税）应包括：采购及更换柴油发电机耗材所需的加工、包装、运输、安装、维修、工器具等一切费用，本项目报价为不含税包干价，不再另行增加费用。</w:t>
      </w:r>
    </w:p>
    <w:p>
      <w:pPr>
        <w:spacing w:line="360" w:lineRule="auto"/>
        <w:ind w:firstLine="560" w:firstLineChars="200"/>
        <w:jc w:val="left"/>
        <w:rPr>
          <w:rFonts w:eastAsia="方正仿宋_GBK"/>
          <w:sz w:val="28"/>
          <w:szCs w:val="28"/>
        </w:rPr>
      </w:pPr>
      <w:r>
        <w:rPr>
          <w:rFonts w:eastAsia="方正仿宋_GBK"/>
          <w:sz w:val="28"/>
          <w:szCs w:val="28"/>
        </w:rPr>
        <w:t>1.2.5本项目最高限价（不含增值税）为人民币</w:t>
      </w:r>
      <w:r>
        <w:rPr>
          <w:rFonts w:hint="eastAsia" w:eastAsia="方正仿宋_GBK"/>
          <w:sz w:val="28"/>
          <w:szCs w:val="28"/>
        </w:rPr>
        <w:t>66156.10</w:t>
      </w:r>
      <w:r>
        <w:rPr>
          <w:rFonts w:eastAsia="方正仿宋_GBK"/>
          <w:sz w:val="28"/>
          <w:szCs w:val="28"/>
        </w:rPr>
        <w:t>元（大写金额：陆万陆千壹佰伍拾陆元壹角，报价超过最高限价，将取消比选响应人的比选资格。</w:t>
      </w:r>
    </w:p>
    <w:p>
      <w:pPr>
        <w:spacing w:line="360" w:lineRule="auto"/>
        <w:ind w:firstLine="560" w:firstLineChars="200"/>
        <w:jc w:val="left"/>
        <w:rPr>
          <w:rFonts w:eastAsia="方正仿宋_GBK"/>
          <w:sz w:val="28"/>
          <w:szCs w:val="28"/>
        </w:rPr>
      </w:pPr>
      <w:r>
        <w:rPr>
          <w:rFonts w:eastAsia="方正仿宋_GBK"/>
          <w:sz w:val="28"/>
          <w:szCs w:val="28"/>
        </w:rPr>
        <w:t>1.2.6在修正范围内的以下情形不作为比选响应文件作废的依据：</w:t>
      </w:r>
    </w:p>
    <w:p>
      <w:pPr>
        <w:spacing w:line="360" w:lineRule="auto"/>
        <w:ind w:firstLine="560" w:firstLineChars="200"/>
        <w:jc w:val="left"/>
        <w:rPr>
          <w:rFonts w:eastAsia="方正仿宋_GBK"/>
          <w:sz w:val="28"/>
          <w:szCs w:val="28"/>
        </w:rPr>
      </w:pPr>
      <w:r>
        <w:rPr>
          <w:rFonts w:eastAsia="方正仿宋_GBK"/>
          <w:sz w:val="28"/>
          <w:szCs w:val="28"/>
        </w:rPr>
        <w:t>1.2.6.1比选响应文件中的大写金额与小写金额不一致的，以大写金额为准；</w:t>
      </w:r>
    </w:p>
    <w:p>
      <w:pPr>
        <w:spacing w:line="360" w:lineRule="auto"/>
        <w:ind w:firstLine="560" w:firstLineChars="200"/>
        <w:jc w:val="left"/>
        <w:rPr>
          <w:rFonts w:eastAsia="方正仿宋_GBK"/>
          <w:sz w:val="28"/>
          <w:szCs w:val="28"/>
        </w:rPr>
      </w:pPr>
      <w:r>
        <w:rPr>
          <w:rFonts w:eastAsia="方正仿宋_GBK"/>
          <w:sz w:val="28"/>
          <w:szCs w:val="28"/>
        </w:rPr>
        <w:t>1.2.6.2数字表示的数额与用文字表示的数额不一致时，以文字数额为准；</w:t>
      </w:r>
    </w:p>
    <w:p>
      <w:pPr>
        <w:spacing w:line="360" w:lineRule="auto"/>
        <w:ind w:firstLine="560" w:firstLineChars="200"/>
        <w:jc w:val="left"/>
        <w:rPr>
          <w:rFonts w:eastAsia="方正仿宋_GBK"/>
          <w:sz w:val="28"/>
          <w:szCs w:val="28"/>
        </w:rPr>
      </w:pPr>
      <w:r>
        <w:rPr>
          <w:rFonts w:eastAsia="方正仿宋_GBK"/>
          <w:sz w:val="28"/>
          <w:szCs w:val="28"/>
        </w:rPr>
        <w:t>1.2.6.3总价金额与依据单价计算出的结果不一致的，以单价金额为准修正总价，但单价金额小数点有明显错误的除外。</w:t>
      </w:r>
    </w:p>
    <w:p>
      <w:pPr>
        <w:widowControl/>
        <w:spacing w:line="360" w:lineRule="auto"/>
        <w:ind w:firstLine="562" w:firstLineChars="200"/>
        <w:jc w:val="left"/>
        <w:rPr>
          <w:rFonts w:eastAsia="方正仿宋_GBK"/>
          <w:b/>
          <w:bCs/>
          <w:sz w:val="28"/>
          <w:szCs w:val="28"/>
        </w:rPr>
      </w:pPr>
      <w:r>
        <w:rPr>
          <w:rFonts w:eastAsia="方正仿宋_GBK"/>
          <w:b/>
          <w:bCs/>
          <w:sz w:val="28"/>
          <w:szCs w:val="28"/>
        </w:rPr>
        <w:t>1.3 验收标准</w:t>
      </w:r>
    </w:p>
    <w:p>
      <w:pPr>
        <w:spacing w:line="360" w:lineRule="auto"/>
        <w:ind w:firstLine="560" w:firstLineChars="200"/>
        <w:jc w:val="left"/>
        <w:rPr>
          <w:rFonts w:eastAsia="方正仿宋_GBK"/>
          <w:sz w:val="28"/>
          <w:szCs w:val="28"/>
        </w:rPr>
      </w:pPr>
      <w:r>
        <w:rPr>
          <w:rFonts w:hint="eastAsia" w:eastAsia="方正仿宋_GBK"/>
          <w:sz w:val="28"/>
          <w:szCs w:val="28"/>
        </w:rPr>
        <w:t>成交单位</w:t>
      </w:r>
      <w:r>
        <w:rPr>
          <w:rFonts w:eastAsia="方正仿宋_GBK"/>
          <w:sz w:val="28"/>
          <w:szCs w:val="28"/>
        </w:rPr>
        <w:t>按要求提供业主方所需耗材，业主方对货物的数量和质量进行初步验收，待完成柴油发电机的维护保养及耗材更换，柴油发电机试机正常后，业主组织相关人员对项目再次验收，经双方确认后，即验收合格。</w:t>
      </w:r>
    </w:p>
    <w:p>
      <w:pPr>
        <w:widowControl/>
        <w:spacing w:line="360" w:lineRule="auto"/>
        <w:ind w:firstLine="562" w:firstLineChars="200"/>
        <w:jc w:val="left"/>
        <w:rPr>
          <w:rFonts w:eastAsia="方正仿宋_GBK"/>
          <w:b/>
          <w:bCs/>
          <w:sz w:val="28"/>
          <w:szCs w:val="28"/>
        </w:rPr>
      </w:pPr>
      <w:r>
        <w:rPr>
          <w:rFonts w:eastAsia="方正仿宋_GBK"/>
          <w:b/>
          <w:bCs/>
          <w:sz w:val="28"/>
          <w:szCs w:val="28"/>
        </w:rPr>
        <w:t>二、合格报价供应商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具有与本比选文件要求相适应的供货和服务能力，包括供应能力、售后服务能力的服务商、经销商或代理商。比选响应人必须具备：</w:t>
      </w:r>
    </w:p>
    <w:p>
      <w:pPr>
        <w:widowControl/>
        <w:spacing w:line="360" w:lineRule="auto"/>
        <w:ind w:firstLine="560" w:firstLineChars="200"/>
        <w:jc w:val="left"/>
      </w:pPr>
      <w:r>
        <w:rPr>
          <w:rFonts w:eastAsia="方正仿宋_GBK"/>
          <w:sz w:val="28"/>
          <w:szCs w:val="28"/>
        </w:rPr>
        <w:t>2.1 连续</w:t>
      </w:r>
      <w:r>
        <w:rPr>
          <w:rFonts w:hint="eastAsia" w:eastAsia="方正仿宋_GBK"/>
          <w:sz w:val="28"/>
          <w:szCs w:val="28"/>
        </w:rPr>
        <w:t>3</w:t>
      </w:r>
      <w:r>
        <w:rPr>
          <w:rFonts w:eastAsia="方正仿宋_GBK"/>
          <w:sz w:val="28"/>
          <w:szCs w:val="28"/>
        </w:rPr>
        <w:t>年以上（含</w:t>
      </w:r>
      <w:r>
        <w:rPr>
          <w:rFonts w:hint="eastAsia" w:eastAsia="方正仿宋_GBK"/>
          <w:sz w:val="28"/>
          <w:szCs w:val="28"/>
        </w:rPr>
        <w:t>3</w:t>
      </w:r>
      <w:r>
        <w:rPr>
          <w:rFonts w:eastAsia="方正仿宋_GBK"/>
          <w:sz w:val="28"/>
          <w:szCs w:val="28"/>
        </w:rPr>
        <w:t>年）获得有效的康明斯授权经销商（柴油发电机组服务）授权证明，提供由康明斯（中国）投资有限公司发放的康明斯电力发电机组服务资质证书复印件或授权证明复印件（加盖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2.2比选响应人应提供技术人员的康明斯东亚培训中心发放的“电控基础与INPOWER”培训证书复印件（加盖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2.3提供信誉要求证明（提供相关查询截图加盖比选响应人鲜章）。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2.4法定代表人为同一个人的两个及两个以上法人，母公司、全资子公司及其控股公司，以及其他形式有管理关系的响应人，都不得在同一比选项目中同时参与比选（提供承诺函并加盖比选响应人鲜章）。</w:t>
      </w:r>
    </w:p>
    <w:p>
      <w:pPr>
        <w:widowControl/>
        <w:spacing w:line="360" w:lineRule="auto"/>
        <w:ind w:firstLine="560" w:firstLineChars="200"/>
        <w:jc w:val="left"/>
        <w:rPr>
          <w:rFonts w:eastAsia="方正仿宋_GBK"/>
          <w:sz w:val="28"/>
          <w:szCs w:val="28"/>
        </w:rPr>
      </w:pPr>
      <w:r>
        <w:rPr>
          <w:rFonts w:eastAsia="方正仿宋_GBK"/>
          <w:sz w:val="28"/>
          <w:szCs w:val="28"/>
        </w:rPr>
        <w:t>2.5本项目不接受联合体，不得转包、分包（提供不转包、分包承诺函并加盖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360" w:lineRule="auto"/>
        <w:ind w:firstLine="560" w:firstLineChars="200"/>
        <w:jc w:val="left"/>
        <w:rPr>
          <w:rFonts w:eastAsia="方正仿宋_GBK"/>
          <w:sz w:val="28"/>
          <w:szCs w:val="28"/>
        </w:rPr>
      </w:pPr>
      <w:r>
        <w:rPr>
          <w:rFonts w:eastAsia="方正仿宋_GBK"/>
          <w:sz w:val="28"/>
          <w:szCs w:val="28"/>
        </w:rPr>
        <w:t>2.6法定代表人身份证明。</w:t>
      </w:r>
    </w:p>
    <w:p>
      <w:pPr>
        <w:widowControl/>
        <w:spacing w:line="360" w:lineRule="auto"/>
        <w:ind w:firstLine="560" w:firstLineChars="200"/>
        <w:jc w:val="left"/>
        <w:rPr>
          <w:rFonts w:eastAsia="方正仿宋_GBK"/>
          <w:sz w:val="28"/>
          <w:szCs w:val="28"/>
        </w:rPr>
      </w:pPr>
      <w:r>
        <w:rPr>
          <w:rFonts w:eastAsia="方正仿宋_GBK"/>
          <w:sz w:val="28"/>
          <w:szCs w:val="28"/>
        </w:rPr>
        <w:t>2.7法定代表人授权书。</w:t>
      </w:r>
    </w:p>
    <w:p>
      <w:pPr>
        <w:widowControl/>
        <w:spacing w:line="360" w:lineRule="auto"/>
        <w:ind w:firstLine="560" w:firstLineChars="200"/>
        <w:jc w:val="left"/>
        <w:rPr>
          <w:rFonts w:eastAsia="方正仿宋_GBK"/>
          <w:sz w:val="28"/>
          <w:szCs w:val="28"/>
        </w:rPr>
      </w:pPr>
      <w:r>
        <w:rPr>
          <w:rFonts w:eastAsia="方正仿宋_GBK"/>
          <w:sz w:val="28"/>
          <w:szCs w:val="28"/>
        </w:rPr>
        <w:t>2.8法定代表人身份证复印件和被授权人身份证复印件。</w:t>
      </w:r>
    </w:p>
    <w:p>
      <w:pPr>
        <w:widowControl/>
        <w:spacing w:line="360" w:lineRule="auto"/>
        <w:ind w:firstLine="562" w:firstLineChars="200"/>
        <w:jc w:val="left"/>
        <w:rPr>
          <w:rFonts w:eastAsia="方正仿宋_GBK"/>
          <w:sz w:val="28"/>
          <w:szCs w:val="28"/>
        </w:rPr>
      </w:pPr>
      <w:r>
        <w:rPr>
          <w:rFonts w:eastAsia="方正仿宋_GBK"/>
          <w:b/>
          <w:sz w:val="28"/>
          <w:szCs w:val="28"/>
        </w:rPr>
        <w:t>三、</w:t>
      </w:r>
      <w:r>
        <w:rPr>
          <w:rFonts w:eastAsia="方正仿宋_GBK"/>
          <w:b/>
          <w:bCs/>
          <w:sz w:val="28"/>
          <w:szCs w:val="28"/>
        </w:rPr>
        <w:t>成交标准</w:t>
      </w:r>
    </w:p>
    <w:p>
      <w:pPr>
        <w:spacing w:line="360" w:lineRule="auto"/>
        <w:ind w:firstLine="560" w:firstLineChars="200"/>
        <w:rPr>
          <w:rFonts w:eastAsia="方正仿宋_GBK"/>
          <w:kern w:val="0"/>
          <w:sz w:val="28"/>
          <w:szCs w:val="28"/>
        </w:rPr>
      </w:pPr>
      <w:r>
        <w:rPr>
          <w:rFonts w:eastAsia="方正仿宋_GBK"/>
          <w:kern w:val="0"/>
          <w:sz w:val="28"/>
          <w:szCs w:val="28"/>
        </w:rPr>
        <w:t>本次比选成交人确定办法采用经评审满足条件的有效最低价（不含税）成交。本项目最高限价为</w:t>
      </w:r>
      <w:r>
        <w:rPr>
          <w:rFonts w:hint="eastAsia" w:eastAsia="方正仿宋_GBK"/>
          <w:sz w:val="28"/>
          <w:szCs w:val="28"/>
        </w:rPr>
        <w:t>66156.10</w:t>
      </w:r>
      <w:r>
        <w:rPr>
          <w:rFonts w:eastAsia="方正仿宋_GBK"/>
          <w:kern w:val="0"/>
          <w:sz w:val="28"/>
          <w:szCs w:val="28"/>
        </w:rPr>
        <w:t>元（不含税）。</w:t>
      </w:r>
    </w:p>
    <w:p>
      <w:pPr>
        <w:spacing w:line="360" w:lineRule="auto"/>
        <w:ind w:firstLine="560" w:firstLineChars="200"/>
        <w:rPr>
          <w:rFonts w:eastAsia="方正仿宋_GBK"/>
          <w:kern w:val="0"/>
          <w:sz w:val="28"/>
          <w:szCs w:val="28"/>
        </w:rPr>
      </w:pPr>
      <w:r>
        <w:rPr>
          <w:rFonts w:eastAsia="方正仿宋_GBK"/>
          <w:kern w:val="0"/>
          <w:sz w:val="28"/>
          <w:szCs w:val="28"/>
        </w:rPr>
        <w:t>具体比选规则如下：</w:t>
      </w:r>
    </w:p>
    <w:p>
      <w:pPr>
        <w:spacing w:line="360" w:lineRule="auto"/>
        <w:ind w:firstLine="560" w:firstLineChars="200"/>
        <w:rPr>
          <w:rFonts w:eastAsia="方正仿宋_GBK"/>
          <w:kern w:val="0"/>
          <w:sz w:val="28"/>
          <w:szCs w:val="28"/>
        </w:rPr>
      </w:pPr>
      <w:r>
        <w:rPr>
          <w:rFonts w:eastAsia="方正仿宋_GBK"/>
          <w:kern w:val="0"/>
          <w:sz w:val="28"/>
          <w:szCs w:val="28"/>
        </w:rPr>
        <w:t>3.1根据《项目采购需求表》（响应文件格式</w:t>
      </w:r>
      <w:r>
        <w:rPr>
          <w:rFonts w:hint="eastAsia" w:eastAsia="方正仿宋_GBK"/>
          <w:kern w:val="0"/>
          <w:sz w:val="28"/>
          <w:szCs w:val="28"/>
        </w:rPr>
        <w:t>四</w:t>
      </w:r>
      <w:r>
        <w:rPr>
          <w:rFonts w:eastAsia="方正仿宋_GBK"/>
          <w:kern w:val="0"/>
          <w:sz w:val="28"/>
          <w:szCs w:val="28"/>
        </w:rPr>
        <w:t>）提供该清单的详细报价，报价包括但不限于耗材采购、更换、运输、售后等全部费用，报价为包干价，不再另行增加费用，且不接受选择性报价。</w:t>
      </w:r>
    </w:p>
    <w:p>
      <w:pPr>
        <w:spacing w:line="360" w:lineRule="auto"/>
        <w:ind w:firstLine="560" w:firstLineChars="200"/>
        <w:rPr>
          <w:rFonts w:eastAsia="方正仿宋_GBK"/>
          <w:kern w:val="0"/>
          <w:sz w:val="28"/>
          <w:szCs w:val="28"/>
        </w:rPr>
      </w:pPr>
      <w:r>
        <w:rPr>
          <w:rFonts w:eastAsia="方正仿宋_GBK"/>
          <w:kern w:val="0"/>
          <w:sz w:val="28"/>
          <w:szCs w:val="28"/>
        </w:rPr>
        <w:t>3.2完全满足比选文件要求，实质性响应大于或等于三家的，根据符合需求、质量和服务，且以不含税有效报价最低的原则确定成交候选人。</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eastAsia="方正仿宋_GBK"/>
          <w:bCs/>
          <w:sz w:val="28"/>
          <w:szCs w:val="28"/>
        </w:rPr>
      </w:pPr>
      <w:r>
        <w:rPr>
          <w:rFonts w:eastAsia="方正仿宋_GBK"/>
          <w:kern w:val="0"/>
          <w:sz w:val="28"/>
          <w:szCs w:val="28"/>
        </w:rPr>
        <w:t>3.4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w:t>
      </w:r>
      <w:r>
        <w:rPr>
          <w:rFonts w:eastAsia="方正仿宋_GBK"/>
          <w:kern w:val="0"/>
          <w:sz w:val="28"/>
          <w:szCs w:val="28"/>
        </w:rPr>
        <w:t>服务，有效最低价且报价最低</w:t>
      </w:r>
      <w:r>
        <w:rPr>
          <w:rFonts w:eastAsia="方正仿宋_GBK"/>
          <w:bCs/>
          <w:sz w:val="28"/>
          <w:szCs w:val="28"/>
        </w:rPr>
        <w:t>的原则确定成交候</w:t>
      </w:r>
      <w:r>
        <w:rPr>
          <w:rFonts w:eastAsia="方正仿宋_GBK"/>
          <w:kern w:val="0"/>
          <w:sz w:val="28"/>
          <w:szCs w:val="28"/>
        </w:rPr>
        <w:t>选人。</w:t>
      </w:r>
    </w:p>
    <w:p>
      <w:pPr>
        <w:spacing w:line="360" w:lineRule="auto"/>
        <w:ind w:firstLine="560" w:firstLineChars="200"/>
      </w:pPr>
      <w:r>
        <w:rPr>
          <w:rFonts w:eastAsia="方正仿宋_GBK"/>
          <w:bCs/>
          <w:sz w:val="28"/>
          <w:szCs w:val="28"/>
        </w:rPr>
        <w:t>3.5 项目重新比选时，经评审有有效比选响应人的，应当按规定程序，根据符合采购需求、质量和服务，有效最低价的原则确定成交候选人。</w:t>
      </w:r>
    </w:p>
    <w:p>
      <w:pPr>
        <w:spacing w:line="360" w:lineRule="auto"/>
        <w:ind w:firstLine="560" w:firstLineChars="200"/>
        <w:rPr>
          <w:rFonts w:eastAsia="方正仿宋_GBK"/>
          <w:bCs/>
          <w:sz w:val="28"/>
          <w:szCs w:val="28"/>
        </w:rPr>
      </w:pPr>
      <w:r>
        <w:rPr>
          <w:rFonts w:eastAsia="方正仿宋_GBK"/>
          <w:bCs/>
          <w:sz w:val="28"/>
          <w:szCs w:val="28"/>
        </w:rPr>
        <w:t>3.6</w:t>
      </w:r>
      <w:r>
        <w:rPr>
          <w:rFonts w:eastAsia="仿宋"/>
          <w:bCs/>
          <w:sz w:val="28"/>
          <w:szCs w:val="28"/>
        </w:rPr>
        <w:t>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eastAsia="方正仿宋_GBK"/>
          <w:sz w:val="28"/>
          <w:szCs w:val="28"/>
          <w:u w:val="single"/>
        </w:rPr>
        <w:t>2022年</w:t>
      </w:r>
      <w:r>
        <w:rPr>
          <w:rFonts w:hint="eastAsia" w:eastAsia="方正仿宋_GBK"/>
          <w:sz w:val="28"/>
          <w:szCs w:val="28"/>
          <w:u w:val="single"/>
          <w:lang w:val="en-US" w:eastAsia="zh-CN"/>
        </w:rPr>
        <w:t>8</w:t>
      </w:r>
      <w:r>
        <w:rPr>
          <w:rFonts w:eastAsia="方正仿宋_GBK"/>
          <w:sz w:val="28"/>
          <w:szCs w:val="28"/>
          <w:u w:val="single"/>
        </w:rPr>
        <w:t>月</w:t>
      </w:r>
      <w:r>
        <w:rPr>
          <w:rFonts w:hint="eastAsia" w:eastAsia="方正仿宋_GBK"/>
          <w:sz w:val="28"/>
          <w:szCs w:val="28"/>
          <w:u w:val="single"/>
          <w:lang w:val="en-US" w:eastAsia="zh-CN"/>
        </w:rPr>
        <w:t>29</w:t>
      </w:r>
      <w:r>
        <w:rPr>
          <w:rFonts w:eastAsia="方正仿宋_GBK"/>
          <w:sz w:val="28"/>
          <w:szCs w:val="28"/>
          <w:u w:val="single"/>
        </w:rPr>
        <w:t>日</w:t>
      </w:r>
      <w:r>
        <w:rPr>
          <w:rFonts w:eastAsia="方正仿宋_GBK"/>
          <w:sz w:val="28"/>
          <w:szCs w:val="28"/>
        </w:rPr>
        <w:t>由重庆江北国际机场有限公司飞行区管理部在重庆江北国际机场官方网站发布。</w:t>
      </w:r>
    </w:p>
    <w:p>
      <w:pPr>
        <w:pStyle w:val="5"/>
        <w:ind w:firstLine="562" w:firstLineChars="200"/>
        <w:jc w:val="both"/>
        <w:rPr>
          <w:rFonts w:ascii="Times New Roman" w:eastAsia="方正仿宋_GBK"/>
          <w:kern w:val="0"/>
          <w:sz w:val="28"/>
          <w:szCs w:val="28"/>
        </w:rPr>
      </w:pPr>
      <w:r>
        <w:rPr>
          <w:rFonts w:ascii="Times New Roman" w:eastAsia="方正仿宋_GBK"/>
          <w:sz w:val="28"/>
          <w:szCs w:val="28"/>
        </w:rPr>
        <w:t>五、</w:t>
      </w:r>
      <w:r>
        <w:rPr>
          <w:rFonts w:ascii="Times New Roman" w:eastAsia="方正仿宋_GBK"/>
          <w:kern w:val="0"/>
          <w:sz w:val="28"/>
          <w:szCs w:val="28"/>
        </w:rPr>
        <w:t>提出问题的截止时间及比选采购人澄清时间</w:t>
      </w:r>
    </w:p>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5.1 比选响应人对比选采购文件如有疑问，须于</w:t>
      </w:r>
      <w:r>
        <w:rPr>
          <w:rFonts w:eastAsia="方正仿宋_GBK"/>
          <w:kern w:val="0"/>
          <w:sz w:val="28"/>
          <w:szCs w:val="28"/>
          <w:u w:val="single"/>
        </w:rPr>
        <w:t>2022年</w:t>
      </w:r>
      <w:r>
        <w:rPr>
          <w:rFonts w:hint="eastAsia" w:eastAsia="方正仿宋_GBK"/>
          <w:kern w:val="0"/>
          <w:sz w:val="28"/>
          <w:szCs w:val="28"/>
          <w:u w:val="single"/>
          <w:lang w:val="en-US" w:eastAsia="zh-CN"/>
        </w:rPr>
        <w:t>8</w:t>
      </w:r>
      <w:r>
        <w:rPr>
          <w:rFonts w:eastAsia="方正仿宋_GBK"/>
          <w:kern w:val="0"/>
          <w:sz w:val="28"/>
          <w:szCs w:val="28"/>
          <w:u w:val="single"/>
        </w:rPr>
        <w:t>月</w:t>
      </w:r>
      <w:r>
        <w:rPr>
          <w:rFonts w:hint="eastAsia" w:eastAsia="方正仿宋_GBK"/>
          <w:kern w:val="0"/>
          <w:sz w:val="28"/>
          <w:szCs w:val="28"/>
          <w:u w:val="single"/>
          <w:lang w:val="en-US" w:eastAsia="zh-CN"/>
        </w:rPr>
        <w:t>31</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rPr>
        <w:t>5</w:t>
      </w:r>
      <w:r>
        <w:rPr>
          <w:rFonts w:eastAsia="方正仿宋_GBK"/>
          <w:kern w:val="0"/>
          <w:sz w:val="28"/>
          <w:szCs w:val="28"/>
        </w:rPr>
        <w:fldChar w:fldCharType="end"/>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2</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eastAsia="方正仿宋_GBK"/>
          <w:b/>
          <w:kern w:val="0"/>
          <w:sz w:val="28"/>
          <w:szCs w:val="28"/>
        </w:rPr>
        <w:t>六、项目比选响应保证金及履约保证金</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6.1 项目比选响应保证金：无。</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6.2 履约保证金为：金额为成交价格的10%。</w:t>
      </w:r>
    </w:p>
    <w:p>
      <w:pPr>
        <w:spacing w:before="120" w:after="120" w:line="360" w:lineRule="auto"/>
        <w:ind w:firstLine="560" w:firstLineChars="200"/>
        <w:outlineLvl w:val="1"/>
        <w:rPr>
          <w:rFonts w:eastAsia="方正仿宋_GBK"/>
          <w:kern w:val="0"/>
          <w:sz w:val="28"/>
          <w:szCs w:val="28"/>
        </w:rPr>
      </w:pPr>
      <w:r>
        <w:rPr>
          <w:rFonts w:eastAsia="方正仿宋_GBK"/>
          <w:kern w:val="0"/>
          <w:sz w:val="28"/>
          <w:szCs w:val="28"/>
        </w:rPr>
        <w:t>6.2.1 履约保证金提交方式和时间：中标后，成交单位在收到成交通知书后10个</w:t>
      </w:r>
      <w:r>
        <w:rPr>
          <w:rFonts w:hint="eastAsia" w:eastAsia="方正仿宋_GBK"/>
          <w:kern w:val="0"/>
          <w:sz w:val="28"/>
          <w:szCs w:val="28"/>
        </w:rPr>
        <w:t>工作日</w:t>
      </w:r>
      <w:r>
        <w:rPr>
          <w:rFonts w:eastAsia="方正仿宋_GBK"/>
          <w:kern w:val="0"/>
          <w:sz w:val="28"/>
          <w:szCs w:val="28"/>
        </w:rPr>
        <w:t>内</w:t>
      </w:r>
      <w:r>
        <w:rPr>
          <w:rFonts w:hint="eastAsia" w:eastAsia="方正仿宋_GBK"/>
          <w:kern w:val="0"/>
          <w:sz w:val="28"/>
          <w:szCs w:val="28"/>
        </w:rPr>
        <w:t>交齐</w:t>
      </w:r>
      <w:r>
        <w:rPr>
          <w:rFonts w:eastAsia="方正仿宋_GBK"/>
          <w:kern w:val="0"/>
          <w:sz w:val="28"/>
          <w:szCs w:val="28"/>
        </w:rPr>
        <w:t>履约保证金，于</w:t>
      </w:r>
      <w:r>
        <w:rPr>
          <w:rFonts w:hint="eastAsia" w:eastAsia="方正仿宋_GBK"/>
          <w:kern w:val="0"/>
          <w:sz w:val="28"/>
          <w:szCs w:val="28"/>
        </w:rPr>
        <w:t>项目验收合格</w:t>
      </w:r>
      <w:r>
        <w:rPr>
          <w:rFonts w:eastAsia="方正仿宋_GBK"/>
          <w:kern w:val="0"/>
          <w:sz w:val="28"/>
          <w:szCs w:val="28"/>
        </w:rPr>
        <w:t>，</w:t>
      </w:r>
      <w:r>
        <w:rPr>
          <w:rFonts w:eastAsia="仿宋"/>
          <w:color w:val="000000"/>
          <w:sz w:val="28"/>
          <w:szCs w:val="28"/>
        </w:rPr>
        <w:t>经</w:t>
      </w:r>
      <w:r>
        <w:rPr>
          <w:rFonts w:hint="eastAsia" w:eastAsia="仿宋"/>
          <w:color w:val="000000"/>
          <w:sz w:val="28"/>
          <w:szCs w:val="28"/>
        </w:rPr>
        <w:t>业主</w:t>
      </w:r>
      <w:r>
        <w:rPr>
          <w:rFonts w:eastAsia="仿宋"/>
          <w:color w:val="000000"/>
          <w:sz w:val="28"/>
          <w:szCs w:val="28"/>
        </w:rPr>
        <w:t>书面确认未发生违约情形，</w:t>
      </w:r>
      <w:r>
        <w:rPr>
          <w:rFonts w:hint="eastAsia" w:eastAsia="仿宋"/>
          <w:color w:val="000000"/>
          <w:sz w:val="28"/>
          <w:szCs w:val="28"/>
        </w:rPr>
        <w:t>成交单位</w:t>
      </w:r>
      <w:r>
        <w:rPr>
          <w:rFonts w:eastAsia="仿宋"/>
          <w:color w:val="000000"/>
          <w:sz w:val="28"/>
          <w:szCs w:val="28"/>
        </w:rPr>
        <w:t>应向</w:t>
      </w:r>
      <w:r>
        <w:rPr>
          <w:rFonts w:hint="eastAsia" w:eastAsia="仿宋"/>
          <w:color w:val="000000"/>
          <w:sz w:val="28"/>
          <w:szCs w:val="28"/>
        </w:rPr>
        <w:t>业主</w:t>
      </w:r>
      <w:r>
        <w:rPr>
          <w:rFonts w:eastAsia="仿宋"/>
          <w:color w:val="000000"/>
          <w:sz w:val="28"/>
          <w:szCs w:val="28"/>
        </w:rPr>
        <w:t>提交退还保证金的书面申请。</w:t>
      </w:r>
      <w:r>
        <w:rPr>
          <w:rFonts w:hint="eastAsia" w:eastAsia="仿宋"/>
          <w:color w:val="000000"/>
          <w:sz w:val="28"/>
          <w:szCs w:val="28"/>
        </w:rPr>
        <w:t>业主</w:t>
      </w:r>
      <w:r>
        <w:rPr>
          <w:rFonts w:eastAsia="仿宋"/>
          <w:color w:val="000000"/>
          <w:sz w:val="28"/>
          <w:szCs w:val="28"/>
        </w:rPr>
        <w:t>在收到</w:t>
      </w:r>
      <w:r>
        <w:rPr>
          <w:rFonts w:hint="eastAsia" w:eastAsia="仿宋"/>
          <w:color w:val="000000"/>
          <w:sz w:val="28"/>
          <w:szCs w:val="28"/>
        </w:rPr>
        <w:t>成交单位</w:t>
      </w:r>
      <w:r>
        <w:rPr>
          <w:rFonts w:eastAsia="仿宋"/>
          <w:color w:val="000000"/>
          <w:sz w:val="28"/>
          <w:szCs w:val="28"/>
        </w:rPr>
        <w:t>退还保证金的申请及收据后，30个工作日内无息退还</w:t>
      </w:r>
      <w:r>
        <w:rPr>
          <w:rFonts w:eastAsia="方正仿宋_GBK"/>
          <w:kern w:val="0"/>
          <w:sz w:val="28"/>
          <w:szCs w:val="28"/>
        </w:rPr>
        <w:t>。成交单位提交履约保证金后应到计划财务部（重庆市渝北区机场西路26号重庆江北机场公司办公楼）换取履约保证金收据，在签订合同时，应出示采购人计划财务部开具的项目履约保证金收据原件。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eastAsia="方正仿宋_GBK"/>
          <w:sz w:val="28"/>
          <w:szCs w:val="28"/>
        </w:rPr>
      </w:pPr>
      <w:r>
        <w:rPr>
          <w:rFonts w:eastAsia="方正仿宋_GBK"/>
          <w:sz w:val="28"/>
          <w:szCs w:val="28"/>
        </w:rPr>
        <w:t>开户名：重庆江北国际机场有限公司</w:t>
      </w:r>
    </w:p>
    <w:p>
      <w:pPr>
        <w:widowControl/>
        <w:spacing w:line="600" w:lineRule="exact"/>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spacing w:line="600" w:lineRule="exact"/>
        <w:ind w:firstLine="560" w:firstLineChars="200"/>
        <w:jc w:val="left"/>
      </w:pPr>
      <w:r>
        <w:rPr>
          <w:rFonts w:eastAsia="方正仿宋_GBK"/>
          <w:sz w:val="28"/>
          <w:szCs w:val="28"/>
        </w:rPr>
        <w:t>账号：50050108380000000060</w:t>
      </w:r>
    </w:p>
    <w:p>
      <w:pPr>
        <w:adjustRightInd w:val="0"/>
        <w:snapToGrid w:val="0"/>
        <w:spacing w:line="360" w:lineRule="auto"/>
        <w:ind w:firstLine="562" w:firstLineChars="200"/>
        <w:rPr>
          <w:rFonts w:eastAsia="方正仿宋_GBK"/>
          <w:b/>
          <w:bCs/>
          <w:kern w:val="0"/>
          <w:sz w:val="28"/>
          <w:szCs w:val="28"/>
        </w:rPr>
      </w:pPr>
      <w:r>
        <w:rPr>
          <w:rFonts w:eastAsia="方正仿宋_GBK"/>
          <w:b/>
          <w:bCs/>
          <w:kern w:val="0"/>
          <w:sz w:val="28"/>
          <w:szCs w:val="28"/>
        </w:rPr>
        <w:t>七、支付方式</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本项目约定的总价为不含税价格XX元，增值税税额为XX元，增值税税率为XX%。在</w:t>
      </w:r>
      <w:r>
        <w:rPr>
          <w:rFonts w:hint="eastAsia" w:eastAsia="方正仿宋_GBK"/>
          <w:kern w:val="0"/>
          <w:sz w:val="28"/>
          <w:szCs w:val="28"/>
        </w:rPr>
        <w:t>项目</w:t>
      </w:r>
      <w:r>
        <w:rPr>
          <w:rFonts w:eastAsia="方正仿宋_GBK"/>
          <w:kern w:val="0"/>
          <w:sz w:val="28"/>
          <w:szCs w:val="28"/>
        </w:rPr>
        <w:t>履行期间，相应税款根据法律规定缴纳。如税率发生国家法律调整，含税价=当前约定的不含税价*（1+调整后的增值税税率）。</w:t>
      </w:r>
      <w:r>
        <w:rPr>
          <w:rFonts w:eastAsia="仿宋"/>
          <w:color w:val="000000"/>
          <w:sz w:val="28"/>
          <w:szCs w:val="28"/>
        </w:rPr>
        <w:t>如果</w:t>
      </w:r>
      <w:r>
        <w:rPr>
          <w:rFonts w:hint="eastAsia" w:eastAsia="仿宋"/>
          <w:color w:val="000000"/>
          <w:sz w:val="28"/>
          <w:szCs w:val="28"/>
        </w:rPr>
        <w:t>成交单位</w:t>
      </w:r>
      <w:r>
        <w:rPr>
          <w:rFonts w:eastAsia="仿宋"/>
          <w:color w:val="000000"/>
          <w:sz w:val="28"/>
          <w:szCs w:val="28"/>
        </w:rPr>
        <w:t>提供增值税普通发票，</w:t>
      </w:r>
      <w:r>
        <w:rPr>
          <w:rFonts w:hint="eastAsia" w:eastAsia="仿宋"/>
          <w:color w:val="000000"/>
          <w:sz w:val="28"/>
          <w:szCs w:val="28"/>
        </w:rPr>
        <w:t>业主</w:t>
      </w:r>
      <w:r>
        <w:rPr>
          <w:rFonts w:eastAsia="仿宋"/>
          <w:color w:val="000000"/>
          <w:sz w:val="28"/>
          <w:szCs w:val="28"/>
        </w:rPr>
        <w:t>支付金额为合同约定不含增值税金额；若</w:t>
      </w:r>
      <w:r>
        <w:rPr>
          <w:rFonts w:hint="eastAsia" w:eastAsia="仿宋"/>
          <w:color w:val="000000"/>
          <w:sz w:val="28"/>
          <w:szCs w:val="28"/>
        </w:rPr>
        <w:t>成交单位</w:t>
      </w:r>
      <w:r>
        <w:rPr>
          <w:rFonts w:eastAsia="仿宋"/>
          <w:color w:val="000000"/>
          <w:sz w:val="28"/>
          <w:szCs w:val="28"/>
        </w:rPr>
        <w:t>提供增值税专用发票，</w:t>
      </w:r>
      <w:r>
        <w:rPr>
          <w:rFonts w:hint="eastAsia" w:eastAsia="仿宋"/>
          <w:color w:val="000000"/>
          <w:sz w:val="28"/>
          <w:szCs w:val="28"/>
        </w:rPr>
        <w:t>业主</w:t>
      </w:r>
      <w:r>
        <w:rPr>
          <w:rFonts w:eastAsia="仿宋"/>
          <w:color w:val="000000"/>
          <w:sz w:val="28"/>
          <w:szCs w:val="28"/>
        </w:rPr>
        <w:t>实际支付金额=不含增值税金额+增值税税额。</w:t>
      </w:r>
      <w:r>
        <w:rPr>
          <w:rFonts w:eastAsia="方正仿宋_GBK"/>
          <w:kern w:val="0"/>
          <w:sz w:val="28"/>
          <w:szCs w:val="28"/>
        </w:rPr>
        <w:t>项目完工经业主验收合格且书面确认后，</w:t>
      </w:r>
      <w:r>
        <w:rPr>
          <w:rFonts w:hint="eastAsia" w:eastAsia="方正仿宋_GBK"/>
          <w:kern w:val="0"/>
          <w:sz w:val="28"/>
          <w:szCs w:val="28"/>
        </w:rPr>
        <w:t>成交单位</w:t>
      </w:r>
      <w:r>
        <w:rPr>
          <w:rFonts w:eastAsia="方正仿宋_GBK"/>
          <w:kern w:val="0"/>
          <w:sz w:val="28"/>
          <w:szCs w:val="28"/>
        </w:rPr>
        <w:t>向业主开具合同金额的正规增值税发票。业主在收到发票后30个工作日内，向</w:t>
      </w:r>
      <w:r>
        <w:rPr>
          <w:rFonts w:hint="eastAsia" w:eastAsia="方正仿宋_GBK"/>
          <w:kern w:val="0"/>
          <w:sz w:val="28"/>
          <w:szCs w:val="28"/>
        </w:rPr>
        <w:t>成交单位</w:t>
      </w:r>
      <w:r>
        <w:rPr>
          <w:rFonts w:eastAsia="方正仿宋_GBK"/>
          <w:kern w:val="0"/>
          <w:sz w:val="28"/>
          <w:szCs w:val="28"/>
        </w:rPr>
        <w:t>支付合同约定总价款的97％（如</w:t>
      </w:r>
      <w:r>
        <w:rPr>
          <w:rFonts w:hint="eastAsia" w:eastAsia="方正仿宋_GBK"/>
          <w:kern w:val="0"/>
          <w:sz w:val="28"/>
          <w:szCs w:val="28"/>
        </w:rPr>
        <w:t>成交单位</w:t>
      </w:r>
      <w:r>
        <w:rPr>
          <w:rFonts w:eastAsia="方正仿宋_GBK"/>
          <w:kern w:val="0"/>
          <w:sz w:val="28"/>
          <w:szCs w:val="28"/>
        </w:rPr>
        <w:t>提供的增值税专用发票，则增值税税额同比例支付，下同），剩余3％的余款在质量保证期届满，</w:t>
      </w:r>
      <w:r>
        <w:rPr>
          <w:rFonts w:hint="eastAsia" w:eastAsia="方正仿宋_GBK"/>
          <w:kern w:val="0"/>
          <w:sz w:val="28"/>
          <w:szCs w:val="28"/>
        </w:rPr>
        <w:t>成交单位</w:t>
      </w:r>
      <w:r>
        <w:rPr>
          <w:rFonts w:eastAsia="方正仿宋_GBK"/>
          <w:kern w:val="0"/>
          <w:sz w:val="28"/>
          <w:szCs w:val="28"/>
        </w:rPr>
        <w:t>提供书面申请及收据，经业主书面确认未发生违约情形后30个工作日内无息支付。</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支付方式：银行转账或开具银行承兑汇票。</w:t>
      </w:r>
    </w:p>
    <w:p>
      <w:pPr>
        <w:spacing w:line="360" w:lineRule="auto"/>
        <w:ind w:firstLine="551" w:firstLineChars="196"/>
        <w:rPr>
          <w:rFonts w:eastAsia="方正仿宋_GBK"/>
          <w:b/>
          <w:sz w:val="28"/>
          <w:szCs w:val="28"/>
        </w:rPr>
      </w:pPr>
      <w:r>
        <w:rPr>
          <w:rFonts w:eastAsia="方正仿宋_GBK"/>
          <w:b/>
          <w:sz w:val="28"/>
          <w:szCs w:val="28"/>
        </w:rPr>
        <w:t>八、工期/到货时间</w:t>
      </w:r>
    </w:p>
    <w:p>
      <w:pPr>
        <w:spacing w:line="360" w:lineRule="auto"/>
        <w:ind w:firstLine="560" w:firstLineChars="200"/>
        <w:rPr>
          <w:rFonts w:eastAsia="方正仿宋_GBK"/>
          <w:kern w:val="0"/>
          <w:sz w:val="28"/>
          <w:szCs w:val="28"/>
        </w:rPr>
      </w:pPr>
      <w:r>
        <w:rPr>
          <w:rFonts w:eastAsia="方正仿宋_GBK"/>
          <w:color w:val="FF0000"/>
          <w:sz w:val="28"/>
          <w:szCs w:val="28"/>
        </w:rPr>
        <w:t xml:space="preserve"> </w:t>
      </w:r>
      <w:r>
        <w:rPr>
          <w:rFonts w:eastAsia="方正仿宋_GBK"/>
          <w:sz w:val="28"/>
          <w:szCs w:val="28"/>
        </w:rPr>
        <w:t>自合同签订之日起90</w:t>
      </w:r>
      <w:r>
        <w:rPr>
          <w:rFonts w:hint="eastAsia" w:eastAsia="方正仿宋_GBK"/>
          <w:sz w:val="28"/>
          <w:szCs w:val="28"/>
        </w:rPr>
        <w:t>个</w:t>
      </w:r>
      <w:r>
        <w:rPr>
          <w:rFonts w:eastAsia="方正仿宋_GBK"/>
          <w:sz w:val="28"/>
          <w:szCs w:val="28"/>
        </w:rPr>
        <w:t>日历天</w:t>
      </w:r>
      <w:r>
        <w:rPr>
          <w:rFonts w:eastAsia="方正仿宋_GBK"/>
          <w:kern w:val="0"/>
          <w:sz w:val="28"/>
          <w:szCs w:val="28"/>
        </w:rPr>
        <w:t>。</w:t>
      </w:r>
    </w:p>
    <w:p>
      <w:pPr>
        <w:numPr>
          <w:ilvl w:val="0"/>
          <w:numId w:val="1"/>
        </w:numPr>
        <w:spacing w:line="360" w:lineRule="auto"/>
        <w:ind w:firstLine="562" w:firstLineChars="200"/>
        <w:rPr>
          <w:rFonts w:eastAsia="方正仿宋_GBK"/>
          <w:b/>
          <w:sz w:val="28"/>
          <w:szCs w:val="28"/>
        </w:rPr>
      </w:pPr>
      <w:r>
        <w:rPr>
          <w:rFonts w:eastAsia="方正仿宋_GBK"/>
          <w:b/>
          <w:sz w:val="28"/>
          <w:szCs w:val="28"/>
        </w:rPr>
        <w:t>质保期或服务期</w:t>
      </w:r>
    </w:p>
    <w:p>
      <w:pPr>
        <w:pStyle w:val="2"/>
        <w:jc w:val="both"/>
        <w:rPr>
          <w:rFonts w:ascii="Times New Roman" w:hAnsi="Times New Roman" w:eastAsia="方正仿宋_GBK"/>
          <w:b w:val="0"/>
          <w:bCs w:val="0"/>
          <w:sz w:val="28"/>
          <w:szCs w:val="28"/>
        </w:rPr>
      </w:pPr>
      <w:r>
        <w:rPr>
          <w:rFonts w:ascii="Times New Roman" w:hAnsi="Times New Roman"/>
        </w:rPr>
        <w:t>　　</w:t>
      </w:r>
      <w:r>
        <w:rPr>
          <w:rFonts w:ascii="Times New Roman" w:hAnsi="Times New Roman" w:eastAsia="方正仿宋_GBK"/>
          <w:b w:val="0"/>
          <w:bCs w:val="0"/>
          <w:sz w:val="28"/>
          <w:szCs w:val="28"/>
        </w:rPr>
        <w:t>自验收合格之日起质保期为12个月。</w:t>
      </w:r>
    </w:p>
    <w:p>
      <w:pPr>
        <w:widowControl/>
        <w:adjustRightInd w:val="0"/>
        <w:snapToGrid w:val="0"/>
        <w:spacing w:line="360" w:lineRule="auto"/>
        <w:ind w:firstLine="551" w:firstLineChars="196"/>
        <w:jc w:val="left"/>
        <w:textAlignment w:val="bottom"/>
        <w:rPr>
          <w:rFonts w:eastAsia="方正仿宋_GBK"/>
          <w:b/>
          <w:sz w:val="28"/>
          <w:szCs w:val="28"/>
        </w:rPr>
      </w:pPr>
      <w:r>
        <w:rPr>
          <w:rFonts w:eastAsia="方正仿宋_GBK"/>
          <w:b/>
          <w:sz w:val="28"/>
          <w:szCs w:val="28"/>
        </w:rPr>
        <w:t>十、比选响应有效期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采购文件的要求编制比选响应文件，比选响应文件应当对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采购文件提出的要求和条件作出实质性应答。</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.2比选响应文件应用A4规格纸编制并装订成册，主要由以下几个部分组成：</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lang w:val="zh-CN"/>
        </w:rPr>
        <w:t>1</w:t>
      </w:r>
      <w:r>
        <w:rPr>
          <w:rFonts w:ascii="Times New Roman" w:eastAsia="方正仿宋_GBK"/>
          <w:b w:val="0"/>
          <w:sz w:val="28"/>
          <w:szCs w:val="28"/>
        </w:rPr>
        <w:t>1</w:t>
      </w:r>
      <w:r>
        <w:rPr>
          <w:rFonts w:ascii="Times New Roman" w:eastAsia="方正仿宋_GBK"/>
          <w:b w:val="0"/>
          <w:sz w:val="28"/>
          <w:szCs w:val="28"/>
          <w:lang w:val="zh-CN"/>
        </w:rPr>
        <w:t>.2.3 报价部分。比选响应人应按照比选采购文件要求（响应文件格式</w:t>
      </w:r>
      <w:r>
        <w:rPr>
          <w:rFonts w:hint="eastAsia" w:ascii="Times New Roman" w:eastAsia="方正仿宋_GBK"/>
          <w:b w:val="0"/>
          <w:sz w:val="28"/>
          <w:szCs w:val="28"/>
        </w:rPr>
        <w:t>四</w:t>
      </w:r>
      <w:r>
        <w:rPr>
          <w:rFonts w:ascii="Times New Roman" w:eastAsia="方正仿宋_GBK"/>
          <w:b w:val="0"/>
          <w:sz w:val="28"/>
          <w:szCs w:val="28"/>
          <w:lang w:val="zh-CN"/>
        </w:rPr>
        <w:t>：项目采购需求表）报出拟提供货物的品牌、规格、</w:t>
      </w:r>
      <w:r>
        <w:rPr>
          <w:rFonts w:hint="eastAsia" w:ascii="Times New Roman" w:eastAsia="方正仿宋_GBK"/>
          <w:b w:val="0"/>
          <w:bCs w:val="0"/>
          <w:sz w:val="28"/>
          <w:szCs w:val="28"/>
          <w:highlight w:val="none"/>
          <w:lang w:val="zh-CN"/>
        </w:rPr>
        <w:t>单价、总价</w:t>
      </w:r>
      <w:r>
        <w:rPr>
          <w:rFonts w:ascii="Times New Roman" w:eastAsia="方正仿宋_GBK"/>
          <w:b w:val="0"/>
          <w:sz w:val="28"/>
          <w:szCs w:val="28"/>
          <w:lang w:val="zh-CN"/>
        </w:rPr>
        <w:t>等详细内容，各项报价应包括货物的运输、安装调试和服务等全部费用，报价为不含税报价，增值税税率单列。</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技术部分。主要包括本项目</w:t>
      </w:r>
      <w:r>
        <w:rPr>
          <w:rFonts w:hint="eastAsia" w:ascii="Times New Roman" w:eastAsia="方正仿宋_GBK"/>
          <w:b w:val="0"/>
          <w:sz w:val="28"/>
          <w:szCs w:val="28"/>
        </w:rPr>
        <w:t>维护</w:t>
      </w:r>
      <w:r>
        <w:rPr>
          <w:rFonts w:ascii="Times New Roman" w:eastAsia="方正仿宋_GBK"/>
          <w:b w:val="0"/>
          <w:sz w:val="28"/>
          <w:szCs w:val="28"/>
          <w:lang w:val="zh-CN"/>
        </w:rPr>
        <w:t>方案和安全措施等</w:t>
      </w:r>
      <w:r>
        <w:rPr>
          <w:rFonts w:hint="eastAsia" w:ascii="Times New Roman" w:eastAsia="方正仿宋_GBK"/>
          <w:b w:val="0"/>
          <w:sz w:val="28"/>
          <w:szCs w:val="28"/>
          <w:lang w:val="zh-CN"/>
        </w:rPr>
        <w:t>符合</w:t>
      </w:r>
      <w:r>
        <w:rPr>
          <w:rFonts w:ascii="Times New Roman" w:eastAsia="方正仿宋_GBK"/>
          <w:b w:val="0"/>
          <w:sz w:val="28"/>
          <w:szCs w:val="28"/>
          <w:lang w:val="zh-CN"/>
        </w:rPr>
        <w:t>本项目项目要求的响应文件，如果提供的材料和服务与比选采购文件要求有偏差，必须详细说明，须经比选小组评定和采购人许可，才能作为比选响应人实质性响应。(表格自制)</w:t>
      </w:r>
    </w:p>
    <w:p>
      <w:pPr>
        <w:pStyle w:val="5"/>
        <w:spacing w:line="360" w:lineRule="auto"/>
        <w:ind w:firstLine="560" w:firstLineChars="200"/>
        <w:jc w:val="both"/>
        <w:rPr>
          <w:rFonts w:ascii="Times New Roman"/>
          <w:lang w:val="zh-CN"/>
        </w:rPr>
      </w:pPr>
      <w:r>
        <w:rPr>
          <w:rFonts w:ascii="Times New Roman" w:eastAsia="方正仿宋_GBK"/>
          <w:b w:val="0"/>
          <w:sz w:val="28"/>
          <w:szCs w:val="28"/>
        </w:rPr>
        <w:t>11</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widowControl/>
        <w:spacing w:line="360" w:lineRule="auto"/>
        <w:ind w:firstLine="560" w:firstLineChars="200"/>
        <w:jc w:val="left"/>
        <w:rPr>
          <w:rFonts w:eastAsia="方正仿宋_GBK"/>
          <w:sz w:val="28"/>
          <w:szCs w:val="28"/>
          <w:lang w:val="zh-CN"/>
        </w:rPr>
      </w:pPr>
      <w:r>
        <w:rPr>
          <w:rFonts w:eastAsia="方正仿宋_GBK"/>
          <w:sz w:val="28"/>
          <w:szCs w:val="28"/>
          <w:lang w:val="zh-CN"/>
        </w:rPr>
        <w:t>主要包括营业执照（复印件加盖比选响应人鲜章）、</w:t>
      </w:r>
      <w:r>
        <w:rPr>
          <w:rFonts w:eastAsia="方正仿宋_GBK"/>
          <w:sz w:val="28"/>
          <w:szCs w:val="28"/>
        </w:rPr>
        <w:t>连续</w:t>
      </w:r>
      <w:r>
        <w:rPr>
          <w:rFonts w:hint="eastAsia" w:eastAsia="方正仿宋_GBK"/>
          <w:sz w:val="28"/>
          <w:szCs w:val="28"/>
        </w:rPr>
        <w:t>3</w:t>
      </w:r>
      <w:r>
        <w:rPr>
          <w:rFonts w:eastAsia="方正仿宋_GBK"/>
          <w:sz w:val="28"/>
          <w:szCs w:val="28"/>
        </w:rPr>
        <w:t>年以上（含</w:t>
      </w:r>
      <w:r>
        <w:rPr>
          <w:rFonts w:hint="eastAsia" w:eastAsia="方正仿宋_GBK"/>
          <w:sz w:val="28"/>
          <w:szCs w:val="28"/>
        </w:rPr>
        <w:t>3</w:t>
      </w:r>
      <w:r>
        <w:rPr>
          <w:rFonts w:eastAsia="方正仿宋_GBK"/>
          <w:sz w:val="28"/>
          <w:szCs w:val="28"/>
        </w:rPr>
        <w:t>年）获得康明斯（中国）投资有限公司发放的康明斯电力发电机组服务资质证书复印件或授权证明复印件（加盖比选响应人鲜章）、康明斯东亚培训中心发放的“电控基础与INPOWER”培训证书复印件（加盖比选响应人鲜章）、</w:t>
      </w:r>
      <w:r>
        <w:rPr>
          <w:rFonts w:eastAsia="方正仿宋_GBK"/>
          <w:sz w:val="28"/>
          <w:szCs w:val="28"/>
          <w:lang w:val="zh-CN"/>
        </w:rPr>
        <w:t>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w:t>
      </w:r>
      <w:r>
        <w:rPr>
          <w:rFonts w:hint="eastAsia" w:eastAsia="方正仿宋_GBK"/>
          <w:sz w:val="28"/>
          <w:szCs w:val="28"/>
          <w:lang w:val="zh-CN"/>
        </w:rPr>
        <w:t>比选</w:t>
      </w:r>
      <w:r>
        <w:rPr>
          <w:rFonts w:eastAsia="方正仿宋_GBK"/>
          <w:sz w:val="28"/>
          <w:szCs w:val="28"/>
          <w:lang w:val="zh-CN"/>
        </w:rPr>
        <w:t>响应人鲜章）、不转包、分包承诺函（原件加盖比选响应人鲜章）、法定代表人身份证明（响应文件格式二）、法定代表人授权书（响应文件格式三）。</w:t>
      </w:r>
    </w:p>
    <w:p>
      <w:pPr>
        <w:autoSpaceDE w:val="0"/>
        <w:autoSpaceDN w:val="0"/>
        <w:adjustRightInd w:val="0"/>
        <w:spacing w:line="360" w:lineRule="auto"/>
        <w:ind w:firstLine="548" w:firstLineChars="196"/>
        <w:rPr>
          <w:rFonts w:eastAsia="方正仿宋_GBK"/>
          <w:sz w:val="28"/>
          <w:szCs w:val="28"/>
          <w:lang w:val="zh-CN"/>
        </w:rPr>
      </w:pPr>
      <w:r>
        <w:rPr>
          <w:rFonts w:eastAsia="方正仿宋_GBK"/>
          <w:sz w:val="28"/>
          <w:szCs w:val="28"/>
          <w:lang w:val="zh-CN"/>
        </w:rPr>
        <w:t>1</w:t>
      </w:r>
      <w:r>
        <w:rPr>
          <w:rFonts w:eastAsia="方正仿宋_GBK"/>
          <w:sz w:val="28"/>
          <w:szCs w:val="28"/>
        </w:rPr>
        <w:t>1</w:t>
      </w:r>
      <w:r>
        <w:rPr>
          <w:rFonts w:eastAsia="方正仿宋_GBK"/>
          <w:sz w:val="28"/>
          <w:szCs w:val="28"/>
          <w:lang w:val="zh-CN"/>
        </w:rPr>
        <w:t>.2.6 比选响应文件可合并装订成册，纸质文件一式</w:t>
      </w:r>
      <w:r>
        <w:rPr>
          <w:rFonts w:eastAsia="方正仿宋_GBK"/>
          <w:sz w:val="28"/>
          <w:szCs w:val="28"/>
        </w:rPr>
        <w:t>2</w:t>
      </w:r>
      <w:r>
        <w:rPr>
          <w:rFonts w:eastAsia="方正仿宋_GBK"/>
          <w:sz w:val="28"/>
          <w:szCs w:val="28"/>
          <w:lang w:val="zh-CN"/>
        </w:rPr>
        <w:t>份，其中正本1份，副本</w:t>
      </w:r>
      <w:r>
        <w:rPr>
          <w:rFonts w:eastAsia="方正仿宋_GBK"/>
          <w:sz w:val="28"/>
          <w:szCs w:val="28"/>
        </w:rPr>
        <w:t>1</w:t>
      </w:r>
      <w:r>
        <w:rPr>
          <w:rFonts w:eastAsia="方正仿宋_GBK"/>
          <w:sz w:val="28"/>
          <w:szCs w:val="28"/>
          <w:lang w:val="zh-CN"/>
        </w:rPr>
        <w:t>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比选响应人的报价超过比选最高限价</w:t>
      </w:r>
      <w:r>
        <w:rPr>
          <w:rFonts w:eastAsia="方正仿宋_GBK"/>
          <w:sz w:val="28"/>
          <w:szCs w:val="28"/>
        </w:rPr>
        <w:t>或单项限价（若为单项限价项目，需列明）</w:t>
      </w:r>
      <w:r>
        <w:rPr>
          <w:rFonts w:eastAsia="方正仿宋_GBK"/>
          <w:sz w:val="28"/>
          <w:szCs w:val="28"/>
          <w:lang w:val="zh-CN"/>
        </w:rPr>
        <w:t>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2</w:t>
      </w:r>
      <w:r>
        <w:rPr>
          <w:rFonts w:eastAsia="方正仿宋_GBK"/>
          <w:sz w:val="28"/>
          <w:szCs w:val="28"/>
        </w:rPr>
        <w:t xml:space="preserve"> 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4</w:t>
      </w:r>
      <w:r>
        <w:rPr>
          <w:rFonts w:eastAsia="方正仿宋_GBK"/>
          <w:sz w:val="28"/>
          <w:szCs w:val="28"/>
        </w:rPr>
        <w:t xml:space="preserve">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5</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6</w:t>
      </w:r>
      <w:r>
        <w:rPr>
          <w:rFonts w:eastAsia="方正仿宋_GBK"/>
          <w:sz w:val="28"/>
          <w:szCs w:val="28"/>
        </w:rPr>
        <w:t xml:space="preserve">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7</w:t>
      </w:r>
      <w:r>
        <w:rPr>
          <w:rFonts w:eastAsia="方正仿宋_GBK"/>
          <w:sz w:val="28"/>
          <w:szCs w:val="28"/>
        </w:rPr>
        <w:t xml:space="preserve">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9</w:t>
      </w:r>
      <w:r>
        <w:rPr>
          <w:rFonts w:eastAsia="方正仿宋_GBK"/>
          <w:sz w:val="28"/>
          <w:szCs w:val="28"/>
        </w:rPr>
        <w:t xml:space="preserve">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0</w:t>
      </w:r>
      <w:r>
        <w:rPr>
          <w:rFonts w:eastAsia="方正仿宋_GBK"/>
          <w:sz w:val="28"/>
          <w:szCs w:val="28"/>
        </w:rPr>
        <w:t xml:space="preserve">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eastAsia="方正仿宋_GBK"/>
          <w:sz w:val="28"/>
          <w:szCs w:val="28"/>
        </w:rPr>
        <w:t>3</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15.1 </w:t>
      </w:r>
      <w:r>
        <w:rPr>
          <w:rFonts w:eastAsia="方正仿宋_GBK"/>
          <w:sz w:val="28"/>
          <w:szCs w:val="28"/>
          <w:lang w:val="zh-CN"/>
        </w:rPr>
        <w:t>比选响应文件</w:t>
      </w:r>
      <w:r>
        <w:rPr>
          <w:rFonts w:eastAsia="方正仿宋_GBK"/>
          <w:kern w:val="0"/>
          <w:sz w:val="28"/>
          <w:szCs w:val="28"/>
        </w:rPr>
        <w:t>必须在</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6</w:t>
      </w:r>
      <w:r>
        <w:rPr>
          <w:rFonts w:eastAsia="方正仿宋_GBK"/>
          <w:kern w:val="0"/>
          <w:sz w:val="28"/>
          <w:szCs w:val="28"/>
          <w:u w:val="single"/>
        </w:rPr>
        <w:t>日9:00至10:00</w:t>
      </w:r>
      <w:r>
        <w:rPr>
          <w:rFonts w:eastAsia="方正仿宋_GBK"/>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15.2 </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6</w:t>
      </w:r>
      <w:r>
        <w:rPr>
          <w:rFonts w:eastAsia="方正仿宋_GBK"/>
          <w:kern w:val="0"/>
          <w:sz w:val="28"/>
          <w:szCs w:val="28"/>
          <w:u w:val="single"/>
        </w:rPr>
        <w:t>日</w:t>
      </w:r>
      <w:r>
        <w:rPr>
          <w:rFonts w:eastAsia="方正仿宋_GBK"/>
          <w:sz w:val="28"/>
          <w:szCs w:val="28"/>
          <w:u w:val="single"/>
        </w:rPr>
        <w:t>10:00</w:t>
      </w:r>
      <w:r>
        <w:rPr>
          <w:rFonts w:eastAsia="方正仿宋_GBK"/>
          <w:sz w:val="28"/>
          <w:szCs w:val="28"/>
        </w:rPr>
        <w:t>时在</w:t>
      </w:r>
      <w:r>
        <w:rPr>
          <w:rFonts w:eastAsia="方正仿宋_GBK"/>
          <w:kern w:val="0"/>
          <w:sz w:val="28"/>
          <w:szCs w:val="28"/>
        </w:rPr>
        <w:t>重庆江北国际机场有限公司飞行区管理部302室（机场东路17号）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w:t>
      </w:r>
      <w:r>
        <w:rPr>
          <w:rFonts w:hint="eastAsia" w:eastAsia="方正仿宋_GBK"/>
          <w:sz w:val="28"/>
          <w:szCs w:val="28"/>
        </w:rPr>
        <w:t>比选开始前，各比选响应人须在48小时前，咨询重庆江北国际机场疫情防控最新要求，并按要求准备相关材料。疫情防控专班电话：67153735、67153452.</w:t>
      </w:r>
      <w:r>
        <w:rPr>
          <w:rFonts w:eastAsia="方正仿宋_GBK"/>
          <w:sz w:val="28"/>
          <w:szCs w:val="28"/>
        </w:rPr>
        <w:t>在</w:t>
      </w:r>
      <w:r>
        <w:rPr>
          <w:rFonts w:eastAsia="方正仿宋_GBK"/>
          <w:kern w:val="0"/>
          <w:sz w:val="28"/>
          <w:szCs w:val="28"/>
        </w:rPr>
        <w:t>重庆江北国际机场有限公司飞行区管理部302室（机场东路17号）</w:t>
      </w:r>
      <w:r>
        <w:rPr>
          <w:rFonts w:eastAsia="方正仿宋_GBK"/>
          <w:sz w:val="28"/>
          <w:szCs w:val="28"/>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15.3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15.4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bookmarkStart w:id="16" w:name="_GoBack"/>
      <w:bookmarkEnd w:id="16"/>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sz w:val="28"/>
          <w:szCs w:val="28"/>
        </w:rPr>
      </w:pPr>
      <w:r>
        <w:rPr>
          <w:rFonts w:eastAsia="方正仿宋_GBK"/>
          <w:sz w:val="28"/>
          <w:szCs w:val="28"/>
        </w:rPr>
        <w:t>邮编：401120</w:t>
      </w:r>
    </w:p>
    <w:p>
      <w:pPr>
        <w:wordWrap w:val="0"/>
        <w:spacing w:line="300" w:lineRule="exact"/>
        <w:ind w:firstLine="482" w:firstLineChars="200"/>
        <w:jc w:val="right"/>
        <w:rPr>
          <w:rFonts w:eastAsia="仿宋"/>
          <w:b/>
          <w:sz w:val="24"/>
        </w:rPr>
      </w:pPr>
      <w:bookmarkStart w:id="0" w:name="_Hlk18508484"/>
    </w:p>
    <w:p>
      <w:pPr>
        <w:wordWrap w:val="0"/>
        <w:spacing w:line="300" w:lineRule="exact"/>
        <w:ind w:firstLine="482" w:firstLineChars="200"/>
        <w:jc w:val="center"/>
      </w:pPr>
      <w:r>
        <w:rPr>
          <w:rFonts w:eastAsia="仿宋"/>
          <w:b/>
          <w:sz w:val="24"/>
        </w:rPr>
        <w:t xml:space="preserve">      </w:t>
      </w:r>
      <w:bookmarkEnd w:id="0"/>
    </w:p>
    <w:p>
      <w:pPr>
        <w:rPr>
          <w:rFonts w:eastAsia="仿宋"/>
          <w:b/>
          <w:bCs/>
          <w:sz w:val="28"/>
          <w:szCs w:val="28"/>
        </w:rPr>
      </w:pPr>
      <w:r>
        <w:rPr>
          <w:rFonts w:eastAsia="仿宋"/>
          <w:b/>
          <w:bCs/>
          <w:sz w:val="28"/>
          <w:szCs w:val="28"/>
        </w:rPr>
        <w:br w:type="page"/>
      </w:r>
    </w:p>
    <w:p>
      <w:pPr>
        <w:snapToGrid w:val="0"/>
        <w:spacing w:line="360" w:lineRule="auto"/>
        <w:rPr>
          <w:rFonts w:eastAsia="仿宋"/>
          <w:b/>
          <w:bCs/>
          <w:sz w:val="28"/>
          <w:szCs w:val="28"/>
        </w:rPr>
      </w:pPr>
      <w:r>
        <w:rPr>
          <w:rFonts w:eastAsia="仿宋"/>
          <w:b/>
          <w:bCs/>
          <w:sz w:val="28"/>
          <w:szCs w:val="28"/>
        </w:rPr>
        <w:t>合同模版</w:t>
      </w:r>
    </w:p>
    <w:p>
      <w:pPr>
        <w:pStyle w:val="4"/>
        <w:ind w:right="600" w:firstLine="560"/>
        <w:jc w:val="right"/>
        <w:rPr>
          <w:rFonts w:ascii="Times New Roman" w:hAnsi="Times New Roman" w:eastAsia="仿宋" w:cs="Times New Roman"/>
          <w:sz w:val="28"/>
          <w:szCs w:val="28"/>
        </w:rPr>
      </w:pPr>
      <w:r>
        <w:rPr>
          <w:rFonts w:ascii="Times New Roman" w:hAnsi="Times New Roman" w:eastAsia="仿宋" w:cs="Times New Roman"/>
          <w:sz w:val="28"/>
          <w:szCs w:val="28"/>
        </w:rPr>
        <w:t xml:space="preserve">合同编号：     </w:t>
      </w:r>
    </w:p>
    <w:p>
      <w:pPr>
        <w:snapToGrid w:val="0"/>
        <w:spacing w:line="360" w:lineRule="auto"/>
        <w:rPr>
          <w:rFonts w:eastAsia="仿宋"/>
          <w:sz w:val="28"/>
          <w:szCs w:val="28"/>
        </w:rPr>
      </w:pPr>
    </w:p>
    <w:p>
      <w:pPr>
        <w:jc w:val="center"/>
        <w:rPr>
          <w:b/>
          <w:sz w:val="44"/>
        </w:rPr>
      </w:pPr>
      <w:r>
        <w:rPr>
          <w:b/>
          <w:sz w:val="44"/>
        </w:rPr>
        <w:t>_____________________________</w:t>
      </w:r>
    </w:p>
    <w:p>
      <w:pPr>
        <w:pStyle w:val="11"/>
        <w:ind w:firstLine="2883" w:firstLineChars="400"/>
      </w:pPr>
      <w:bookmarkStart w:id="1" w:name="_Hlk18508344"/>
      <w:r>
        <w:t>买卖合同</w:t>
      </w:r>
    </w:p>
    <w:bookmarkEnd w:id="1"/>
    <w:p>
      <w:pPr>
        <w:jc w:val="center"/>
        <w:rPr>
          <w:b/>
          <w:sz w:val="44"/>
        </w:rPr>
      </w:pPr>
      <w:r>
        <w:rPr>
          <w:b/>
          <w:sz w:val="44"/>
        </w:rPr>
        <w:t>______________________________</w:t>
      </w:r>
    </w:p>
    <w:p>
      <w:pPr>
        <w:ind w:firstLine="880" w:firstLineChars="200"/>
        <w:jc w:val="center"/>
        <w:rPr>
          <w:rFonts w:eastAsia="等线"/>
          <w:b/>
          <w:sz w:val="44"/>
        </w:rPr>
      </w:pPr>
    </w:p>
    <w:p>
      <w:pPr>
        <w:pStyle w:val="2"/>
        <w:rPr>
          <w:rFonts w:ascii="Times New Roman" w:hAnsi="Times New Roman"/>
        </w:rPr>
      </w:pPr>
    </w:p>
    <w:p>
      <w:pPr>
        <w:ind w:firstLine="420" w:firstLineChars="200"/>
        <w:jc w:val="center"/>
        <w:rPr>
          <w:rFonts w:eastAsia="等线"/>
          <w:b/>
        </w:rPr>
      </w:pPr>
    </w:p>
    <w:p>
      <w:pPr>
        <w:snapToGrid w:val="0"/>
        <w:spacing w:line="360" w:lineRule="auto"/>
        <w:jc w:val="center"/>
        <w:rPr>
          <w:b/>
          <w:sz w:val="32"/>
          <w:szCs w:val="32"/>
        </w:rPr>
      </w:pPr>
      <w:bookmarkStart w:id="2" w:name="_Hlk18506346"/>
      <w:r>
        <w:rPr>
          <w:b/>
          <w:sz w:val="32"/>
          <w:szCs w:val="32"/>
        </w:rPr>
        <w:t>甲方：重庆江北国际机场有限公司</w:t>
      </w:r>
    </w:p>
    <w:p>
      <w:pPr>
        <w:pStyle w:val="2"/>
        <w:rPr>
          <w:rFonts w:ascii="Times New Roman" w:hAnsi="Times New Roman"/>
        </w:rPr>
      </w:pPr>
    </w:p>
    <w:p>
      <w:pPr>
        <w:snapToGrid w:val="0"/>
        <w:spacing w:line="360" w:lineRule="auto"/>
        <w:rPr>
          <w:b/>
          <w:bCs/>
          <w:sz w:val="32"/>
          <w:szCs w:val="32"/>
        </w:rPr>
      </w:pPr>
      <w:r>
        <w:rPr>
          <w:b/>
          <w:sz w:val="32"/>
          <w:szCs w:val="32"/>
        </w:rPr>
        <w:t xml:space="preserve">           乙方：</w:t>
      </w:r>
      <w:r>
        <w:rPr>
          <w:b/>
          <w:bCs/>
          <w:sz w:val="32"/>
          <w:szCs w:val="32"/>
        </w:rPr>
        <w:t xml:space="preserve"> ______________________</w:t>
      </w:r>
    </w:p>
    <w:bookmarkEnd w:id="2"/>
    <w:p>
      <w:pPr>
        <w:ind w:firstLine="562" w:firstLineChars="200"/>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eastAsia="仿宋"/>
          <w:b/>
          <w:bCs/>
          <w:sz w:val="28"/>
          <w:szCs w:val="28"/>
        </w:rPr>
        <w:br w:type="page"/>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甲方（买方）：重庆江北国际机场有限公司</w:t>
      </w:r>
    </w:p>
    <w:p>
      <w:pPr>
        <w:pStyle w:val="4"/>
        <w:ind w:firstLine="602" w:firstLineChars="0"/>
        <w:rPr>
          <w:rFonts w:ascii="Times New Roman" w:hAnsi="Times New Roman" w:eastAsia="仿宋" w:cs="Times New Roman"/>
          <w:b/>
          <w:bCs/>
          <w:sz w:val="28"/>
          <w:szCs w:val="28"/>
        </w:rPr>
      </w:pPr>
      <w:r>
        <w:rPr>
          <w:rFonts w:ascii="Times New Roman" w:hAnsi="Times New Roman" w:eastAsia="仿宋" w:cs="Times New Roman"/>
          <w:b/>
          <w:bCs/>
          <w:sz w:val="28"/>
          <w:szCs w:val="28"/>
        </w:rPr>
        <w:t>统一信用代码：9150 0112 MA5U 9Q00 3T</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送达地址：</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联系人：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联系电话：</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邮箱：</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乙方（卖方）：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统一信用代码：</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送达地址：</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联系人：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联系电话：</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邮箱：</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签订地点： </w:t>
      </w:r>
    </w:p>
    <w:p>
      <w:pPr>
        <w:pStyle w:val="4"/>
        <w:ind w:firstLine="562"/>
        <w:rPr>
          <w:rFonts w:ascii="Times New Roman" w:hAnsi="Times New Roman" w:eastAsia="仿宋" w:cs="Times New Roman"/>
          <w:b/>
          <w:bCs/>
          <w:sz w:val="28"/>
          <w:szCs w:val="28"/>
        </w:rPr>
      </w:pPr>
      <w:r>
        <w:rPr>
          <w:rFonts w:ascii="Times New Roman" w:hAnsi="Times New Roman" w:eastAsia="仿宋" w:cs="Times New Roman"/>
          <w:b/>
          <w:bCs/>
          <w:sz w:val="28"/>
          <w:szCs w:val="28"/>
        </w:rPr>
        <w:t>签订时间：</w:t>
      </w:r>
      <w:r>
        <w:rPr>
          <w:rFonts w:ascii="Times New Roman" w:hAnsi="Times New Roman" w:eastAsia="仿宋" w:cs="Times New Roman"/>
          <w:b/>
          <w:bCs/>
          <w:sz w:val="28"/>
          <w:szCs w:val="28"/>
          <w:u w:val="single"/>
        </w:rPr>
        <w:t xml:space="preserve">    </w:t>
      </w:r>
      <w:r>
        <w:rPr>
          <w:rFonts w:ascii="Times New Roman" w:hAnsi="Times New Roman" w:eastAsia="仿宋" w:cs="Times New Roman"/>
          <w:b/>
          <w:bCs/>
          <w:sz w:val="28"/>
          <w:szCs w:val="28"/>
        </w:rPr>
        <w:t>年</w:t>
      </w:r>
      <w:r>
        <w:rPr>
          <w:rFonts w:ascii="Times New Roman" w:hAnsi="Times New Roman" w:eastAsia="仿宋" w:cs="Times New Roman"/>
          <w:b/>
          <w:bCs/>
          <w:sz w:val="28"/>
          <w:szCs w:val="28"/>
          <w:u w:val="single"/>
        </w:rPr>
        <w:t xml:space="preserve">    </w:t>
      </w:r>
      <w:r>
        <w:rPr>
          <w:rFonts w:ascii="Times New Roman" w:hAnsi="Times New Roman" w:eastAsia="仿宋" w:cs="Times New Roman"/>
          <w:b/>
          <w:bCs/>
          <w:sz w:val="28"/>
          <w:szCs w:val="28"/>
        </w:rPr>
        <w:t>月</w:t>
      </w:r>
      <w:r>
        <w:rPr>
          <w:rFonts w:ascii="Times New Roman" w:hAnsi="Times New Roman" w:eastAsia="仿宋" w:cs="Times New Roman"/>
          <w:b/>
          <w:bCs/>
          <w:sz w:val="28"/>
          <w:szCs w:val="28"/>
          <w:u w:val="single"/>
        </w:rPr>
        <w:t xml:space="preserve">    </w:t>
      </w:r>
      <w:r>
        <w:rPr>
          <w:rFonts w:ascii="Times New Roman" w:hAnsi="Times New Roman" w:eastAsia="仿宋" w:cs="Times New Roman"/>
          <w:b/>
          <w:bCs/>
          <w:sz w:val="28"/>
          <w:szCs w:val="28"/>
        </w:rPr>
        <w:t>日</w:t>
      </w:r>
    </w:p>
    <w:p>
      <w:pPr>
        <w:pStyle w:val="4"/>
        <w:ind w:firstLine="560"/>
        <w:rPr>
          <w:rFonts w:ascii="Times New Roman" w:hAnsi="Times New Roman" w:eastAsia="仿宋" w:cs="Times New Roman"/>
          <w:sz w:val="28"/>
          <w:szCs w:val="28"/>
        </w:rPr>
      </w:pPr>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甲乙双方依照《中华人民共和国</w:t>
      </w:r>
      <w:r>
        <w:rPr>
          <w:rFonts w:hint="eastAsia" w:ascii="Times New Roman" w:hAnsi="Times New Roman" w:eastAsia="仿宋" w:cs="Times New Roman"/>
          <w:sz w:val="28"/>
          <w:szCs w:val="28"/>
        </w:rPr>
        <w:t>民法典</w:t>
      </w:r>
      <w:r>
        <w:rPr>
          <w:rFonts w:ascii="Times New Roman" w:hAnsi="Times New Roman" w:eastAsia="仿宋" w:cs="Times New Roman"/>
          <w:sz w:val="28"/>
          <w:szCs w:val="28"/>
        </w:rPr>
        <w:t>》及相关法律、法规规定，本着平等、自愿的原则，经友好协商，现就甲方向乙方采购康明斯品牌柴油发电机耗材事宜达成一致，签订本</w:t>
      </w:r>
      <w:r>
        <w:rPr>
          <w:rFonts w:hint="eastAsia" w:ascii="Times New Roman" w:hAnsi="Times New Roman" w:eastAsia="仿宋" w:cs="Times New Roman"/>
          <w:sz w:val="28"/>
          <w:szCs w:val="28"/>
        </w:rPr>
        <w:t>合同</w:t>
      </w:r>
      <w:r>
        <w:rPr>
          <w:rFonts w:ascii="Times New Roman" w:hAnsi="Times New Roman" w:eastAsia="仿宋" w:cs="Times New Roman"/>
          <w:sz w:val="28"/>
          <w:szCs w:val="28"/>
        </w:rPr>
        <w:t>。</w:t>
      </w:r>
    </w:p>
    <w:p>
      <w:pPr>
        <w:pStyle w:val="3"/>
        <w:ind w:firstLine="562"/>
        <w:rPr>
          <w:rFonts w:ascii="Times New Roman" w:hAnsi="Times New Roman" w:eastAsia="仿宋" w:cs="Times New Roman"/>
          <w:b/>
          <w:bCs/>
          <w:sz w:val="28"/>
          <w:szCs w:val="28"/>
        </w:rPr>
      </w:pPr>
      <w:bookmarkStart w:id="3" w:name="_Toc25588100"/>
      <w:r>
        <w:rPr>
          <w:rFonts w:ascii="Times New Roman" w:hAnsi="Times New Roman" w:eastAsia="仿宋" w:cs="Times New Roman"/>
          <w:b/>
          <w:bCs/>
          <w:sz w:val="28"/>
          <w:szCs w:val="28"/>
        </w:rPr>
        <w:t>第一条 货物名称、数量及规格</w:t>
      </w:r>
      <w:bookmarkEnd w:id="3"/>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1.1本合同项下乙方所供货物情况如下：</w:t>
      </w:r>
    </w:p>
    <w:p>
      <w:pPr>
        <w:pStyle w:val="4"/>
        <w:ind w:firstLine="560"/>
        <w:rPr>
          <w:rFonts w:ascii="Times New Roman" w:hAnsi="Times New Roman" w:eastAsia="仿宋" w:cs="Times New Roman"/>
          <w:sz w:val="28"/>
          <w:szCs w:val="28"/>
        </w:rPr>
      </w:pPr>
    </w:p>
    <w:p>
      <w:pPr>
        <w:pStyle w:val="3"/>
        <w:ind w:firstLine="560"/>
        <w:rPr>
          <w:rFonts w:ascii="Times New Roman" w:hAnsi="Times New Roman" w:eastAsia="仿宋" w:cs="Times New Roman"/>
          <w:sz w:val="28"/>
          <w:szCs w:val="28"/>
        </w:rPr>
        <w:sectPr>
          <w:footerReference r:id="rId5" w:type="default"/>
          <w:pgSz w:w="11850" w:h="16783"/>
          <w:pgMar w:top="1440" w:right="1800" w:bottom="1440" w:left="1800" w:header="851" w:footer="992" w:gutter="0"/>
          <w:pgNumType w:start="1"/>
          <w:cols w:space="425" w:num="1"/>
          <w:docGrid w:type="lines" w:linePitch="312" w:charSpace="0"/>
        </w:sectPr>
      </w:pPr>
      <w:bookmarkStart w:id="4" w:name="_Toc25588101"/>
    </w:p>
    <w:tbl>
      <w:tblPr>
        <w:tblStyle w:val="10"/>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32"/>
        <w:gridCol w:w="2003"/>
        <w:gridCol w:w="907"/>
        <w:gridCol w:w="754"/>
        <w:gridCol w:w="744"/>
        <w:gridCol w:w="732"/>
        <w:gridCol w:w="72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638" w:type="dxa"/>
            <w:vAlign w:val="center"/>
          </w:tcPr>
          <w:p>
            <w:pPr>
              <w:widowControl/>
              <w:jc w:val="center"/>
              <w:rPr>
                <w:rFonts w:eastAsia="仿宋"/>
                <w:szCs w:val="21"/>
              </w:rPr>
            </w:pPr>
            <w:r>
              <w:rPr>
                <w:rFonts w:eastAsia="仿宋"/>
                <w:szCs w:val="21"/>
              </w:rPr>
              <w:t>序号</w:t>
            </w:r>
          </w:p>
        </w:tc>
        <w:tc>
          <w:tcPr>
            <w:tcW w:w="1532" w:type="dxa"/>
            <w:vAlign w:val="center"/>
          </w:tcPr>
          <w:p>
            <w:pPr>
              <w:widowControl/>
              <w:jc w:val="center"/>
              <w:rPr>
                <w:rFonts w:eastAsia="仿宋"/>
                <w:szCs w:val="21"/>
              </w:rPr>
            </w:pPr>
            <w:r>
              <w:rPr>
                <w:rFonts w:eastAsia="仿宋"/>
                <w:szCs w:val="21"/>
              </w:rPr>
              <w:t>名称</w:t>
            </w:r>
          </w:p>
        </w:tc>
        <w:tc>
          <w:tcPr>
            <w:tcW w:w="2003" w:type="dxa"/>
            <w:vAlign w:val="center"/>
          </w:tcPr>
          <w:p>
            <w:pPr>
              <w:widowControl/>
              <w:jc w:val="center"/>
              <w:rPr>
                <w:rFonts w:eastAsia="仿宋"/>
                <w:szCs w:val="21"/>
              </w:rPr>
            </w:pPr>
            <w:r>
              <w:rPr>
                <w:rFonts w:eastAsia="仿宋"/>
                <w:szCs w:val="21"/>
              </w:rPr>
              <w:t>型号</w:t>
            </w:r>
          </w:p>
        </w:tc>
        <w:tc>
          <w:tcPr>
            <w:tcW w:w="907" w:type="dxa"/>
            <w:vAlign w:val="center"/>
          </w:tcPr>
          <w:p>
            <w:pPr>
              <w:widowControl/>
              <w:jc w:val="center"/>
              <w:rPr>
                <w:rFonts w:eastAsia="仿宋"/>
                <w:szCs w:val="21"/>
              </w:rPr>
            </w:pPr>
            <w:r>
              <w:rPr>
                <w:rFonts w:eastAsia="仿宋"/>
                <w:szCs w:val="21"/>
              </w:rPr>
              <w:t>数量</w:t>
            </w:r>
          </w:p>
        </w:tc>
        <w:tc>
          <w:tcPr>
            <w:tcW w:w="754" w:type="dxa"/>
            <w:vAlign w:val="center"/>
          </w:tcPr>
          <w:p>
            <w:pPr>
              <w:widowControl/>
              <w:jc w:val="center"/>
              <w:rPr>
                <w:rFonts w:eastAsia="仿宋"/>
                <w:szCs w:val="21"/>
              </w:rPr>
            </w:pPr>
            <w:r>
              <w:rPr>
                <w:rFonts w:eastAsia="仿宋"/>
                <w:szCs w:val="21"/>
              </w:rPr>
              <w:t>单位</w:t>
            </w:r>
          </w:p>
        </w:tc>
        <w:tc>
          <w:tcPr>
            <w:tcW w:w="744" w:type="dxa"/>
            <w:vAlign w:val="center"/>
          </w:tcPr>
          <w:p>
            <w:pPr>
              <w:widowControl/>
              <w:jc w:val="center"/>
              <w:textAlignment w:val="center"/>
              <w:rPr>
                <w:rFonts w:eastAsia="仿宋"/>
                <w:szCs w:val="21"/>
              </w:rPr>
            </w:pPr>
            <w:r>
              <w:rPr>
                <w:rFonts w:eastAsia="仿宋"/>
                <w:color w:val="000000"/>
                <w:kern w:val="0"/>
                <w:sz w:val="24"/>
              </w:rPr>
              <w:t>单价(不含税)</w:t>
            </w:r>
          </w:p>
        </w:tc>
        <w:tc>
          <w:tcPr>
            <w:tcW w:w="732" w:type="dxa"/>
            <w:vAlign w:val="center"/>
          </w:tcPr>
          <w:p>
            <w:pPr>
              <w:widowControl/>
              <w:jc w:val="center"/>
              <w:textAlignment w:val="center"/>
              <w:rPr>
                <w:rFonts w:eastAsia="仿宋"/>
                <w:szCs w:val="21"/>
              </w:rPr>
            </w:pPr>
            <w:r>
              <w:rPr>
                <w:rFonts w:eastAsia="仿宋"/>
                <w:color w:val="000000"/>
                <w:kern w:val="0"/>
                <w:sz w:val="24"/>
              </w:rPr>
              <w:t>总价（不含税）</w:t>
            </w:r>
          </w:p>
        </w:tc>
        <w:tc>
          <w:tcPr>
            <w:tcW w:w="722" w:type="dxa"/>
            <w:vAlign w:val="center"/>
          </w:tcPr>
          <w:p>
            <w:pPr>
              <w:widowControl/>
              <w:jc w:val="center"/>
              <w:textAlignment w:val="center"/>
              <w:rPr>
                <w:rFonts w:eastAsia="仿宋"/>
                <w:szCs w:val="21"/>
              </w:rPr>
            </w:pPr>
            <w:r>
              <w:rPr>
                <w:rFonts w:eastAsia="仿宋"/>
                <w:color w:val="000000"/>
                <w:kern w:val="0"/>
                <w:sz w:val="24"/>
              </w:rPr>
              <w:t>单价(含税)</w:t>
            </w:r>
          </w:p>
        </w:tc>
        <w:tc>
          <w:tcPr>
            <w:tcW w:w="708" w:type="dxa"/>
            <w:vAlign w:val="center"/>
          </w:tcPr>
          <w:p>
            <w:pPr>
              <w:widowControl/>
              <w:jc w:val="center"/>
              <w:textAlignment w:val="center"/>
              <w:rPr>
                <w:rFonts w:eastAsia="仿宋"/>
                <w:szCs w:val="21"/>
              </w:rPr>
            </w:pPr>
            <w:r>
              <w:rPr>
                <w:rFonts w:eastAsia="仿宋"/>
                <w:color w:val="000000"/>
                <w:kern w:val="0"/>
                <w:sz w:val="24"/>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exact"/>
          <w:jc w:val="center"/>
        </w:trPr>
        <w:tc>
          <w:tcPr>
            <w:tcW w:w="638" w:type="dxa"/>
            <w:vAlign w:val="center"/>
          </w:tcPr>
          <w:p>
            <w:pPr>
              <w:widowControl/>
              <w:jc w:val="center"/>
              <w:rPr>
                <w:rFonts w:eastAsia="仿宋"/>
                <w:szCs w:val="21"/>
              </w:rPr>
            </w:pPr>
            <w:r>
              <w:rPr>
                <w:rFonts w:eastAsia="仿宋"/>
                <w:szCs w:val="21"/>
              </w:rPr>
              <w:t>1</w:t>
            </w:r>
          </w:p>
        </w:tc>
        <w:tc>
          <w:tcPr>
            <w:tcW w:w="1532" w:type="dxa"/>
            <w:vAlign w:val="center"/>
          </w:tcPr>
          <w:p>
            <w:pPr>
              <w:jc w:val="center"/>
              <w:rPr>
                <w:rFonts w:eastAsia="仿宋"/>
                <w:szCs w:val="21"/>
              </w:rPr>
            </w:pPr>
            <w:r>
              <w:rPr>
                <w:rFonts w:eastAsia="仿宋"/>
                <w:sz w:val="24"/>
              </w:rPr>
              <w:t>康明斯柴油发电机空气滤清器</w:t>
            </w:r>
          </w:p>
        </w:tc>
        <w:tc>
          <w:tcPr>
            <w:tcW w:w="2003" w:type="dxa"/>
            <w:vAlign w:val="center"/>
          </w:tcPr>
          <w:p>
            <w:pPr>
              <w:jc w:val="center"/>
              <w:rPr>
                <w:rFonts w:eastAsia="仿宋"/>
                <w:szCs w:val="21"/>
              </w:rPr>
            </w:pPr>
            <w:r>
              <w:rPr>
                <w:rFonts w:eastAsia="仿宋"/>
                <w:sz w:val="24"/>
              </w:rPr>
              <w:t>康明斯AF25278</w:t>
            </w:r>
          </w:p>
        </w:tc>
        <w:tc>
          <w:tcPr>
            <w:tcW w:w="907" w:type="dxa"/>
            <w:vAlign w:val="center"/>
          </w:tcPr>
          <w:p>
            <w:pPr>
              <w:widowControl/>
              <w:jc w:val="center"/>
              <w:textAlignment w:val="center"/>
              <w:rPr>
                <w:rFonts w:eastAsia="仿宋"/>
                <w:szCs w:val="21"/>
              </w:rPr>
            </w:pPr>
            <w:r>
              <w:rPr>
                <w:rFonts w:eastAsia="仿宋"/>
                <w:color w:val="000000"/>
                <w:kern w:val="0"/>
                <w:sz w:val="24"/>
              </w:rPr>
              <w:t>4</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jc w:val="center"/>
        </w:trPr>
        <w:tc>
          <w:tcPr>
            <w:tcW w:w="638" w:type="dxa"/>
            <w:vAlign w:val="center"/>
          </w:tcPr>
          <w:p>
            <w:pPr>
              <w:widowControl/>
              <w:jc w:val="center"/>
              <w:rPr>
                <w:rFonts w:eastAsia="仿宋"/>
                <w:szCs w:val="21"/>
              </w:rPr>
            </w:pPr>
            <w:r>
              <w:rPr>
                <w:rFonts w:eastAsia="仿宋"/>
                <w:szCs w:val="21"/>
              </w:rPr>
              <w:t>2</w:t>
            </w:r>
          </w:p>
        </w:tc>
        <w:tc>
          <w:tcPr>
            <w:tcW w:w="1532" w:type="dxa"/>
            <w:vAlign w:val="center"/>
          </w:tcPr>
          <w:p>
            <w:pPr>
              <w:jc w:val="center"/>
              <w:rPr>
                <w:rFonts w:eastAsia="仿宋"/>
                <w:szCs w:val="21"/>
              </w:rPr>
            </w:pPr>
            <w:r>
              <w:rPr>
                <w:rFonts w:eastAsia="仿宋"/>
                <w:sz w:val="24"/>
              </w:rPr>
              <w:t>康明斯柴油发电机燃油滤清器</w:t>
            </w:r>
          </w:p>
        </w:tc>
        <w:tc>
          <w:tcPr>
            <w:tcW w:w="2003" w:type="dxa"/>
            <w:vAlign w:val="center"/>
          </w:tcPr>
          <w:p>
            <w:pPr>
              <w:jc w:val="center"/>
              <w:rPr>
                <w:rFonts w:eastAsia="仿宋"/>
                <w:szCs w:val="21"/>
              </w:rPr>
            </w:pPr>
            <w:r>
              <w:rPr>
                <w:rFonts w:eastAsia="仿宋"/>
                <w:sz w:val="24"/>
              </w:rPr>
              <w:t>康明斯FS1006</w:t>
            </w:r>
          </w:p>
        </w:tc>
        <w:tc>
          <w:tcPr>
            <w:tcW w:w="907" w:type="dxa"/>
            <w:vAlign w:val="center"/>
          </w:tcPr>
          <w:p>
            <w:pPr>
              <w:widowControl/>
              <w:jc w:val="center"/>
              <w:textAlignment w:val="center"/>
              <w:rPr>
                <w:rFonts w:eastAsia="仿宋"/>
                <w:szCs w:val="21"/>
              </w:rPr>
            </w:pPr>
            <w:r>
              <w:rPr>
                <w:rFonts w:eastAsia="仿宋"/>
                <w:color w:val="000000"/>
                <w:kern w:val="0"/>
                <w:sz w:val="24"/>
              </w:rPr>
              <w:t>4</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exact"/>
          <w:jc w:val="center"/>
        </w:trPr>
        <w:tc>
          <w:tcPr>
            <w:tcW w:w="638" w:type="dxa"/>
            <w:vAlign w:val="center"/>
          </w:tcPr>
          <w:p>
            <w:pPr>
              <w:widowControl/>
              <w:jc w:val="center"/>
              <w:rPr>
                <w:rFonts w:eastAsia="仿宋"/>
                <w:szCs w:val="21"/>
              </w:rPr>
            </w:pPr>
            <w:r>
              <w:rPr>
                <w:rFonts w:eastAsia="仿宋"/>
                <w:szCs w:val="21"/>
              </w:rPr>
              <w:t>3</w:t>
            </w:r>
          </w:p>
        </w:tc>
        <w:tc>
          <w:tcPr>
            <w:tcW w:w="1532" w:type="dxa"/>
            <w:vAlign w:val="center"/>
          </w:tcPr>
          <w:p>
            <w:pPr>
              <w:jc w:val="center"/>
              <w:rPr>
                <w:rFonts w:eastAsia="仿宋"/>
                <w:szCs w:val="21"/>
              </w:rPr>
            </w:pPr>
            <w:r>
              <w:rPr>
                <w:rFonts w:eastAsia="仿宋"/>
                <w:sz w:val="24"/>
              </w:rPr>
              <w:t>康明斯柴油发电机机油滤清器</w:t>
            </w:r>
          </w:p>
        </w:tc>
        <w:tc>
          <w:tcPr>
            <w:tcW w:w="2003" w:type="dxa"/>
            <w:vAlign w:val="center"/>
          </w:tcPr>
          <w:p>
            <w:pPr>
              <w:jc w:val="center"/>
              <w:rPr>
                <w:rFonts w:eastAsia="仿宋"/>
                <w:szCs w:val="21"/>
              </w:rPr>
            </w:pPr>
            <w:r>
              <w:rPr>
                <w:rFonts w:eastAsia="仿宋"/>
                <w:sz w:val="24"/>
              </w:rPr>
              <w:t>康明斯LF3325</w:t>
            </w:r>
          </w:p>
        </w:tc>
        <w:tc>
          <w:tcPr>
            <w:tcW w:w="907" w:type="dxa"/>
            <w:vAlign w:val="center"/>
          </w:tcPr>
          <w:p>
            <w:pPr>
              <w:widowControl/>
              <w:jc w:val="center"/>
              <w:textAlignment w:val="center"/>
              <w:rPr>
                <w:rFonts w:eastAsia="仿宋"/>
                <w:szCs w:val="21"/>
              </w:rPr>
            </w:pPr>
            <w:r>
              <w:rPr>
                <w:rFonts w:eastAsia="仿宋"/>
                <w:color w:val="000000"/>
                <w:kern w:val="0"/>
                <w:sz w:val="24"/>
              </w:rPr>
              <w:t>10</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exact"/>
          <w:jc w:val="center"/>
        </w:trPr>
        <w:tc>
          <w:tcPr>
            <w:tcW w:w="638" w:type="dxa"/>
            <w:vAlign w:val="center"/>
          </w:tcPr>
          <w:p>
            <w:pPr>
              <w:widowControl/>
              <w:jc w:val="center"/>
              <w:rPr>
                <w:rFonts w:eastAsia="仿宋"/>
                <w:szCs w:val="21"/>
              </w:rPr>
            </w:pPr>
            <w:r>
              <w:rPr>
                <w:rFonts w:eastAsia="仿宋"/>
                <w:szCs w:val="21"/>
              </w:rPr>
              <w:t>4</w:t>
            </w:r>
          </w:p>
        </w:tc>
        <w:tc>
          <w:tcPr>
            <w:tcW w:w="1532" w:type="dxa"/>
            <w:vAlign w:val="center"/>
          </w:tcPr>
          <w:p>
            <w:pPr>
              <w:jc w:val="center"/>
              <w:rPr>
                <w:rFonts w:eastAsia="仿宋"/>
                <w:szCs w:val="21"/>
              </w:rPr>
            </w:pPr>
            <w:r>
              <w:rPr>
                <w:rFonts w:eastAsia="仿宋"/>
                <w:sz w:val="24"/>
              </w:rPr>
              <w:t>康明斯柴油发电机机油滤清器（旁通）</w:t>
            </w:r>
          </w:p>
        </w:tc>
        <w:tc>
          <w:tcPr>
            <w:tcW w:w="2003" w:type="dxa"/>
            <w:vAlign w:val="center"/>
          </w:tcPr>
          <w:p>
            <w:pPr>
              <w:jc w:val="center"/>
              <w:rPr>
                <w:rFonts w:eastAsia="仿宋"/>
                <w:szCs w:val="21"/>
              </w:rPr>
            </w:pPr>
            <w:r>
              <w:rPr>
                <w:rFonts w:eastAsia="仿宋"/>
                <w:sz w:val="24"/>
              </w:rPr>
              <w:t>康明斯LF777</w:t>
            </w:r>
          </w:p>
        </w:tc>
        <w:tc>
          <w:tcPr>
            <w:tcW w:w="907" w:type="dxa"/>
            <w:vAlign w:val="center"/>
          </w:tcPr>
          <w:p>
            <w:pPr>
              <w:widowControl/>
              <w:jc w:val="center"/>
              <w:textAlignment w:val="center"/>
              <w:rPr>
                <w:rFonts w:eastAsia="仿宋"/>
                <w:szCs w:val="21"/>
              </w:rPr>
            </w:pPr>
            <w:r>
              <w:rPr>
                <w:rFonts w:eastAsia="仿宋"/>
                <w:color w:val="000000"/>
                <w:kern w:val="0"/>
                <w:sz w:val="24"/>
              </w:rPr>
              <w:t>4</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exact"/>
          <w:jc w:val="center"/>
        </w:trPr>
        <w:tc>
          <w:tcPr>
            <w:tcW w:w="638" w:type="dxa"/>
            <w:vAlign w:val="center"/>
          </w:tcPr>
          <w:p>
            <w:pPr>
              <w:widowControl/>
              <w:jc w:val="center"/>
              <w:rPr>
                <w:rFonts w:eastAsia="仿宋"/>
                <w:szCs w:val="21"/>
              </w:rPr>
            </w:pPr>
            <w:r>
              <w:rPr>
                <w:rFonts w:eastAsia="仿宋"/>
                <w:szCs w:val="21"/>
              </w:rPr>
              <w:t>5</w:t>
            </w:r>
          </w:p>
        </w:tc>
        <w:tc>
          <w:tcPr>
            <w:tcW w:w="1532" w:type="dxa"/>
            <w:vAlign w:val="center"/>
          </w:tcPr>
          <w:p>
            <w:pPr>
              <w:jc w:val="center"/>
              <w:rPr>
                <w:rFonts w:eastAsia="仿宋"/>
                <w:szCs w:val="21"/>
              </w:rPr>
            </w:pPr>
            <w:r>
              <w:rPr>
                <w:rFonts w:eastAsia="仿宋"/>
                <w:sz w:val="24"/>
              </w:rPr>
              <w:t>康明斯柴油发电机水滤清器</w:t>
            </w:r>
          </w:p>
        </w:tc>
        <w:tc>
          <w:tcPr>
            <w:tcW w:w="2003" w:type="dxa"/>
            <w:vAlign w:val="center"/>
          </w:tcPr>
          <w:p>
            <w:pPr>
              <w:jc w:val="center"/>
              <w:rPr>
                <w:rFonts w:eastAsia="仿宋"/>
                <w:szCs w:val="21"/>
              </w:rPr>
            </w:pPr>
            <w:r>
              <w:rPr>
                <w:rFonts w:eastAsia="仿宋"/>
                <w:sz w:val="24"/>
              </w:rPr>
              <w:t>康明斯WF2075/2076</w:t>
            </w:r>
          </w:p>
        </w:tc>
        <w:tc>
          <w:tcPr>
            <w:tcW w:w="907" w:type="dxa"/>
            <w:vAlign w:val="center"/>
          </w:tcPr>
          <w:p>
            <w:pPr>
              <w:widowControl/>
              <w:jc w:val="center"/>
              <w:textAlignment w:val="center"/>
              <w:rPr>
                <w:rFonts w:eastAsia="仿宋"/>
                <w:szCs w:val="21"/>
              </w:rPr>
            </w:pPr>
            <w:r>
              <w:rPr>
                <w:rFonts w:eastAsia="仿宋"/>
                <w:color w:val="000000"/>
                <w:kern w:val="0"/>
                <w:sz w:val="24"/>
              </w:rPr>
              <w:t>4</w:t>
            </w:r>
          </w:p>
        </w:tc>
        <w:tc>
          <w:tcPr>
            <w:tcW w:w="754" w:type="dxa"/>
            <w:vAlign w:val="center"/>
          </w:tcPr>
          <w:p>
            <w:pPr>
              <w:widowControl/>
              <w:jc w:val="center"/>
              <w:rPr>
                <w:rFonts w:eastAsia="仿宋"/>
                <w:szCs w:val="21"/>
              </w:rPr>
            </w:pPr>
            <w:r>
              <w:rPr>
                <w:rFonts w:eastAsia="仿宋"/>
                <w:szCs w:val="21"/>
              </w:rPr>
              <w:t>个</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exact"/>
          <w:jc w:val="center"/>
        </w:trPr>
        <w:tc>
          <w:tcPr>
            <w:tcW w:w="638" w:type="dxa"/>
            <w:vAlign w:val="center"/>
          </w:tcPr>
          <w:p>
            <w:pPr>
              <w:widowControl/>
              <w:jc w:val="center"/>
              <w:rPr>
                <w:rFonts w:eastAsia="仿宋"/>
                <w:szCs w:val="21"/>
              </w:rPr>
            </w:pPr>
            <w:r>
              <w:rPr>
                <w:rFonts w:eastAsia="仿宋"/>
                <w:szCs w:val="21"/>
              </w:rPr>
              <w:t>6</w:t>
            </w:r>
          </w:p>
        </w:tc>
        <w:tc>
          <w:tcPr>
            <w:tcW w:w="1532" w:type="dxa"/>
            <w:vAlign w:val="center"/>
          </w:tcPr>
          <w:p>
            <w:pPr>
              <w:jc w:val="center"/>
              <w:rPr>
                <w:rFonts w:eastAsia="仿宋"/>
                <w:szCs w:val="21"/>
              </w:rPr>
            </w:pPr>
            <w:r>
              <w:rPr>
                <w:rFonts w:eastAsia="仿宋"/>
                <w:sz w:val="24"/>
              </w:rPr>
              <w:t>康明斯柴油发电机机油</w:t>
            </w:r>
          </w:p>
        </w:tc>
        <w:tc>
          <w:tcPr>
            <w:tcW w:w="2003" w:type="dxa"/>
            <w:vAlign w:val="center"/>
          </w:tcPr>
          <w:p>
            <w:pPr>
              <w:jc w:val="center"/>
              <w:rPr>
                <w:rFonts w:eastAsia="仿宋"/>
                <w:szCs w:val="21"/>
              </w:rPr>
            </w:pPr>
            <w:r>
              <w:rPr>
                <w:rFonts w:eastAsia="仿宋"/>
                <w:sz w:val="24"/>
              </w:rPr>
              <w:t>康明斯CF 机油15W-40</w:t>
            </w:r>
          </w:p>
        </w:tc>
        <w:tc>
          <w:tcPr>
            <w:tcW w:w="907" w:type="dxa"/>
            <w:vAlign w:val="center"/>
          </w:tcPr>
          <w:p>
            <w:pPr>
              <w:widowControl/>
              <w:jc w:val="center"/>
              <w:textAlignment w:val="center"/>
              <w:rPr>
                <w:rFonts w:eastAsia="仿宋"/>
                <w:szCs w:val="21"/>
              </w:rPr>
            </w:pPr>
            <w:r>
              <w:rPr>
                <w:rFonts w:eastAsia="仿宋"/>
                <w:color w:val="000000"/>
                <w:kern w:val="0"/>
                <w:sz w:val="24"/>
              </w:rPr>
              <w:t>400</w:t>
            </w:r>
          </w:p>
        </w:tc>
        <w:tc>
          <w:tcPr>
            <w:tcW w:w="754" w:type="dxa"/>
            <w:vAlign w:val="center"/>
          </w:tcPr>
          <w:p>
            <w:pPr>
              <w:widowControl/>
              <w:jc w:val="center"/>
              <w:rPr>
                <w:rFonts w:eastAsia="仿宋"/>
                <w:szCs w:val="21"/>
              </w:rPr>
            </w:pPr>
            <w:r>
              <w:rPr>
                <w:rFonts w:eastAsia="仿宋"/>
                <w:szCs w:val="21"/>
              </w:rPr>
              <w:t>升</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Layout w:type="fixed"/>
          <w:tblCellMar>
            <w:top w:w="0" w:type="dxa"/>
            <w:left w:w="108" w:type="dxa"/>
            <w:bottom w:w="0" w:type="dxa"/>
            <w:right w:w="108" w:type="dxa"/>
          </w:tblCellMar>
        </w:tblPrEx>
        <w:trPr>
          <w:trHeight w:val="978" w:hRule="exact"/>
          <w:jc w:val="center"/>
        </w:trPr>
        <w:tc>
          <w:tcPr>
            <w:tcW w:w="638" w:type="dxa"/>
            <w:vAlign w:val="center"/>
          </w:tcPr>
          <w:p>
            <w:pPr>
              <w:widowControl/>
              <w:jc w:val="center"/>
              <w:rPr>
                <w:rFonts w:eastAsia="仿宋"/>
                <w:szCs w:val="21"/>
              </w:rPr>
            </w:pPr>
            <w:r>
              <w:rPr>
                <w:rFonts w:eastAsia="仿宋"/>
                <w:szCs w:val="21"/>
              </w:rPr>
              <w:t>7</w:t>
            </w:r>
          </w:p>
        </w:tc>
        <w:tc>
          <w:tcPr>
            <w:tcW w:w="1532" w:type="dxa"/>
            <w:vAlign w:val="center"/>
          </w:tcPr>
          <w:p>
            <w:pPr>
              <w:jc w:val="center"/>
              <w:rPr>
                <w:rFonts w:eastAsia="仿宋"/>
                <w:szCs w:val="21"/>
              </w:rPr>
            </w:pPr>
            <w:r>
              <w:rPr>
                <w:rFonts w:eastAsia="仿宋"/>
                <w:sz w:val="24"/>
              </w:rPr>
              <w:t>康明斯柴油发电机冷却液</w:t>
            </w:r>
          </w:p>
        </w:tc>
        <w:tc>
          <w:tcPr>
            <w:tcW w:w="2003" w:type="dxa"/>
            <w:vAlign w:val="center"/>
          </w:tcPr>
          <w:p>
            <w:pPr>
              <w:jc w:val="center"/>
              <w:rPr>
                <w:rFonts w:eastAsia="仿宋"/>
                <w:szCs w:val="21"/>
              </w:rPr>
            </w:pPr>
            <w:r>
              <w:rPr>
                <w:rFonts w:eastAsia="仿宋"/>
                <w:sz w:val="24"/>
              </w:rPr>
              <w:t>康明斯 防冻液-18℃</w:t>
            </w:r>
          </w:p>
        </w:tc>
        <w:tc>
          <w:tcPr>
            <w:tcW w:w="907" w:type="dxa"/>
            <w:vAlign w:val="center"/>
          </w:tcPr>
          <w:p>
            <w:pPr>
              <w:widowControl/>
              <w:jc w:val="center"/>
              <w:textAlignment w:val="center"/>
              <w:rPr>
                <w:rFonts w:eastAsia="仿宋"/>
                <w:szCs w:val="21"/>
              </w:rPr>
            </w:pPr>
            <w:r>
              <w:rPr>
                <w:rFonts w:eastAsia="仿宋"/>
                <w:color w:val="000000"/>
                <w:kern w:val="0"/>
                <w:sz w:val="24"/>
              </w:rPr>
              <w:t>400</w:t>
            </w:r>
          </w:p>
        </w:tc>
        <w:tc>
          <w:tcPr>
            <w:tcW w:w="754" w:type="dxa"/>
            <w:vAlign w:val="center"/>
          </w:tcPr>
          <w:p>
            <w:pPr>
              <w:widowControl/>
              <w:jc w:val="center"/>
              <w:rPr>
                <w:rFonts w:eastAsia="仿宋"/>
                <w:szCs w:val="21"/>
              </w:rPr>
            </w:pPr>
            <w:r>
              <w:rPr>
                <w:rFonts w:eastAsia="仿宋"/>
                <w:szCs w:val="21"/>
              </w:rPr>
              <w:t>升</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exact"/>
          <w:jc w:val="center"/>
        </w:trPr>
        <w:tc>
          <w:tcPr>
            <w:tcW w:w="638" w:type="dxa"/>
            <w:vAlign w:val="center"/>
          </w:tcPr>
          <w:p>
            <w:pPr>
              <w:widowControl/>
              <w:jc w:val="center"/>
              <w:rPr>
                <w:rFonts w:eastAsia="仿宋"/>
                <w:szCs w:val="21"/>
              </w:rPr>
            </w:pPr>
            <w:r>
              <w:rPr>
                <w:rFonts w:eastAsia="仿宋"/>
                <w:szCs w:val="21"/>
              </w:rPr>
              <w:t>8</w:t>
            </w:r>
          </w:p>
        </w:tc>
        <w:tc>
          <w:tcPr>
            <w:tcW w:w="1532" w:type="dxa"/>
            <w:vAlign w:val="center"/>
          </w:tcPr>
          <w:p>
            <w:pPr>
              <w:jc w:val="center"/>
              <w:rPr>
                <w:rFonts w:eastAsia="仿宋"/>
                <w:szCs w:val="21"/>
              </w:rPr>
            </w:pPr>
            <w:r>
              <w:rPr>
                <w:rFonts w:eastAsia="仿宋"/>
                <w:sz w:val="24"/>
              </w:rPr>
              <w:t>康明斯柴油发电机免维护蓄电池</w:t>
            </w:r>
          </w:p>
        </w:tc>
        <w:tc>
          <w:tcPr>
            <w:tcW w:w="2003" w:type="dxa"/>
            <w:vAlign w:val="center"/>
          </w:tcPr>
          <w:p>
            <w:pPr>
              <w:jc w:val="center"/>
              <w:rPr>
                <w:rFonts w:eastAsia="仿宋"/>
                <w:szCs w:val="21"/>
              </w:rPr>
            </w:pPr>
            <w:r>
              <w:rPr>
                <w:rFonts w:eastAsia="仿宋"/>
                <w:sz w:val="24"/>
              </w:rPr>
              <w:t>12V 200AH免维护蓄电池</w:t>
            </w:r>
          </w:p>
        </w:tc>
        <w:tc>
          <w:tcPr>
            <w:tcW w:w="907" w:type="dxa"/>
            <w:vAlign w:val="center"/>
          </w:tcPr>
          <w:p>
            <w:pPr>
              <w:widowControl/>
              <w:jc w:val="center"/>
              <w:textAlignment w:val="center"/>
              <w:rPr>
                <w:rFonts w:eastAsia="仿宋"/>
                <w:szCs w:val="21"/>
              </w:rPr>
            </w:pPr>
            <w:r>
              <w:rPr>
                <w:rFonts w:eastAsia="仿宋"/>
                <w:color w:val="000000"/>
                <w:kern w:val="0"/>
                <w:sz w:val="24"/>
              </w:rPr>
              <w:t>8</w:t>
            </w:r>
          </w:p>
        </w:tc>
        <w:tc>
          <w:tcPr>
            <w:tcW w:w="754" w:type="dxa"/>
            <w:vAlign w:val="center"/>
          </w:tcPr>
          <w:p>
            <w:pPr>
              <w:widowControl/>
              <w:jc w:val="center"/>
              <w:rPr>
                <w:rFonts w:eastAsia="仿宋"/>
                <w:szCs w:val="21"/>
              </w:rPr>
            </w:pPr>
            <w:r>
              <w:rPr>
                <w:rFonts w:eastAsia="仿宋"/>
                <w:szCs w:val="21"/>
              </w:rPr>
              <w:t>节</w:t>
            </w:r>
          </w:p>
        </w:tc>
        <w:tc>
          <w:tcPr>
            <w:tcW w:w="744" w:type="dxa"/>
            <w:vAlign w:val="center"/>
          </w:tcPr>
          <w:p>
            <w:pPr>
              <w:widowControl/>
              <w:jc w:val="center"/>
              <w:rPr>
                <w:rFonts w:eastAsia="仿宋"/>
                <w:szCs w:val="21"/>
              </w:rPr>
            </w:pPr>
          </w:p>
        </w:tc>
        <w:tc>
          <w:tcPr>
            <w:tcW w:w="732" w:type="dxa"/>
            <w:vAlign w:val="center"/>
          </w:tcPr>
          <w:p>
            <w:pPr>
              <w:widowControl/>
              <w:jc w:val="center"/>
              <w:rPr>
                <w:rFonts w:eastAsia="仿宋"/>
                <w:szCs w:val="21"/>
              </w:rPr>
            </w:pPr>
          </w:p>
        </w:tc>
        <w:tc>
          <w:tcPr>
            <w:tcW w:w="722" w:type="dxa"/>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vAlign w:val="center"/>
          </w:tcPr>
          <w:p>
            <w:pPr>
              <w:pStyle w:val="12"/>
              <w:spacing w:line="560" w:lineRule="exact"/>
              <w:ind w:firstLine="0" w:firstLineChars="0"/>
              <w:jc w:val="center"/>
              <w:rPr>
                <w:rFonts w:ascii="Times New Roman" w:hAnsi="Times New Roman" w:eastAsia="仿宋"/>
                <w:szCs w:val="21"/>
              </w:rPr>
            </w:pPr>
            <w:r>
              <w:rPr>
                <w:rFonts w:ascii="Times New Roman" w:hAnsi="Times New Roman" w:eastAsia="仿宋"/>
                <w:color w:val="000000"/>
                <w:sz w:val="24"/>
                <w:szCs w:val="24"/>
              </w:rPr>
              <w:t>合计（不含增值税）</w:t>
            </w:r>
          </w:p>
        </w:tc>
        <w:tc>
          <w:tcPr>
            <w:tcW w:w="5862" w:type="dxa"/>
            <w:gridSpan w:val="6"/>
            <w:vAlign w:val="center"/>
          </w:tcPr>
          <w:p>
            <w:pPr>
              <w:widowControl/>
              <w:jc w:val="center"/>
              <w:rPr>
                <w:rFonts w:eastAsia="仿宋"/>
                <w:szCs w:val="21"/>
              </w:rPr>
            </w:pPr>
          </w:p>
        </w:tc>
        <w:tc>
          <w:tcPr>
            <w:tcW w:w="708"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vAlign w:val="center"/>
          </w:tcPr>
          <w:p>
            <w:pPr>
              <w:pStyle w:val="12"/>
              <w:spacing w:line="560" w:lineRule="exact"/>
              <w:ind w:firstLine="0" w:firstLineChars="0"/>
              <w:jc w:val="center"/>
              <w:rPr>
                <w:rFonts w:ascii="Times New Roman" w:hAnsi="Times New Roman" w:eastAsia="仿宋"/>
                <w:szCs w:val="21"/>
              </w:rPr>
            </w:pPr>
            <w:r>
              <w:rPr>
                <w:rFonts w:ascii="Times New Roman" w:hAnsi="Times New Roman" w:eastAsia="仿宋"/>
                <w:color w:val="000000"/>
                <w:sz w:val="24"/>
                <w:szCs w:val="24"/>
              </w:rPr>
              <w:t>增值税率</w:t>
            </w:r>
          </w:p>
        </w:tc>
        <w:tc>
          <w:tcPr>
            <w:tcW w:w="6570" w:type="dxa"/>
            <w:gridSpan w:val="7"/>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170" w:type="dxa"/>
            <w:gridSpan w:val="2"/>
            <w:vAlign w:val="center"/>
          </w:tcPr>
          <w:p>
            <w:pPr>
              <w:pStyle w:val="12"/>
              <w:spacing w:line="560" w:lineRule="exact"/>
              <w:ind w:firstLine="0" w:firstLineChars="0"/>
              <w:jc w:val="center"/>
              <w:rPr>
                <w:rFonts w:ascii="Times New Roman" w:hAnsi="Times New Roman" w:eastAsia="仿宋"/>
                <w:szCs w:val="21"/>
              </w:rPr>
            </w:pPr>
            <w:r>
              <w:rPr>
                <w:rFonts w:ascii="Times New Roman" w:hAnsi="Times New Roman" w:eastAsia="仿宋"/>
                <w:color w:val="000000"/>
                <w:sz w:val="24"/>
                <w:szCs w:val="24"/>
              </w:rPr>
              <w:t>合计（含增值税）</w:t>
            </w:r>
          </w:p>
        </w:tc>
        <w:tc>
          <w:tcPr>
            <w:tcW w:w="6570" w:type="dxa"/>
            <w:gridSpan w:val="7"/>
            <w:vAlign w:val="center"/>
          </w:tcPr>
          <w:p>
            <w:pPr>
              <w:widowControl/>
              <w:jc w:val="center"/>
              <w:rPr>
                <w:rFonts w:eastAsia="仿宋"/>
                <w:szCs w:val="21"/>
              </w:rPr>
            </w:pPr>
          </w:p>
        </w:tc>
      </w:tr>
    </w:tbl>
    <w:p>
      <w:pPr>
        <w:spacing w:before="120" w:after="120" w:line="360" w:lineRule="auto"/>
        <w:ind w:firstLine="562" w:firstLineChars="200"/>
        <w:outlineLvl w:val="1"/>
        <w:rPr>
          <w:rFonts w:eastAsia="仿宋"/>
          <w:b/>
          <w:bCs/>
          <w:color w:val="000000"/>
          <w:sz w:val="28"/>
          <w:szCs w:val="28"/>
        </w:rPr>
      </w:pPr>
      <w:bookmarkStart w:id="5" w:name="_Toc29858"/>
      <w:r>
        <w:rPr>
          <w:rFonts w:eastAsia="仿宋"/>
          <w:b/>
          <w:bCs/>
          <w:color w:val="000000"/>
          <w:sz w:val="28"/>
          <w:szCs w:val="28"/>
        </w:rPr>
        <w:t>第二条 履约保证金、合同价款、质量保证金及支付方式</w:t>
      </w:r>
      <w:bookmarkEnd w:id="5"/>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 本合同履约保证金为XXX（大写元）。乙方应在成交通知书发出后10个工作日内，一次性向甲方缴纳。</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.1.1 履约保证金应由乙方名义开立的账户支付到甲方账户，否则视为未支付，甲方有权追究乙方逾期付款责任。</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.1.2履约保证金主要运用在违约处罚和弥补损失两方面。</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.1.3乙方不履行合同或不完全履行合同，甲方可扣全部履约保证金以督促其按约履行合同。</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.1.4乙方履行合同不按本合同6.1和6.2之约定及时缴纳违约金的，可以扣罚违约金等额部分的履约保证金，因扣减不足部分，应限期要求补足。</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.2 甲方在任何时候都有权从履约保证金中扣除由于乙方违反本合同条款而应支付的违约金和赔偿金，并且乙方在接到扣除通知书后</w:t>
      </w:r>
      <w:r>
        <w:rPr>
          <w:rFonts w:hint="eastAsia" w:eastAsia="仿宋"/>
          <w:color w:val="000000"/>
          <w:sz w:val="28"/>
          <w:szCs w:val="28"/>
        </w:rPr>
        <w:t>30</w:t>
      </w:r>
      <w:r>
        <w:rPr>
          <w:rFonts w:eastAsia="仿宋"/>
          <w:color w:val="000000"/>
          <w:sz w:val="28"/>
          <w:szCs w:val="28"/>
        </w:rPr>
        <w:t>个工作日内，应将履约保证金补足至本合同约定数额。若逾期未补足，甲方有权追究乙方相关违约责任。</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.3 乙方支付本合同相应款项时，应在“付款备注”中写明“康明斯品牌柴油发电机消耗材料采购项目履约保证金”。乙方不得将本合同款项与其他合同款项一起支付，若因混合支付造成无法确认为本合同款项到账的，甲方有权视为逾期未支付。</w:t>
      </w:r>
    </w:p>
    <w:p>
      <w:pPr>
        <w:spacing w:before="120" w:after="120" w:line="360" w:lineRule="auto"/>
        <w:ind w:firstLine="560" w:firstLineChars="200"/>
        <w:outlineLvl w:val="1"/>
        <w:rPr>
          <w:rFonts w:eastAsia="仿宋"/>
          <w:color w:val="000000"/>
          <w:sz w:val="28"/>
          <w:szCs w:val="28"/>
        </w:rPr>
      </w:pPr>
      <w:r>
        <w:rPr>
          <w:rFonts w:hint="eastAsia" w:eastAsia="仿宋"/>
          <w:color w:val="000000"/>
          <w:sz w:val="28"/>
          <w:szCs w:val="28"/>
        </w:rPr>
        <w:t>2</w:t>
      </w:r>
      <w:r>
        <w:rPr>
          <w:rFonts w:eastAsia="仿宋"/>
          <w:color w:val="000000"/>
          <w:sz w:val="28"/>
          <w:szCs w:val="28"/>
        </w:rPr>
        <w:t>.4 本</w:t>
      </w:r>
      <w:r>
        <w:rPr>
          <w:rFonts w:hint="eastAsia" w:eastAsia="仿宋"/>
          <w:color w:val="000000"/>
          <w:sz w:val="28"/>
          <w:szCs w:val="28"/>
        </w:rPr>
        <w:t>项目</w:t>
      </w:r>
      <w:r>
        <w:rPr>
          <w:rFonts w:eastAsia="仿宋"/>
          <w:color w:val="000000"/>
          <w:sz w:val="28"/>
          <w:szCs w:val="28"/>
        </w:rPr>
        <w:t>完工且验收合格后的180个工作日内，经甲方书面确认乙方未发生违约情形，乙方应向甲方提交退还保证金的书面申请。甲方在收到乙方退还保证金的申请及收据后，30个工作日内无息退还。</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2.</w:t>
      </w:r>
      <w:r>
        <w:rPr>
          <w:rFonts w:hint="eastAsia" w:eastAsia="仿宋"/>
          <w:color w:val="000000"/>
          <w:sz w:val="28"/>
          <w:szCs w:val="28"/>
        </w:rPr>
        <w:t>5</w:t>
      </w:r>
      <w:r>
        <w:rPr>
          <w:rFonts w:eastAsia="仿宋"/>
          <w:color w:val="000000"/>
          <w:sz w:val="28"/>
          <w:szCs w:val="28"/>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Fonts w:hint="eastAsia" w:eastAsia="仿宋"/>
          <w:color w:val="000000"/>
          <w:sz w:val="28"/>
          <w:szCs w:val="28"/>
        </w:rPr>
        <w:t>项目完工</w:t>
      </w:r>
      <w:r>
        <w:rPr>
          <w:rFonts w:eastAsia="仿宋"/>
          <w:color w:val="000000"/>
          <w:sz w:val="28"/>
          <w:szCs w:val="28"/>
        </w:rPr>
        <w:t>经甲方验收合格且书面确认后，乙方向甲方开具合同金额的正规增值税发票。甲方在收到发票后30个工作日内，向乙方支付合同约定总价款的97％（如乙方提供的增值税专用发票，则增值税税额同比例支付，下同），剩余3％的余款在质量保证期届满，乙方提供书面申请及收据，经甲方书面确认未发生违约情形后30个工作日内无息支付。</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2</w:t>
      </w:r>
      <w:r>
        <w:rPr>
          <w:rFonts w:hint="eastAsia" w:eastAsia="仿宋"/>
          <w:color w:val="000000"/>
          <w:sz w:val="28"/>
          <w:szCs w:val="28"/>
        </w:rPr>
        <w:t>.6</w:t>
      </w:r>
      <w:r>
        <w:rPr>
          <w:rFonts w:eastAsia="仿宋"/>
          <w:color w:val="000000"/>
          <w:sz w:val="28"/>
          <w:szCs w:val="28"/>
        </w:rPr>
        <w:t>付款方式：银行转账或银行承兑汇票</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2.</w:t>
      </w:r>
      <w:r>
        <w:rPr>
          <w:rFonts w:hint="eastAsia" w:eastAsia="仿宋"/>
          <w:color w:val="000000"/>
          <w:sz w:val="28"/>
          <w:szCs w:val="28"/>
        </w:rPr>
        <w:t>7</w:t>
      </w:r>
      <w:r>
        <w:rPr>
          <w:rFonts w:eastAsia="仿宋"/>
          <w:color w:val="000000"/>
          <w:sz w:val="28"/>
          <w:szCs w:val="28"/>
        </w:rPr>
        <w:t>乙方收款账户信息</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开户行：XX</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账号：XX</w:t>
      </w:r>
    </w:p>
    <w:p>
      <w:pPr>
        <w:spacing w:before="120" w:after="120" w:line="360" w:lineRule="auto"/>
        <w:ind w:firstLine="560" w:firstLineChars="200"/>
        <w:outlineLvl w:val="1"/>
        <w:rPr>
          <w:rFonts w:eastAsia="仿宋"/>
          <w:color w:val="000000"/>
          <w:sz w:val="28"/>
          <w:szCs w:val="28"/>
        </w:rPr>
      </w:pPr>
      <w:r>
        <w:rPr>
          <w:rFonts w:eastAsia="仿宋"/>
          <w:color w:val="000000"/>
          <w:sz w:val="28"/>
          <w:szCs w:val="28"/>
        </w:rPr>
        <w:t>户名：XX</w:t>
      </w:r>
    </w:p>
    <w:bookmarkEnd w:id="4"/>
    <w:p>
      <w:pPr>
        <w:pStyle w:val="3"/>
        <w:ind w:firstLine="562"/>
        <w:rPr>
          <w:rFonts w:ascii="Times New Roman" w:hAnsi="Times New Roman" w:eastAsia="仿宋" w:cs="Times New Roman"/>
          <w:b/>
          <w:bCs/>
          <w:sz w:val="28"/>
          <w:szCs w:val="28"/>
        </w:rPr>
      </w:pPr>
      <w:bookmarkStart w:id="6" w:name="_Toc25588102"/>
      <w:r>
        <w:rPr>
          <w:rFonts w:ascii="Times New Roman" w:hAnsi="Times New Roman" w:eastAsia="仿宋" w:cs="Times New Roman"/>
          <w:b/>
          <w:bCs/>
          <w:sz w:val="28"/>
          <w:szCs w:val="28"/>
        </w:rPr>
        <w:t>第三条 技术标准及要求</w:t>
      </w:r>
      <w:bookmarkEnd w:id="6"/>
    </w:p>
    <w:p>
      <w:pPr>
        <w:ind w:firstLine="560" w:firstLineChars="200"/>
        <w:jc w:val="left"/>
        <w:rPr>
          <w:rFonts w:eastAsia="仿宋"/>
          <w:sz w:val="28"/>
          <w:szCs w:val="28"/>
        </w:rPr>
      </w:pPr>
      <w:r>
        <w:rPr>
          <w:rFonts w:eastAsia="仿宋"/>
          <w:sz w:val="28"/>
          <w:szCs w:val="28"/>
        </w:rPr>
        <w:t>3.1 乙方应严格按甲方要求进行供货，并完成3、4号灯光站柴油发电机</w:t>
      </w:r>
      <w:r>
        <w:rPr>
          <w:rFonts w:hint="eastAsia" w:eastAsia="仿宋"/>
          <w:sz w:val="28"/>
          <w:szCs w:val="28"/>
        </w:rPr>
        <w:t>，</w:t>
      </w:r>
      <w:r>
        <w:rPr>
          <w:rFonts w:eastAsia="仿宋"/>
          <w:sz w:val="28"/>
          <w:szCs w:val="28"/>
        </w:rPr>
        <w:t>发电机型号：3号站（1台）C1675 D5A 1500KVA、4号站（1台）C1400 D5 1250KVA的维护保养工作</w:t>
      </w:r>
      <w:r>
        <w:rPr>
          <w:rFonts w:eastAsia="方正仿宋_GBK"/>
          <w:sz w:val="28"/>
          <w:szCs w:val="28"/>
        </w:rPr>
        <w:t>以及购买备件的更换工作：</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（1）根据柴油发电机维护保养规范要求，更换机油滤清器、柴油滤清器、空气滤清器、水滤清器、冷却液、蓄电池、机油等。</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（2）对主机表面及辅助设备进行清洁，清除表面灰尘及油污。</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（3）检查电气连接情况，检查油路、水路连接是否可靠，有无渗漏现象。</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（4）检查水温、油温、油压、转速传感器、皮带等附件情况。</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（5）检查充电机及加热泵运行情况。</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（6）对柴油发电机进行试机，检查油机性能、查看各项运行参数是否满足标准。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（7）</w:t>
      </w:r>
      <w:r>
        <w:rPr>
          <w:rFonts w:hint="eastAsia" w:eastAsia="方正仿宋_GBK"/>
          <w:sz w:val="28"/>
          <w:szCs w:val="28"/>
        </w:rPr>
        <w:t>乙方</w:t>
      </w:r>
      <w:r>
        <w:rPr>
          <w:rFonts w:eastAsia="方正仿宋_GBK"/>
          <w:sz w:val="28"/>
          <w:szCs w:val="28"/>
        </w:rPr>
        <w:t>需自行准备维护保养所用到的工具、器材、盛装废弃冷却液和机油的容器，负责废弃耗材的回收、处理（含机油、冷却液、滤清器、蓄电池等）</w:t>
      </w:r>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3.2 在质保期内的使用过程中，乙方应负责处理出现的缺陷和服务问题，所需费用由乙方承担，对于甲方操作失误造成的问题，乙方应积极配合，予以解决，费用由甲方承担。</w:t>
      </w:r>
    </w:p>
    <w:p>
      <w:pPr>
        <w:pStyle w:val="4"/>
        <w:ind w:firstLine="560"/>
        <w:rPr>
          <w:rFonts w:ascii="Times New Roman" w:hAnsi="Times New Roman" w:eastAsia="仿宋" w:cs="Times New Roman"/>
          <w:sz w:val="28"/>
          <w:szCs w:val="28"/>
        </w:rPr>
      </w:pPr>
      <w:r>
        <w:rPr>
          <w:rFonts w:ascii="Times New Roman" w:hAnsi="Times New Roman" w:eastAsia="仿宋" w:cs="Times New Roman"/>
          <w:sz w:val="28"/>
          <w:szCs w:val="28"/>
        </w:rPr>
        <w:t>3.3 乙方所供货物的质量保证期为12个月，自验收合格之日起算。</w:t>
      </w:r>
    </w:p>
    <w:p>
      <w:pPr>
        <w:pStyle w:val="3"/>
        <w:ind w:firstLine="562"/>
        <w:rPr>
          <w:rFonts w:ascii="Times New Roman" w:hAnsi="Times New Roman" w:eastAsia="仿宋" w:cs="Times New Roman"/>
          <w:b/>
          <w:bCs/>
          <w:color w:val="auto"/>
          <w:sz w:val="28"/>
          <w:szCs w:val="28"/>
        </w:rPr>
      </w:pPr>
      <w:bookmarkStart w:id="7" w:name="_Toc25588103"/>
      <w:r>
        <w:rPr>
          <w:rFonts w:ascii="Times New Roman" w:hAnsi="Times New Roman" w:eastAsia="仿宋" w:cs="Times New Roman"/>
          <w:b/>
          <w:bCs/>
          <w:color w:val="auto"/>
          <w:sz w:val="28"/>
          <w:szCs w:val="28"/>
        </w:rPr>
        <w:t>第四条 交货日期、方式和地点</w:t>
      </w:r>
      <w:bookmarkEnd w:id="7"/>
    </w:p>
    <w:p>
      <w:pPr>
        <w:pStyle w:val="4"/>
        <w:ind w:firstLine="560"/>
        <w:rPr>
          <w:rFonts w:ascii="Times New Roman" w:hAnsi="Times New Roman" w:eastAsia="仿宋" w:cs="Times New Roman"/>
          <w:color w:val="auto"/>
          <w:sz w:val="28"/>
          <w:szCs w:val="28"/>
          <w:u w:val="single"/>
        </w:rPr>
      </w:pPr>
      <w:r>
        <w:rPr>
          <w:rFonts w:ascii="Times New Roman" w:hAnsi="Times New Roman" w:eastAsia="仿宋" w:cs="Times New Roman"/>
          <w:color w:val="auto"/>
          <w:sz w:val="28"/>
          <w:szCs w:val="28"/>
        </w:rPr>
        <w:t>自合同签订</w:t>
      </w:r>
      <w:r>
        <w:rPr>
          <w:rFonts w:ascii="Times New Roman" w:hAnsi="Times New Roman" w:eastAsia="方正仿宋_GBK" w:cs="Times New Roman"/>
          <w:color w:val="auto"/>
          <w:sz w:val="28"/>
          <w:szCs w:val="28"/>
        </w:rPr>
        <w:t>之日起交货期90日历天</w:t>
      </w:r>
      <w:r>
        <w:rPr>
          <w:rFonts w:ascii="Times New Roman" w:hAnsi="Times New Roman" w:eastAsia="仿宋" w:cs="Times New Roman"/>
          <w:color w:val="auto"/>
          <w:sz w:val="28"/>
          <w:szCs w:val="28"/>
        </w:rPr>
        <w:t>，乙方应及时供货，交货地点重庆江北国际机场飞行区管理部助航灯光部。</w:t>
      </w:r>
    </w:p>
    <w:p>
      <w:pPr>
        <w:pStyle w:val="3"/>
        <w:ind w:firstLine="562"/>
        <w:rPr>
          <w:rFonts w:ascii="Times New Roman" w:hAnsi="Times New Roman" w:eastAsia="仿宋" w:cs="Times New Roman"/>
          <w:b/>
          <w:bCs/>
          <w:sz w:val="28"/>
          <w:szCs w:val="28"/>
        </w:rPr>
      </w:pPr>
      <w:bookmarkStart w:id="8" w:name="_Toc25588104"/>
      <w:r>
        <w:rPr>
          <w:rFonts w:ascii="Times New Roman" w:hAnsi="Times New Roman" w:eastAsia="仿宋" w:cs="Times New Roman"/>
          <w:b/>
          <w:bCs/>
          <w:sz w:val="28"/>
          <w:szCs w:val="28"/>
        </w:rPr>
        <w:t>第五条 验收办法</w:t>
      </w:r>
      <w:bookmarkEnd w:id="8"/>
    </w:p>
    <w:p>
      <w:pPr>
        <w:pStyle w:val="3"/>
        <w:ind w:firstLine="56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乙</w:t>
      </w:r>
      <w:r>
        <w:rPr>
          <w:rFonts w:ascii="Times New Roman" w:hAnsi="Times New Roman" w:eastAsia="方正仿宋_GBK" w:cs="Times New Roman"/>
          <w:color w:val="auto"/>
          <w:sz w:val="28"/>
          <w:szCs w:val="28"/>
        </w:rPr>
        <w:t>方按要求提供</w:t>
      </w:r>
      <w:r>
        <w:rPr>
          <w:rFonts w:hint="eastAsia" w:eastAsia="方正仿宋_GBK" w:cs="Times New Roman"/>
          <w:color w:val="auto"/>
          <w:sz w:val="28"/>
          <w:szCs w:val="28"/>
        </w:rPr>
        <w:t>甲</w:t>
      </w:r>
      <w:r>
        <w:rPr>
          <w:rFonts w:ascii="Times New Roman" w:hAnsi="Times New Roman" w:eastAsia="方正仿宋_GBK" w:cs="Times New Roman"/>
          <w:color w:val="auto"/>
          <w:sz w:val="28"/>
          <w:szCs w:val="28"/>
        </w:rPr>
        <w:t>方所需耗材，</w:t>
      </w:r>
      <w:r>
        <w:rPr>
          <w:rFonts w:hint="eastAsia" w:ascii="仿宋" w:eastAsia="仿宋" w:cs="仿宋"/>
          <w:sz w:val="28"/>
          <w:szCs w:val="28"/>
        </w:rPr>
        <w:t>甲方对货物的数量和质量进行初步验收，待</w:t>
      </w:r>
      <w:r>
        <w:rPr>
          <w:rFonts w:ascii="Times New Roman" w:hAnsi="Times New Roman" w:eastAsia="方正仿宋_GBK" w:cs="Times New Roman"/>
          <w:color w:val="auto"/>
          <w:sz w:val="28"/>
          <w:szCs w:val="28"/>
        </w:rPr>
        <w:t>完成柴油发电机的维护保养及耗材更换，柴油发电机试机正常</w:t>
      </w:r>
      <w:r>
        <w:rPr>
          <w:rFonts w:hint="eastAsia" w:eastAsia="方正仿宋_GBK" w:cs="Times New Roman"/>
          <w:color w:val="auto"/>
          <w:sz w:val="28"/>
          <w:szCs w:val="28"/>
        </w:rPr>
        <w:t>后，甲方组织相关人员对项目再次验收，经双方确认后，</w:t>
      </w:r>
      <w:r>
        <w:rPr>
          <w:rFonts w:ascii="Times New Roman" w:hAnsi="Times New Roman" w:eastAsia="方正仿宋_GBK" w:cs="Times New Roman"/>
          <w:color w:val="auto"/>
          <w:sz w:val="28"/>
          <w:szCs w:val="28"/>
        </w:rPr>
        <w:t>即验收合格。</w:t>
      </w:r>
    </w:p>
    <w:p>
      <w:pPr>
        <w:pStyle w:val="3"/>
        <w:ind w:firstLine="562"/>
        <w:rPr>
          <w:rFonts w:ascii="Times New Roman" w:hAnsi="Times New Roman" w:eastAsia="仿宋" w:cs="Times New Roman"/>
          <w:b/>
          <w:bCs/>
          <w:sz w:val="28"/>
          <w:szCs w:val="28"/>
        </w:rPr>
      </w:pPr>
      <w:bookmarkStart w:id="9" w:name="_Toc25588105"/>
      <w:r>
        <w:rPr>
          <w:rFonts w:ascii="Times New Roman" w:hAnsi="Times New Roman" w:eastAsia="仿宋" w:cs="Times New Roman"/>
          <w:b/>
          <w:bCs/>
          <w:sz w:val="28"/>
          <w:szCs w:val="28"/>
        </w:rPr>
        <w:t>第六条 违约和索赔</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6.1乙方逾期交货，乙方应向甲方偿付逾期交付违约金。逾期违约金按照合同总价款每日万分之三计算。甲方可在货物结算款中扣除。违约金尚不能补偿对方损失时，有权向对方追索实际损失的赔偿金。</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6.2 乙方逾期交货，或不履行售后服务，经甲方催告后仍不能履行的，甲方有权解除合同，保证金作为违约金不予退还。保证金不足以弥补甲方损失的，甲方有权追偿。</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6.3 乙方保证所供产品或服务的质量符合本合同约定之标准，并承诺产品或服务来源合法，不侵犯他人权益。所供产品应附有相关产品合格证，对于进口产品，甲方有权要求乙方提供报关单及海关检验证明等资料。否则，甲方有权采取拒收、退货、更换等措施。</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6.4因产品质量瑕疵或缺陷导致甲方或第三人损害的，甲方有权向乙方索赔。</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6.5若乙方违反重庆江北国际机场疫情防控相关规定的，甲方可以要求乙方承担违约责任，造成甲方损失的，甲方有权要求乙方承担相应的赔偿责任。</w:t>
      </w:r>
    </w:p>
    <w:p/>
    <w:bookmarkEnd w:id="9"/>
    <w:p>
      <w:pPr>
        <w:pStyle w:val="3"/>
        <w:ind w:firstLine="562"/>
        <w:rPr>
          <w:rFonts w:ascii="Times New Roman" w:hAnsi="Times New Roman" w:eastAsia="仿宋" w:cs="Times New Roman"/>
          <w:b/>
          <w:bCs/>
          <w:sz w:val="28"/>
          <w:szCs w:val="28"/>
        </w:rPr>
      </w:pPr>
      <w:bookmarkStart w:id="10" w:name="_Toc25588107"/>
      <w:r>
        <w:rPr>
          <w:rFonts w:ascii="Times New Roman" w:hAnsi="Times New Roman" w:eastAsia="仿宋" w:cs="Times New Roman"/>
          <w:b/>
          <w:bCs/>
          <w:sz w:val="28"/>
          <w:szCs w:val="28"/>
        </w:rPr>
        <w:t>第七条 不可抗力</w:t>
      </w:r>
    </w:p>
    <w:p>
      <w:pPr>
        <w:pStyle w:val="3"/>
        <w:spacing w:before="0" w:after="0"/>
        <w:ind w:firstLine="560"/>
        <w:rPr>
          <w:rFonts w:ascii="Times New Roman" w:hAnsi="Times New Roman" w:eastAsia="仿宋" w:cs="Times New Roman"/>
          <w:sz w:val="28"/>
          <w:szCs w:val="28"/>
        </w:rPr>
      </w:pPr>
      <w:r>
        <w:rPr>
          <w:rFonts w:ascii="Times New Roman" w:hAnsi="Times New Roman" w:eastAsia="仿宋" w:cs="Times New Roman"/>
          <w:sz w:val="28"/>
          <w:szCs w:val="28"/>
        </w:rPr>
        <w:t>7.1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3"/>
        <w:spacing w:before="0" w:after="0"/>
        <w:ind w:firstLine="560"/>
        <w:rPr>
          <w:rFonts w:ascii="Times New Roman" w:hAnsi="Times New Roman" w:eastAsia="仿宋" w:cs="Times New Roman"/>
          <w:sz w:val="28"/>
          <w:szCs w:val="28"/>
        </w:rPr>
      </w:pPr>
      <w:r>
        <w:rPr>
          <w:rFonts w:ascii="Times New Roman" w:hAnsi="Times New Roman" w:eastAsia="仿宋" w:cs="Times New Roman"/>
          <w:sz w:val="28"/>
          <w:szCs w:val="28"/>
        </w:rPr>
        <w:t>7.2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bookmarkEnd w:id="10"/>
    <w:p>
      <w:pPr>
        <w:pStyle w:val="3"/>
        <w:ind w:firstLine="562"/>
        <w:rPr>
          <w:rFonts w:ascii="Times New Roman" w:hAnsi="Times New Roman" w:eastAsia="仿宋" w:cs="Times New Roman"/>
          <w:b/>
          <w:bCs/>
          <w:sz w:val="28"/>
          <w:szCs w:val="28"/>
        </w:rPr>
      </w:pPr>
      <w:bookmarkStart w:id="11" w:name="_Toc25588109"/>
      <w:r>
        <w:rPr>
          <w:rFonts w:ascii="Times New Roman" w:hAnsi="Times New Roman" w:eastAsia="仿宋" w:cs="Times New Roman"/>
          <w:b/>
          <w:bCs/>
          <w:sz w:val="28"/>
          <w:szCs w:val="28"/>
        </w:rPr>
        <w:t>第八条 通知条款</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任何一方均应本着诚实信用原则来对待另一方在履行合同时的通知、告知事项，如因重大事项须履行通知义务的，均应当以当面签收或特快专递、电子邮件方式送达相对人。</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甲方指定的联系方式：</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联系人：_____________________________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联系电话：___________________________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通讯地址：___________________________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电子邮件：___________________________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乙方指定的联系方式：</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联系人：_____________________________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联系电话：___________________________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通讯地址：___________________________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电子邮件：___________________________</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8.1采用当面签收的，应由合同中指定的联系人或双方授权的代表签收，签收日期即为送达时间。</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8.5收件一方若认为邮件封面标题与邮件中实际文件内容不符的，应在收到邮件后三日内通知相对人，逾期视为邮件封面标题与邮件中实际文件内容一致，并视为有效送达收件人。</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3"/>
        <w:ind w:firstLine="560"/>
        <w:rPr>
          <w:rFonts w:ascii="Times New Roman" w:hAnsi="Times New Roman" w:eastAsia="仿宋" w:cs="Times New Roman"/>
          <w:sz w:val="28"/>
          <w:szCs w:val="28"/>
        </w:rPr>
      </w:pPr>
      <w:r>
        <w:rPr>
          <w:rFonts w:ascii="Times New Roman" w:hAnsi="Times New Roman" w:eastAsia="仿宋" w:cs="Times New Roman"/>
          <w:sz w:val="28"/>
          <w:szCs w:val="28"/>
        </w:rPr>
        <w:t>8.7本合同约定的联系方式与送达方式同时可作为法律文书的联系方式与送达方式。</w:t>
      </w:r>
    </w:p>
    <w:p>
      <w:pPr>
        <w:spacing w:before="120" w:after="120" w:line="360" w:lineRule="auto"/>
        <w:ind w:firstLine="562" w:firstLineChars="200"/>
        <w:outlineLvl w:val="1"/>
        <w:rPr>
          <w:rFonts w:eastAsia="仿宋"/>
          <w:b/>
          <w:bCs/>
          <w:color w:val="000000"/>
          <w:sz w:val="28"/>
          <w:szCs w:val="28"/>
        </w:rPr>
      </w:pPr>
      <w:bookmarkStart w:id="12" w:name="_Toc13700"/>
      <w:r>
        <w:rPr>
          <w:rFonts w:eastAsia="仿宋"/>
          <w:b/>
          <w:bCs/>
          <w:color w:val="000000"/>
          <w:sz w:val="28"/>
          <w:szCs w:val="28"/>
        </w:rPr>
        <w:t>第九条 保密条款</w:t>
      </w:r>
      <w:bookmarkEnd w:id="12"/>
    </w:p>
    <w:p>
      <w:pPr>
        <w:spacing w:line="360" w:lineRule="auto"/>
        <w:ind w:firstLine="560" w:firstLineChars="200"/>
        <w:rPr>
          <w:rFonts w:eastAsia="仿宋"/>
          <w:color w:val="000000"/>
          <w:sz w:val="28"/>
          <w:szCs w:val="28"/>
        </w:rPr>
      </w:pPr>
      <w:r>
        <w:rPr>
          <w:rFonts w:eastAsia="仿宋"/>
          <w:color w:val="000000"/>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before="120" w:after="120" w:line="360" w:lineRule="auto"/>
        <w:ind w:firstLine="562" w:firstLineChars="200"/>
        <w:outlineLvl w:val="1"/>
        <w:rPr>
          <w:rFonts w:eastAsia="仿宋"/>
          <w:b/>
          <w:bCs/>
          <w:color w:val="000000"/>
          <w:sz w:val="28"/>
          <w:szCs w:val="28"/>
        </w:rPr>
      </w:pPr>
      <w:bookmarkStart w:id="13" w:name="_Toc13675"/>
      <w:r>
        <w:rPr>
          <w:rFonts w:eastAsia="仿宋"/>
          <w:b/>
          <w:bCs/>
          <w:color w:val="000000"/>
          <w:sz w:val="28"/>
          <w:szCs w:val="28"/>
        </w:rPr>
        <w:t>第十条 合同争议的解决方式</w:t>
      </w:r>
      <w:bookmarkEnd w:id="13"/>
    </w:p>
    <w:p>
      <w:pPr>
        <w:spacing w:line="360" w:lineRule="auto"/>
        <w:ind w:firstLine="560" w:firstLineChars="200"/>
        <w:rPr>
          <w:rFonts w:eastAsia="仿宋"/>
          <w:color w:val="000000"/>
          <w:sz w:val="28"/>
          <w:szCs w:val="28"/>
        </w:rPr>
      </w:pPr>
      <w:r>
        <w:rPr>
          <w:rFonts w:eastAsia="仿宋"/>
          <w:color w:val="000000"/>
          <w:sz w:val="28"/>
          <w:szCs w:val="28"/>
        </w:rPr>
        <w:t>10.1 若在合同履行过程中发生争议，甲乙双方应当友好协商解决，协商不成，按以下第（</w:t>
      </w:r>
      <w:r>
        <w:rPr>
          <w:rFonts w:hint="eastAsia" w:eastAsia="仿宋"/>
          <w:color w:val="000000"/>
          <w:sz w:val="28"/>
          <w:szCs w:val="28"/>
        </w:rPr>
        <w:t xml:space="preserve">二 </w:t>
      </w:r>
      <w:r>
        <w:rPr>
          <w:rFonts w:eastAsia="仿宋"/>
          <w:color w:val="000000"/>
          <w:sz w:val="28"/>
          <w:szCs w:val="28"/>
        </w:rPr>
        <w:t>） 种方式解决：</w:t>
      </w:r>
    </w:p>
    <w:p>
      <w:pPr>
        <w:spacing w:line="360" w:lineRule="auto"/>
        <w:ind w:firstLine="560" w:firstLineChars="200"/>
        <w:rPr>
          <w:rFonts w:eastAsia="仿宋"/>
          <w:color w:val="000000"/>
          <w:sz w:val="28"/>
          <w:szCs w:val="28"/>
        </w:rPr>
      </w:pPr>
      <w:r>
        <w:rPr>
          <w:rFonts w:eastAsia="仿宋"/>
          <w:color w:val="000000"/>
          <w:sz w:val="28"/>
          <w:szCs w:val="28"/>
        </w:rPr>
        <w:t>（一）提交重庆仲裁委员会，按照申请仲裁时该会现行有效的仲裁规则进行仲裁。</w:t>
      </w:r>
    </w:p>
    <w:p>
      <w:pPr>
        <w:spacing w:line="360" w:lineRule="auto"/>
        <w:ind w:firstLine="560" w:firstLineChars="200"/>
        <w:rPr>
          <w:rFonts w:eastAsia="仿宋"/>
          <w:color w:val="000000"/>
          <w:sz w:val="28"/>
          <w:szCs w:val="28"/>
        </w:rPr>
      </w:pPr>
      <w:r>
        <w:rPr>
          <w:rFonts w:eastAsia="仿宋"/>
          <w:color w:val="000000"/>
          <w:sz w:val="28"/>
          <w:szCs w:val="28"/>
        </w:rPr>
        <w:t>（二）向甲方所在地人民法院起诉。</w:t>
      </w:r>
    </w:p>
    <w:p>
      <w:pPr>
        <w:spacing w:line="360" w:lineRule="auto"/>
        <w:ind w:firstLine="560" w:firstLineChars="200"/>
        <w:rPr>
          <w:rFonts w:eastAsia="仿宋"/>
          <w:color w:val="000000"/>
          <w:sz w:val="28"/>
          <w:szCs w:val="28"/>
        </w:rPr>
      </w:pPr>
      <w:r>
        <w:rPr>
          <w:rFonts w:eastAsia="仿宋"/>
          <w:color w:val="000000"/>
          <w:sz w:val="28"/>
          <w:szCs w:val="28"/>
        </w:rPr>
        <w:t>10.2在诉讼期间，除正在进行诉讼的部分外，合同其它部分继续执行。</w:t>
      </w:r>
    </w:p>
    <w:p>
      <w:pPr>
        <w:spacing w:before="120" w:after="120" w:line="360" w:lineRule="auto"/>
        <w:ind w:firstLine="562" w:firstLineChars="200"/>
        <w:outlineLvl w:val="1"/>
        <w:rPr>
          <w:rFonts w:eastAsia="仿宋"/>
          <w:b/>
          <w:bCs/>
          <w:color w:val="000000"/>
          <w:sz w:val="28"/>
          <w:szCs w:val="28"/>
        </w:rPr>
      </w:pPr>
      <w:bookmarkStart w:id="14" w:name="_Toc15607"/>
      <w:r>
        <w:rPr>
          <w:rFonts w:eastAsia="仿宋"/>
          <w:b/>
          <w:bCs/>
          <w:color w:val="000000"/>
          <w:sz w:val="28"/>
          <w:szCs w:val="28"/>
        </w:rPr>
        <w:t>第十一条 合同的变更和解除</w:t>
      </w:r>
      <w:bookmarkEnd w:id="14"/>
    </w:p>
    <w:p>
      <w:pPr>
        <w:spacing w:line="360" w:lineRule="auto"/>
        <w:ind w:firstLine="560" w:firstLineChars="200"/>
        <w:rPr>
          <w:rFonts w:eastAsia="仿宋"/>
          <w:color w:val="000000"/>
          <w:sz w:val="28"/>
          <w:szCs w:val="28"/>
        </w:rPr>
      </w:pPr>
      <w:r>
        <w:rPr>
          <w:rFonts w:eastAsia="仿宋"/>
          <w:color w:val="000000"/>
          <w:sz w:val="28"/>
          <w:szCs w:val="28"/>
        </w:rPr>
        <w:t>11.1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560" w:firstLineChars="200"/>
        <w:rPr>
          <w:rFonts w:eastAsia="仿宋"/>
          <w:color w:val="000000"/>
          <w:sz w:val="28"/>
          <w:szCs w:val="28"/>
        </w:rPr>
      </w:pPr>
      <w:r>
        <w:rPr>
          <w:rFonts w:eastAsia="仿宋"/>
          <w:color w:val="000000"/>
          <w:sz w:val="28"/>
          <w:szCs w:val="28"/>
        </w:rPr>
        <w:t>11.2 经双方协商一致，并达成书面合同后，本合同可以解除，双方应就合同解除的后果在解约合同中一并做出约定。一方也可根据合同约定单方行使合同解除权。</w:t>
      </w:r>
    </w:p>
    <w:p>
      <w:pPr>
        <w:spacing w:before="120" w:after="120" w:line="360" w:lineRule="auto"/>
        <w:ind w:firstLine="562" w:firstLineChars="200"/>
        <w:outlineLvl w:val="1"/>
        <w:rPr>
          <w:rFonts w:eastAsia="仿宋"/>
          <w:b/>
          <w:bCs/>
          <w:color w:val="000000"/>
          <w:sz w:val="28"/>
          <w:szCs w:val="28"/>
        </w:rPr>
      </w:pPr>
      <w:bookmarkStart w:id="15" w:name="_Toc14972"/>
      <w:r>
        <w:rPr>
          <w:rFonts w:eastAsia="仿宋"/>
          <w:b/>
          <w:bCs/>
          <w:color w:val="000000"/>
          <w:sz w:val="28"/>
          <w:szCs w:val="28"/>
        </w:rPr>
        <w:t>第十二条 合同生效及其他</w:t>
      </w:r>
      <w:bookmarkEnd w:id="15"/>
    </w:p>
    <w:p>
      <w:pPr>
        <w:spacing w:line="360" w:lineRule="auto"/>
        <w:ind w:firstLine="560" w:firstLineChars="200"/>
        <w:rPr>
          <w:rFonts w:eastAsia="仿宋"/>
          <w:color w:val="000000"/>
          <w:sz w:val="28"/>
          <w:szCs w:val="28"/>
        </w:rPr>
      </w:pPr>
      <w:r>
        <w:rPr>
          <w:rFonts w:eastAsia="仿宋"/>
          <w:color w:val="000000"/>
          <w:sz w:val="28"/>
          <w:szCs w:val="28"/>
        </w:rPr>
        <w:t>12.1 乙方和甲方约定合同内容双方签字或盖章后生效，生效后不得以其他原因单方取消约定。</w:t>
      </w:r>
    </w:p>
    <w:p>
      <w:pPr>
        <w:spacing w:line="360" w:lineRule="auto"/>
        <w:ind w:firstLine="560" w:firstLineChars="200"/>
        <w:rPr>
          <w:rFonts w:eastAsia="仿宋"/>
          <w:color w:val="000000"/>
          <w:sz w:val="28"/>
          <w:szCs w:val="28"/>
        </w:rPr>
      </w:pPr>
      <w:r>
        <w:rPr>
          <w:rFonts w:eastAsia="仿宋"/>
          <w:color w:val="000000"/>
          <w:sz w:val="28"/>
          <w:szCs w:val="28"/>
        </w:rPr>
        <w:t>12.2 本合同一式【陆】份，甲方执【肆】份，乙方执【贰】份，具有同等法律效力。</w:t>
      </w:r>
      <w:r>
        <w:rPr>
          <w:rFonts w:eastAsia="仿宋"/>
          <w:color w:val="000000"/>
          <w:sz w:val="28"/>
          <w:szCs w:val="28"/>
        </w:rPr>
        <w:br w:type="textWrapping"/>
      </w:r>
    </w:p>
    <w:p>
      <w:pPr>
        <w:spacing w:line="360" w:lineRule="auto"/>
        <w:ind w:firstLine="560" w:firstLineChars="200"/>
        <w:rPr>
          <w:rFonts w:eastAsia="仿宋"/>
          <w:color w:val="000000"/>
          <w:sz w:val="28"/>
          <w:szCs w:val="28"/>
        </w:rPr>
      </w:pPr>
    </w:p>
    <w:p>
      <w:pPr>
        <w:spacing w:line="360" w:lineRule="auto"/>
        <w:ind w:firstLine="560" w:firstLineChars="200"/>
        <w:rPr>
          <w:rFonts w:eastAsia="仿宋"/>
          <w:color w:val="000000"/>
          <w:sz w:val="28"/>
          <w:szCs w:val="28"/>
        </w:rPr>
      </w:pPr>
    </w:p>
    <w:p>
      <w:pPr>
        <w:spacing w:line="360" w:lineRule="auto"/>
        <w:rPr>
          <w:rFonts w:eastAsia="仿宋"/>
          <w:color w:val="000000"/>
          <w:sz w:val="28"/>
          <w:szCs w:val="28"/>
        </w:rPr>
      </w:pPr>
      <w:r>
        <w:rPr>
          <w:rFonts w:eastAsia="仿宋"/>
          <w:color w:val="000000"/>
          <w:sz w:val="28"/>
          <w:szCs w:val="28"/>
        </w:rPr>
        <w:t>甲方（盖章）：</w:t>
      </w:r>
    </w:p>
    <w:p>
      <w:pPr>
        <w:spacing w:line="360" w:lineRule="auto"/>
        <w:ind w:firstLine="560" w:firstLineChars="200"/>
        <w:rPr>
          <w:rFonts w:eastAsia="仿宋"/>
          <w:color w:val="000000"/>
          <w:sz w:val="28"/>
          <w:szCs w:val="28"/>
        </w:rPr>
      </w:pPr>
      <w:r>
        <w:rPr>
          <w:rFonts w:eastAsia="仿宋"/>
          <w:color w:val="000000"/>
          <w:sz w:val="28"/>
          <w:szCs w:val="28"/>
        </w:rPr>
        <w:t>法定代表人或授权代表（签字）：</w:t>
      </w:r>
    </w:p>
    <w:p>
      <w:pPr>
        <w:spacing w:line="360" w:lineRule="auto"/>
        <w:ind w:firstLine="560" w:firstLineChars="200"/>
        <w:rPr>
          <w:rFonts w:eastAsia="仿宋"/>
          <w:color w:val="000000"/>
          <w:sz w:val="28"/>
          <w:szCs w:val="28"/>
        </w:rPr>
      </w:pPr>
    </w:p>
    <w:p>
      <w:pPr>
        <w:spacing w:line="360" w:lineRule="auto"/>
        <w:ind w:firstLine="560" w:firstLineChars="200"/>
        <w:rPr>
          <w:rFonts w:eastAsia="仿宋"/>
          <w:color w:val="000000"/>
          <w:sz w:val="28"/>
          <w:szCs w:val="28"/>
        </w:rPr>
      </w:pPr>
      <w:r>
        <w:rPr>
          <w:rFonts w:eastAsia="仿宋"/>
          <w:color w:val="000000"/>
          <w:sz w:val="28"/>
          <w:szCs w:val="28"/>
        </w:rPr>
        <w:br w:type="textWrapping"/>
      </w:r>
      <w:r>
        <w:rPr>
          <w:rFonts w:eastAsia="仿宋"/>
          <w:color w:val="000000"/>
          <w:sz w:val="28"/>
          <w:szCs w:val="28"/>
        </w:rPr>
        <w:t>乙方（盖章）：</w:t>
      </w:r>
    </w:p>
    <w:p>
      <w:pPr>
        <w:spacing w:line="360" w:lineRule="auto"/>
        <w:ind w:firstLine="560" w:firstLineChars="200"/>
        <w:rPr>
          <w:rFonts w:eastAsia="仿宋"/>
          <w:color w:val="000000"/>
          <w:sz w:val="28"/>
          <w:szCs w:val="28"/>
        </w:rPr>
      </w:pPr>
      <w:r>
        <w:rPr>
          <w:rFonts w:eastAsia="仿宋"/>
          <w:color w:val="000000"/>
          <w:sz w:val="28"/>
          <w:szCs w:val="28"/>
        </w:rPr>
        <w:t>法定代表人或授权代表（签字）：</w:t>
      </w:r>
    </w:p>
    <w:bookmarkEnd w:id="11"/>
    <w:p>
      <w:pPr>
        <w:pStyle w:val="2"/>
        <w:rPr>
          <w:rFonts w:ascii="Times New Roman" w:hAnsi="Times New Roman"/>
        </w:rPr>
      </w:pPr>
    </w:p>
    <w:p/>
    <w:p/>
    <w:p>
      <w:pPr>
        <w:snapToGrid w:val="0"/>
        <w:spacing w:line="360" w:lineRule="auto"/>
        <w:rPr>
          <w:rFonts w:eastAsia="仿宋"/>
          <w:b/>
          <w:bCs/>
          <w:sz w:val="28"/>
          <w:szCs w:val="28"/>
        </w:rPr>
      </w:pPr>
    </w:p>
    <w:p>
      <w:pPr>
        <w:pStyle w:val="2"/>
        <w:rPr>
          <w:rFonts w:ascii="Times New Roman" w:hAnsi="Times New Roman" w:eastAsia="仿宋"/>
          <w:sz w:val="28"/>
          <w:szCs w:val="28"/>
        </w:rPr>
      </w:pPr>
    </w:p>
    <w:p>
      <w:pPr>
        <w:rPr>
          <w:rFonts w:eastAsia="仿宋"/>
          <w:b/>
          <w:bCs/>
          <w:sz w:val="28"/>
          <w:szCs w:val="28"/>
        </w:rPr>
      </w:pPr>
    </w:p>
    <w:p>
      <w:pPr>
        <w:pStyle w:val="2"/>
        <w:rPr>
          <w:rFonts w:ascii="Times New Roman" w:hAnsi="Times New Roman" w:eastAsia="仿宋"/>
          <w:sz w:val="28"/>
          <w:szCs w:val="28"/>
        </w:rPr>
      </w:pPr>
    </w:p>
    <w:p>
      <w:pPr>
        <w:rPr>
          <w:rFonts w:eastAsia="仿宋"/>
          <w:b/>
          <w:bCs/>
          <w:sz w:val="28"/>
          <w:szCs w:val="28"/>
        </w:rPr>
      </w:pPr>
    </w:p>
    <w:p>
      <w:pPr>
        <w:pStyle w:val="2"/>
        <w:rPr>
          <w:rFonts w:ascii="Times New Roman" w:hAnsi="Times New Roman" w:eastAsia="仿宋"/>
          <w:sz w:val="28"/>
          <w:szCs w:val="28"/>
        </w:rPr>
      </w:pPr>
    </w:p>
    <w:p>
      <w:pPr>
        <w:rPr>
          <w:rFonts w:eastAsia="仿宋"/>
          <w:b/>
          <w:bCs/>
          <w:sz w:val="28"/>
          <w:szCs w:val="28"/>
        </w:rPr>
      </w:pPr>
    </w:p>
    <w:p>
      <w:pPr>
        <w:pStyle w:val="2"/>
        <w:rPr>
          <w:rFonts w:ascii="Times New Roman" w:hAnsi="Times New Roman" w:eastAsia="仿宋"/>
          <w:sz w:val="28"/>
          <w:szCs w:val="28"/>
        </w:rPr>
      </w:pPr>
    </w:p>
    <w:p>
      <w:pPr>
        <w:rPr>
          <w:rFonts w:eastAsia="仿宋"/>
          <w:b/>
          <w:bCs/>
          <w:sz w:val="28"/>
          <w:szCs w:val="28"/>
        </w:rPr>
      </w:pPr>
    </w:p>
    <w:p>
      <w:pPr>
        <w:pStyle w:val="2"/>
        <w:rPr>
          <w:rFonts w:ascii="Times New Roman" w:hAnsi="Times New Roman" w:eastAsia="仿宋"/>
          <w:sz w:val="28"/>
          <w:szCs w:val="28"/>
        </w:rPr>
      </w:pP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 xml:space="preserve">工期 </w:t>
      </w:r>
      <w:r>
        <w:rPr>
          <w:rFonts w:eastAsia="仿宋"/>
          <w:sz w:val="28"/>
          <w:szCs w:val="28"/>
          <w:u w:val="single"/>
        </w:rPr>
        <w:tab/>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spacing w:line="356" w:lineRule="auto"/>
        <w:ind w:right="-11" w:firstLine="560" w:firstLineChars="200"/>
        <w:jc w:val="left"/>
        <w:rPr>
          <w:rFonts w:eastAsia="仿宋"/>
          <w:sz w:val="28"/>
          <w:szCs w:val="28"/>
        </w:rPr>
      </w:pPr>
      <w:r>
        <w:rPr>
          <w:rFonts w:eastAsia="仿宋"/>
          <w:sz w:val="28"/>
          <w:szCs w:val="28"/>
        </w:rPr>
        <w:t>（4）法定代表人为同一个人的两个及两个以上法人，母公司、全资子公司及其控股公司，以及其他形式有管理关系的响应人，都不得在同一比选项目中同时参与比选。</w:t>
      </w:r>
    </w:p>
    <w:p>
      <w:pPr>
        <w:autoSpaceDE w:val="0"/>
        <w:autoSpaceDN w:val="0"/>
        <w:adjustRightInd w:val="0"/>
        <w:spacing w:line="356" w:lineRule="auto"/>
        <w:ind w:right="-11" w:firstLine="560" w:firstLineChars="200"/>
        <w:jc w:val="left"/>
        <w:rPr>
          <w:rFonts w:eastAsia="仿宋"/>
          <w:sz w:val="28"/>
          <w:szCs w:val="28"/>
        </w:rPr>
      </w:pPr>
      <w:r>
        <w:rPr>
          <w:rFonts w:eastAsia="仿宋"/>
          <w:sz w:val="28"/>
          <w:szCs w:val="28"/>
        </w:rPr>
        <w:t>（5）我方承诺本项目不分包、转包。</w:t>
      </w:r>
    </w:p>
    <w:p>
      <w:pPr>
        <w:autoSpaceDE w:val="0"/>
        <w:autoSpaceDN w:val="0"/>
        <w:adjustRightInd w:val="0"/>
        <w:spacing w:line="356" w:lineRule="auto"/>
        <w:ind w:right="-11"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b/>
          <w:sz w:val="32"/>
          <w:szCs w:val="32"/>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jc w:val="center"/>
        <w:rPr>
          <w:rFonts w:eastAsia="仿宋"/>
          <w:b/>
          <w:sz w:val="28"/>
          <w:szCs w:val="28"/>
        </w:rPr>
      </w:pPr>
    </w:p>
    <w:p>
      <w:pPr>
        <w:rPr>
          <w:rFonts w:eastAsia="仿宋"/>
          <w:b/>
          <w:sz w:val="28"/>
          <w:szCs w:val="28"/>
        </w:rPr>
      </w:pPr>
    </w:p>
    <w:p>
      <w:pPr>
        <w:rPr>
          <w:rFonts w:eastAsia="仿宋"/>
          <w:b/>
          <w:sz w:val="32"/>
          <w:szCs w:val="32"/>
        </w:rPr>
      </w:pPr>
      <w:r>
        <w:rPr>
          <w:rFonts w:eastAsia="仿宋"/>
          <w:b/>
          <w:sz w:val="32"/>
          <w:szCs w:val="32"/>
        </w:rPr>
        <w:br w:type="page"/>
      </w:r>
    </w:p>
    <w:p>
      <w:pPr>
        <w:jc w:val="center"/>
        <w:rPr>
          <w:rFonts w:eastAsia="仿宋"/>
          <w:b/>
          <w:sz w:val="32"/>
          <w:szCs w:val="32"/>
        </w:rPr>
      </w:pPr>
      <w:r>
        <w:rPr>
          <w:rFonts w:eastAsia="仿宋"/>
          <w:b/>
          <w:sz w:val="32"/>
          <w:szCs w:val="32"/>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32"/>
          <w:szCs w:val="32"/>
        </w:rPr>
      </w:pPr>
      <w:r>
        <w:rPr>
          <w:rFonts w:eastAsia="仿宋"/>
          <w:b/>
          <w:sz w:val="32"/>
          <w:szCs w:val="32"/>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5"/>
        <w:rPr>
          <w:rFonts w:ascii="Times New Roman" w:eastAsia="仿宋"/>
          <w:bCs/>
          <w:sz w:val="28"/>
          <w:szCs w:val="28"/>
        </w:rPr>
      </w:pPr>
    </w:p>
    <w:p>
      <w:pPr>
        <w:rPr>
          <w:rFonts w:eastAsia="仿宋"/>
          <w:b/>
          <w:bCs/>
          <w:sz w:val="28"/>
          <w:szCs w:val="28"/>
        </w:rPr>
      </w:pPr>
    </w:p>
    <w:p>
      <w:pPr>
        <w:pStyle w:val="5"/>
        <w:rPr>
          <w:rFonts w:ascii="Times New Roman" w:eastAsia="仿宋"/>
          <w:bCs/>
          <w:sz w:val="28"/>
          <w:szCs w:val="28"/>
        </w:rPr>
      </w:pPr>
    </w:p>
    <w:p>
      <w:pPr>
        <w:rPr>
          <w:rFonts w:eastAsia="仿宋"/>
          <w:b/>
          <w:bCs/>
          <w:sz w:val="28"/>
          <w:szCs w:val="28"/>
        </w:rPr>
      </w:pPr>
    </w:p>
    <w:p>
      <w:pPr>
        <w:ind w:firstLine="420"/>
        <w:rPr>
          <w:szCs w:val="21"/>
        </w:rPr>
      </w:pPr>
    </w:p>
    <w:p>
      <w:pPr>
        <w:jc w:val="center"/>
        <w:rPr>
          <w:rFonts w:eastAsia="仿宋"/>
          <w:b/>
          <w:sz w:val="32"/>
          <w:szCs w:val="32"/>
        </w:rPr>
      </w:pPr>
      <w:r>
        <w:rPr>
          <w:rFonts w:hint="eastAsia" w:eastAsia="仿宋"/>
          <w:b/>
          <w:sz w:val="32"/>
          <w:szCs w:val="32"/>
        </w:rPr>
        <w:t>（四）</w:t>
      </w:r>
      <w:r>
        <w:rPr>
          <w:rFonts w:eastAsia="仿宋"/>
          <w:b/>
          <w:sz w:val="32"/>
          <w:szCs w:val="32"/>
        </w:rPr>
        <w:t>项目采购需求表</w:t>
      </w:r>
    </w:p>
    <w:p/>
    <w:tbl>
      <w:tblPr>
        <w:tblStyle w:val="10"/>
        <w:tblW w:w="7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71"/>
        <w:gridCol w:w="2183"/>
        <w:gridCol w:w="989"/>
        <w:gridCol w:w="82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695" w:type="dxa"/>
            <w:vAlign w:val="center"/>
          </w:tcPr>
          <w:p>
            <w:pPr>
              <w:widowControl/>
              <w:jc w:val="center"/>
              <w:rPr>
                <w:rFonts w:eastAsia="仿宋"/>
                <w:b/>
                <w:bCs/>
                <w:szCs w:val="21"/>
              </w:rPr>
            </w:pPr>
            <w:r>
              <w:rPr>
                <w:rFonts w:eastAsia="仿宋"/>
                <w:b/>
                <w:bCs/>
                <w:szCs w:val="21"/>
              </w:rPr>
              <w:t>序号</w:t>
            </w:r>
          </w:p>
        </w:tc>
        <w:tc>
          <w:tcPr>
            <w:tcW w:w="1671" w:type="dxa"/>
            <w:vAlign w:val="center"/>
          </w:tcPr>
          <w:p>
            <w:pPr>
              <w:widowControl/>
              <w:jc w:val="center"/>
              <w:rPr>
                <w:rFonts w:eastAsia="仿宋"/>
                <w:b/>
                <w:bCs/>
                <w:szCs w:val="21"/>
              </w:rPr>
            </w:pPr>
            <w:r>
              <w:rPr>
                <w:rFonts w:eastAsia="仿宋"/>
                <w:b/>
                <w:bCs/>
                <w:szCs w:val="21"/>
              </w:rPr>
              <w:t>名称</w:t>
            </w:r>
          </w:p>
        </w:tc>
        <w:tc>
          <w:tcPr>
            <w:tcW w:w="2183" w:type="dxa"/>
            <w:vAlign w:val="center"/>
          </w:tcPr>
          <w:p>
            <w:pPr>
              <w:widowControl/>
              <w:jc w:val="center"/>
              <w:rPr>
                <w:rFonts w:eastAsia="仿宋"/>
                <w:b/>
                <w:bCs/>
                <w:szCs w:val="21"/>
              </w:rPr>
            </w:pPr>
            <w:r>
              <w:rPr>
                <w:rFonts w:eastAsia="仿宋"/>
                <w:b/>
                <w:bCs/>
                <w:szCs w:val="21"/>
              </w:rPr>
              <w:t>型号</w:t>
            </w:r>
          </w:p>
        </w:tc>
        <w:tc>
          <w:tcPr>
            <w:tcW w:w="989" w:type="dxa"/>
            <w:vAlign w:val="center"/>
          </w:tcPr>
          <w:p>
            <w:pPr>
              <w:widowControl/>
              <w:jc w:val="center"/>
              <w:rPr>
                <w:rFonts w:eastAsia="仿宋"/>
                <w:b/>
                <w:bCs/>
                <w:szCs w:val="21"/>
              </w:rPr>
            </w:pPr>
            <w:r>
              <w:rPr>
                <w:rFonts w:eastAsia="仿宋"/>
                <w:b/>
                <w:bCs/>
                <w:szCs w:val="21"/>
              </w:rPr>
              <w:t>数量</w:t>
            </w:r>
          </w:p>
        </w:tc>
        <w:tc>
          <w:tcPr>
            <w:tcW w:w="822" w:type="dxa"/>
            <w:vAlign w:val="center"/>
          </w:tcPr>
          <w:p>
            <w:pPr>
              <w:widowControl/>
              <w:jc w:val="center"/>
              <w:rPr>
                <w:rFonts w:eastAsia="仿宋"/>
                <w:b/>
                <w:bCs/>
                <w:szCs w:val="21"/>
              </w:rPr>
            </w:pPr>
            <w:r>
              <w:rPr>
                <w:rFonts w:eastAsia="仿宋"/>
                <w:b/>
                <w:bCs/>
                <w:szCs w:val="21"/>
              </w:rPr>
              <w:t>单位</w:t>
            </w:r>
          </w:p>
        </w:tc>
        <w:tc>
          <w:tcPr>
            <w:tcW w:w="1307" w:type="dxa"/>
            <w:vAlign w:val="center"/>
          </w:tcPr>
          <w:p>
            <w:pPr>
              <w:widowControl/>
              <w:jc w:val="center"/>
              <w:rPr>
                <w:rFonts w:eastAsia="仿宋"/>
                <w:b/>
                <w:bCs/>
                <w:szCs w:val="21"/>
              </w:rPr>
            </w:pPr>
            <w:r>
              <w:rPr>
                <w:rFonts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jc w:val="center"/>
        </w:trPr>
        <w:tc>
          <w:tcPr>
            <w:tcW w:w="695" w:type="dxa"/>
            <w:vAlign w:val="center"/>
          </w:tcPr>
          <w:p>
            <w:pPr>
              <w:widowControl/>
              <w:jc w:val="center"/>
              <w:rPr>
                <w:rFonts w:eastAsia="仿宋"/>
                <w:szCs w:val="21"/>
              </w:rPr>
            </w:pPr>
            <w:r>
              <w:rPr>
                <w:rFonts w:eastAsia="仿宋"/>
                <w:szCs w:val="21"/>
              </w:rPr>
              <w:t>1</w:t>
            </w:r>
          </w:p>
        </w:tc>
        <w:tc>
          <w:tcPr>
            <w:tcW w:w="1671" w:type="dxa"/>
            <w:vAlign w:val="center"/>
          </w:tcPr>
          <w:p>
            <w:pPr>
              <w:jc w:val="center"/>
              <w:rPr>
                <w:rFonts w:eastAsia="仿宋"/>
                <w:szCs w:val="21"/>
              </w:rPr>
            </w:pPr>
            <w:r>
              <w:rPr>
                <w:rFonts w:eastAsia="仿宋"/>
                <w:sz w:val="24"/>
              </w:rPr>
              <w:t>康明斯柴油发电机空气滤清器</w:t>
            </w:r>
          </w:p>
        </w:tc>
        <w:tc>
          <w:tcPr>
            <w:tcW w:w="2183" w:type="dxa"/>
            <w:vAlign w:val="center"/>
          </w:tcPr>
          <w:p>
            <w:pPr>
              <w:jc w:val="center"/>
              <w:rPr>
                <w:rFonts w:eastAsia="仿宋"/>
                <w:szCs w:val="21"/>
              </w:rPr>
            </w:pPr>
            <w:r>
              <w:rPr>
                <w:rFonts w:eastAsia="仿宋"/>
                <w:sz w:val="24"/>
              </w:rPr>
              <w:t>康明斯AF25278</w:t>
            </w:r>
          </w:p>
        </w:tc>
        <w:tc>
          <w:tcPr>
            <w:tcW w:w="989" w:type="dxa"/>
            <w:vAlign w:val="center"/>
          </w:tcPr>
          <w:p>
            <w:pPr>
              <w:widowControl/>
              <w:jc w:val="center"/>
              <w:textAlignment w:val="center"/>
              <w:rPr>
                <w:rFonts w:eastAsia="仿宋"/>
                <w:szCs w:val="21"/>
              </w:rPr>
            </w:pPr>
            <w:r>
              <w:rPr>
                <w:rFonts w:eastAsia="仿宋"/>
                <w:color w:val="000000"/>
                <w:kern w:val="0"/>
                <w:sz w:val="24"/>
              </w:rPr>
              <w:t>4</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695" w:type="dxa"/>
            <w:vAlign w:val="center"/>
          </w:tcPr>
          <w:p>
            <w:pPr>
              <w:widowControl/>
              <w:jc w:val="center"/>
              <w:rPr>
                <w:rFonts w:eastAsia="仿宋"/>
                <w:szCs w:val="21"/>
              </w:rPr>
            </w:pPr>
            <w:r>
              <w:rPr>
                <w:rFonts w:eastAsia="仿宋"/>
                <w:szCs w:val="21"/>
              </w:rPr>
              <w:t>2</w:t>
            </w:r>
          </w:p>
        </w:tc>
        <w:tc>
          <w:tcPr>
            <w:tcW w:w="1671" w:type="dxa"/>
            <w:vAlign w:val="center"/>
          </w:tcPr>
          <w:p>
            <w:pPr>
              <w:jc w:val="center"/>
              <w:rPr>
                <w:rFonts w:eastAsia="仿宋"/>
                <w:szCs w:val="21"/>
              </w:rPr>
            </w:pPr>
            <w:r>
              <w:rPr>
                <w:rFonts w:eastAsia="仿宋"/>
                <w:sz w:val="24"/>
              </w:rPr>
              <w:t>康明斯柴油发电机燃油滤清器</w:t>
            </w:r>
          </w:p>
        </w:tc>
        <w:tc>
          <w:tcPr>
            <w:tcW w:w="2183" w:type="dxa"/>
            <w:vAlign w:val="center"/>
          </w:tcPr>
          <w:p>
            <w:pPr>
              <w:jc w:val="center"/>
              <w:rPr>
                <w:rFonts w:eastAsia="仿宋"/>
                <w:szCs w:val="21"/>
              </w:rPr>
            </w:pPr>
            <w:r>
              <w:rPr>
                <w:rFonts w:eastAsia="仿宋"/>
                <w:sz w:val="24"/>
              </w:rPr>
              <w:t>康明斯FS1006</w:t>
            </w:r>
          </w:p>
        </w:tc>
        <w:tc>
          <w:tcPr>
            <w:tcW w:w="989" w:type="dxa"/>
            <w:vAlign w:val="center"/>
          </w:tcPr>
          <w:p>
            <w:pPr>
              <w:widowControl/>
              <w:jc w:val="center"/>
              <w:textAlignment w:val="center"/>
              <w:rPr>
                <w:rFonts w:eastAsia="仿宋"/>
                <w:szCs w:val="21"/>
              </w:rPr>
            </w:pPr>
            <w:r>
              <w:rPr>
                <w:rFonts w:eastAsia="仿宋"/>
                <w:color w:val="000000"/>
                <w:kern w:val="0"/>
                <w:sz w:val="24"/>
              </w:rPr>
              <w:t>4</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695" w:type="dxa"/>
            <w:vAlign w:val="center"/>
          </w:tcPr>
          <w:p>
            <w:pPr>
              <w:widowControl/>
              <w:jc w:val="center"/>
              <w:rPr>
                <w:rFonts w:eastAsia="仿宋"/>
                <w:szCs w:val="21"/>
              </w:rPr>
            </w:pPr>
            <w:r>
              <w:rPr>
                <w:rFonts w:eastAsia="仿宋"/>
                <w:szCs w:val="21"/>
              </w:rPr>
              <w:t>3</w:t>
            </w:r>
          </w:p>
        </w:tc>
        <w:tc>
          <w:tcPr>
            <w:tcW w:w="1671" w:type="dxa"/>
            <w:vAlign w:val="center"/>
          </w:tcPr>
          <w:p>
            <w:pPr>
              <w:jc w:val="center"/>
              <w:rPr>
                <w:rFonts w:eastAsia="仿宋"/>
                <w:szCs w:val="21"/>
              </w:rPr>
            </w:pPr>
            <w:r>
              <w:rPr>
                <w:rFonts w:eastAsia="仿宋"/>
                <w:sz w:val="24"/>
              </w:rPr>
              <w:t>康明斯柴油发电机机油滤清器</w:t>
            </w:r>
          </w:p>
        </w:tc>
        <w:tc>
          <w:tcPr>
            <w:tcW w:w="2183" w:type="dxa"/>
            <w:vAlign w:val="center"/>
          </w:tcPr>
          <w:p>
            <w:pPr>
              <w:jc w:val="center"/>
              <w:rPr>
                <w:rFonts w:eastAsia="仿宋"/>
                <w:szCs w:val="21"/>
              </w:rPr>
            </w:pPr>
            <w:r>
              <w:rPr>
                <w:rFonts w:eastAsia="仿宋"/>
                <w:sz w:val="24"/>
              </w:rPr>
              <w:t>康明斯LF3325</w:t>
            </w:r>
          </w:p>
        </w:tc>
        <w:tc>
          <w:tcPr>
            <w:tcW w:w="989" w:type="dxa"/>
            <w:vAlign w:val="center"/>
          </w:tcPr>
          <w:p>
            <w:pPr>
              <w:widowControl/>
              <w:jc w:val="center"/>
              <w:textAlignment w:val="center"/>
              <w:rPr>
                <w:rFonts w:eastAsia="仿宋"/>
                <w:szCs w:val="21"/>
              </w:rPr>
            </w:pPr>
            <w:r>
              <w:rPr>
                <w:rFonts w:eastAsia="仿宋"/>
                <w:color w:val="000000"/>
                <w:kern w:val="0"/>
                <w:sz w:val="24"/>
              </w:rPr>
              <w:t>10</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exact"/>
          <w:jc w:val="center"/>
        </w:trPr>
        <w:tc>
          <w:tcPr>
            <w:tcW w:w="695" w:type="dxa"/>
            <w:vAlign w:val="center"/>
          </w:tcPr>
          <w:p>
            <w:pPr>
              <w:widowControl/>
              <w:jc w:val="center"/>
              <w:rPr>
                <w:rFonts w:eastAsia="仿宋"/>
                <w:szCs w:val="21"/>
              </w:rPr>
            </w:pPr>
            <w:r>
              <w:rPr>
                <w:rFonts w:eastAsia="仿宋"/>
                <w:szCs w:val="21"/>
              </w:rPr>
              <w:t>4</w:t>
            </w:r>
          </w:p>
        </w:tc>
        <w:tc>
          <w:tcPr>
            <w:tcW w:w="1671" w:type="dxa"/>
            <w:vAlign w:val="center"/>
          </w:tcPr>
          <w:p>
            <w:pPr>
              <w:jc w:val="center"/>
              <w:rPr>
                <w:rFonts w:eastAsia="仿宋"/>
                <w:szCs w:val="21"/>
              </w:rPr>
            </w:pPr>
            <w:r>
              <w:rPr>
                <w:rFonts w:eastAsia="仿宋"/>
                <w:sz w:val="24"/>
              </w:rPr>
              <w:t>康明斯柴油发电机机油滤清器（旁通）</w:t>
            </w:r>
          </w:p>
        </w:tc>
        <w:tc>
          <w:tcPr>
            <w:tcW w:w="2183" w:type="dxa"/>
            <w:vAlign w:val="center"/>
          </w:tcPr>
          <w:p>
            <w:pPr>
              <w:jc w:val="center"/>
              <w:rPr>
                <w:rFonts w:eastAsia="仿宋"/>
                <w:szCs w:val="21"/>
              </w:rPr>
            </w:pPr>
            <w:r>
              <w:rPr>
                <w:rFonts w:eastAsia="仿宋"/>
                <w:sz w:val="24"/>
              </w:rPr>
              <w:t>康明斯LF777</w:t>
            </w:r>
          </w:p>
        </w:tc>
        <w:tc>
          <w:tcPr>
            <w:tcW w:w="989" w:type="dxa"/>
            <w:vAlign w:val="center"/>
          </w:tcPr>
          <w:p>
            <w:pPr>
              <w:widowControl/>
              <w:jc w:val="center"/>
              <w:textAlignment w:val="center"/>
              <w:rPr>
                <w:rFonts w:eastAsia="仿宋"/>
                <w:szCs w:val="21"/>
              </w:rPr>
            </w:pPr>
            <w:r>
              <w:rPr>
                <w:rFonts w:eastAsia="仿宋"/>
                <w:color w:val="000000"/>
                <w:kern w:val="0"/>
                <w:sz w:val="24"/>
              </w:rPr>
              <w:t>4</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exact"/>
          <w:jc w:val="center"/>
        </w:trPr>
        <w:tc>
          <w:tcPr>
            <w:tcW w:w="695" w:type="dxa"/>
            <w:vAlign w:val="center"/>
          </w:tcPr>
          <w:p>
            <w:pPr>
              <w:widowControl/>
              <w:jc w:val="center"/>
              <w:rPr>
                <w:rFonts w:eastAsia="仿宋"/>
                <w:szCs w:val="21"/>
              </w:rPr>
            </w:pPr>
            <w:r>
              <w:rPr>
                <w:rFonts w:eastAsia="仿宋"/>
                <w:szCs w:val="21"/>
              </w:rPr>
              <w:t>5</w:t>
            </w:r>
          </w:p>
        </w:tc>
        <w:tc>
          <w:tcPr>
            <w:tcW w:w="1671" w:type="dxa"/>
            <w:vAlign w:val="center"/>
          </w:tcPr>
          <w:p>
            <w:pPr>
              <w:jc w:val="center"/>
              <w:rPr>
                <w:rFonts w:eastAsia="仿宋"/>
                <w:szCs w:val="21"/>
              </w:rPr>
            </w:pPr>
            <w:r>
              <w:rPr>
                <w:rFonts w:eastAsia="仿宋"/>
                <w:sz w:val="24"/>
              </w:rPr>
              <w:t>康明斯柴油发电机水滤清器</w:t>
            </w:r>
          </w:p>
        </w:tc>
        <w:tc>
          <w:tcPr>
            <w:tcW w:w="2183" w:type="dxa"/>
            <w:vAlign w:val="center"/>
          </w:tcPr>
          <w:p>
            <w:pPr>
              <w:jc w:val="center"/>
              <w:rPr>
                <w:rFonts w:eastAsia="仿宋"/>
                <w:szCs w:val="21"/>
              </w:rPr>
            </w:pPr>
            <w:r>
              <w:rPr>
                <w:rFonts w:eastAsia="仿宋"/>
                <w:sz w:val="24"/>
              </w:rPr>
              <w:t>康明斯WF2075/2076</w:t>
            </w:r>
          </w:p>
        </w:tc>
        <w:tc>
          <w:tcPr>
            <w:tcW w:w="989" w:type="dxa"/>
            <w:vAlign w:val="center"/>
          </w:tcPr>
          <w:p>
            <w:pPr>
              <w:widowControl/>
              <w:jc w:val="center"/>
              <w:textAlignment w:val="center"/>
              <w:rPr>
                <w:rFonts w:eastAsia="仿宋"/>
                <w:szCs w:val="21"/>
              </w:rPr>
            </w:pPr>
            <w:r>
              <w:rPr>
                <w:rFonts w:eastAsia="仿宋"/>
                <w:color w:val="000000"/>
                <w:kern w:val="0"/>
                <w:sz w:val="24"/>
              </w:rPr>
              <w:t>4</w:t>
            </w:r>
          </w:p>
        </w:tc>
        <w:tc>
          <w:tcPr>
            <w:tcW w:w="822" w:type="dxa"/>
            <w:vAlign w:val="center"/>
          </w:tcPr>
          <w:p>
            <w:pPr>
              <w:widowControl/>
              <w:jc w:val="center"/>
              <w:rPr>
                <w:rFonts w:eastAsia="仿宋"/>
                <w:szCs w:val="21"/>
              </w:rPr>
            </w:pPr>
            <w:r>
              <w:rPr>
                <w:rFonts w:eastAsia="仿宋"/>
                <w:szCs w:val="21"/>
              </w:rPr>
              <w:t>个</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exact"/>
          <w:jc w:val="center"/>
        </w:trPr>
        <w:tc>
          <w:tcPr>
            <w:tcW w:w="695" w:type="dxa"/>
            <w:vAlign w:val="center"/>
          </w:tcPr>
          <w:p>
            <w:pPr>
              <w:widowControl/>
              <w:jc w:val="center"/>
              <w:rPr>
                <w:rFonts w:eastAsia="仿宋"/>
                <w:szCs w:val="21"/>
              </w:rPr>
            </w:pPr>
            <w:r>
              <w:rPr>
                <w:rFonts w:eastAsia="仿宋"/>
                <w:szCs w:val="21"/>
              </w:rPr>
              <w:t>6</w:t>
            </w:r>
          </w:p>
        </w:tc>
        <w:tc>
          <w:tcPr>
            <w:tcW w:w="1671" w:type="dxa"/>
            <w:vAlign w:val="center"/>
          </w:tcPr>
          <w:p>
            <w:pPr>
              <w:jc w:val="center"/>
              <w:rPr>
                <w:rFonts w:eastAsia="仿宋"/>
                <w:szCs w:val="21"/>
              </w:rPr>
            </w:pPr>
            <w:r>
              <w:rPr>
                <w:rFonts w:eastAsia="仿宋"/>
                <w:sz w:val="24"/>
              </w:rPr>
              <w:t>康明斯柴油发电机机油</w:t>
            </w:r>
          </w:p>
        </w:tc>
        <w:tc>
          <w:tcPr>
            <w:tcW w:w="2183" w:type="dxa"/>
            <w:vAlign w:val="center"/>
          </w:tcPr>
          <w:p>
            <w:pPr>
              <w:jc w:val="center"/>
              <w:rPr>
                <w:rFonts w:eastAsia="仿宋"/>
                <w:szCs w:val="21"/>
              </w:rPr>
            </w:pPr>
            <w:r>
              <w:rPr>
                <w:rFonts w:eastAsia="仿宋"/>
                <w:sz w:val="24"/>
              </w:rPr>
              <w:t>康明斯CF 机油15W-40</w:t>
            </w:r>
          </w:p>
        </w:tc>
        <w:tc>
          <w:tcPr>
            <w:tcW w:w="989" w:type="dxa"/>
            <w:vAlign w:val="center"/>
          </w:tcPr>
          <w:p>
            <w:pPr>
              <w:widowControl/>
              <w:jc w:val="center"/>
              <w:textAlignment w:val="center"/>
              <w:rPr>
                <w:rFonts w:eastAsia="仿宋"/>
                <w:szCs w:val="21"/>
              </w:rPr>
            </w:pPr>
            <w:r>
              <w:rPr>
                <w:rFonts w:eastAsia="仿宋"/>
                <w:color w:val="000000"/>
                <w:kern w:val="0"/>
                <w:sz w:val="24"/>
              </w:rPr>
              <w:t>400</w:t>
            </w:r>
          </w:p>
        </w:tc>
        <w:tc>
          <w:tcPr>
            <w:tcW w:w="822" w:type="dxa"/>
            <w:vAlign w:val="center"/>
          </w:tcPr>
          <w:p>
            <w:pPr>
              <w:widowControl/>
              <w:jc w:val="center"/>
              <w:rPr>
                <w:rFonts w:eastAsia="仿宋"/>
                <w:szCs w:val="21"/>
              </w:rPr>
            </w:pPr>
            <w:r>
              <w:rPr>
                <w:rFonts w:eastAsia="仿宋"/>
                <w:szCs w:val="21"/>
              </w:rPr>
              <w:t>升</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exact"/>
          <w:jc w:val="center"/>
        </w:trPr>
        <w:tc>
          <w:tcPr>
            <w:tcW w:w="695" w:type="dxa"/>
            <w:vAlign w:val="center"/>
          </w:tcPr>
          <w:p>
            <w:pPr>
              <w:widowControl/>
              <w:jc w:val="center"/>
              <w:rPr>
                <w:rFonts w:eastAsia="仿宋"/>
                <w:szCs w:val="21"/>
              </w:rPr>
            </w:pPr>
            <w:r>
              <w:rPr>
                <w:rFonts w:eastAsia="仿宋"/>
                <w:szCs w:val="21"/>
              </w:rPr>
              <w:t>7</w:t>
            </w:r>
          </w:p>
        </w:tc>
        <w:tc>
          <w:tcPr>
            <w:tcW w:w="1671" w:type="dxa"/>
            <w:vAlign w:val="center"/>
          </w:tcPr>
          <w:p>
            <w:pPr>
              <w:jc w:val="center"/>
              <w:rPr>
                <w:rFonts w:eastAsia="仿宋"/>
                <w:szCs w:val="21"/>
              </w:rPr>
            </w:pPr>
            <w:r>
              <w:rPr>
                <w:rFonts w:eastAsia="仿宋"/>
                <w:sz w:val="24"/>
              </w:rPr>
              <w:t>康明斯柴油发电机冷却液</w:t>
            </w:r>
          </w:p>
        </w:tc>
        <w:tc>
          <w:tcPr>
            <w:tcW w:w="2183" w:type="dxa"/>
            <w:vAlign w:val="center"/>
          </w:tcPr>
          <w:p>
            <w:pPr>
              <w:jc w:val="center"/>
              <w:rPr>
                <w:rFonts w:eastAsia="仿宋"/>
                <w:szCs w:val="21"/>
              </w:rPr>
            </w:pPr>
            <w:r>
              <w:rPr>
                <w:rFonts w:eastAsia="仿宋"/>
                <w:sz w:val="24"/>
              </w:rPr>
              <w:t>康明斯 防冻液-18℃</w:t>
            </w:r>
          </w:p>
        </w:tc>
        <w:tc>
          <w:tcPr>
            <w:tcW w:w="989" w:type="dxa"/>
            <w:vAlign w:val="center"/>
          </w:tcPr>
          <w:p>
            <w:pPr>
              <w:widowControl/>
              <w:jc w:val="center"/>
              <w:textAlignment w:val="center"/>
              <w:rPr>
                <w:rFonts w:eastAsia="仿宋"/>
                <w:szCs w:val="21"/>
              </w:rPr>
            </w:pPr>
            <w:r>
              <w:rPr>
                <w:rFonts w:eastAsia="仿宋"/>
                <w:color w:val="000000"/>
                <w:kern w:val="0"/>
                <w:sz w:val="24"/>
              </w:rPr>
              <w:t>400</w:t>
            </w:r>
          </w:p>
        </w:tc>
        <w:tc>
          <w:tcPr>
            <w:tcW w:w="822" w:type="dxa"/>
            <w:vAlign w:val="center"/>
          </w:tcPr>
          <w:p>
            <w:pPr>
              <w:widowControl/>
              <w:jc w:val="center"/>
              <w:rPr>
                <w:rFonts w:eastAsia="仿宋"/>
                <w:szCs w:val="21"/>
              </w:rPr>
            </w:pPr>
            <w:r>
              <w:rPr>
                <w:rFonts w:eastAsia="仿宋"/>
                <w:szCs w:val="21"/>
              </w:rPr>
              <w:t>升</w:t>
            </w:r>
          </w:p>
        </w:tc>
        <w:tc>
          <w:tcPr>
            <w:tcW w:w="1307" w:type="dxa"/>
            <w:vAlign w:val="center"/>
          </w:tcPr>
          <w:p>
            <w:pPr>
              <w:widowControl/>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exact"/>
          <w:jc w:val="center"/>
        </w:trPr>
        <w:tc>
          <w:tcPr>
            <w:tcW w:w="695" w:type="dxa"/>
            <w:vAlign w:val="center"/>
          </w:tcPr>
          <w:p>
            <w:pPr>
              <w:widowControl/>
              <w:jc w:val="center"/>
              <w:rPr>
                <w:rFonts w:eastAsia="仿宋"/>
                <w:szCs w:val="21"/>
              </w:rPr>
            </w:pPr>
            <w:r>
              <w:rPr>
                <w:rFonts w:eastAsia="仿宋"/>
                <w:szCs w:val="21"/>
              </w:rPr>
              <w:t>8</w:t>
            </w:r>
          </w:p>
        </w:tc>
        <w:tc>
          <w:tcPr>
            <w:tcW w:w="1671" w:type="dxa"/>
            <w:vAlign w:val="center"/>
          </w:tcPr>
          <w:p>
            <w:pPr>
              <w:jc w:val="center"/>
              <w:rPr>
                <w:rFonts w:eastAsia="仿宋"/>
                <w:szCs w:val="21"/>
              </w:rPr>
            </w:pPr>
            <w:r>
              <w:rPr>
                <w:rFonts w:eastAsia="仿宋"/>
                <w:sz w:val="24"/>
              </w:rPr>
              <w:t>康明斯柴油发电机免维护蓄电池</w:t>
            </w:r>
          </w:p>
        </w:tc>
        <w:tc>
          <w:tcPr>
            <w:tcW w:w="2183" w:type="dxa"/>
            <w:vAlign w:val="center"/>
          </w:tcPr>
          <w:p>
            <w:pPr>
              <w:jc w:val="center"/>
              <w:rPr>
                <w:rFonts w:eastAsia="仿宋"/>
                <w:szCs w:val="21"/>
              </w:rPr>
            </w:pPr>
            <w:r>
              <w:rPr>
                <w:rFonts w:eastAsia="仿宋"/>
                <w:sz w:val="24"/>
              </w:rPr>
              <w:t>12V 200AH免维护蓄电池</w:t>
            </w:r>
          </w:p>
        </w:tc>
        <w:tc>
          <w:tcPr>
            <w:tcW w:w="989" w:type="dxa"/>
            <w:vAlign w:val="center"/>
          </w:tcPr>
          <w:p>
            <w:pPr>
              <w:widowControl/>
              <w:jc w:val="center"/>
              <w:textAlignment w:val="center"/>
              <w:rPr>
                <w:rFonts w:eastAsia="仿宋"/>
                <w:szCs w:val="21"/>
              </w:rPr>
            </w:pPr>
            <w:r>
              <w:rPr>
                <w:rFonts w:eastAsia="仿宋"/>
                <w:color w:val="000000"/>
                <w:kern w:val="0"/>
                <w:sz w:val="24"/>
              </w:rPr>
              <w:t>8</w:t>
            </w:r>
          </w:p>
        </w:tc>
        <w:tc>
          <w:tcPr>
            <w:tcW w:w="822" w:type="dxa"/>
            <w:vAlign w:val="center"/>
          </w:tcPr>
          <w:p>
            <w:pPr>
              <w:widowControl/>
              <w:jc w:val="center"/>
              <w:rPr>
                <w:rFonts w:eastAsia="仿宋"/>
                <w:szCs w:val="21"/>
              </w:rPr>
            </w:pPr>
            <w:r>
              <w:rPr>
                <w:rFonts w:eastAsia="仿宋"/>
                <w:szCs w:val="21"/>
              </w:rPr>
              <w:t>节</w:t>
            </w:r>
          </w:p>
        </w:tc>
        <w:tc>
          <w:tcPr>
            <w:tcW w:w="1307" w:type="dxa"/>
            <w:vAlign w:val="center"/>
          </w:tcPr>
          <w:p>
            <w:pPr>
              <w:widowControl/>
              <w:jc w:val="center"/>
              <w:rPr>
                <w:rFonts w:eastAsia="仿宋"/>
                <w:szCs w:val="21"/>
              </w:rPr>
            </w:pPr>
          </w:p>
        </w:tc>
      </w:tr>
    </w:tbl>
    <w:p>
      <w:pPr>
        <w:pStyle w:val="2"/>
      </w:pPr>
    </w:p>
    <w:p/>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9</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27D0"/>
    <w:multiLevelType w:val="singleLevel"/>
    <w:tmpl w:val="139727D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43DA2"/>
    <w:rsid w:val="249934B4"/>
    <w:rsid w:val="343531E5"/>
    <w:rsid w:val="3BF66C53"/>
    <w:rsid w:val="3F2560AD"/>
    <w:rsid w:val="48F22D0C"/>
    <w:rsid w:val="5DB43DA2"/>
    <w:rsid w:val="625D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1"/>
    <w:pPr>
      <w:spacing w:before="120" w:after="120"/>
      <w:outlineLvl w:val="1"/>
    </w:pPr>
    <w:rPr>
      <w:rFonts w:eastAsia="黑体"/>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1">
    <w:name w:val="zjb標題1"/>
    <w:basedOn w:val="1"/>
    <w:qFormat/>
    <w:uiPriority w:val="0"/>
    <w:pPr>
      <w:ind w:firstLine="1441" w:firstLineChars="200"/>
    </w:pPr>
    <w:rPr>
      <w:rFonts w:eastAsia="华文中宋"/>
      <w:b/>
      <w:color w:val="000000"/>
      <w:sz w:val="72"/>
      <w:szCs w:val="72"/>
    </w:rPr>
  </w:style>
  <w:style w:type="paragraph" w:customStyle="1" w:styleId="1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2022-08-18T08:11:00Z</dcterms:created>
  <dc:creator>田珂维</dc:creator>
  <cp:lastModifiedBy>田珂维</cp:lastModifiedBy>
  <dcterms:modified xsi:type="dcterms:W3CDTF">2022-08-29T07:28:10Z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