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color w:val="auto"/>
          <w:sz w:val="44"/>
          <w:szCs w:val="44"/>
        </w:rPr>
        <w:t>T2A航站楼潜水泵改造</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1</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2022-104</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w:t>
      </w:r>
      <w:r>
        <w:rPr>
          <w:rFonts w:hint="eastAsia" w:ascii="仿宋" w:hAnsi="仿宋" w:eastAsia="仿宋"/>
          <w:b/>
          <w:sz w:val="32"/>
          <w:szCs w:val="32"/>
          <w:lang w:val="en-US" w:eastAsia="zh-CN"/>
        </w:rPr>
        <w:t>二</w:t>
      </w:r>
      <w:r>
        <w:rPr>
          <w:rFonts w:hint="eastAsia" w:ascii="仿宋" w:hAnsi="仿宋" w:eastAsia="仿宋"/>
          <w:b/>
          <w:sz w:val="32"/>
          <w:szCs w:val="32"/>
        </w:rPr>
        <w:t>年</w:t>
      </w:r>
      <w:r>
        <w:rPr>
          <w:rFonts w:hint="eastAsia" w:ascii="仿宋" w:hAnsi="仿宋" w:eastAsia="仿宋"/>
          <w:b/>
          <w:sz w:val="32"/>
          <w:szCs w:val="32"/>
          <w:lang w:eastAsia="zh-CN"/>
        </w:rPr>
        <w:t>七</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rPr>
        <w:t>T2A航站楼潜水泵改造</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我部决定于近期将对T2A航站楼潜水泵改造项目邀请符合相应条件的潜在供应商就本项目进行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T2A航站楼负一楼污水排放区域潜水泵</w:t>
      </w:r>
      <w:r>
        <w:rPr>
          <w:rFonts w:hint="eastAsia" w:ascii="仿宋" w:hAnsi="仿宋" w:eastAsia="仿宋"/>
          <w:color w:val="000000"/>
          <w:sz w:val="28"/>
          <w:szCs w:val="28"/>
          <w:lang w:val="en-US" w:eastAsia="zh-CN"/>
        </w:rPr>
        <w:t>更换，连接管道、金属盖板更换</w:t>
      </w:r>
      <w:r>
        <w:rPr>
          <w:rFonts w:hint="eastAsia" w:ascii="仿宋" w:hAnsi="仿宋" w:eastAsia="仿宋"/>
          <w:color w:val="000000"/>
          <w:sz w:val="28"/>
          <w:szCs w:val="28"/>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1.6台污水潜水泵购置及安装（含控制系统，一控二，水泵为一用一备）；污水潜水泵功率3KW（含）以上，扬程20米（含）以上，流量25立方/小时（含）以上。</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2.安装需更换连接管道，完成后确保设备能够正常运行。</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3.污水坑钢板更换；不锈钢钢板（304含）以上，带梅花纹路，厚度5mm，尺寸：2.5米*1.65米，2.8米*2.3米，3米*1.7米，3.5米*2.2米,每块钢板四周需要相同规格钢板进行固定，依据现场实际情况加工。</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1.必须按项目要求拆除、更换、安装相关潜水泵。</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2.更换后的潜水泵能够正常运行。</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3.钢制盖板需完成固定安装。</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4.需提供厂家出厂证明和产品合格证书。</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5.技术要求：</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参考品牌：威乐、赛莱默、格兰富；</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潜水泵应在下列条件下工作：</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输送介质温度：-5℃—80℃</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介质PH：4—10</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环境温度：-15℃—50℃</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相对湿度：100%</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最大砂粒径：≤50mm</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可能含其它杂质：破布、纤维类、塑料袋、碎木块等。</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5.1性能要求</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在不需看护的情况下，无故障运行至少20000h。潜水泵能通过直径为φ50mm的颗粒以及纤维长度为300mm的固体污物，所有潜污泵须带有搅拌功能，该功能不能影响潜污泵的无堵塞性能和过流能力。</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潜水泵出水法兰与出水弯座为重力连接，水泵需配套金属弯头。</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泵转速不超过2900r/min。精度达到ISO1940G6.3级的要求。潜水离心泵运作时的噪音应不大于60db(A)。</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5.2结构要求</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（1）泵壳</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泵壳采用灰铸铁整体浇铸，其材料至少为HT250铸铁，离心式潜水泵须提供出水联接底座和定位挡板以便水泵安装时能自动入座锁紧。</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（2）泵叶轮</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叶轮都为整体铸造，叶轮材料为HT250。叶轮具有通过直径φ50mm的颗粒的能力。必须采用切割式叶轮，能够处理絮状物，长纤维等杂质。</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叶轮应进行动平衡试验，动平衡精度应不低于G6.3级。</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（3）泵轴</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轴材料采用高强度耐腐蚀不锈钢制造。</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（4）泵轴承</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轴承采用SKF、FAG、NSK等优质轴承。轴承宜采用终身润滑型式，轴承的使用寿命大于100000h，水泵在正常连续运行条件下，轴承的温度不得超过75℃。</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（5）泵的密封</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材质为耐腐蚀烧结碳化钨，可耐受介质酸碱度范围为pH4~10。</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机械密封是免维护的，水泵紧固件应采用304不锈钢材质。保证机械密封的使用寿命不低于50000h。</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（6）电动机</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电动机为三相鼠笼型感应电动机，最大转速不超过2900r/min、3相380V（允许电压偏差±10%）50Hz、防护等级为IP68、采用H级绝缘，电动机效率（满载）≥91％、电功率因数（满载）≥0.80。</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电机满足24h连续运转的使用要求，并保证在H-Q曲线上任意一点工作时，都不会发生过载。同时，必要时在每小时至少启动12次，启动间隔时间≤5min的特殊情况下电机仍能正常工作。</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（7）供电及控制电缆</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电缆要符合IEC标准，至少10m长。电缆外套为防油的、不易吸水的氯丁橡胶，具有柔韧性，经得起电缆接口处的拉力。电缆应带有IP55接线盒。</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（8）电机保护装置</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电机的定子绕组应具备温度超载传感器，其分别嵌设在定子绕组的三只终端线圈上，并配置热保护开关，以便当温度超过制造商设定的温度时自动停机。在油箱内要设置渗漏传感器来测定漏油及渗水，以防污水进入定子端线圈。</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（9）潜水排污泵控制柜及监测装置</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配套浮球开关，包含停机水位、启泵水位、报警水位，准确输出信号至控制箱，以保证水泵正常运行。浮球开关配至少10米的电缆；</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控制箱采用冷轧钢板，保证柜体的强度，柜体采用喷塑工艺，采用壁挂式；</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每组泵交替运行（第一次启动A泵，B泵备用，完成排水后，A泵备用，第二次达到高水位时启动B泵，A泵备用），控制柜具有过载、短路、过流、缺相、漏水、过热保护，具有故障显示指示和报警功能；</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潜水排污泵控制柜断路器、接触器、热继电器品牌用ABB、西门子、施耐德其中一个。</w:t>
      </w:r>
    </w:p>
    <w:p>
      <w:pPr>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olor w:val="000000"/>
          <w:sz w:val="28"/>
          <w:szCs w:val="28"/>
          <w:lang w:val="en-US" w:eastAsia="zh-CN"/>
        </w:rPr>
        <w:t>5.3以上技术要求需响应人提供相应产品说明书、合格证等相关</w:t>
      </w:r>
      <w:r>
        <w:rPr>
          <w:rFonts w:hint="eastAsia" w:ascii="仿宋" w:hAnsi="仿宋" w:eastAsia="仿宋" w:cs="Times New Roman"/>
          <w:b w:val="0"/>
          <w:bCs w:val="0"/>
          <w:color w:val="000000"/>
          <w:kern w:val="2"/>
          <w:sz w:val="28"/>
          <w:szCs w:val="28"/>
          <w:lang w:val="en-US" w:eastAsia="zh-CN" w:bidi="ar-SA"/>
        </w:rPr>
        <w:t>证明材料进行逐条解释。</w:t>
      </w:r>
    </w:p>
    <w:p>
      <w:pPr>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5.4产品资料及售后</w:t>
      </w:r>
    </w:p>
    <w:p>
      <w:pPr>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（1）资料</w:t>
      </w:r>
    </w:p>
    <w:p>
      <w:pPr>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提供完整的原厂产品说明书文件、运作及维修说明书及由厂家建议后备配件表；</w:t>
      </w:r>
    </w:p>
    <w:p>
      <w:pPr>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提交原厂提供的特性曲线及调试报告，显示有关水泵在指定的工作条件下的总电负荷及水泵扬程、水流量等资料；</w:t>
      </w:r>
    </w:p>
    <w:p>
      <w:pPr>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提供详细的安装图，内容要清楚的反映详细的设备基础包括水泵底座尺寸、螺栓要求、弯曲界面、柔性连接器、管道接驳、防震及安装的大样和有关和土建配合要求的资料等；</w:t>
      </w:r>
    </w:p>
    <w:p>
      <w:pPr>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提供原厂的资质，产品的检测报告及合格证等资料。</w:t>
      </w:r>
    </w:p>
    <w:p>
      <w:pPr>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（2）包装和储运要求</w:t>
      </w:r>
    </w:p>
    <w:p>
      <w:pPr>
        <w:ind w:firstLine="560" w:firstLineChars="200"/>
        <w:rPr>
          <w:rFonts w:hint="eastAsia" w:ascii="仿宋" w:hAnsi="仿宋" w:eastAsia="仿宋"/>
          <w:color w:val="000000"/>
          <w:sz w:val="28"/>
          <w:szCs w:val="28"/>
          <w:lang w:val="en-US" w:eastAsia="zh-CN"/>
        </w:rPr>
      </w:pPr>
      <w:r>
        <w:rPr>
          <w:rFonts w:hint="eastAsia" w:ascii="仿宋" w:hAnsi="仿宋" w:eastAsia="仿宋" w:cs="Times New Roman"/>
          <w:b w:val="0"/>
          <w:bCs w:val="0"/>
          <w:color w:val="000000"/>
          <w:kern w:val="2"/>
          <w:sz w:val="28"/>
          <w:szCs w:val="28"/>
          <w:lang w:val="en-US" w:eastAsia="zh-CN" w:bidi="ar-SA"/>
        </w:rPr>
        <w:t>材料包装箱内必须附有详细的装箱清单，装箱清单应清楚标明各种零部件</w:t>
      </w:r>
      <w:r>
        <w:rPr>
          <w:rFonts w:hint="eastAsia" w:ascii="仿宋" w:hAnsi="仿宋" w:eastAsia="仿宋"/>
          <w:color w:val="000000"/>
          <w:sz w:val="28"/>
          <w:szCs w:val="28"/>
          <w:lang w:val="en-US" w:eastAsia="zh-CN"/>
        </w:rPr>
        <w:t>和消耗品对应的编号和名称。</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工期：服务期限为合同签订之日起90日历日。</w:t>
      </w:r>
    </w:p>
    <w:p>
      <w:pPr>
        <w:spacing w:line="360" w:lineRule="auto"/>
        <w:ind w:firstLine="560" w:firstLineChars="200"/>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2.质保期：</w:t>
      </w:r>
      <w:r>
        <w:rPr>
          <w:rFonts w:hint="eastAsia" w:ascii="仿宋_GB2312" w:eastAsia="仿宋_GB2312"/>
          <w:color w:val="000000" w:themeColor="text1"/>
          <w:sz w:val="28"/>
          <w:szCs w:val="28"/>
          <w:lang w:eastAsia="zh-CN"/>
          <w14:textFill>
            <w14:solidFill>
              <w14:schemeClr w14:val="tx1"/>
            </w14:solidFill>
          </w14:textFill>
        </w:rPr>
        <w:t>自验收合格之日</w:t>
      </w:r>
      <w:r>
        <w:rPr>
          <w:rFonts w:hint="eastAsia" w:ascii="仿宋_GB2312" w:eastAsia="仿宋_GB2312"/>
          <w:color w:val="000000" w:themeColor="text1"/>
          <w:sz w:val="28"/>
          <w:szCs w:val="28"/>
          <w:lang w:val="en-US" w:eastAsia="zh-CN"/>
          <w14:textFill>
            <w14:solidFill>
              <w14:schemeClr w14:val="tx1"/>
            </w14:solidFill>
          </w14:textFill>
        </w:rPr>
        <w:t>起24个月。</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3.响应时间：质保期内出现与本项目有关或本项目引起的故障，在接到机场工作人员通知后，需派专业技术人员在</w:t>
      </w:r>
      <w:r>
        <w:rPr>
          <w:rFonts w:hint="eastAsia" w:ascii="仿宋_GB2312" w:eastAsia="仿宋_GB2312"/>
          <w:color w:val="000000" w:themeColor="text1"/>
          <w:sz w:val="28"/>
          <w:szCs w:val="28"/>
          <w:lang w:val="en-US" w:eastAsia="zh-CN"/>
          <w14:textFill>
            <w14:solidFill>
              <w14:schemeClr w14:val="tx1"/>
            </w14:solidFill>
          </w14:textFill>
        </w:rPr>
        <w:t>24</w:t>
      </w:r>
      <w:r>
        <w:rPr>
          <w:rFonts w:hint="eastAsia" w:ascii="仿宋_GB2312" w:eastAsia="仿宋_GB2312"/>
          <w:color w:val="000000" w:themeColor="text1"/>
          <w:sz w:val="28"/>
          <w:szCs w:val="28"/>
          <w14:textFill>
            <w14:solidFill>
              <w14:schemeClr w14:val="tx1"/>
            </w14:solidFill>
          </w14:textFill>
        </w:rPr>
        <w:t>小时内赶到重庆江北国际机场处理故障,若未及时响应，按次数进行相应处理。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项目通过验收，支付合同金额的</w:t>
      </w:r>
      <w:r>
        <w:rPr>
          <w:rFonts w:hint="eastAsia" w:ascii="仿宋_GB2312" w:hAnsi="宋体" w:eastAsia="仿宋_GB2312"/>
          <w:color w:val="000000" w:themeColor="text1"/>
          <w:sz w:val="28"/>
          <w:szCs w:val="28"/>
          <w:lang w:val="en-US" w:eastAsia="zh-CN"/>
          <w14:textFill>
            <w14:solidFill>
              <w14:schemeClr w14:val="tx1"/>
            </w14:solidFill>
          </w14:textFill>
        </w:rPr>
        <w:t>95</w:t>
      </w:r>
      <w:r>
        <w:rPr>
          <w:rFonts w:hint="eastAsia" w:ascii="仿宋_GB2312" w:hAnsi="宋体" w:eastAsia="仿宋_GB2312"/>
          <w:color w:val="000000" w:themeColor="text1"/>
          <w:sz w:val="28"/>
          <w:szCs w:val="28"/>
          <w14:textFill>
            <w14:solidFill>
              <w14:schemeClr w14:val="tx1"/>
            </w14:solidFill>
          </w14:textFill>
        </w:rPr>
        <w:t>%，剩余</w:t>
      </w:r>
      <w:r>
        <w:rPr>
          <w:rFonts w:hint="eastAsia" w:ascii="仿宋_GB2312" w:hAnsi="宋体" w:eastAsia="仿宋_GB2312"/>
          <w:color w:val="000000" w:themeColor="text1"/>
          <w:sz w:val="28"/>
          <w:szCs w:val="28"/>
          <w:lang w:val="en-US" w:eastAsia="zh-CN"/>
          <w14:textFill>
            <w14:solidFill>
              <w14:schemeClr w14:val="tx1"/>
            </w14:solidFill>
          </w14:textFill>
        </w:rPr>
        <w:t>5</w:t>
      </w:r>
      <w:r>
        <w:rPr>
          <w:rFonts w:hint="eastAsia" w:ascii="仿宋_GB2312" w:hAnsi="宋体" w:eastAsia="仿宋_GB2312"/>
          <w:color w:val="000000" w:themeColor="text1"/>
          <w:sz w:val="28"/>
          <w:szCs w:val="28"/>
          <w14:textFill>
            <w14:solidFill>
              <w14:schemeClr w14:val="tx1"/>
            </w14:solidFill>
          </w14:textFill>
        </w:rPr>
        <w:t>%作为质保金，待质保期满，无质量问题后支付。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hint="eastAsia" w:ascii="仿宋_GB2312" w:eastAsia="仿宋_GB2312"/>
          <w:color w:val="FF0000"/>
          <w:sz w:val="28"/>
          <w:szCs w:val="28"/>
          <w:lang w:val="en-US" w:eastAsia="zh-CN"/>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r>
        <w:rPr>
          <w:rFonts w:ascii="仿宋_GB2312" w:eastAsia="仿宋_GB2312"/>
          <w:sz w:val="28"/>
          <w:szCs w:val="28"/>
        </w:rPr>
        <w:t>。</w:t>
      </w:r>
    </w:p>
    <w:p>
      <w:pPr>
        <w:spacing w:line="500" w:lineRule="exact"/>
        <w:ind w:firstLine="560" w:firstLineChars="200"/>
        <w:rPr>
          <w:rFonts w:hint="eastAsia" w:ascii="仿宋_GB2312" w:hAnsi="仿宋" w:eastAsia="仿宋_GB2312"/>
          <w:sz w:val="28"/>
          <w:szCs w:val="28"/>
        </w:rPr>
      </w:pPr>
      <w:r>
        <w:rPr>
          <w:rFonts w:hint="eastAsia" w:ascii="仿宋_GB2312" w:eastAsia="仿宋_GB2312"/>
          <w:sz w:val="28"/>
          <w:szCs w:val="28"/>
          <w:lang w:val="en-US" w:eastAsia="zh-CN"/>
        </w:rPr>
        <w:t>2</w:t>
      </w:r>
      <w:r>
        <w:rPr>
          <w:rFonts w:ascii="仿宋_GB2312" w:eastAsia="仿宋_GB2312"/>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限价及报价要求</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lang w:eastAsia="zh-CN"/>
        </w:rPr>
        <w:t>限价：</w:t>
      </w:r>
      <w:r>
        <w:rPr>
          <w:rFonts w:hint="eastAsia" w:ascii="仿宋_GB2312" w:hAnsi="宋体" w:eastAsia="仿宋_GB2312"/>
          <w:bCs/>
          <w:sz w:val="28"/>
          <w:szCs w:val="28"/>
        </w:rPr>
        <w:t>本项目最高限价（不含增值税金额）为</w:t>
      </w:r>
      <w:r>
        <w:rPr>
          <w:rFonts w:hint="eastAsia" w:ascii="仿宋_GB2312" w:hAnsi="宋体" w:eastAsia="仿宋_GB2312"/>
          <w:bCs/>
          <w:sz w:val="28"/>
          <w:szCs w:val="28"/>
          <w:u w:val="single"/>
          <w:lang w:val="en-US" w:eastAsia="zh-CN"/>
        </w:rPr>
        <w:t>193800</w:t>
      </w:r>
      <w:r>
        <w:rPr>
          <w:rFonts w:hint="eastAsia" w:ascii="仿宋_GB2312" w:hAnsi="宋体" w:eastAsia="仿宋_GB2312"/>
          <w:bCs/>
          <w:sz w:val="28"/>
          <w:szCs w:val="28"/>
        </w:rPr>
        <w:t>元（大写金额：</w:t>
      </w:r>
      <w:r>
        <w:rPr>
          <w:rFonts w:hint="eastAsia" w:ascii="仿宋_GB2312" w:hAnsi="宋体" w:eastAsia="仿宋_GB2312"/>
          <w:bCs/>
          <w:color w:val="auto"/>
          <w:sz w:val="28"/>
          <w:szCs w:val="28"/>
        </w:rPr>
        <w:t>壹拾玖万叁仟捌佰</w:t>
      </w:r>
      <w:r>
        <w:rPr>
          <w:rFonts w:hint="eastAsia" w:ascii="仿宋_GB2312" w:hAnsi="宋体" w:eastAsia="仿宋_GB2312"/>
          <w:bCs/>
          <w:sz w:val="28"/>
          <w:szCs w:val="28"/>
        </w:rPr>
        <w:t>元整），报价超过最高限价，将取消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eastAsia="zh-CN"/>
        </w:rPr>
        <w:t>报价要求：</w:t>
      </w:r>
      <w:r>
        <w:rPr>
          <w:rFonts w:hint="eastAsia" w:ascii="仿宋_GB2312" w:hAnsi="宋体" w:eastAsia="仿宋_GB2312"/>
          <w:bCs/>
          <w:color w:val="auto"/>
          <w:sz w:val="28"/>
          <w:szCs w:val="28"/>
        </w:rPr>
        <w:t>费用包含人工费、差旅费、报告制作费、专家费、后续服务费、合理利润等</w:t>
      </w:r>
      <w:r>
        <w:rPr>
          <w:rFonts w:hint="eastAsia" w:ascii="仿宋_GB2312" w:hAnsi="宋体" w:eastAsia="仿宋_GB2312"/>
          <w:bCs/>
          <w:color w:val="auto"/>
          <w:sz w:val="28"/>
          <w:szCs w:val="28"/>
          <w:lang w:eastAsia="zh-CN"/>
        </w:rPr>
        <w:t>响应本项目服务的</w:t>
      </w:r>
      <w:r>
        <w:rPr>
          <w:rFonts w:hint="eastAsia" w:ascii="仿宋_GB2312" w:hAnsi="宋体" w:eastAsia="仿宋_GB2312"/>
          <w:bCs/>
          <w:color w:val="auto"/>
          <w:sz w:val="28"/>
          <w:szCs w:val="28"/>
        </w:rPr>
        <w:t>所有费用。</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在修正范围内的以下情形不作为比选响应文件作废的依据：</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（1）比选响应文件中的大写金额与小写金额不一致的，以大写金额为准；</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（2）数字表示的数额与用文字表示的数额不一致时，以文字数额为准；</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（3）总价金额与依据单价计算出的结果不一致的，以单价金额为准修正总价，但单价金额小数点有明显错误的除外。</w:t>
      </w:r>
    </w:p>
    <w:p>
      <w:pPr>
        <w:spacing w:line="360" w:lineRule="auto"/>
        <w:ind w:firstLine="560" w:firstLineChars="200"/>
        <w:rPr>
          <w:rFonts w:hint="eastAsia" w:ascii="仿宋_GB2312" w:hAnsi="宋体" w:eastAsia="仿宋_GB2312"/>
          <w:bCs/>
          <w:sz w:val="28"/>
          <w:szCs w:val="28"/>
          <w:highlight w:val="yellow"/>
          <w:lang w:val="en-US" w:eastAsia="zh-CN"/>
        </w:rPr>
      </w:pP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rPr>
        <w:t>报价最低</w:t>
      </w:r>
      <w:r>
        <w:rPr>
          <w:rFonts w:hint="eastAsia" w:ascii="仿宋_GB2312" w:hAnsi="宋体" w:eastAsia="仿宋_GB2312" w:cs="宋体"/>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7</w:t>
      </w:r>
      <w:r>
        <w:rPr>
          <w:rFonts w:hint="eastAsia" w:ascii="仿宋" w:hAnsi="仿宋" w:eastAsia="仿宋"/>
          <w:sz w:val="28"/>
          <w:szCs w:val="28"/>
          <w:u w:val="single"/>
        </w:rPr>
        <w:t>月</w:t>
      </w:r>
      <w:r>
        <w:rPr>
          <w:rFonts w:hint="eastAsia" w:ascii="仿宋" w:hAnsi="仿宋" w:eastAsia="仿宋"/>
          <w:sz w:val="28"/>
          <w:szCs w:val="28"/>
          <w:u w:val="single"/>
          <w:lang w:val="en-US" w:eastAsia="zh-CN"/>
        </w:rPr>
        <w:t>26</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 xml:space="preserve"> </w:t>
      </w: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7</w:t>
      </w:r>
      <w:r>
        <w:rPr>
          <w:rFonts w:hint="eastAsia" w:ascii="仿宋" w:hAnsi="仿宋" w:eastAsia="仿宋"/>
          <w:b/>
          <w:bCs/>
          <w:sz w:val="28"/>
          <w:szCs w:val="28"/>
        </w:rPr>
        <w:t>月</w:t>
      </w:r>
      <w:r>
        <w:rPr>
          <w:rFonts w:hint="eastAsia" w:ascii="仿宋" w:hAnsi="仿宋" w:eastAsia="仿宋"/>
          <w:b/>
          <w:bCs/>
          <w:sz w:val="28"/>
          <w:szCs w:val="28"/>
          <w:u w:val="single"/>
          <w:lang w:val="en-US" w:eastAsia="zh-CN"/>
        </w:rPr>
        <w:t>27</w:t>
      </w:r>
      <w:r>
        <w:rPr>
          <w:rFonts w:hint="eastAsia" w:ascii="仿宋" w:hAnsi="仿宋" w:eastAsia="仿宋"/>
          <w:b/>
          <w:bCs/>
          <w:sz w:val="28"/>
          <w:szCs w:val="28"/>
        </w:rPr>
        <w:t>日</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时踏勘现场。（无论报价单位是否踏勘，报价一经递交，均视为已踏勘）。</w:t>
      </w:r>
    </w:p>
    <w:p>
      <w:pPr>
        <w:snapToGrid w:val="0"/>
        <w:spacing w:line="360" w:lineRule="auto"/>
        <w:ind w:firstLine="562" w:firstLineChars="200"/>
        <w:rPr>
          <w:rFonts w:hint="eastAsia" w:ascii="仿宋" w:hAnsi="仿宋" w:eastAsia="仿宋" w:cs="仿宋"/>
          <w:b/>
          <w:color w:val="000000" w:themeColor="text1"/>
          <w:kern w:val="44"/>
          <w:sz w:val="28"/>
          <w:szCs w:val="28"/>
          <w:highlight w:val="none"/>
          <w14:textFill>
            <w14:solidFill>
              <w14:schemeClr w14:val="tx1"/>
            </w14:solidFill>
          </w14:textFill>
        </w:rPr>
      </w:pP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000000" w:themeColor="text1"/>
          <w:kern w:val="2"/>
          <w:sz w:val="28"/>
          <w:szCs w:val="28"/>
          <w:highlight w:val="none"/>
          <w14:textFill>
            <w14:solidFill>
              <w14:schemeClr w14:val="tx1"/>
            </w14:solidFill>
          </w14:textFill>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 xml:space="preserve">7.1 </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比选响应人对</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比选采购文件如有疑问，须于</w:t>
      </w:r>
      <w:r>
        <w:rPr>
          <w:rFonts w:hint="eastAsia" w:ascii="仿宋" w:hAnsi="仿宋" w:eastAsia="仿宋" w:cs="Times New Roman"/>
          <w:b/>
          <w:bCs/>
          <w:color w:val="000000" w:themeColor="text1"/>
          <w:kern w:val="2"/>
          <w:sz w:val="28"/>
          <w:szCs w:val="28"/>
          <w:highlight w:val="none"/>
          <w:u w:val="single"/>
          <w:lang w:val="en-US" w:eastAsia="zh-CN"/>
          <w14:textFill>
            <w14:solidFill>
              <w14:schemeClr w14:val="tx1"/>
            </w14:solidFill>
          </w14:textFill>
        </w:rPr>
        <w:t>2022</w:t>
      </w:r>
      <w:r>
        <w:rPr>
          <w:rFonts w:hint="eastAsia" w:ascii="仿宋" w:hAnsi="仿宋" w:eastAsia="仿宋" w:cs="Times New Roman"/>
          <w:b/>
          <w:bCs/>
          <w:color w:val="000000" w:themeColor="text1"/>
          <w:kern w:val="2"/>
          <w:sz w:val="28"/>
          <w:szCs w:val="28"/>
          <w:highlight w:val="none"/>
          <w:u w:val="single"/>
          <w14:textFill>
            <w14:solidFill>
              <w14:schemeClr w14:val="tx1"/>
            </w14:solidFill>
          </w14:textFill>
        </w:rPr>
        <w:t>年</w:t>
      </w:r>
      <w:r>
        <w:rPr>
          <w:rFonts w:hint="eastAsia" w:ascii="仿宋" w:hAnsi="仿宋" w:eastAsia="仿宋" w:cs="Times New Roman"/>
          <w:b/>
          <w:bCs/>
          <w:color w:val="000000" w:themeColor="text1"/>
          <w:kern w:val="2"/>
          <w:sz w:val="28"/>
          <w:szCs w:val="28"/>
          <w:highlight w:val="none"/>
          <w:u w:val="single"/>
          <w:lang w:val="en-US" w:eastAsia="zh-CN"/>
          <w14:textFill>
            <w14:solidFill>
              <w14:schemeClr w14:val="tx1"/>
            </w14:solidFill>
          </w14:textFill>
        </w:rPr>
        <w:t>7</w:t>
      </w:r>
      <w:r>
        <w:rPr>
          <w:rFonts w:hint="eastAsia" w:ascii="仿宋" w:hAnsi="仿宋" w:eastAsia="仿宋" w:cs="Times New Roman"/>
          <w:b/>
          <w:bCs/>
          <w:color w:val="000000" w:themeColor="text1"/>
          <w:kern w:val="2"/>
          <w:sz w:val="28"/>
          <w:szCs w:val="28"/>
          <w:highlight w:val="none"/>
          <w:u w:val="single"/>
          <w14:textFill>
            <w14:solidFill>
              <w14:schemeClr w14:val="tx1"/>
            </w14:solidFill>
          </w14:textFill>
        </w:rPr>
        <w:t>月</w:t>
      </w:r>
      <w:r>
        <w:rPr>
          <w:rFonts w:hint="eastAsia" w:ascii="仿宋" w:hAnsi="仿宋" w:eastAsia="仿宋" w:cs="Times New Roman"/>
          <w:b/>
          <w:bCs/>
          <w:kern w:val="2"/>
          <w:sz w:val="28"/>
          <w:szCs w:val="28"/>
          <w:highlight w:val="none"/>
          <w:u w:val="single"/>
          <w:lang w:val="en-US" w:eastAsia="zh-CN"/>
        </w:rPr>
        <w:t>29</w:t>
      </w:r>
      <w:r>
        <w:rPr>
          <w:rFonts w:hint="eastAsia" w:ascii="仿宋" w:hAnsi="仿宋" w:eastAsia="仿宋" w:cs="Times New Roman"/>
          <w:b/>
          <w:bCs/>
          <w:color w:val="000000" w:themeColor="text1"/>
          <w:kern w:val="2"/>
          <w:sz w:val="28"/>
          <w:szCs w:val="28"/>
          <w:highlight w:val="none"/>
          <w:u w:val="single"/>
          <w14:textFill>
            <w14:solidFill>
              <w14:schemeClr w14:val="tx1"/>
            </w14:solidFill>
          </w14:textFill>
        </w:rPr>
        <w:t>日17：00前</w:t>
      </w:r>
      <w:r>
        <w:rPr>
          <w:rFonts w:hint="eastAsia" w:ascii="仿宋" w:hAnsi="仿宋" w:eastAsia="仿宋" w:cs="Times New Roman"/>
          <w:b/>
          <w:bCs/>
          <w:color w:val="000000" w:themeColor="text1"/>
          <w:kern w:val="2"/>
          <w:sz w:val="28"/>
          <w:szCs w:val="28"/>
          <w:highlight w:val="none"/>
          <w14:textFill>
            <w14:solidFill>
              <w14:schemeClr w14:val="tx1"/>
            </w14:solidFill>
          </w14:textFill>
        </w:rPr>
        <w:t>将疑问函（加盖单位鲜公章的扫描件）以电子邮件形式发至</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比选采购人电子邮箱</w:t>
      </w:r>
      <w:r>
        <w:rPr>
          <w:rFonts w:hint="eastAsia" w:ascii="仿宋" w:hAnsi="仿宋" w:eastAsia="仿宋" w:cs="Times New Roman"/>
          <w:b/>
          <w:bCs/>
          <w:kern w:val="2"/>
          <w:sz w:val="28"/>
          <w:szCs w:val="28"/>
          <w:highlight w:val="none"/>
          <w:lang w:val="en-US" w:eastAsia="zh-CN"/>
        </w:rPr>
        <w:t>dlnycgb</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@163.com</w:t>
      </w:r>
      <w:r>
        <w:rPr>
          <w:rFonts w:hint="eastAsia" w:ascii="仿宋" w:hAnsi="仿宋" w:eastAsia="仿宋" w:cs="Times New Roman"/>
          <w:b/>
          <w:bCs/>
          <w:color w:val="000000" w:themeColor="text1"/>
          <w:kern w:val="2"/>
          <w:sz w:val="28"/>
          <w:szCs w:val="28"/>
          <w:highlight w:val="none"/>
          <w14:textFill>
            <w14:solidFill>
              <w14:schemeClr w14:val="tx1"/>
            </w14:solidFill>
          </w14:textFill>
        </w:rPr>
        <w:t>，并电话通知</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比选采购人，过期不再受理。采购人将在</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000000" w:themeColor="text1"/>
          <w:kern w:val="2"/>
          <w:sz w:val="28"/>
          <w:szCs w:val="28"/>
          <w:highlight w:val="none"/>
          <w14:textFill>
            <w14:solidFill>
              <w14:schemeClr w14:val="tx1"/>
            </w14:solidFill>
          </w14:textFill>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 xml:space="preserve">7.2 </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采购人对</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比选采购文件澄清、补遗的内容在</w:t>
      </w:r>
      <w:r>
        <w:rPr>
          <w:rFonts w:hint="eastAsia" w:ascii="仿宋" w:hAnsi="仿宋" w:eastAsia="仿宋" w:cs="Times New Roman"/>
          <w:b/>
          <w:bCs/>
          <w:color w:val="000000" w:themeColor="text1"/>
          <w:kern w:val="2"/>
          <w:sz w:val="28"/>
          <w:szCs w:val="28"/>
          <w:highlight w:val="none"/>
          <w:u w:val="single"/>
          <w:lang w:val="en-US" w:eastAsia="zh-CN"/>
          <w14:textFill>
            <w14:solidFill>
              <w14:schemeClr w14:val="tx1"/>
            </w14:solidFill>
          </w14:textFill>
        </w:rPr>
        <w:t>2022</w:t>
      </w:r>
      <w:r>
        <w:rPr>
          <w:rFonts w:hint="eastAsia" w:ascii="仿宋" w:hAnsi="仿宋" w:eastAsia="仿宋" w:cs="Times New Roman"/>
          <w:b/>
          <w:bCs/>
          <w:color w:val="000000" w:themeColor="text1"/>
          <w:kern w:val="2"/>
          <w:sz w:val="28"/>
          <w:szCs w:val="28"/>
          <w:highlight w:val="none"/>
          <w:u w:val="single"/>
          <w14:textFill>
            <w14:solidFill>
              <w14:schemeClr w14:val="tx1"/>
            </w14:solidFill>
          </w14:textFill>
        </w:rPr>
        <w:t>年</w:t>
      </w:r>
      <w:r>
        <w:rPr>
          <w:rFonts w:hint="eastAsia" w:ascii="仿宋" w:hAnsi="仿宋" w:eastAsia="仿宋" w:cs="Times New Roman"/>
          <w:b/>
          <w:bCs/>
          <w:kern w:val="2"/>
          <w:sz w:val="28"/>
          <w:szCs w:val="28"/>
          <w:highlight w:val="none"/>
          <w:u w:val="single"/>
          <w:lang w:val="en-US" w:eastAsia="zh-CN"/>
        </w:rPr>
        <w:t>8</w:t>
      </w:r>
      <w:r>
        <w:rPr>
          <w:rFonts w:hint="eastAsia" w:ascii="仿宋" w:hAnsi="仿宋" w:eastAsia="仿宋" w:cs="Times New Roman"/>
          <w:b/>
          <w:bCs/>
          <w:color w:val="000000" w:themeColor="text1"/>
          <w:kern w:val="2"/>
          <w:sz w:val="28"/>
          <w:szCs w:val="28"/>
          <w:highlight w:val="none"/>
          <w:u w:val="single"/>
          <w14:textFill>
            <w14:solidFill>
              <w14:schemeClr w14:val="tx1"/>
            </w14:solidFill>
          </w14:textFill>
        </w:rPr>
        <w:t>月</w:t>
      </w:r>
      <w:r>
        <w:rPr>
          <w:rFonts w:hint="eastAsia" w:ascii="仿宋" w:hAnsi="仿宋" w:eastAsia="仿宋" w:cs="Times New Roman"/>
          <w:b/>
          <w:bCs/>
          <w:kern w:val="2"/>
          <w:sz w:val="28"/>
          <w:szCs w:val="28"/>
          <w:highlight w:val="none"/>
          <w:u w:val="single"/>
          <w:lang w:val="en-US" w:eastAsia="zh-CN"/>
        </w:rPr>
        <w:t>1</w:t>
      </w:r>
      <w:r>
        <w:rPr>
          <w:rFonts w:hint="eastAsia" w:ascii="仿宋" w:hAnsi="仿宋" w:eastAsia="仿宋" w:cs="Times New Roman"/>
          <w:b/>
          <w:bCs/>
          <w:color w:val="000000" w:themeColor="text1"/>
          <w:kern w:val="2"/>
          <w:sz w:val="28"/>
          <w:szCs w:val="28"/>
          <w:highlight w:val="none"/>
          <w:u w:val="single"/>
          <w14:textFill>
            <w14:solidFill>
              <w14:schemeClr w14:val="tx1"/>
            </w14:solidFill>
          </w14:textFill>
        </w:rPr>
        <w:t>日17：00</w:t>
      </w:r>
      <w:r>
        <w:rPr>
          <w:rFonts w:hint="eastAsia" w:ascii="仿宋" w:hAnsi="仿宋" w:eastAsia="仿宋" w:cs="Times New Roman"/>
          <w:b/>
          <w:bCs/>
          <w:color w:val="000000" w:themeColor="text1"/>
          <w:kern w:val="2"/>
          <w:sz w:val="28"/>
          <w:szCs w:val="28"/>
          <w:highlight w:val="none"/>
          <w14:textFill>
            <w14:solidFill>
              <w14:schemeClr w14:val="tx1"/>
            </w14:solidFill>
          </w14:textFill>
        </w:rPr>
        <w:t>前在重庆机场集团有限公司官方网站（www.cqa.cn）以公告形式发布。</w:t>
      </w:r>
    </w:p>
    <w:p>
      <w:pPr>
        <w:snapToGrid w:val="0"/>
        <w:ind w:firstLine="562" w:firstLineChars="200"/>
        <w:rPr>
          <w:rFonts w:hint="eastAsia" w:ascii="仿宋" w:hAnsi="仿宋" w:eastAsia="仿宋"/>
          <w:b/>
          <w:bCs/>
          <w:sz w:val="28"/>
          <w:szCs w:val="28"/>
          <w:highlight w:val="none"/>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注：各</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比选响应人应当随时关注重庆机场集团有限公司官方网站（www.cqa.cn）所发布的相关答疑、澄清或补遗资料，各</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比选响应人不管下载与否都将被视为已知晓。由此产生的一切后果由</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8</w:t>
      </w:r>
      <w:r>
        <w:rPr>
          <w:rFonts w:hint="eastAsia" w:ascii="仿宋" w:hAnsi="仿宋" w:eastAsia="仿宋"/>
          <w:sz w:val="28"/>
          <w:szCs w:val="28"/>
          <w:u w:val="single"/>
        </w:rPr>
        <w:t>月</w:t>
      </w:r>
      <w:r>
        <w:rPr>
          <w:rFonts w:hint="eastAsia" w:ascii="仿宋" w:hAnsi="仿宋" w:eastAsia="仿宋"/>
          <w:sz w:val="28"/>
          <w:szCs w:val="28"/>
          <w:u w:val="single"/>
          <w:lang w:val="en-US" w:eastAsia="zh-CN"/>
        </w:rPr>
        <w:t>2</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lang w:val="en-US" w:eastAsia="zh-CN"/>
        </w:rPr>
        <w:t>2.</w:t>
      </w:r>
      <w:r>
        <w:rPr>
          <w:rFonts w:hint="eastAsia" w:ascii="仿宋" w:hAnsi="仿宋" w:eastAsia="仿宋"/>
          <w:sz w:val="28"/>
          <w:szCs w:val="28"/>
        </w:rPr>
        <w:t>公布</w:t>
      </w:r>
      <w:r>
        <w:rPr>
          <w:rFonts w:hint="eastAsia" w:ascii="仿宋" w:hAnsi="仿宋" w:eastAsia="仿宋"/>
          <w:sz w:val="28"/>
          <w:szCs w:val="28"/>
          <w:lang w:eastAsia="zh-CN"/>
        </w:rPr>
        <w:t>竞争性比</w:t>
      </w:r>
      <w:r>
        <w:rPr>
          <w:rFonts w:hint="eastAsia" w:ascii="仿宋" w:hAnsi="仿宋" w:eastAsia="仿宋"/>
          <w:sz w:val="28"/>
          <w:szCs w:val="28"/>
          <w:highlight w:val="none"/>
          <w:lang w:eastAsia="zh-CN"/>
        </w:rPr>
        <w:t>选</w:t>
      </w:r>
      <w:r>
        <w:rPr>
          <w:rFonts w:hint="eastAsia" w:ascii="仿宋" w:hAnsi="仿宋" w:eastAsia="仿宋"/>
          <w:sz w:val="28"/>
          <w:szCs w:val="28"/>
          <w:highlight w:val="none"/>
        </w:rPr>
        <w:t>结果时间：</w:t>
      </w:r>
      <w:r>
        <w:rPr>
          <w:rFonts w:hint="eastAsia" w:ascii="仿宋" w:hAnsi="仿宋" w:eastAsia="仿宋"/>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000000" w:themeColor="text1"/>
          <w:sz w:val="28"/>
          <w:szCs w:val="28"/>
          <w:highlight w:val="none"/>
          <w14:textFill>
            <w14:solidFill>
              <w14:schemeClr w14:val="tx1"/>
            </w14:solidFill>
          </w14:textFill>
        </w:rPr>
        <w:t>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000000"/>
          <w:sz w:val="28"/>
          <w:szCs w:val="28"/>
          <w:highlight w:val="none"/>
        </w:rPr>
      </w:pPr>
      <w:r>
        <w:rPr>
          <w:rFonts w:hint="default" w:ascii="仿宋" w:hAnsi="仿宋" w:eastAsia="仿宋" w:cs="Times New Roman"/>
          <w:color w:val="000000"/>
          <w:sz w:val="28"/>
          <w:szCs w:val="28"/>
          <w:highlight w:val="none"/>
          <w:lang w:val="en-US" w:eastAsia="zh-CN"/>
        </w:rPr>
        <w:t>3.</w:t>
      </w:r>
      <w:r>
        <w:rPr>
          <w:rFonts w:hint="default" w:ascii="仿宋" w:hAnsi="仿宋" w:eastAsia="仿宋" w:cs="Times New Roman"/>
          <w:color w:val="000000"/>
          <w:sz w:val="28"/>
          <w:szCs w:val="28"/>
          <w:highlight w:val="none"/>
        </w:rPr>
        <w:t>参加比选唱价会议的</w:t>
      </w: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000000" w:themeColor="text1"/>
          <w:sz w:val="28"/>
          <w:szCs w:val="28"/>
          <w:highlight w:val="none"/>
          <w:lang w:eastAsia="zh-CN"/>
          <w14:textFill>
            <w14:solidFill>
              <w14:schemeClr w14:val="tx1"/>
            </w14:solidFill>
          </w14:textFill>
        </w:rPr>
        <w:t>（若有）</w:t>
      </w:r>
      <w:r>
        <w:rPr>
          <w:rFonts w:hint="default" w:ascii="仿宋" w:hAnsi="仿宋" w:eastAsia="仿宋" w:cs="Times New Roman"/>
          <w:color w:val="000000"/>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highlight w:val="none"/>
        </w:rPr>
      </w:pP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themeColor="text1"/>
          <w:sz w:val="28"/>
          <w:szCs w:val="28"/>
          <w:highlight w:val="none"/>
          <w14:textFill>
            <w14:solidFill>
              <w14:schemeClr w14:val="tx1"/>
            </w14:solidFill>
          </w14:textFill>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1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rPr>
        <w:t>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w:t>
      </w:r>
      <w:r>
        <w:rPr>
          <w:rFonts w:hint="eastAsia" w:ascii="仿宋" w:hAnsi="仿宋" w:eastAsia="仿宋"/>
          <w:color w:val="000000"/>
          <w:sz w:val="28"/>
          <w:szCs w:val="28"/>
          <w:lang w:val="zh-CN"/>
        </w:rPr>
        <w:t>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r>
        <w:rPr>
          <w:rFonts w:hint="eastAsia" w:ascii="仿宋_GB2312" w:eastAsia="仿宋_GB2312"/>
          <w:color w:val="auto"/>
          <w:sz w:val="28"/>
          <w:szCs w:val="28"/>
          <w:lang w:val="en-US" w:eastAsia="zh-CN"/>
        </w:rPr>
        <w:t>符合本比选文件资质要求的证明文件</w:t>
      </w:r>
      <w:r>
        <w:rPr>
          <w:rFonts w:hint="eastAsia" w:ascii="仿宋_GB2312" w:eastAsia="仿宋_GB2312"/>
          <w:color w:val="auto"/>
          <w:sz w:val="28"/>
          <w:szCs w:val="28"/>
          <w:lang w:val="zh-CN"/>
        </w:rPr>
        <w:t>（复印件）</w:t>
      </w:r>
      <w:r>
        <w:rPr>
          <w:rFonts w:hint="eastAsia" w:ascii="仿宋" w:hAnsi="仿宋" w:eastAsia="仿宋"/>
          <w:color w:val="000000"/>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0"/>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8</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2</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bookmarkStart w:id="21" w:name="_GoBack"/>
      <w:bookmarkEnd w:id="21"/>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r>
        <w:rPr>
          <w:rFonts w:hint="eastAsia" w:ascii="仿宋" w:hAnsi="仿宋" w:eastAsia="仿宋"/>
          <w:spacing w:val="-8"/>
          <w:sz w:val="28"/>
          <w:szCs w:val="28"/>
          <w:lang w:val="en-US" w:eastAsia="zh-CN"/>
        </w:rPr>
        <w:t>;</w:t>
      </w:r>
    </w:p>
    <w:p>
      <w:pPr>
        <w:pStyle w:val="10"/>
        <w:numPr>
          <w:ilvl w:val="1"/>
          <w:numId w:val="5"/>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比选响应人的报价超过比选最高限价的</w:t>
      </w:r>
      <w:r>
        <w:rPr>
          <w:rFonts w:hint="eastAsia" w:ascii="仿宋" w:hAnsi="仿宋" w:eastAsia="仿宋"/>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000000"/>
          <w:sz w:val="28"/>
          <w:szCs w:val="28"/>
          <w:highlight w:val="none"/>
          <w:lang w:val="zh-CN"/>
        </w:rPr>
      </w:pPr>
      <w:r>
        <w:rPr>
          <w:rFonts w:hint="eastAsia" w:ascii="仿宋" w:hAnsi="仿宋" w:cs="仿宋"/>
          <w:b/>
          <w:sz w:val="28"/>
          <w:szCs w:val="28"/>
          <w:highlight w:val="none"/>
          <w:lang w:val="zh-CN" w:eastAsia="zh-CN"/>
        </w:rPr>
        <w:t>十二、</w:t>
      </w:r>
      <w:r>
        <w:rPr>
          <w:rFonts w:hint="eastAsia" w:ascii="仿宋" w:hAnsi="仿宋" w:eastAsia="仿宋" w:cs="仿宋"/>
          <w:b/>
          <w:color w:val="000000"/>
          <w:sz w:val="28"/>
          <w:szCs w:val="28"/>
          <w:highlight w:val="none"/>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12.1</w:t>
      </w:r>
      <w:r>
        <w:rPr>
          <w:rFonts w:hint="eastAsia" w:ascii="方正仿宋_GBK" w:hAnsi="方正仿宋_GBK" w:eastAsia="方正仿宋_GBK" w:cs="方正仿宋_GBK"/>
          <w:color w:val="000000"/>
          <w:sz w:val="28"/>
          <w:szCs w:val="28"/>
          <w:highlight w:val="none"/>
        </w:rPr>
        <w:t xml:space="preserve"> 采购</w:t>
      </w:r>
      <w:r>
        <w:rPr>
          <w:rFonts w:ascii="方正仿宋_GBK" w:hAnsi="方正仿宋_GBK" w:eastAsia="方正仿宋_GBK" w:cs="方正仿宋_GBK"/>
          <w:color w:val="000000"/>
          <w:sz w:val="28"/>
          <w:szCs w:val="28"/>
          <w:highlight w:val="none"/>
        </w:rPr>
        <w:t>人将进一步核查</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响应文件中提供的材料，若在评审期间发现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响应人提供了虚假资料，其</w:t>
      </w:r>
      <w:r>
        <w:rPr>
          <w:rFonts w:hint="eastAsia" w:ascii="方正仿宋_GBK" w:hAnsi="方正仿宋_GBK" w:eastAsia="方正仿宋_GBK" w:cs="方正仿宋_GBK"/>
          <w:color w:val="000000"/>
          <w:sz w:val="28"/>
          <w:szCs w:val="28"/>
          <w:highlight w:val="none"/>
        </w:rPr>
        <w:t>比选资格</w:t>
      </w:r>
      <w:r>
        <w:rPr>
          <w:rFonts w:ascii="方正仿宋_GBK" w:hAnsi="方正仿宋_GBK" w:eastAsia="方正仿宋_GBK" w:cs="方正仿宋_GBK"/>
          <w:color w:val="000000"/>
          <w:sz w:val="28"/>
          <w:szCs w:val="28"/>
          <w:highlight w:val="none"/>
        </w:rPr>
        <w:t>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w:t>
      </w:r>
      <w:r>
        <w:rPr>
          <w:rFonts w:hint="eastAsia" w:ascii="方正仿宋_GBK" w:hAnsi="方正仿宋_GBK" w:eastAsia="方正仿宋_GBK" w:cs="方正仿宋_GBK"/>
          <w:color w:val="000000"/>
          <w:sz w:val="28"/>
          <w:szCs w:val="28"/>
          <w:highlight w:val="none"/>
        </w:rPr>
        <w:t>成交</w:t>
      </w:r>
      <w:r>
        <w:rPr>
          <w:rFonts w:ascii="方正仿宋_GBK" w:hAnsi="方正仿宋_GBK" w:eastAsia="方正仿宋_GBK" w:cs="方正仿宋_GBK"/>
          <w:color w:val="000000"/>
          <w:sz w:val="28"/>
          <w:szCs w:val="28"/>
          <w:highlight w:val="none"/>
        </w:rPr>
        <w:t>候选人在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响应时提供了虚假资料，</w:t>
      </w:r>
      <w:r>
        <w:rPr>
          <w:rFonts w:hint="eastAsia" w:ascii="方正仿宋_GBK" w:hAnsi="方正仿宋_GBK" w:eastAsia="方正仿宋_GBK" w:cs="方正仿宋_GBK"/>
          <w:color w:val="000000"/>
          <w:sz w:val="28"/>
          <w:szCs w:val="28"/>
          <w:highlight w:val="none"/>
        </w:rPr>
        <w:t>采购人将</w:t>
      </w:r>
      <w:r>
        <w:rPr>
          <w:rFonts w:ascii="方正仿宋_GBK" w:hAnsi="方正仿宋_GBK" w:eastAsia="方正仿宋_GBK" w:cs="方正仿宋_GBK"/>
          <w:color w:val="000000"/>
          <w:sz w:val="28"/>
          <w:szCs w:val="28"/>
          <w:highlight w:val="none"/>
        </w:rPr>
        <w:t>取消其成交资格</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其响应保证金不予退还</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时提供了虚假资料，采购人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12.2</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响应人撤销</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12.3</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响应人无故放弃成交候选人资格的，其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12.4</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12.5</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评审期间若发现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响应人有围标、串标或以他人名义参</w:t>
      </w:r>
      <w:r>
        <w:rPr>
          <w:rFonts w:hint="eastAsia" w:ascii="方正仿宋_GBK" w:hAnsi="方正仿宋_GBK" w:eastAsia="方正仿宋_GBK" w:cs="方正仿宋_GBK"/>
          <w:color w:val="000000"/>
          <w:sz w:val="28"/>
          <w:szCs w:val="28"/>
          <w:highlight w:val="none"/>
        </w:rPr>
        <w:t>与比选</w:t>
      </w:r>
      <w:r>
        <w:rPr>
          <w:rFonts w:ascii="方正仿宋_GBK" w:hAnsi="方正仿宋_GBK" w:eastAsia="方正仿宋_GBK" w:cs="方正仿宋_GBK"/>
          <w:color w:val="000000"/>
          <w:sz w:val="28"/>
          <w:szCs w:val="28"/>
          <w:highlight w:val="none"/>
        </w:rPr>
        <w:t>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响应将被否决，其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公示期间发现成交候选人有围标、串标或以他人名义参加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的，采购人将取消其成交资格且其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注：黑名单有效期3年，被列入黑名单的单位在黑名单有效期内禁止参与采购人的项目。</w:t>
      </w:r>
    </w:p>
    <w:p>
      <w:pPr>
        <w:rPr>
          <w:rFonts w:hint="eastAsia"/>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十三、</w:t>
      </w: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十四、</w:t>
      </w:r>
      <w:r>
        <w:rPr>
          <w:rFonts w:hint="eastAsia" w:ascii="仿宋" w:hAnsi="仿宋" w:eastAsia="仿宋" w:cs="仿宋"/>
          <w:b/>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夏</w:t>
      </w:r>
      <w:r>
        <w:rPr>
          <w:rFonts w:hint="eastAsia" w:ascii="仿宋_GB2312" w:hAnsi="宋体" w:eastAsia="仿宋_GB2312"/>
          <w:sz w:val="28"/>
          <w:szCs w:val="28"/>
        </w:rPr>
        <w:t>老师</w:t>
      </w:r>
    </w:p>
    <w:p>
      <w:pPr>
        <w:snapToGrid w:val="0"/>
        <w:spacing w:line="360" w:lineRule="auto"/>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电话：（023）6715</w:t>
      </w:r>
      <w:r>
        <w:rPr>
          <w:rFonts w:hint="eastAsia" w:ascii="仿宋_GB2312" w:hAnsi="宋体" w:eastAsia="仿宋_GB2312"/>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pStyle w:val="5"/>
      </w:pPr>
    </w:p>
    <w:p>
      <w:pPr>
        <w:pStyle w:val="11"/>
        <w:ind w:right="600" w:firstLine="600"/>
        <w:jc w:val="right"/>
      </w:pPr>
      <w:r>
        <w:rPr>
          <w:rFonts w:hint="eastAsia" w:ascii="黑体" w:hAnsi="黑体" w:eastAsia="黑体"/>
          <w:sz w:val="24"/>
        </w:rPr>
        <w:t>合同编号：CQA</w:t>
      </w:r>
      <w:r>
        <w:rPr>
          <w:rFonts w:hint="eastAsia"/>
        </w:rPr>
        <w:t xml:space="preserve"> </w:t>
      </w:r>
      <w:r>
        <w:t xml:space="preserve">           </w:t>
      </w: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重庆江北国际机场</w:t>
      </w:r>
    </w:p>
    <w:p>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sz w:val="44"/>
        </w:rPr>
      </w:pPr>
      <w:r>
        <w:rPr>
          <w:rFonts w:hint="eastAsia"/>
          <w:lang w:val="en-US" w:eastAsia="zh-CN"/>
        </w:rPr>
        <w:t>XXX</w:t>
      </w:r>
      <w:r>
        <w:rPr>
          <w:rFonts w:hint="eastAsia"/>
        </w:rPr>
        <w:t>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sz w:val="44"/>
          <w:lang w:eastAsia="zh-CN"/>
        </w:rPr>
      </w:pPr>
      <w:r>
        <w:rPr>
          <w:rFonts w:hint="eastAsia" w:ascii="仿宋_GB2312" w:hAnsi="宋体"/>
          <w:b/>
          <w:color w:val="FF0000"/>
          <w:sz w:val="44"/>
        </w:rPr>
        <w:t>（</w:t>
      </w:r>
      <w:r>
        <w:rPr>
          <w:rFonts w:hint="eastAsia" w:ascii="仿宋_GB2312" w:hAnsi="宋体"/>
          <w:b/>
          <w:color w:val="FF0000"/>
          <w:sz w:val="44"/>
          <w:lang w:eastAsia="zh-CN"/>
        </w:rPr>
        <w:t>本合同为签订模板，具体内容以前文为准</w:t>
      </w:r>
      <w:r>
        <w:rPr>
          <w:rFonts w:hint="eastAsia" w:ascii="仿宋_GB2312" w:hAnsi="宋体"/>
          <w:b/>
          <w:color w:val="FF0000"/>
          <w:sz w:val="44"/>
        </w:rPr>
        <w:t>）</w:t>
      </w:r>
    </w:p>
    <w:p>
      <w:pPr>
        <w:jc w:val="center"/>
        <w:rPr>
          <w:b/>
          <w:sz w:val="32"/>
          <w:szCs w:val="32"/>
        </w:rPr>
      </w:pP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before="100" w:beforeAutospacing="1" w:after="100" w:afterAutospacing="1" w:line="360" w:lineRule="auto"/>
        <w:jc w:val="center"/>
        <w:rPr>
          <w:rFonts w:hint="eastAsia"/>
          <w:b/>
          <w:sz w:val="32"/>
          <w:szCs w:val="32"/>
        </w:rPr>
      </w:pPr>
      <w:r>
        <w:rPr>
          <w:rFonts w:hint="eastAsia"/>
          <w:b/>
          <w:sz w:val="32"/>
          <w:szCs w:val="32"/>
        </w:rPr>
        <w:t>乙方：___________________</w:t>
      </w:r>
    </w:p>
    <w:p>
      <w:r>
        <w:br w:type="page"/>
      </w:r>
    </w:p>
    <w:p>
      <w:pPr>
        <w:pStyle w:val="11"/>
        <w:ind w:firstLine="602"/>
        <w:rPr>
          <w:b/>
          <w:bCs/>
        </w:rPr>
      </w:pPr>
      <w:r>
        <w:rPr>
          <w:rFonts w:hint="eastAsia"/>
          <w:b/>
          <w:bCs/>
        </w:rPr>
        <w:t>甲方:重庆机场集团有限公司</w:t>
      </w:r>
    </w:p>
    <w:p>
      <w:pPr>
        <w:pStyle w:val="11"/>
        <w:ind w:firstLine="602"/>
        <w:rPr>
          <w:b/>
          <w:bCs/>
        </w:rPr>
      </w:pPr>
      <w:r>
        <w:rPr>
          <w:b/>
          <w:bCs/>
        </w:rPr>
        <w:t>统一社会信用代码：91500000756209971P</w:t>
      </w:r>
    </w:p>
    <w:p>
      <w:pPr>
        <w:pStyle w:val="11"/>
        <w:ind w:firstLine="602"/>
        <w:rPr>
          <w:rFonts w:hint="eastAsia" w:eastAsia="仿宋_GB2312"/>
          <w:b/>
          <w:bCs/>
          <w:lang w:eastAsia="zh-CN"/>
        </w:rPr>
      </w:pPr>
      <w:r>
        <w:rPr>
          <w:b/>
          <w:bCs/>
        </w:rPr>
        <w:t>通讯地址：</w:t>
      </w:r>
      <w:r>
        <w:rPr>
          <w:rFonts w:hint="eastAsia"/>
          <w:b/>
          <w:bCs/>
        </w:rPr>
        <w:t>重庆市渝北区两路镇江北国际机场内</w:t>
      </w:r>
    </w:p>
    <w:p>
      <w:pPr>
        <w:pStyle w:val="11"/>
        <w:ind w:firstLine="602"/>
        <w:rPr>
          <w:rFonts w:hint="eastAsia" w:eastAsia="仿宋_GB2312"/>
          <w:b/>
          <w:bCs/>
          <w:lang w:eastAsia="zh-CN"/>
        </w:rPr>
      </w:pPr>
      <w:r>
        <w:rPr>
          <w:b/>
          <w:bCs/>
        </w:rPr>
        <w:t>法定代表人或委托代理人：</w:t>
      </w:r>
      <w:r>
        <w:rPr>
          <w:rFonts w:hint="eastAsia"/>
          <w:b/>
          <w:bCs/>
          <w:lang w:val="en-US" w:eastAsia="zh-CN"/>
        </w:rPr>
        <w:t>戴科</w:t>
      </w:r>
      <w:r>
        <w:rPr>
          <w:rFonts w:hint="eastAsia"/>
          <w:b/>
          <w:bCs/>
        </w:rPr>
        <w:t>（法定代表人）</w:t>
      </w:r>
    </w:p>
    <w:p>
      <w:pPr>
        <w:pStyle w:val="11"/>
        <w:ind w:firstLine="602"/>
        <w:rPr>
          <w:rFonts w:hint="eastAsia" w:eastAsia="仿宋_GB2312"/>
          <w:b/>
          <w:bCs/>
          <w:lang w:eastAsia="zh-CN"/>
        </w:rPr>
      </w:pPr>
      <w:r>
        <w:rPr>
          <w:b/>
          <w:bCs/>
        </w:rPr>
        <w:t>邮政编码：</w:t>
      </w:r>
      <w:r>
        <w:rPr>
          <w:rFonts w:hint="eastAsia"/>
          <w:b/>
          <w:bCs/>
          <w:lang w:val="en-US" w:eastAsia="zh-CN"/>
        </w:rPr>
        <w:t>401120</w:t>
      </w:r>
    </w:p>
    <w:p>
      <w:pPr>
        <w:pStyle w:val="11"/>
        <w:ind w:firstLine="602"/>
        <w:rPr>
          <w:rFonts w:hint="eastAsia" w:eastAsia="仿宋_GB2312"/>
          <w:b/>
          <w:bCs/>
          <w:lang w:val="en-US" w:eastAsia="zh-CN"/>
        </w:rPr>
      </w:pPr>
      <w:r>
        <w:rPr>
          <w:b/>
          <w:bCs/>
        </w:rPr>
        <w:t>联系电话：</w:t>
      </w:r>
      <w:r>
        <w:rPr>
          <w:rFonts w:hint="eastAsia"/>
          <w:b/>
          <w:bCs/>
          <w:lang w:val="en-US" w:eastAsia="zh-CN"/>
        </w:rPr>
        <w:t>67155063</w:t>
      </w:r>
    </w:p>
    <w:p>
      <w:pPr>
        <w:pStyle w:val="11"/>
        <w:ind w:firstLine="602"/>
        <w:rPr>
          <w:rFonts w:hint="eastAsia" w:eastAsia="仿宋_GB2312"/>
          <w:b/>
          <w:bCs/>
          <w:lang w:val="en-US" w:eastAsia="zh-CN"/>
        </w:rPr>
      </w:pPr>
      <w:r>
        <w:rPr>
          <w:b/>
          <w:bCs/>
        </w:rPr>
        <w:t>邮箱地址：</w:t>
      </w:r>
      <w:r>
        <w:rPr>
          <w:rFonts w:hint="eastAsia"/>
          <w:b/>
          <w:bCs/>
          <w:lang w:val="en-US" w:eastAsia="zh-CN"/>
        </w:rPr>
        <w:t>183388426@qq.com</w:t>
      </w:r>
    </w:p>
    <w:p>
      <w:pPr>
        <w:pStyle w:val="11"/>
        <w:ind w:firstLine="602"/>
        <w:rPr>
          <w:rFonts w:hint="eastAsia" w:eastAsia="仿宋_GB2312"/>
          <w:b/>
          <w:bCs/>
          <w:lang w:eastAsia="zh-CN"/>
        </w:rPr>
      </w:pPr>
      <w:r>
        <w:rPr>
          <w:b/>
          <w:bCs/>
        </w:rPr>
        <w:t>开户银行：</w:t>
      </w:r>
      <w:r>
        <w:rPr>
          <w:rFonts w:hint="eastAsia"/>
          <w:b/>
          <w:bCs/>
        </w:rPr>
        <w:t>建设银行渝北机场支行</w:t>
      </w:r>
    </w:p>
    <w:p>
      <w:pPr>
        <w:pStyle w:val="11"/>
        <w:ind w:firstLine="602"/>
        <w:rPr>
          <w:rFonts w:hint="eastAsia" w:eastAsia="仿宋_GB2312"/>
          <w:b/>
          <w:bCs/>
          <w:lang w:eastAsia="zh-CN"/>
        </w:rPr>
      </w:pPr>
      <w:r>
        <w:rPr>
          <w:b/>
          <w:bCs/>
        </w:rPr>
        <w:t>开户名称：</w:t>
      </w:r>
      <w:r>
        <w:rPr>
          <w:rFonts w:hint="eastAsia"/>
          <w:b/>
          <w:bCs/>
        </w:rPr>
        <w:t>重庆机场集团有限公司</w:t>
      </w:r>
    </w:p>
    <w:p>
      <w:pPr>
        <w:pStyle w:val="11"/>
        <w:ind w:firstLine="602"/>
        <w:rPr>
          <w:b/>
          <w:bCs/>
        </w:rPr>
      </w:pPr>
      <w:r>
        <w:rPr>
          <w:b/>
          <w:bCs/>
        </w:rPr>
        <w:t>账号：</w:t>
      </w:r>
      <w:r>
        <w:rPr>
          <w:rFonts w:hint="eastAsia"/>
          <w:b/>
          <w:bCs/>
        </w:rPr>
        <w:t>50001083800050000447</w:t>
      </w:r>
    </w:p>
    <w:p>
      <w:pPr>
        <w:pStyle w:val="11"/>
        <w:ind w:firstLine="602"/>
        <w:rPr>
          <w:b/>
          <w:bCs/>
        </w:rPr>
      </w:pPr>
    </w:p>
    <w:p>
      <w:pPr>
        <w:pStyle w:val="11"/>
        <w:ind w:firstLine="602"/>
        <w:rPr>
          <w:rFonts w:hint="eastAsia" w:eastAsia="仿宋_GB2312"/>
          <w:b/>
          <w:bCs/>
          <w:lang w:val="en-US" w:eastAsia="zh-CN"/>
        </w:rPr>
      </w:pPr>
      <w:r>
        <w:rPr>
          <w:rFonts w:hint="eastAsia"/>
          <w:b/>
          <w:bCs/>
        </w:rPr>
        <w:t>乙方：</w:t>
      </w:r>
    </w:p>
    <w:p>
      <w:pPr>
        <w:pStyle w:val="11"/>
        <w:ind w:firstLine="602"/>
        <w:rPr>
          <w:rFonts w:hint="eastAsia" w:eastAsia="仿宋_GB2312"/>
          <w:b/>
          <w:bCs/>
          <w:lang w:val="en-US" w:eastAsia="zh-CN"/>
        </w:rPr>
      </w:pPr>
      <w:r>
        <w:rPr>
          <w:rFonts w:hint="eastAsia"/>
          <w:b/>
          <w:bCs/>
        </w:rPr>
        <w:t>统一社会信用代码：</w:t>
      </w:r>
    </w:p>
    <w:p>
      <w:pPr>
        <w:pStyle w:val="11"/>
        <w:ind w:firstLine="602"/>
        <w:rPr>
          <w:b/>
          <w:bCs/>
        </w:rPr>
      </w:pPr>
      <w:r>
        <w:rPr>
          <w:b/>
          <w:bCs/>
        </w:rPr>
        <w:t>通讯地址：</w:t>
      </w:r>
    </w:p>
    <w:p>
      <w:pPr>
        <w:pStyle w:val="11"/>
        <w:ind w:firstLine="602"/>
        <w:rPr>
          <w:rFonts w:hint="eastAsia" w:eastAsia="仿宋_GB2312"/>
          <w:b/>
          <w:bCs/>
          <w:lang w:val="en-US" w:eastAsia="zh-CN"/>
        </w:rPr>
      </w:pPr>
      <w:r>
        <w:rPr>
          <w:b/>
          <w:bCs/>
        </w:rPr>
        <w:t>法定代表人或委托代理人：</w:t>
      </w:r>
    </w:p>
    <w:p>
      <w:pPr>
        <w:pStyle w:val="11"/>
        <w:ind w:firstLine="602"/>
        <w:rPr>
          <w:b/>
          <w:bCs/>
        </w:rPr>
      </w:pPr>
      <w:r>
        <w:rPr>
          <w:b/>
          <w:bCs/>
        </w:rPr>
        <w:t>邮政编码：</w:t>
      </w:r>
    </w:p>
    <w:p>
      <w:pPr>
        <w:pStyle w:val="11"/>
        <w:ind w:firstLine="602"/>
        <w:rPr>
          <w:b/>
          <w:bCs/>
        </w:rPr>
      </w:pPr>
      <w:r>
        <w:rPr>
          <w:b/>
          <w:bCs/>
        </w:rPr>
        <w:t>联系电话：</w:t>
      </w:r>
    </w:p>
    <w:p>
      <w:pPr>
        <w:pStyle w:val="11"/>
        <w:ind w:firstLine="602"/>
        <w:rPr>
          <w:b/>
          <w:bCs/>
        </w:rPr>
      </w:pPr>
      <w:r>
        <w:rPr>
          <w:b/>
          <w:bCs/>
        </w:rPr>
        <w:t>邮箱地址：</w:t>
      </w:r>
    </w:p>
    <w:p>
      <w:pPr>
        <w:pStyle w:val="13"/>
        <w:shd w:val="clear" w:color="auto" w:fill="auto"/>
        <w:spacing w:before="0" w:after="163" w:afterLines="50" w:line="240" w:lineRule="auto"/>
        <w:ind w:firstLine="480" w:firstLineChars="200"/>
        <w:jc w:val="both"/>
        <w:rPr>
          <w:rStyle w:val="14"/>
          <w:rFonts w:asciiTheme="minorEastAsia" w:hAnsiTheme="minorEastAsia" w:eastAsiaTheme="minorEastAsia"/>
          <w:sz w:val="24"/>
          <w:szCs w:val="24"/>
          <w:lang w:val="zh-CN"/>
        </w:rPr>
      </w:pPr>
    </w:p>
    <w:p>
      <w:pPr>
        <w:pStyle w:val="11"/>
        <w:ind w:firstLine="480"/>
        <w:rPr>
          <w:rStyle w:val="14"/>
          <w:rFonts w:hint="eastAsia" w:ascii="仿宋_GB2312" w:hAnsi="仿宋" w:eastAsia="仿宋_GB2312" w:cs="宋体"/>
          <w:shd w:val="clear" w:color="auto" w:fill="auto"/>
        </w:rPr>
      </w:pPr>
      <w:r>
        <w:rPr>
          <w:rStyle w:val="14"/>
          <w:rFonts w:hint="eastAsia" w:ascii="仿宋_GB2312" w:hAnsi="仿宋" w:eastAsia="仿宋_GB2312" w:cs="宋体"/>
          <w:shd w:val="clear" w:color="auto" w:fill="auto"/>
        </w:rPr>
        <w:t>依照《</w:t>
      </w:r>
      <w:r>
        <w:rPr>
          <w:rStyle w:val="14"/>
          <w:rFonts w:hint="eastAsia" w:ascii="仿宋_GB2312" w:hAnsi="仿宋" w:eastAsia="仿宋_GB2312" w:cs="宋体"/>
          <w:shd w:val="clear" w:color="auto" w:fill="auto"/>
          <w:lang w:eastAsia="zh-CN"/>
        </w:rPr>
        <w:t>中华人民共和国民法典》等</w:t>
      </w:r>
      <w:r>
        <w:rPr>
          <w:rStyle w:val="14"/>
          <w:rFonts w:hint="eastAsia" w:ascii="仿宋_GB2312" w:hAnsi="仿宋" w:eastAsia="仿宋_GB2312" w:cs="宋体"/>
          <w:shd w:val="clear" w:color="auto" w:fill="auto"/>
        </w:rPr>
        <w:t>有关法律、法规，就乙方承揽甲方T2A航站楼潜水泵改造项目事宜（以下称项目），双方经充分平等协商，达成本协议。</w:t>
      </w:r>
    </w:p>
    <w:p>
      <w:pPr>
        <w:pStyle w:val="4"/>
        <w:ind w:firstLine="640"/>
        <w:rPr>
          <w:rStyle w:val="14"/>
          <w:rFonts w:ascii="仿宋" w:hAnsi="仿宋" w:eastAsia="黑体" w:cs="Times New Roman"/>
          <w:sz w:val="32"/>
          <w:szCs w:val="24"/>
          <w:shd w:val="clear" w:color="auto" w:fill="auto"/>
        </w:rPr>
      </w:pPr>
      <w:bookmarkStart w:id="0" w:name="_Toc24707255"/>
      <w:r>
        <w:rPr>
          <w:rStyle w:val="14"/>
          <w:rFonts w:hint="eastAsia" w:ascii="仿宋" w:hAnsi="仿宋" w:eastAsia="黑体" w:cs="Times New Roman"/>
          <w:sz w:val="32"/>
          <w:szCs w:val="24"/>
          <w:shd w:val="clear" w:color="auto" w:fill="auto"/>
        </w:rPr>
        <w:t>第一条项目名称</w:t>
      </w:r>
      <w:bookmarkEnd w:id="0"/>
      <w:bookmarkStart w:id="1" w:name="_Hlk9437057"/>
    </w:p>
    <w:p>
      <w:pPr>
        <w:pStyle w:val="11"/>
        <w:ind w:firstLine="480"/>
      </w:pPr>
      <w:r>
        <w:rPr>
          <w:rStyle w:val="14"/>
          <w:rFonts w:hint="eastAsia" w:ascii="仿宋_GB2312" w:hAnsi="仿宋" w:eastAsia="仿宋_GB2312" w:cs="宋体"/>
          <w:shd w:val="clear" w:color="auto" w:fill="auto"/>
        </w:rPr>
        <w:t>T2A航站楼潜水泵改造项目。</w:t>
      </w:r>
    </w:p>
    <w:bookmarkEnd w:id="1"/>
    <w:p>
      <w:pPr>
        <w:pStyle w:val="4"/>
        <w:ind w:firstLine="640"/>
        <w:rPr>
          <w:rStyle w:val="14"/>
          <w:rFonts w:ascii="仿宋" w:hAnsi="仿宋" w:eastAsia="黑体" w:cs="Times New Roman"/>
          <w:sz w:val="32"/>
          <w:szCs w:val="24"/>
          <w:shd w:val="clear" w:color="auto" w:fill="auto"/>
        </w:rPr>
      </w:pPr>
      <w:bookmarkStart w:id="2" w:name="_Toc24707256"/>
      <w:r>
        <w:rPr>
          <w:rStyle w:val="14"/>
          <w:rFonts w:hint="eastAsia" w:ascii="仿宋" w:hAnsi="仿宋" w:eastAsia="黑体" w:cs="Times New Roman"/>
          <w:sz w:val="32"/>
          <w:szCs w:val="24"/>
          <w:shd w:val="clear" w:color="auto" w:fill="auto"/>
        </w:rPr>
        <w:t>第二条项目地点</w:t>
      </w:r>
      <w:bookmarkEnd w:id="2"/>
    </w:p>
    <w:p>
      <w:pPr>
        <w:pStyle w:val="11"/>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lang w:eastAsia="zh-CN"/>
        </w:rPr>
        <w:t>重庆江北国际机场</w:t>
      </w:r>
      <w:r>
        <w:rPr>
          <w:rStyle w:val="14"/>
          <w:rFonts w:hint="eastAsia" w:ascii="仿宋_GB2312" w:hAnsi="仿宋" w:eastAsia="仿宋_GB2312" w:cs="宋体"/>
          <w:shd w:val="clear" w:color="auto" w:fill="auto"/>
        </w:rPr>
        <w:t>。</w:t>
      </w:r>
    </w:p>
    <w:p>
      <w:pPr>
        <w:pStyle w:val="4"/>
        <w:ind w:firstLine="640"/>
      </w:pPr>
      <w:bookmarkStart w:id="3" w:name="_Toc24707257"/>
      <w:r>
        <w:rPr>
          <w:rStyle w:val="14"/>
          <w:rFonts w:hint="eastAsia" w:ascii="仿宋" w:hAnsi="仿宋" w:eastAsia="黑体" w:cs="Times New Roman"/>
          <w:sz w:val="32"/>
          <w:szCs w:val="24"/>
          <w:shd w:val="clear" w:color="auto" w:fill="auto"/>
        </w:rPr>
        <w:t>第三条</w:t>
      </w:r>
      <w:r>
        <w:rPr>
          <w:rFonts w:hint="eastAsia"/>
        </w:rPr>
        <w:t>项目内容和范围</w:t>
      </w:r>
      <w:bookmarkEnd w:id="3"/>
    </w:p>
    <w:p>
      <w:pPr>
        <w:pStyle w:val="11"/>
        <w:rPr>
          <w:rStyle w:val="14"/>
          <w:rFonts w:hint="eastAsia" w:ascii="仿宋_GB2312" w:hAnsi="仿宋" w:eastAsia="仿宋_GB2312" w:cs="宋体"/>
          <w:shd w:val="clear" w:color="auto" w:fill="auto"/>
          <w:lang w:val="en-US" w:eastAsia="zh-CN"/>
        </w:rPr>
      </w:pPr>
      <w:bookmarkStart w:id="4" w:name="_Toc24707258"/>
      <w:r>
        <w:rPr>
          <w:rStyle w:val="14"/>
          <w:rFonts w:hint="eastAsia" w:ascii="仿宋_GB2312" w:hAnsi="仿宋" w:eastAsia="仿宋_GB2312" w:cs="宋体"/>
          <w:shd w:val="clear" w:color="auto" w:fill="auto"/>
          <w:lang w:val="en-US" w:eastAsia="zh-CN"/>
        </w:rPr>
        <w:t>1.潜水泵功率3KW（含）以上，扬程20米（含）以上，需提供厂家出厂证明和产品合格证书。</w:t>
      </w:r>
    </w:p>
    <w:p>
      <w:pPr>
        <w:pStyle w:val="11"/>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2.安装需更换连接管道，完成后确保设备能够正常运行。</w:t>
      </w:r>
    </w:p>
    <w:p>
      <w:pPr>
        <w:pStyle w:val="11"/>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3.钢板厚度5mm，尺寸：2.5米*1.65米，2.8米*2.3米，3米*1.7米，3.5米*2.2米，每块钢板四周需要相同规格钢板进行固定。</w:t>
      </w:r>
    </w:p>
    <w:p>
      <w:pPr>
        <w:pStyle w:val="4"/>
        <w:ind w:firstLine="640"/>
        <w:rPr>
          <w:rStyle w:val="14"/>
          <w:rFonts w:ascii="仿宋" w:hAnsi="仿宋" w:eastAsia="黑体" w:cs="Times New Roman"/>
          <w:sz w:val="32"/>
          <w:szCs w:val="24"/>
          <w:shd w:val="clear" w:color="auto" w:fill="auto"/>
        </w:rPr>
      </w:pPr>
      <w:r>
        <w:rPr>
          <w:rStyle w:val="14"/>
          <w:rFonts w:hint="eastAsia" w:ascii="仿宋" w:hAnsi="仿宋" w:eastAsia="黑体" w:cs="Times New Roman"/>
          <w:sz w:val="32"/>
          <w:szCs w:val="24"/>
          <w:shd w:val="clear" w:color="auto" w:fill="auto"/>
        </w:rPr>
        <w:t>第四条项目工期</w:t>
      </w:r>
      <w:bookmarkEnd w:id="4"/>
    </w:p>
    <w:p>
      <w:pPr>
        <w:pStyle w:val="11"/>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4.1本项目工期为：    年  月  日至    年  月  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4"/>
          <w:rFonts w:ascii="仿宋" w:hAnsi="仿宋" w:eastAsia="黑体" w:cs="Times New Roman"/>
          <w:sz w:val="32"/>
          <w:szCs w:val="24"/>
          <w:shd w:val="clear" w:color="auto" w:fill="auto"/>
        </w:rPr>
      </w:pPr>
      <w:bookmarkStart w:id="5" w:name="_Toc24707259"/>
      <w:r>
        <w:rPr>
          <w:rStyle w:val="14"/>
          <w:rFonts w:hint="eastAsia" w:ascii="仿宋" w:hAnsi="仿宋" w:eastAsia="黑体" w:cs="Times New Roman"/>
          <w:sz w:val="32"/>
          <w:szCs w:val="24"/>
          <w:shd w:val="clear" w:color="auto" w:fill="auto"/>
        </w:rPr>
        <w:t>第五条履约担保、质量保证</w:t>
      </w:r>
      <w:bookmarkEnd w:id="5"/>
    </w:p>
    <w:p>
      <w:pPr>
        <w:pStyle w:val="11"/>
        <w:ind w:firstLine="600"/>
        <w:rPr>
          <w:rStyle w:val="14"/>
          <w:rFonts w:hint="eastAsia" w:ascii="仿宋_GB2312" w:hAnsi="仿宋" w:eastAsia="仿宋_GB2312" w:cs="宋体"/>
          <w:shd w:val="clear" w:color="auto" w:fill="auto"/>
        </w:rPr>
      </w:pPr>
      <w:r>
        <w:rPr>
          <w:rStyle w:val="14"/>
          <w:rFonts w:hint="eastAsia" w:ascii="仿宋_GB2312" w:hAnsi="仿宋" w:eastAsia="仿宋_GB2312" w:cs="宋体"/>
          <w:shd w:val="clear" w:color="auto" w:fill="auto"/>
        </w:rPr>
        <w:t>5.1乙</w:t>
      </w:r>
      <w:r>
        <w:rPr>
          <w:rStyle w:val="14"/>
          <w:rFonts w:hint="eastAsia" w:ascii="仿宋_GB2312" w:hAnsi="仿宋" w:eastAsia="仿宋_GB2312" w:cs="宋体"/>
          <w:color w:val="auto"/>
          <w:shd w:val="clear" w:color="auto" w:fill="auto"/>
        </w:rPr>
        <w:t>方应在</w:t>
      </w:r>
      <w:r>
        <w:rPr>
          <w:rStyle w:val="14"/>
          <w:rFonts w:hint="eastAsia" w:ascii="仿宋_GB2312" w:hAnsi="仿宋" w:eastAsia="仿宋_GB2312" w:cs="宋体"/>
          <w:color w:val="auto"/>
          <w:u w:val="single"/>
          <w:shd w:val="clear" w:color="auto" w:fill="auto"/>
          <w:lang w:val="en-US" w:eastAsia="zh-CN"/>
        </w:rPr>
        <w:t>中标通知书发出后10日内</w:t>
      </w:r>
      <w:r>
        <w:rPr>
          <w:rStyle w:val="14"/>
          <w:rFonts w:hint="eastAsia" w:ascii="仿宋_GB2312" w:hAnsi="仿宋" w:eastAsia="仿宋_GB2312" w:cs="宋体"/>
          <w:color w:val="auto"/>
          <w:shd w:val="clear" w:color="auto" w:fill="auto"/>
        </w:rPr>
        <w:t>向甲</w:t>
      </w:r>
      <w:r>
        <w:rPr>
          <w:rStyle w:val="14"/>
          <w:rFonts w:hint="eastAsia" w:ascii="仿宋_GB2312" w:hAnsi="仿宋" w:eastAsia="仿宋_GB2312" w:cs="宋体"/>
          <w:shd w:val="clear" w:color="auto" w:fill="auto"/>
        </w:rPr>
        <w:t>方支付</w:t>
      </w:r>
      <w:r>
        <w:rPr>
          <w:rStyle w:val="14"/>
          <w:rFonts w:hint="eastAsia" w:ascii="仿宋_GB2312" w:hAnsi="仿宋" w:eastAsia="仿宋_GB2312" w:cs="宋体"/>
          <w:u w:val="single"/>
          <w:shd w:val="clear" w:color="auto" w:fill="auto"/>
          <w:lang w:eastAsia="zh-CN"/>
        </w:rPr>
        <w:t>不含增值税</w:t>
      </w:r>
      <w:r>
        <w:rPr>
          <w:rStyle w:val="14"/>
          <w:rFonts w:hint="eastAsia" w:ascii="仿宋_GB2312" w:hAnsi="仿宋" w:eastAsia="仿宋_GB2312" w:cs="宋体"/>
          <w:u w:val="single"/>
          <w:shd w:val="clear" w:color="auto" w:fill="auto"/>
        </w:rPr>
        <w:t>成交价款的</w:t>
      </w:r>
      <w:r>
        <w:rPr>
          <w:rStyle w:val="14"/>
          <w:rFonts w:hint="eastAsia" w:ascii="仿宋_GB2312" w:hAnsi="仿宋" w:eastAsia="仿宋_GB2312" w:cs="宋体"/>
          <w:u w:val="single"/>
          <w:shd w:val="clear" w:color="auto" w:fill="auto"/>
          <w:lang w:val="en-US" w:eastAsia="zh-CN"/>
        </w:rPr>
        <w:t>10</w:t>
      </w:r>
      <w:r>
        <w:rPr>
          <w:rStyle w:val="14"/>
          <w:rFonts w:hint="eastAsia" w:ascii="仿宋_GB2312" w:hAnsi="仿宋" w:eastAsia="仿宋_GB2312" w:cs="宋体"/>
          <w:u w:val="single"/>
          <w:shd w:val="clear" w:color="auto" w:fill="auto"/>
        </w:rPr>
        <w:t>%</w:t>
      </w:r>
      <w:r>
        <w:rPr>
          <w:rStyle w:val="14"/>
          <w:rFonts w:hint="eastAsia" w:ascii="仿宋_GB2312" w:hAnsi="仿宋" w:eastAsia="仿宋_GB2312" w:cs="宋体"/>
          <w:shd w:val="clear" w:color="auto" w:fill="auto"/>
        </w:rPr>
        <w:t>的履约保证金（金额：</w:t>
      </w:r>
      <w:r>
        <w:rPr>
          <w:rStyle w:val="14"/>
          <w:rFonts w:hint="eastAsia" w:cs="宋体"/>
          <w:shd w:val="clear" w:color="auto" w:fill="auto"/>
          <w:lang w:val="en-US" w:eastAsia="zh-CN"/>
        </w:rPr>
        <w:t xml:space="preserve">    </w:t>
      </w:r>
      <w:r>
        <w:rPr>
          <w:rStyle w:val="14"/>
          <w:rFonts w:hint="eastAsia" w:ascii="仿宋_GB2312" w:hAnsi="仿宋" w:eastAsia="仿宋_GB2312" w:cs="宋体"/>
          <w:shd w:val="clear" w:color="auto" w:fill="auto"/>
        </w:rPr>
        <w:t>元），作为履行本合同之担保，甲方应在项目验收合格后无息退还。</w:t>
      </w:r>
    </w:p>
    <w:p>
      <w:pPr>
        <w:pStyle w:val="11"/>
        <w:ind w:firstLine="600"/>
        <w:rPr>
          <w:rStyle w:val="14"/>
          <w:rFonts w:hint="eastAsia" w:ascii="仿宋_GB2312" w:hAnsi="仿宋" w:eastAsia="仿宋_GB2312" w:cs="宋体"/>
          <w:color w:val="auto"/>
          <w:shd w:val="clear" w:color="auto" w:fill="auto"/>
          <w:lang w:val="en-US" w:eastAsia="zh-CN"/>
        </w:rPr>
      </w:pPr>
      <w:r>
        <w:rPr>
          <w:rStyle w:val="14"/>
          <w:rFonts w:hint="eastAsia" w:ascii="仿宋_GB2312" w:hAnsi="仿宋" w:eastAsia="仿宋_GB2312" w:cs="宋体"/>
          <w:color w:val="auto"/>
          <w:shd w:val="clear" w:color="auto" w:fill="auto"/>
          <w:lang w:val="en-US" w:eastAsia="zh-CN"/>
        </w:rPr>
        <w:t>5.2履约保证金应由乙方名义开立的账户支付到甲方账户，否则视为未支付，甲方有权追究乙方逾期付款责任。</w:t>
      </w:r>
    </w:p>
    <w:p>
      <w:pPr>
        <w:pStyle w:val="11"/>
        <w:ind w:firstLine="600"/>
        <w:rPr>
          <w:rStyle w:val="14"/>
          <w:rFonts w:hint="eastAsia" w:ascii="仿宋_GB2312" w:hAnsi="仿宋" w:eastAsia="仿宋_GB2312" w:cs="宋体"/>
          <w:color w:val="auto"/>
          <w:shd w:val="clear" w:color="auto" w:fill="auto"/>
          <w:lang w:val="en-US" w:eastAsia="zh-CN"/>
        </w:rPr>
      </w:pPr>
      <w:r>
        <w:rPr>
          <w:rStyle w:val="14"/>
          <w:rFonts w:hint="eastAsia" w:ascii="仿宋_GB2312" w:hAnsi="仿宋" w:eastAsia="仿宋_GB2312" w:cs="宋体"/>
          <w:color w:val="auto"/>
          <w:shd w:val="clear" w:color="auto" w:fill="auto"/>
          <w:lang w:val="en-US" w:eastAsia="zh-CN"/>
        </w:rPr>
        <w:t>5.3乙方支付履约保证金时，应在“付款备注”中写明“</w:t>
      </w:r>
      <w:r>
        <w:rPr>
          <w:rStyle w:val="14"/>
          <w:rFonts w:hint="eastAsia" w:ascii="仿宋_GB2312" w:hAnsi="仿宋" w:eastAsia="仿宋_GB2312" w:cs="宋体"/>
          <w:shd w:val="clear" w:color="auto" w:fill="auto"/>
        </w:rPr>
        <w:t>T2A航站楼潜水泵改造项目</w:t>
      </w:r>
      <w:r>
        <w:rPr>
          <w:rStyle w:val="14"/>
          <w:rFonts w:hint="eastAsia" w:ascii="仿宋_GB2312" w:hAnsi="仿宋" w:eastAsia="仿宋_GB2312" w:cs="宋体"/>
          <w:color w:val="auto"/>
          <w:shd w:val="clear" w:color="auto" w:fill="auto"/>
          <w:lang w:val="en-US" w:eastAsia="zh-CN"/>
        </w:rPr>
        <w:t>履约保证金”。乙方不得与其他合同、其他缴费项目一起支付履约保证金，若因混合支付造成无法确认为本合同款项到账的，视为逾期未支付。</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5.</w:t>
      </w:r>
      <w:r>
        <w:rPr>
          <w:rStyle w:val="14"/>
          <w:rFonts w:hint="eastAsia" w:ascii="仿宋_GB2312" w:hAnsi="仿宋" w:eastAsia="仿宋_GB2312" w:cs="宋体"/>
          <w:shd w:val="clear" w:color="auto" w:fill="auto"/>
          <w:lang w:val="en-US" w:eastAsia="zh-CN"/>
        </w:rPr>
        <w:t>4</w:t>
      </w:r>
      <w:r>
        <w:rPr>
          <w:rStyle w:val="14"/>
          <w:rFonts w:hint="eastAsia" w:ascii="仿宋_GB2312" w:hAnsi="仿宋" w:eastAsia="仿宋_GB2312" w:cs="宋体"/>
          <w:shd w:val="clear" w:color="auto" w:fill="auto"/>
        </w:rPr>
        <w:t>项目质量保证期为：</w:t>
      </w:r>
      <w:r>
        <w:rPr>
          <w:rStyle w:val="14"/>
          <w:rFonts w:hint="eastAsia" w:ascii="仿宋_GB2312" w:hAnsi="仿宋" w:eastAsia="仿宋_GB2312" w:cs="宋体"/>
          <w:u w:val="single"/>
          <w:shd w:val="clear" w:color="auto" w:fill="auto"/>
          <w:lang w:val="en-US" w:eastAsia="zh-CN"/>
        </w:rPr>
        <w:t>24个</w:t>
      </w:r>
      <w:r>
        <w:rPr>
          <w:rStyle w:val="14"/>
          <w:rFonts w:hint="eastAsia" w:ascii="仿宋_GB2312" w:hAnsi="仿宋" w:eastAsia="仿宋_GB2312" w:cs="宋体"/>
          <w:shd w:val="clear" w:color="auto" w:fill="auto"/>
        </w:rPr>
        <w:t>月，自项目验收合格之日起算，质保期内出现与本项目有关或本项目引起的故障或异常，在接到甲方通知后，乙方需派专业技术人员在</w:t>
      </w:r>
      <w:r>
        <w:rPr>
          <w:rStyle w:val="14"/>
          <w:rFonts w:hint="eastAsia" w:ascii="仿宋_GB2312" w:hAnsi="仿宋" w:eastAsia="仿宋_GB2312" w:cs="宋体"/>
          <w:u w:val="single"/>
          <w:shd w:val="clear" w:color="auto" w:fill="auto"/>
          <w:lang w:val="en-US" w:eastAsia="zh-CN"/>
        </w:rPr>
        <w:t>24</w:t>
      </w:r>
      <w:r>
        <w:rPr>
          <w:rStyle w:val="14"/>
          <w:rFonts w:hint="eastAsia" w:ascii="仿宋_GB2312" w:hAnsi="仿宋" w:eastAsia="仿宋_GB2312" w:cs="宋体"/>
          <w:shd w:val="clear" w:color="auto" w:fill="auto"/>
        </w:rPr>
        <w:t>小时内赶到现场处理,若未</w:t>
      </w:r>
      <w:r>
        <w:rPr>
          <w:rStyle w:val="14"/>
          <w:rFonts w:ascii="仿宋_GB2312" w:hAnsi="仿宋" w:eastAsia="仿宋_GB2312" w:cs="宋体"/>
          <w:shd w:val="clear" w:color="auto" w:fill="auto"/>
        </w:rPr>
        <w:t>及时响应，</w:t>
      </w:r>
      <w:r>
        <w:rPr>
          <w:rStyle w:val="14"/>
          <w:rFonts w:hint="eastAsia" w:ascii="仿宋_GB2312" w:hAnsi="仿宋" w:eastAsia="仿宋_GB2312" w:cs="宋体"/>
          <w:shd w:val="clear" w:color="auto" w:fill="auto"/>
        </w:rPr>
        <w:t>每次扣尾款的</w:t>
      </w:r>
      <w:r>
        <w:rPr>
          <w:rStyle w:val="14"/>
          <w:rFonts w:hint="eastAsia" w:ascii="仿宋_GB2312" w:hAnsi="仿宋" w:eastAsia="仿宋_GB2312" w:cs="宋体"/>
          <w:u w:val="single"/>
          <w:shd w:val="clear" w:color="auto" w:fill="auto"/>
          <w:lang w:val="en-US" w:eastAsia="zh-CN"/>
        </w:rPr>
        <w:t>2</w:t>
      </w:r>
      <w:r>
        <w:rPr>
          <w:rStyle w:val="14"/>
          <w:rFonts w:hint="eastAsia" w:ascii="仿宋_GB2312" w:hAnsi="仿宋" w:eastAsia="仿宋_GB2312" w:cs="宋体"/>
          <w:shd w:val="clear" w:color="auto" w:fill="auto"/>
        </w:rPr>
        <w:t>%。</w:t>
      </w:r>
    </w:p>
    <w:p>
      <w:pPr>
        <w:pStyle w:val="4"/>
        <w:ind w:firstLine="640"/>
        <w:rPr>
          <w:rStyle w:val="14"/>
          <w:rFonts w:ascii="仿宋" w:hAnsi="仿宋" w:eastAsia="黑体" w:cs="Times New Roman"/>
          <w:sz w:val="32"/>
          <w:szCs w:val="24"/>
          <w:shd w:val="clear" w:color="auto" w:fill="auto"/>
        </w:rPr>
      </w:pPr>
      <w:bookmarkStart w:id="6" w:name="_Toc24707260"/>
      <w:r>
        <w:rPr>
          <w:rStyle w:val="14"/>
          <w:rFonts w:hint="eastAsia" w:ascii="仿宋" w:hAnsi="仿宋" w:eastAsia="黑体" w:cs="Times New Roman"/>
          <w:sz w:val="32"/>
          <w:szCs w:val="24"/>
          <w:shd w:val="clear" w:color="auto" w:fill="auto"/>
        </w:rPr>
        <w:t>第六条合同价款</w:t>
      </w:r>
      <w:bookmarkEnd w:id="6"/>
    </w:p>
    <w:p>
      <w:pPr>
        <w:pStyle w:val="11"/>
        <w:ind w:firstLine="600"/>
        <w:jc w:val="both"/>
      </w:pPr>
      <w:r>
        <w:rPr>
          <w:rStyle w:val="14"/>
          <w:rFonts w:hint="eastAsia" w:ascii="仿宋_GB2312" w:hAnsi="仿宋" w:eastAsia="仿宋_GB2312" w:cs="宋体"/>
          <w:color w:val="auto"/>
          <w:shd w:val="clear" w:color="auto" w:fill="auto"/>
          <w:lang w:val="en-US" w:eastAsia="zh-CN"/>
        </w:rPr>
        <w:t>合同金额（不含增值税）：</w:t>
      </w:r>
      <w:r>
        <w:rPr>
          <w:rStyle w:val="14"/>
          <w:rFonts w:hint="eastAsia" w:cs="宋体"/>
          <w:color w:val="auto"/>
          <w:shd w:val="clear" w:color="auto" w:fill="auto"/>
          <w:lang w:val="en-US" w:eastAsia="zh-CN"/>
        </w:rPr>
        <w:t xml:space="preserve">    </w:t>
      </w:r>
      <w:r>
        <w:rPr>
          <w:rStyle w:val="14"/>
          <w:rFonts w:hint="eastAsia" w:ascii="仿宋_GB2312" w:hAnsi="仿宋" w:eastAsia="仿宋_GB2312" w:cs="宋体"/>
          <w:color w:val="auto"/>
          <w:shd w:val="clear" w:color="auto" w:fill="auto"/>
          <w:lang w:val="en-US" w:eastAsia="zh-CN"/>
        </w:rPr>
        <w:t>元（大写：</w:t>
      </w:r>
      <w:r>
        <w:rPr>
          <w:rStyle w:val="14"/>
          <w:rFonts w:hint="eastAsia" w:cs="宋体"/>
          <w:color w:val="auto"/>
          <w:shd w:val="clear" w:color="auto" w:fill="auto"/>
          <w:lang w:val="en-US" w:eastAsia="zh-CN"/>
        </w:rPr>
        <w:t xml:space="preserve">    </w:t>
      </w:r>
      <w:r>
        <w:rPr>
          <w:rStyle w:val="14"/>
          <w:rFonts w:hint="eastAsia" w:ascii="仿宋_GB2312" w:hAnsi="仿宋" w:eastAsia="仿宋_GB2312" w:cs="宋体"/>
          <w:color w:val="auto"/>
          <w:shd w:val="clear" w:color="auto" w:fill="auto"/>
          <w:lang w:val="en-US" w:eastAsia="zh-CN"/>
        </w:rPr>
        <w:t>元整）；含税金额：</w:t>
      </w:r>
      <w:r>
        <w:rPr>
          <w:rStyle w:val="14"/>
          <w:rFonts w:hint="eastAsia" w:cs="宋体"/>
          <w:color w:val="auto"/>
          <w:shd w:val="clear" w:color="auto" w:fill="auto"/>
          <w:lang w:val="en-US" w:eastAsia="zh-CN"/>
        </w:rPr>
        <w:t xml:space="preserve">    </w:t>
      </w:r>
      <w:r>
        <w:rPr>
          <w:rStyle w:val="14"/>
          <w:rFonts w:hint="eastAsia" w:ascii="仿宋_GB2312" w:hAnsi="仿宋" w:eastAsia="仿宋_GB2312" w:cs="宋体"/>
          <w:color w:val="auto"/>
          <w:shd w:val="clear" w:color="auto" w:fill="auto"/>
          <w:lang w:val="en-US" w:eastAsia="zh-CN"/>
        </w:rPr>
        <w:t>元（大写：</w:t>
      </w:r>
      <w:r>
        <w:rPr>
          <w:rStyle w:val="14"/>
          <w:rFonts w:hint="eastAsia" w:cs="宋体"/>
          <w:color w:val="auto"/>
          <w:shd w:val="clear" w:color="auto" w:fill="auto"/>
          <w:lang w:val="en-US" w:eastAsia="zh-CN"/>
        </w:rPr>
        <w:t xml:space="preserve">    </w:t>
      </w:r>
      <w:r>
        <w:rPr>
          <w:rStyle w:val="14"/>
          <w:rFonts w:hint="eastAsia" w:ascii="仿宋_GB2312" w:hAnsi="仿宋" w:eastAsia="仿宋_GB2312" w:cs="宋体"/>
          <w:color w:val="auto"/>
          <w:shd w:val="clear" w:color="auto" w:fill="auto"/>
          <w:lang w:val="en-US" w:eastAsia="zh-CN"/>
        </w:rPr>
        <w:t>元整）,增值税税率为</w:t>
      </w:r>
      <w:r>
        <w:rPr>
          <w:rStyle w:val="14"/>
          <w:rFonts w:hint="eastAsia" w:cs="宋体"/>
          <w:color w:val="auto"/>
          <w:shd w:val="clear" w:color="auto" w:fill="auto"/>
          <w:lang w:val="en-US" w:eastAsia="zh-CN"/>
        </w:rPr>
        <w:t xml:space="preserve">  </w:t>
      </w:r>
      <w:r>
        <w:rPr>
          <w:rStyle w:val="14"/>
          <w:rFonts w:hint="eastAsia" w:ascii="仿宋_GB2312" w:hAnsi="仿宋" w:eastAsia="仿宋_GB2312" w:cs="宋体"/>
          <w:color w:val="auto"/>
          <w:shd w:val="clear" w:color="auto" w:fill="auto"/>
          <w:lang w:val="en-US" w:eastAsia="zh-CN"/>
        </w:rPr>
        <w:t>%。</w:t>
      </w:r>
      <w:r>
        <w:rPr>
          <w:rStyle w:val="14"/>
          <w:rFonts w:hint="eastAsia" w:ascii="仿宋_GB2312" w:hAnsi="仿宋" w:eastAsia="仿宋_GB2312" w:cs="宋体"/>
          <w:shd w:val="clear" w:color="auto" w:fill="auto"/>
        </w:rPr>
        <w:t>本合同价格为</w:t>
      </w:r>
      <w:r>
        <w:rPr>
          <w:rFonts w:hint="eastAsia"/>
        </w:rPr>
        <w:t>“总价包干”，包括但不限于材料购买、人工、运输、保险、风险措施费用等一切与项目内容相关的费用。</w:t>
      </w:r>
    </w:p>
    <w:p>
      <w:pPr>
        <w:pStyle w:val="4"/>
        <w:ind w:firstLine="640"/>
        <w:rPr>
          <w:rStyle w:val="14"/>
          <w:rFonts w:ascii="仿宋" w:hAnsi="仿宋" w:eastAsia="黑体" w:cs="Times New Roman"/>
          <w:sz w:val="32"/>
          <w:szCs w:val="24"/>
          <w:shd w:val="clear" w:color="auto" w:fill="auto"/>
        </w:rPr>
      </w:pPr>
      <w:bookmarkStart w:id="7" w:name="_Toc24707261"/>
      <w:r>
        <w:rPr>
          <w:rStyle w:val="14"/>
          <w:rFonts w:hint="eastAsia" w:ascii="仿宋" w:hAnsi="仿宋" w:eastAsia="黑体" w:cs="Times New Roman"/>
          <w:sz w:val="32"/>
          <w:szCs w:val="24"/>
          <w:shd w:val="clear" w:color="auto" w:fill="auto"/>
        </w:rPr>
        <w:t>第七条付款方式</w:t>
      </w:r>
      <w:bookmarkEnd w:id="7"/>
    </w:p>
    <w:p>
      <w:pPr>
        <w:pStyle w:val="11"/>
        <w:ind w:firstLine="600"/>
        <w:jc w:val="both"/>
        <w:rPr>
          <w:rFonts w:hint="eastAsia"/>
        </w:rPr>
      </w:pPr>
      <w:r>
        <w:rPr>
          <w:rFonts w:hint="eastAsia"/>
        </w:rPr>
        <w:t>7.1项目完工验收合格后，乙方</w:t>
      </w:r>
      <w:r>
        <w:rPr>
          <w:rFonts w:hint="eastAsia"/>
          <w:lang w:val="en-US" w:eastAsia="zh-CN"/>
        </w:rPr>
        <w:t>向甲方</w:t>
      </w:r>
      <w:r>
        <w:rPr>
          <w:rFonts w:hint="eastAsia"/>
        </w:rPr>
        <w:t>开具</w:t>
      </w:r>
      <w:r>
        <w:rPr>
          <w:rFonts w:hint="eastAsia"/>
          <w:lang w:val="en-US" w:eastAsia="zh-CN"/>
        </w:rPr>
        <w:t>合同金额的正规增值税发票。甲方在收到</w:t>
      </w:r>
      <w:r>
        <w:rPr>
          <w:rFonts w:hint="eastAsia"/>
        </w:rPr>
        <w:t>增值税发票后</w:t>
      </w:r>
      <w:r>
        <w:rPr>
          <w:rFonts w:hint="eastAsia"/>
          <w:lang w:val="en-US" w:eastAsia="zh-CN"/>
        </w:rPr>
        <w:t>50</w:t>
      </w:r>
      <w:r>
        <w:rPr>
          <w:rFonts w:hint="eastAsia"/>
        </w:rPr>
        <w:t>个工作日内，向乙方支付合同价款的</w:t>
      </w:r>
      <w:r>
        <w:rPr>
          <w:rFonts w:hint="eastAsia"/>
          <w:u w:val="single"/>
          <w:lang w:val="en-US" w:eastAsia="zh-CN"/>
        </w:rPr>
        <w:t>95</w:t>
      </w:r>
      <w:r>
        <w:rPr>
          <w:rFonts w:hint="eastAsia"/>
        </w:rPr>
        <w:t>％，剩余</w:t>
      </w:r>
      <w:r>
        <w:rPr>
          <w:rFonts w:hint="eastAsia"/>
          <w:u w:val="single"/>
          <w:lang w:val="en-US" w:eastAsia="zh-CN"/>
        </w:rPr>
        <w:t>5</w:t>
      </w:r>
      <w:r>
        <w:rPr>
          <w:rFonts w:hint="eastAsia"/>
        </w:rPr>
        <w:t>％的余款在质量保证期届满且无问题后</w:t>
      </w:r>
      <w:r>
        <w:rPr>
          <w:rFonts w:hint="eastAsia"/>
          <w:lang w:val="en-US" w:eastAsia="zh-CN"/>
        </w:rPr>
        <w:t>50</w:t>
      </w:r>
      <w:r>
        <w:rPr>
          <w:rFonts w:hint="eastAsia"/>
        </w:rPr>
        <w:t>个工作日内</w:t>
      </w:r>
      <w:r>
        <w:rPr>
          <w:rFonts w:hint="eastAsia"/>
          <w:lang w:val="en-US" w:eastAsia="zh-CN"/>
        </w:rPr>
        <w:t>无息</w:t>
      </w:r>
      <w:r>
        <w:rPr>
          <w:rFonts w:hint="eastAsia"/>
        </w:rPr>
        <w:t>支付。</w:t>
      </w:r>
    </w:p>
    <w:p>
      <w:pPr>
        <w:pStyle w:val="11"/>
        <w:ind w:firstLine="600"/>
        <w:jc w:val="both"/>
        <w:rPr>
          <w:rFonts w:hint="eastAsia"/>
          <w:lang w:eastAsia="zh-CN"/>
        </w:rPr>
      </w:pPr>
      <w:r>
        <w:rPr>
          <w:rFonts w:hint="eastAsia"/>
          <w:lang w:eastAsia="zh-CN"/>
        </w:rPr>
        <w:t>如果乙方提供增值税普通发票，甲方支付金额为不含增值税金额；如果乙方提供增值税专用发票，甲方支付金额=不含增值税金额+增值税税额。</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7.2支付方式：银行转账。</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7.3乙方帐户信息：</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开户行：</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账号：</w:t>
      </w:r>
    </w:p>
    <w:p>
      <w:pPr>
        <w:pStyle w:val="11"/>
        <w:ind w:firstLine="600"/>
        <w:rPr>
          <w:rStyle w:val="14"/>
          <w:rFonts w:hint="eastAsia" w:ascii="仿宋_GB2312" w:hAnsi="仿宋" w:eastAsia="仿宋_GB2312" w:cs="宋体"/>
          <w:shd w:val="clear" w:color="auto" w:fill="auto"/>
          <w:lang w:eastAsia="zh-CN"/>
        </w:rPr>
      </w:pPr>
      <w:r>
        <w:rPr>
          <w:rStyle w:val="14"/>
          <w:rFonts w:hint="eastAsia" w:ascii="仿宋_GB2312" w:hAnsi="仿宋" w:eastAsia="仿宋_GB2312" w:cs="宋体"/>
          <w:shd w:val="clear" w:color="auto" w:fill="auto"/>
        </w:rPr>
        <w:t>户名：</w:t>
      </w:r>
    </w:p>
    <w:p>
      <w:pPr>
        <w:pStyle w:val="4"/>
        <w:ind w:firstLine="640"/>
        <w:rPr>
          <w:rStyle w:val="14"/>
          <w:rFonts w:ascii="仿宋" w:hAnsi="仿宋" w:eastAsia="黑体" w:cs="Times New Roman"/>
          <w:sz w:val="32"/>
          <w:szCs w:val="24"/>
          <w:shd w:val="clear" w:color="auto" w:fill="auto"/>
        </w:rPr>
      </w:pPr>
      <w:bookmarkStart w:id="8" w:name="_Toc24707262"/>
      <w:r>
        <w:rPr>
          <w:rStyle w:val="14"/>
          <w:rFonts w:hint="eastAsia" w:ascii="仿宋" w:hAnsi="仿宋" w:eastAsia="黑体" w:cs="Times New Roman"/>
          <w:sz w:val="32"/>
          <w:szCs w:val="24"/>
          <w:shd w:val="clear" w:color="auto" w:fill="auto"/>
        </w:rPr>
        <w:t>第八条承揽要求</w:t>
      </w:r>
      <w:bookmarkEnd w:id="8"/>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8.1乙方工作时间的要求</w:t>
      </w:r>
      <w:r>
        <w:rPr>
          <w:rStyle w:val="14"/>
          <w:rFonts w:hint="eastAsia" w:ascii="仿宋_GB2312" w:hAnsi="仿宋" w:eastAsia="仿宋_GB2312" w:cs="宋体"/>
          <w:u w:val="single"/>
          <w:shd w:val="clear" w:color="auto" w:fill="auto"/>
        </w:rPr>
        <w:t>：</w:t>
      </w:r>
      <w:r>
        <w:rPr>
          <w:rStyle w:val="14"/>
          <w:rFonts w:hint="eastAsia" w:ascii="仿宋_GB2312" w:hAnsi="仿宋" w:eastAsia="仿宋_GB2312" w:cs="宋体"/>
          <w:u w:val="single"/>
          <w:shd w:val="clear" w:color="auto" w:fill="auto"/>
          <w:lang w:eastAsia="zh-CN"/>
        </w:rPr>
        <w:t>无</w:t>
      </w:r>
      <w:r>
        <w:rPr>
          <w:rStyle w:val="14"/>
          <w:rFonts w:hint="eastAsia" w:ascii="仿宋_GB2312" w:hAnsi="仿宋" w:eastAsia="仿宋_GB2312" w:cs="宋体"/>
          <w:shd w:val="clear" w:color="auto" w:fill="auto"/>
        </w:rPr>
        <w:t>；</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8.2办理证件的要求</w:t>
      </w:r>
      <w:r>
        <w:rPr>
          <w:rStyle w:val="14"/>
          <w:rFonts w:hint="eastAsia" w:ascii="仿宋_GB2312" w:hAnsi="仿宋" w:eastAsia="仿宋_GB2312" w:cs="宋体"/>
          <w:u w:val="single"/>
          <w:shd w:val="clear" w:color="auto" w:fill="auto"/>
        </w:rPr>
        <w:t>：</w:t>
      </w:r>
      <w:r>
        <w:rPr>
          <w:rStyle w:val="14"/>
          <w:rFonts w:hint="eastAsia" w:ascii="仿宋_GB2312" w:hAnsi="仿宋" w:eastAsia="仿宋_GB2312" w:cs="宋体"/>
          <w:u w:val="single"/>
          <w:shd w:val="clear" w:color="auto" w:fill="auto"/>
          <w:lang w:eastAsia="zh-CN"/>
        </w:rPr>
        <w:t>办理通行证费用乙方自拟</w:t>
      </w:r>
      <w:r>
        <w:rPr>
          <w:rStyle w:val="14"/>
          <w:rFonts w:hint="eastAsia" w:ascii="仿宋_GB2312" w:hAnsi="仿宋" w:eastAsia="仿宋_GB2312" w:cs="宋体"/>
          <w:shd w:val="clear" w:color="auto" w:fill="auto"/>
        </w:rPr>
        <w:t>；</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8.3项目所需材料的提供和使用由</w:t>
      </w:r>
      <w:r>
        <w:rPr>
          <w:rStyle w:val="14"/>
          <w:rFonts w:hint="eastAsia" w:ascii="仿宋_GB2312" w:hAnsi="仿宋" w:eastAsia="仿宋_GB2312" w:cs="宋体"/>
          <w:u w:val="single"/>
          <w:shd w:val="clear" w:color="auto" w:fill="auto"/>
          <w:lang w:eastAsia="zh-CN"/>
        </w:rPr>
        <w:t>乙方</w:t>
      </w:r>
      <w:r>
        <w:rPr>
          <w:rStyle w:val="14"/>
          <w:rFonts w:hint="eastAsia" w:ascii="仿宋_GB2312" w:hAnsi="仿宋" w:eastAsia="仿宋_GB2312" w:cs="宋体"/>
          <w:shd w:val="clear" w:color="auto" w:fill="auto"/>
        </w:rPr>
        <w:t>负责；</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8.4未经甲方书面同意，乙方不得擅自改变合同约定材料，也不得转包、分包；</w:t>
      </w:r>
    </w:p>
    <w:p>
      <w:pPr>
        <w:pStyle w:val="11"/>
        <w:ind w:firstLine="600"/>
        <w:rPr>
          <w:rStyle w:val="14"/>
          <w:rFonts w:hint="eastAsia" w:ascii="仿宋_GB2312" w:hAnsi="仿宋" w:eastAsia="仿宋_GB2312" w:cs="宋体"/>
          <w:shd w:val="clear" w:color="auto" w:fill="auto"/>
        </w:rPr>
      </w:pPr>
      <w:r>
        <w:rPr>
          <w:rStyle w:val="14"/>
          <w:rFonts w:hint="eastAsia" w:ascii="仿宋_GB2312" w:hAnsi="仿宋" w:eastAsia="仿宋_GB2312" w:cs="宋体"/>
          <w:shd w:val="clear" w:color="auto" w:fill="auto"/>
        </w:rPr>
        <w:t>8.5</w:t>
      </w:r>
      <w:r>
        <w:rPr>
          <w:rStyle w:val="14"/>
          <w:rFonts w:hint="eastAsia" w:ascii="仿宋_GB2312" w:hAnsi="仿宋" w:eastAsia="仿宋_GB2312" w:cs="宋体"/>
          <w:shd w:val="clear" w:color="auto" w:fill="auto"/>
          <w:lang w:eastAsia="zh-CN"/>
        </w:rPr>
        <w:t>技术</w:t>
      </w:r>
      <w:r>
        <w:rPr>
          <w:rStyle w:val="14"/>
          <w:rFonts w:hint="eastAsia" w:ascii="仿宋_GB2312" w:hAnsi="仿宋" w:eastAsia="仿宋_GB2312" w:cs="宋体"/>
          <w:shd w:val="clear" w:color="auto" w:fill="auto"/>
        </w:rPr>
        <w:t>要求：</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8.5.1提供的产品需提供厂家出厂证明和相关产品合格证书。</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8.5.2维修完成后确保设备能够正常运行,钢制盖板需完成固定安装。</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8.5.3潜水泵应在下列条件下工作：</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输送介质温度：-5℃—80℃</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介质PH：4—10</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环境温度：-15℃—50℃</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相对湿度：100%</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最大砂粒径：≤50mm</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可能含其它杂质：破布、纤维类、塑料袋、碎木块等。</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8.5.4性能要求：</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在不需看护的情况下，无故障运行至少20000h。潜水泵能通过直径为φ50mm的颗粒以及纤维长度为300mm的固体污物，所有潜污泵须带有搅拌功能，该功能不能影响潜污泵的无堵塞性能和过流能力。</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潜水泵出水法兰与出水弯座为重力连接，水泵需配套金属弯头。</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泵转速不超过2900r/min。精度达到ISO1940G6.3级的要求。潜水离心泵运作时的噪音应不大于60db(A)。</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8.5.5结构要求</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（1）泵壳</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泵壳采用灰铸铁整体浇铸，其材料至少为HT250铸铁，离心式潜水泵须提供出水联接底座和定位挡板以便水泵安装时能自动入座锁紧。</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（2）泵叶轮</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叶轮都为整体铸造，叶轮材料为HT250。叶轮具有通过直径φ50mm的颗粒的能力。必须采用切割式叶轮，能够处理絮状物，长纤维等杂质。</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叶轮应进行动平衡试验，动平衡精度应不低于G6.3级。</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（3）泵轴</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轴材料采用高强度耐腐蚀不锈钢制造。</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（4）泵轴承</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轴承采用SKF、FAG、NSK等优质轴承。轴承宜采用终身润滑型式，轴承的使用寿命大于200000h，水泵在正常连续运行条件下，轴承的温度不得超过75℃。</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（5）泵的密封</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材质为耐腐蚀烧结碳化钨，可耐受介质酸碱度范围为pH4~10。</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机械密封是免维护的，水泵紧固件应采用304不锈钢材质。保证机械密封的使用寿命不低于50000h。</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（6）电动机</w:t>
      </w:r>
    </w:p>
    <w:p>
      <w:pPr>
        <w:pStyle w:val="11"/>
        <w:ind w:firstLine="6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电动机为三相鼠笼型感应电动机，最大转速不超过2900r/min、3相380V（允许电压偏差±10%）50Hz、防护等级为IP68、采用H级绝缘，电动机效率（满载）≥91％、电功率因数（满载）≥0.80。</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电机满足24h连续运转的使用要求，并保证在H-Q曲线上任意一点工作时，都不会发生过载。同时，必要时在每小时至少启动12次，启动间隔时间≤5min的特殊情况下电机仍能正常工作。</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（7）供电及控制电缆</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电缆要符合IEC标准，至少10m长。电缆外套为防油的、不易吸水的氯丁橡胶，具有柔韧性，经得起电缆接口处的拉力。电缆应带有IP55接线盒。</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（8）电机保护装置</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电机的定子绕组应具备温度超载传感器，其分别嵌设在定子绕组的三只终端线圈上，并配置热保护开关，以便当温度超过制造商设定的温度时自动停机。在油箱内要设置渗漏传感器来测定漏油及渗水，以防污水进入定子端线圈。</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（9）潜水排污泵控制柜及监测装置</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配套浮球开关，包含停机水位、启泵水位、报警水位，准确输出信号至控制箱，以保证水泵正常运行。浮球开关配至少10米的电缆；</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控制箱采用冷轧钢板，保证柜体的强度，柜体采用喷塑工艺，采用壁挂式；</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每组泵交替运行（第一次启动A泵，B泵备用，完成排水后，A泵备用，第二次达到高水位时启动B泵，A泵备用），控制柜具有过载、短路、过流、缺相、漏水、过热保护，具有故障显示指示和报警功能；</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潜水排污泵控制柜断路器、接触器、热继电器品牌用ABB、西门子、施耐德其中一个。</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8.5.6产品资料及售后</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（1）资料</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提供完整的原厂产品说明书文件、运作及维修说明书及由厂家建议后备配件表；</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提交原厂提供的特性曲线及调试报告，显示有关水泵在指定的工作条件下的总电负荷及水泵扬程、水流量等资料；</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提供详细的安装图，内容要清楚的反映详细的设备基础包括水泵底座尺寸、螺栓要求、弯曲界面、柔性连接器、管道接驳、防震及安装的大样和有关和土建配合要求的资料等；</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提供原厂的资质，产品的检测报告及合格证等资料。</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（2）包装和储运要求</w:t>
      </w:r>
    </w:p>
    <w:p>
      <w:pPr>
        <w:spacing w:line="360" w:lineRule="auto"/>
        <w:ind w:firstLine="600" w:firstLineChars="200"/>
        <w:rPr>
          <w:rStyle w:val="14"/>
          <w:rFonts w:hint="eastAsia"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材料包装箱内必须附有详细的装箱清单，装箱清单应清楚标明各种零部件和消耗品对应的编号和名称。</w:t>
      </w:r>
    </w:p>
    <w:p>
      <w:pPr>
        <w:spacing w:line="360" w:lineRule="auto"/>
        <w:ind w:firstLine="600" w:firstLineChars="200"/>
        <w:rPr>
          <w:rStyle w:val="14"/>
          <w:rFonts w:hint="default" w:ascii="仿宋_GB2312" w:hAnsi="仿宋" w:eastAsia="仿宋_GB2312" w:cs="宋体"/>
          <w:shd w:val="clear" w:color="auto" w:fill="auto"/>
          <w:lang w:val="en-US" w:eastAsia="zh-CN"/>
        </w:rPr>
      </w:pPr>
      <w:r>
        <w:rPr>
          <w:rStyle w:val="14"/>
          <w:rFonts w:hint="eastAsia" w:ascii="仿宋_GB2312" w:hAnsi="仿宋" w:eastAsia="仿宋_GB2312" w:cs="宋体"/>
          <w:shd w:val="clear" w:color="auto" w:fill="auto"/>
          <w:lang w:val="en-US" w:eastAsia="zh-CN"/>
        </w:rPr>
        <w:t>验收时需提交相关资料对上诉技术要求逐一核实。</w:t>
      </w:r>
    </w:p>
    <w:p>
      <w:pPr>
        <w:pStyle w:val="4"/>
        <w:ind w:firstLine="640"/>
        <w:rPr>
          <w:rStyle w:val="14"/>
          <w:rFonts w:ascii="仿宋" w:hAnsi="仿宋" w:eastAsia="黑体" w:cs="Times New Roman"/>
          <w:sz w:val="32"/>
          <w:szCs w:val="24"/>
          <w:shd w:val="clear" w:color="auto" w:fill="auto"/>
        </w:rPr>
      </w:pPr>
      <w:bookmarkStart w:id="9" w:name="_Toc24707263"/>
      <w:r>
        <w:rPr>
          <w:rStyle w:val="14"/>
          <w:rFonts w:hint="eastAsia" w:ascii="仿宋" w:hAnsi="仿宋" w:eastAsia="黑体" w:cs="Times New Roman"/>
          <w:sz w:val="32"/>
          <w:szCs w:val="24"/>
          <w:shd w:val="clear" w:color="auto" w:fill="auto"/>
        </w:rPr>
        <w:t>第九条双方的权利与义务</w:t>
      </w:r>
      <w:bookmarkEnd w:id="9"/>
    </w:p>
    <w:p>
      <w:pPr>
        <w:pStyle w:val="13"/>
        <w:shd w:val="clear" w:color="auto" w:fill="auto"/>
        <w:spacing w:before="0" w:after="120" w:line="360" w:lineRule="auto"/>
        <w:ind w:firstLine="600" w:firstLineChars="200"/>
        <w:jc w:val="both"/>
        <w:outlineLvl w:val="2"/>
        <w:rPr>
          <w:rStyle w:val="14"/>
          <w:rFonts w:ascii="黑体" w:hAnsi="仿宋" w:eastAsia="黑体"/>
          <w:szCs w:val="24"/>
          <w:lang w:val="zh-CN"/>
        </w:rPr>
      </w:pPr>
      <w:bookmarkStart w:id="10" w:name="_Toc24707264"/>
      <w:r>
        <w:rPr>
          <w:rStyle w:val="14"/>
          <w:rFonts w:hint="eastAsia" w:ascii="黑体" w:hAnsi="仿宋" w:eastAsia="黑体"/>
          <w:szCs w:val="24"/>
        </w:rPr>
        <w:t>9</w:t>
      </w:r>
      <w:r>
        <w:rPr>
          <w:rStyle w:val="14"/>
          <w:rFonts w:hint="eastAsia" w:ascii="黑体" w:hAnsi="仿宋" w:eastAsia="黑体"/>
          <w:szCs w:val="24"/>
          <w:lang w:val="zh-CN"/>
        </w:rPr>
        <w:t>.1甲方权责：</w:t>
      </w:r>
      <w:bookmarkEnd w:id="10"/>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9.1.1甲方负责按照约定的付款方式向乙方支付承揽费用；</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9.1.2对乙方实施监督，并有权对乙方提出意见和建议；</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9.1.3对乙方的承揽工作提供必要的、合理的协助工作；</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9.1.4</w:t>
      </w:r>
      <w:r>
        <w:rPr>
          <w:rStyle w:val="14"/>
          <w:rFonts w:ascii="仿宋_GB2312" w:hAnsi="仿宋" w:eastAsia="仿宋_GB2312" w:cs="宋体"/>
          <w:shd w:val="clear" w:color="auto" w:fill="auto"/>
        </w:rPr>
        <w:t>甲方有权从</w:t>
      </w:r>
      <w:r>
        <w:rPr>
          <w:rStyle w:val="14"/>
          <w:rFonts w:hint="eastAsia" w:ascii="仿宋_GB2312" w:hAnsi="仿宋" w:eastAsia="仿宋_GB2312" w:cs="宋体"/>
          <w:shd w:val="clear" w:color="auto" w:fill="auto"/>
        </w:rPr>
        <w:t>履约保证金或未付费用中</w:t>
      </w:r>
      <w:r>
        <w:rPr>
          <w:rStyle w:val="14"/>
          <w:rFonts w:ascii="仿宋_GB2312" w:hAnsi="仿宋" w:eastAsia="仿宋_GB2312" w:cs="宋体"/>
          <w:shd w:val="clear" w:color="auto" w:fill="auto"/>
        </w:rPr>
        <w:t>抵扣相当于违约金和滞纳金数额</w:t>
      </w:r>
      <w:r>
        <w:rPr>
          <w:rStyle w:val="14"/>
          <w:rFonts w:hint="eastAsia" w:ascii="仿宋_GB2312" w:hAnsi="仿宋" w:eastAsia="仿宋_GB2312" w:cs="宋体"/>
          <w:shd w:val="clear" w:color="auto" w:fill="auto"/>
        </w:rPr>
        <w:t>的</w:t>
      </w:r>
      <w:r>
        <w:rPr>
          <w:rStyle w:val="14"/>
          <w:rFonts w:ascii="仿宋_GB2312" w:hAnsi="仿宋" w:eastAsia="仿宋_GB2312" w:cs="宋体"/>
          <w:shd w:val="clear" w:color="auto" w:fill="auto"/>
        </w:rPr>
        <w:t>款项。</w:t>
      </w:r>
    </w:p>
    <w:p>
      <w:pPr>
        <w:pStyle w:val="13"/>
        <w:shd w:val="clear" w:color="auto" w:fill="auto"/>
        <w:spacing w:before="0" w:after="120" w:line="360" w:lineRule="auto"/>
        <w:ind w:firstLine="600" w:firstLineChars="200"/>
        <w:jc w:val="both"/>
        <w:outlineLvl w:val="2"/>
        <w:rPr>
          <w:rStyle w:val="14"/>
          <w:rFonts w:ascii="黑体" w:hAnsi="仿宋" w:eastAsia="黑体"/>
          <w:szCs w:val="24"/>
          <w:lang w:val="zh-CN"/>
        </w:rPr>
      </w:pPr>
      <w:bookmarkStart w:id="11" w:name="_Toc24707265"/>
      <w:r>
        <w:rPr>
          <w:rStyle w:val="14"/>
          <w:rFonts w:hint="eastAsia" w:ascii="黑体" w:hAnsi="仿宋" w:eastAsia="黑体"/>
          <w:szCs w:val="24"/>
          <w:lang w:val="zh-CN"/>
        </w:rPr>
        <w:t>9.2乙方权责：</w:t>
      </w:r>
      <w:bookmarkEnd w:id="11"/>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9.2.3遵守有关安全规则，负责现场人员安全，排除现场危险隐患，提供安全设施。</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9.2.4按期完工，提出验收申请，并参与成果验收工作。</w:t>
      </w:r>
    </w:p>
    <w:p>
      <w:pPr>
        <w:pStyle w:val="11"/>
        <w:ind w:firstLine="600"/>
      </w:pPr>
      <w:r>
        <w:rPr>
          <w:rStyle w:val="14"/>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14"/>
          <w:rFonts w:ascii="仿宋" w:hAnsi="仿宋" w:eastAsia="黑体" w:cs="Times New Roman"/>
          <w:sz w:val="32"/>
          <w:szCs w:val="24"/>
          <w:shd w:val="clear" w:color="auto" w:fill="auto"/>
        </w:rPr>
      </w:pPr>
      <w:bookmarkStart w:id="12" w:name="_Toc24707266"/>
      <w:r>
        <w:rPr>
          <w:rStyle w:val="14"/>
          <w:rFonts w:hint="eastAsia" w:ascii="仿宋" w:hAnsi="仿宋" w:eastAsia="黑体" w:cs="Times New Roman"/>
          <w:sz w:val="32"/>
          <w:szCs w:val="24"/>
          <w:shd w:val="clear" w:color="auto" w:fill="auto"/>
        </w:rPr>
        <w:t>第十条成果验收标准和方法</w:t>
      </w:r>
      <w:bookmarkEnd w:id="12"/>
    </w:p>
    <w:p>
      <w:pPr>
        <w:pStyle w:val="11"/>
        <w:spacing w:line="240" w:lineRule="auto"/>
        <w:ind w:left="0" w:leftChars="0" w:firstLine="600" w:firstLineChars="200"/>
        <w:jc w:val="left"/>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项目完工后，由乙方向甲方提出验收申请，甲方按</w:t>
      </w:r>
      <w:r>
        <w:rPr>
          <w:rFonts w:hint="eastAsia" w:ascii="Times New Roman" w:hAnsi="Times New Roman"/>
          <w:u w:val="single"/>
          <w:lang w:val="en-US" w:eastAsia="zh-CN"/>
        </w:rPr>
        <w:t>第八条相关规定</w:t>
      </w:r>
      <w:r>
        <w:rPr>
          <w:rStyle w:val="14"/>
          <w:rFonts w:hint="eastAsia" w:ascii="仿宋_GB2312" w:hAnsi="仿宋" w:eastAsia="仿宋_GB2312" w:cs="宋体"/>
          <w:shd w:val="clear" w:color="auto" w:fill="auto"/>
        </w:rPr>
        <w:t>进行验收。</w:t>
      </w:r>
    </w:p>
    <w:p>
      <w:pPr>
        <w:pStyle w:val="4"/>
        <w:ind w:firstLine="640"/>
        <w:rPr>
          <w:rStyle w:val="14"/>
          <w:rFonts w:ascii="仿宋" w:hAnsi="仿宋" w:eastAsia="黑体" w:cs="Times New Roman"/>
          <w:sz w:val="32"/>
          <w:szCs w:val="24"/>
          <w:shd w:val="clear" w:color="auto" w:fill="auto"/>
        </w:rPr>
      </w:pPr>
      <w:bookmarkStart w:id="13" w:name="_Toc24707267"/>
      <w:r>
        <w:rPr>
          <w:rStyle w:val="14"/>
          <w:rFonts w:hint="eastAsia" w:ascii="仿宋" w:hAnsi="仿宋" w:eastAsia="黑体" w:cs="Times New Roman"/>
          <w:sz w:val="32"/>
          <w:szCs w:val="24"/>
          <w:shd w:val="clear" w:color="auto" w:fill="auto"/>
        </w:rPr>
        <w:t>第十一条知识产权</w:t>
      </w:r>
      <w:bookmarkEnd w:id="13"/>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第十二条违约责任</w:t>
      </w:r>
      <w:bookmarkEnd w:id="14"/>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12.1</w:t>
      </w:r>
      <w:r>
        <w:rPr>
          <w:rFonts w:hint="eastAsia"/>
        </w:rPr>
        <w:t>甲方未按本合同履约导致施工无法进行的，工期相应顺延。</w:t>
      </w:r>
    </w:p>
    <w:p>
      <w:pPr>
        <w:pStyle w:val="11"/>
        <w:ind w:firstLine="600"/>
        <w:rPr>
          <w:rFonts w:hint="eastAsia"/>
        </w:rPr>
      </w:pPr>
      <w:r>
        <w:rPr>
          <w:rFonts w:hint="eastAsia"/>
        </w:rPr>
        <w:t>12.2.项目验收不合格，乙方应负责无偿修理或返工。因修理或返工而造成的逾期验收的，按12.3约定处理。</w:t>
      </w:r>
    </w:p>
    <w:p>
      <w:pPr>
        <w:pStyle w:val="11"/>
        <w:ind w:firstLine="600"/>
        <w:rPr>
          <w:rStyle w:val="14"/>
          <w:rFonts w:ascii="仿宋_GB2312" w:hAnsi="仿宋" w:eastAsia="仿宋_GB2312" w:cs="宋体"/>
          <w:shd w:val="clear" w:color="auto" w:fill="auto"/>
        </w:rPr>
      </w:pPr>
      <w:r>
        <w:rPr>
          <w:rFonts w:hint="eastAsia"/>
        </w:rPr>
        <w:t>12.3</w:t>
      </w:r>
      <w:r>
        <w:rPr>
          <w:rFonts w:hint="eastAsia"/>
          <w:lang w:val="en-US" w:eastAsia="zh-CN"/>
        </w:rPr>
        <w:t>因</w:t>
      </w:r>
      <w:r>
        <w:rPr>
          <w:rFonts w:hint="eastAsia"/>
        </w:rPr>
        <w:t>乙方</w:t>
      </w:r>
      <w:r>
        <w:rPr>
          <w:rFonts w:hint="eastAsia"/>
          <w:lang w:eastAsia="zh-CN"/>
        </w:rPr>
        <w:t>原因导致</w:t>
      </w:r>
      <w:r>
        <w:rPr>
          <w:rFonts w:hint="eastAsia"/>
        </w:rPr>
        <w:t>不能</w:t>
      </w:r>
      <w:r>
        <w:rPr>
          <w:rStyle w:val="14"/>
          <w:rFonts w:hint="eastAsia" w:ascii="仿宋_GB2312" w:hAnsi="仿宋" w:eastAsia="仿宋_GB2312" w:cs="宋体"/>
          <w:shd w:val="clear" w:color="auto" w:fill="auto"/>
        </w:rPr>
        <w:t>按合同规定的工期完工，每逾期1天，应偿付给甲方按合同总额的万分之五的逾期违约金。逾期超过</w:t>
      </w:r>
      <w:r>
        <w:rPr>
          <w:rStyle w:val="14"/>
          <w:rFonts w:hint="eastAsia" w:ascii="仿宋_GB2312" w:hAnsi="仿宋" w:eastAsia="仿宋_GB2312" w:cs="宋体"/>
          <w:u w:val="single"/>
          <w:shd w:val="clear" w:color="auto" w:fill="auto"/>
          <w:lang w:val="en-US" w:eastAsia="zh-CN"/>
        </w:rPr>
        <w:t>30</w:t>
      </w:r>
      <w:r>
        <w:rPr>
          <w:rStyle w:val="14"/>
          <w:rFonts w:hint="eastAsia" w:ascii="仿宋_GB2312" w:hAnsi="仿宋" w:eastAsia="仿宋_GB2312" w:cs="宋体"/>
          <w:shd w:val="clear" w:color="auto" w:fill="auto"/>
        </w:rPr>
        <w:t>天的，甲方有权解除合同。</w:t>
      </w:r>
    </w:p>
    <w:p>
      <w:pPr>
        <w:pStyle w:val="11"/>
        <w:ind w:firstLine="600"/>
      </w:pPr>
      <w:r>
        <w:rPr>
          <w:rStyle w:val="14"/>
          <w:rFonts w:hint="eastAsia" w:ascii="仿宋_GB2312" w:hAnsi="仿宋" w:eastAsia="仿宋_GB2312" w:cs="宋体"/>
          <w:shd w:val="clear" w:color="auto" w:fill="auto"/>
        </w:rPr>
        <w:t>12.4乙方擅自改变材料或擅自转、分包的，甲方有权要求改正，并处合同总价款10%的违约金，乙方不能改正的，甲方有权解除合同。</w:t>
      </w:r>
    </w:p>
    <w:p>
      <w:pPr>
        <w:pStyle w:val="4"/>
        <w:ind w:firstLine="640"/>
      </w:pPr>
      <w:bookmarkStart w:id="15" w:name="_Toc24707269"/>
      <w:r>
        <w:rPr>
          <w:rFonts w:hint="eastAsia"/>
        </w:rPr>
        <w:t>第十三条争议解决方式</w:t>
      </w:r>
      <w:bookmarkEnd w:id="15"/>
    </w:p>
    <w:p>
      <w:pPr>
        <w:pStyle w:val="11"/>
        <w:ind w:firstLine="600"/>
      </w:pPr>
      <w:r>
        <w:rPr>
          <w:rFonts w:hint="eastAsia"/>
        </w:rPr>
        <w:t>若在合同履行过程中发生争议，甲乙双方应当友好协商解决，协商不成，按以下第（</w:t>
      </w:r>
      <w:r>
        <w:rPr>
          <w:rFonts w:hint="eastAsia"/>
          <w:lang w:eastAsia="zh-CN"/>
        </w:rPr>
        <w:t>二</w:t>
      </w:r>
      <w:r>
        <w:rPr>
          <w:rFonts w:hint="eastAsia"/>
        </w:rPr>
        <w:t>）种方式解决：</w:t>
      </w:r>
    </w:p>
    <w:p>
      <w:pPr>
        <w:pStyle w:val="11"/>
        <w:ind w:firstLine="600"/>
      </w:pPr>
      <w:r>
        <w:rPr>
          <w:rFonts w:hint="eastAsia"/>
        </w:rPr>
        <w:t>（一）提交重庆仲裁委员会，按照申请仲裁时该会现行有效的仲裁规则进行仲裁。</w:t>
      </w:r>
    </w:p>
    <w:p>
      <w:pPr>
        <w:pStyle w:val="11"/>
        <w:ind w:firstLine="600"/>
      </w:pPr>
      <w:r>
        <w:rPr>
          <w:rFonts w:hint="eastAsia"/>
        </w:rPr>
        <w:t>（二）向甲方所在地有管辖权的人民法院起诉。</w:t>
      </w:r>
    </w:p>
    <w:p>
      <w:pPr>
        <w:pStyle w:val="4"/>
        <w:ind w:firstLine="640"/>
      </w:pPr>
      <w:bookmarkStart w:id="16" w:name="_Toc24707270"/>
      <w:r>
        <w:rPr>
          <w:rFonts w:hint="eastAsia"/>
        </w:rPr>
        <w:t>第十四条通知与送达</w:t>
      </w:r>
      <w:bookmarkEnd w:id="16"/>
    </w:p>
    <w:p>
      <w:pPr>
        <w:pStyle w:val="11"/>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11"/>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11"/>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1"/>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11"/>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11"/>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11"/>
        <w:ind w:firstLine="600"/>
      </w:pPr>
      <w:r>
        <w:rPr>
          <w:rFonts w:hint="eastAsia"/>
        </w:rPr>
        <w:t>14.7本合同约定的联系方式与送达方式同时可作为法律文书的联系方式与送达方式。</w:t>
      </w:r>
    </w:p>
    <w:p>
      <w:pPr>
        <w:pStyle w:val="4"/>
        <w:ind w:firstLine="640"/>
      </w:pPr>
      <w:bookmarkStart w:id="17" w:name="_Toc24707271"/>
      <w:r>
        <w:rPr>
          <w:rFonts w:hint="eastAsia"/>
        </w:rPr>
        <w:t>第十五条不可抗力</w:t>
      </w:r>
      <w:bookmarkEnd w:id="17"/>
    </w:p>
    <w:p>
      <w:pPr>
        <w:pStyle w:val="11"/>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第十六条补充协议</w:t>
      </w:r>
      <w:bookmarkEnd w:id="18"/>
    </w:p>
    <w:p>
      <w:pPr>
        <w:pStyle w:val="11"/>
        <w:ind w:firstLine="600"/>
      </w:pPr>
      <w:r>
        <w:rPr>
          <w:rFonts w:hint="eastAsia"/>
        </w:rPr>
        <w:t>本合同履行过程中，如果合同履行条件发生变化，由双方进行协商，并以签订补充合同的方式加以确认，补充合同与本合同具有同等效力。</w:t>
      </w:r>
    </w:p>
    <w:p>
      <w:pPr>
        <w:pStyle w:val="11"/>
        <w:ind w:firstLine="600"/>
      </w:pPr>
      <w:r>
        <w:rPr>
          <w:rFonts w:hint="eastAsia"/>
        </w:rPr>
        <w:t>如果补充协议条款与本合同条款产生冲突，以补充协议的条款为准。</w:t>
      </w:r>
    </w:p>
    <w:p>
      <w:pPr>
        <w:pStyle w:val="4"/>
        <w:ind w:firstLine="640"/>
      </w:pPr>
      <w:bookmarkStart w:id="19" w:name="_Toc24707273"/>
      <w:r>
        <w:rPr>
          <w:rFonts w:hint="eastAsia"/>
        </w:rPr>
        <w:t>第十七条</w:t>
      </w:r>
      <w:r>
        <w:t>保密条款</w:t>
      </w:r>
      <w:bookmarkEnd w:id="19"/>
    </w:p>
    <w:p>
      <w:pPr>
        <w:pStyle w:val="11"/>
        <w:ind w:firstLine="600"/>
        <w:rPr>
          <w:rStyle w:val="14"/>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4"/>
          <w:rFonts w:ascii="仿宋" w:hAnsi="仿宋" w:eastAsia="黑体" w:cs="Times New Roman"/>
          <w:sz w:val="32"/>
          <w:szCs w:val="24"/>
          <w:shd w:val="clear" w:color="auto" w:fill="auto"/>
        </w:rPr>
      </w:pPr>
      <w:bookmarkStart w:id="20" w:name="_Toc24707274"/>
      <w:r>
        <w:rPr>
          <w:rStyle w:val="14"/>
          <w:rFonts w:hint="eastAsia" w:ascii="仿宋" w:hAnsi="仿宋" w:eastAsia="黑体" w:cs="Times New Roman"/>
          <w:sz w:val="32"/>
          <w:szCs w:val="24"/>
          <w:shd w:val="clear" w:color="auto" w:fill="auto"/>
        </w:rPr>
        <w:t>第十八条其他</w:t>
      </w:r>
      <w:bookmarkEnd w:id="20"/>
    </w:p>
    <w:p>
      <w:pPr>
        <w:pStyle w:val="11"/>
        <w:ind w:firstLine="600"/>
      </w:pPr>
      <w:r>
        <w:rPr>
          <w:rFonts w:hint="eastAsia"/>
        </w:rPr>
        <w:t>18.1本合同自双方法定代表人或委托代理人签字并加盖公司公章或合同专用章后生效。</w:t>
      </w:r>
    </w:p>
    <w:p>
      <w:pPr>
        <w:pStyle w:val="11"/>
        <w:ind w:firstLine="600"/>
      </w:pPr>
      <w:r>
        <w:rPr>
          <w:rFonts w:hint="eastAsia"/>
        </w:rPr>
        <w:t>18.2本合同一式</w:t>
      </w:r>
      <w:r>
        <w:rPr>
          <w:rFonts w:hint="eastAsia"/>
          <w:u w:val="single"/>
          <w:lang w:val="en-US" w:eastAsia="zh-CN"/>
        </w:rPr>
        <w:t>6</w:t>
      </w:r>
      <w:r>
        <w:rPr>
          <w:rFonts w:hint="eastAsia"/>
        </w:rPr>
        <w:t>份，正本</w:t>
      </w:r>
      <w:r>
        <w:rPr>
          <w:rFonts w:hint="eastAsia"/>
          <w:u w:val="single"/>
          <w:lang w:val="en-US" w:eastAsia="zh-CN"/>
        </w:rPr>
        <w:t>2</w:t>
      </w:r>
      <w:r>
        <w:rPr>
          <w:rFonts w:hint="eastAsia"/>
        </w:rPr>
        <w:t>份，由甲乙双方各执</w:t>
      </w:r>
      <w:r>
        <w:rPr>
          <w:rFonts w:hint="eastAsia"/>
          <w:u w:val="single"/>
          <w:lang w:val="en-US" w:eastAsia="zh-CN"/>
        </w:rPr>
        <w:t>1</w:t>
      </w:r>
      <w:r>
        <w:rPr>
          <w:rFonts w:hint="eastAsia"/>
        </w:rPr>
        <w:t>份，副本</w:t>
      </w:r>
      <w:r>
        <w:rPr>
          <w:rFonts w:hint="eastAsia"/>
          <w:u w:val="single"/>
          <w:lang w:val="en-US" w:eastAsia="zh-CN"/>
        </w:rPr>
        <w:t>4</w:t>
      </w:r>
      <w:r>
        <w:rPr>
          <w:rFonts w:hint="eastAsia"/>
        </w:rPr>
        <w:t>份，由甲方执</w:t>
      </w:r>
      <w:r>
        <w:rPr>
          <w:rFonts w:hint="eastAsia"/>
          <w:u w:val="single"/>
          <w:lang w:val="en-US" w:eastAsia="zh-CN"/>
        </w:rPr>
        <w:t>3</w:t>
      </w:r>
      <w:r>
        <w:rPr>
          <w:rFonts w:hint="eastAsia"/>
        </w:rPr>
        <w:t>份，乙方执</w:t>
      </w:r>
      <w:r>
        <w:rPr>
          <w:rFonts w:hint="eastAsia"/>
          <w:u w:val="single"/>
          <w:lang w:val="en-US" w:eastAsia="zh-CN"/>
        </w:rPr>
        <w:t>1</w:t>
      </w:r>
      <w:r>
        <w:rPr>
          <w:rFonts w:hint="eastAsia"/>
        </w:rPr>
        <w:t>份，正副本均具同等法律效力。</w:t>
      </w:r>
    </w:p>
    <w:p>
      <w:pPr>
        <w:pStyle w:val="11"/>
        <w:ind w:firstLine="600"/>
      </w:pPr>
      <w:r>
        <w:rPr>
          <w:rFonts w:hint="eastAsia"/>
        </w:rPr>
        <w:t>（以下无正文）</w:t>
      </w:r>
    </w:p>
    <w:p>
      <w:pPr>
        <w:pStyle w:val="11"/>
        <w:ind w:firstLine="0" w:firstLineChars="0"/>
        <w:rPr>
          <w:rStyle w:val="14"/>
          <w:rFonts w:hint="eastAsia" w:ascii="仿宋" w:eastAsia="仿宋"/>
          <w:sz w:val="24"/>
          <w:szCs w:val="24"/>
          <w:lang w:val="zh-CN"/>
        </w:rPr>
      </w:pPr>
    </w:p>
    <w:p>
      <w:pPr>
        <w:pStyle w:val="11"/>
        <w:ind w:firstLine="0" w:firstLineChars="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 xml:space="preserve">甲方：（盖章）                   </w:t>
      </w:r>
      <w:r>
        <w:rPr>
          <w:rStyle w:val="14"/>
          <w:rFonts w:ascii="仿宋_GB2312" w:hAnsi="仿宋" w:eastAsia="仿宋_GB2312" w:cs="宋体"/>
          <w:shd w:val="clear" w:color="auto" w:fill="auto"/>
        </w:rPr>
        <w:t xml:space="preserve">  </w:t>
      </w:r>
      <w:r>
        <w:rPr>
          <w:rStyle w:val="14"/>
          <w:rFonts w:hint="eastAsia" w:ascii="仿宋_GB2312" w:hAnsi="仿宋" w:eastAsia="仿宋_GB2312" w:cs="宋体"/>
          <w:shd w:val="clear" w:color="auto" w:fill="auto"/>
        </w:rPr>
        <w:t>乙方：（盖章）</w:t>
      </w:r>
    </w:p>
    <w:p>
      <w:pPr>
        <w:pStyle w:val="11"/>
        <w:ind w:firstLine="60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 xml:space="preserve">         </w:t>
      </w:r>
      <w:r>
        <w:rPr>
          <w:rStyle w:val="14"/>
          <w:rFonts w:ascii="仿宋_GB2312" w:hAnsi="仿宋" w:eastAsia="仿宋_GB2312" w:cs="宋体"/>
          <w:shd w:val="clear" w:color="auto" w:fill="auto"/>
        </w:rPr>
        <w:t xml:space="preserve">     </w:t>
      </w:r>
    </w:p>
    <w:p>
      <w:pPr>
        <w:pStyle w:val="11"/>
        <w:ind w:firstLine="0" w:firstLineChars="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 xml:space="preserve">法定代表人：                   </w:t>
      </w:r>
      <w:r>
        <w:rPr>
          <w:rStyle w:val="14"/>
          <w:rFonts w:ascii="仿宋_GB2312" w:hAnsi="仿宋" w:eastAsia="仿宋_GB2312" w:cs="宋体"/>
          <w:shd w:val="clear" w:color="auto" w:fill="auto"/>
        </w:rPr>
        <w:t xml:space="preserve">   </w:t>
      </w:r>
      <w:r>
        <w:rPr>
          <w:rStyle w:val="14"/>
          <w:rFonts w:hint="eastAsia" w:ascii="仿宋_GB2312" w:hAnsi="仿宋" w:eastAsia="仿宋_GB2312" w:cs="宋体"/>
          <w:shd w:val="clear" w:color="auto" w:fill="auto"/>
        </w:rPr>
        <w:t xml:space="preserve">法定代表人： </w:t>
      </w:r>
    </w:p>
    <w:p>
      <w:pPr>
        <w:pStyle w:val="11"/>
        <w:ind w:firstLine="0" w:firstLineChars="0"/>
      </w:pPr>
      <w:r>
        <w:rPr>
          <w:rStyle w:val="14"/>
          <w:rFonts w:hint="eastAsia" w:ascii="仿宋_GB2312" w:hAnsi="仿宋" w:eastAsia="仿宋_GB2312" w:cs="宋体"/>
          <w:shd w:val="clear" w:color="auto" w:fill="auto"/>
        </w:rPr>
        <w:t xml:space="preserve">委托代理人：                   </w:t>
      </w:r>
      <w:r>
        <w:rPr>
          <w:rStyle w:val="14"/>
          <w:rFonts w:ascii="仿宋_GB2312" w:hAnsi="仿宋" w:eastAsia="仿宋_GB2312" w:cs="宋体"/>
          <w:shd w:val="clear" w:color="auto" w:fill="auto"/>
        </w:rPr>
        <w:t xml:space="preserve">   </w:t>
      </w:r>
      <w:r>
        <w:rPr>
          <w:rStyle w:val="14"/>
          <w:rFonts w:hint="eastAsia" w:ascii="仿宋_GB2312" w:hAnsi="仿宋" w:eastAsia="仿宋_GB2312" w:cs="宋体"/>
          <w:shd w:val="clear" w:color="auto" w:fill="auto"/>
        </w:rPr>
        <w:t>委托代理人：</w:t>
      </w:r>
    </w:p>
    <w:p>
      <w:pPr>
        <w:pStyle w:val="11"/>
        <w:ind w:firstLine="0" w:firstLineChars="0"/>
      </w:pPr>
      <w:r>
        <w:rPr>
          <w:rFonts w:hint="eastAsia"/>
        </w:rPr>
        <w:t xml:space="preserve">通讯地址：                 </w:t>
      </w:r>
      <w:r>
        <w:t xml:space="preserve">       </w:t>
      </w:r>
      <w:r>
        <w:rPr>
          <w:rFonts w:hint="eastAsia"/>
        </w:rPr>
        <w:t>通讯地址：</w:t>
      </w:r>
    </w:p>
    <w:p>
      <w:pPr>
        <w:pStyle w:val="11"/>
        <w:ind w:left="5100" w:hanging="5100" w:hangingChars="1700"/>
      </w:pPr>
      <w:r>
        <w:rPr>
          <w:rFonts w:hint="eastAsia"/>
        </w:rPr>
        <w:t xml:space="preserve">重庆江北国际机场           </w:t>
      </w:r>
    </w:p>
    <w:p>
      <w:pPr>
        <w:pStyle w:val="11"/>
        <w:ind w:firstLine="0" w:firstLineChars="0"/>
      </w:pPr>
      <w:r>
        <w:rPr>
          <w:rFonts w:hint="eastAsia"/>
        </w:rPr>
        <w:t>邮箱：</w:t>
      </w:r>
      <w:r>
        <w:t xml:space="preserve">                            </w:t>
      </w:r>
      <w:r>
        <w:rPr>
          <w:rFonts w:hint="eastAsia"/>
        </w:rPr>
        <w:t>邮箱：</w:t>
      </w:r>
    </w:p>
    <w:p>
      <w:pPr>
        <w:pStyle w:val="11"/>
        <w:ind w:firstLine="0" w:firstLineChars="0"/>
      </w:pPr>
      <w:r>
        <w:rPr>
          <w:rFonts w:hint="eastAsia"/>
        </w:rPr>
        <w:fldChar w:fldCharType="begin"/>
      </w:r>
      <w:r>
        <w:rPr>
          <w:rFonts w:hint="eastAsia"/>
        </w:rPr>
        <w:instrText xml:space="preserve"> HYPERLINK "mailto:183388426@qq.com" </w:instrText>
      </w:r>
      <w:r>
        <w:rPr>
          <w:rFonts w:hint="eastAsia"/>
        </w:rPr>
        <w:fldChar w:fldCharType="separate"/>
      </w:r>
      <w:r>
        <w:rPr>
          <w:rFonts w:hint="eastAsia"/>
        </w:rPr>
        <w:t>183388426@qq.com</w:t>
      </w:r>
      <w:r>
        <w:rPr>
          <w:rFonts w:hint="eastAsia"/>
        </w:rPr>
        <w:fldChar w:fldCharType="end"/>
      </w:r>
      <w:r>
        <w:rPr>
          <w:rFonts w:hint="eastAsia"/>
        </w:rPr>
        <w:t xml:space="preserve">                  </w:t>
      </w:r>
    </w:p>
    <w:p>
      <w:pPr>
        <w:pStyle w:val="11"/>
        <w:ind w:firstLine="0" w:firstLineChars="0"/>
      </w:pPr>
      <w:r>
        <w:rPr>
          <w:rFonts w:hint="eastAsia"/>
        </w:rPr>
        <w:t>联系人：</w:t>
      </w:r>
      <w:r>
        <w:t xml:space="preserve">                          联系人：</w:t>
      </w:r>
    </w:p>
    <w:p>
      <w:pPr>
        <w:pStyle w:val="11"/>
        <w:ind w:firstLine="0" w:firstLineChars="0"/>
      </w:pPr>
      <w:r>
        <w:rPr>
          <w:rFonts w:hint="eastAsia"/>
        </w:rPr>
        <w:t xml:space="preserve">刘子汉                            </w:t>
      </w:r>
    </w:p>
    <w:p>
      <w:pPr>
        <w:pStyle w:val="11"/>
        <w:ind w:firstLine="0" w:firstLineChars="0"/>
      </w:pPr>
      <w:r>
        <w:rPr>
          <w:rFonts w:hint="eastAsia"/>
        </w:rPr>
        <w:t>联系电话及传真：</w:t>
      </w:r>
      <w:r>
        <w:t xml:space="preserve">                  联系电话及传真：</w:t>
      </w:r>
    </w:p>
    <w:p>
      <w:pPr>
        <w:pStyle w:val="11"/>
        <w:ind w:firstLine="0" w:firstLineChars="0"/>
      </w:pPr>
      <w:r>
        <w:rPr>
          <w:rFonts w:hint="eastAsia"/>
        </w:rPr>
        <w:t xml:space="preserve">02367155063                       </w:t>
      </w:r>
    </w:p>
    <w:p>
      <w:pPr>
        <w:pStyle w:val="11"/>
        <w:ind w:firstLine="0" w:firstLineChars="0"/>
      </w:pPr>
      <w:r>
        <w:rPr>
          <w:rFonts w:hint="eastAsia"/>
        </w:rPr>
        <w:t>开户银行：</w:t>
      </w:r>
      <w:r>
        <w:t xml:space="preserve">                        开户银行：</w:t>
      </w:r>
    </w:p>
    <w:p>
      <w:pPr>
        <w:pStyle w:val="11"/>
        <w:ind w:left="5100" w:hanging="5100" w:hangingChars="1700"/>
      </w:pPr>
      <w:r>
        <w:rPr>
          <w:rFonts w:hint="eastAsia"/>
        </w:rPr>
        <w:t xml:space="preserve">建设银行渝北机场支行             </w:t>
      </w:r>
      <w:r>
        <w:rPr>
          <w:rFonts w:hint="eastAsia"/>
          <w:lang w:val="en-US" w:eastAsia="zh-CN"/>
        </w:rPr>
        <w:t xml:space="preserve"> </w:t>
      </w:r>
    </w:p>
    <w:p>
      <w:pPr>
        <w:pStyle w:val="11"/>
        <w:ind w:firstLine="0" w:firstLineChars="0"/>
      </w:pPr>
      <w:r>
        <w:rPr>
          <w:rFonts w:hint="eastAsia"/>
        </w:rPr>
        <w:t>账</w:t>
      </w:r>
      <w:r>
        <w:t xml:space="preserve">    号：                        </w:t>
      </w:r>
      <w:r>
        <w:rPr>
          <w:rFonts w:hint="eastAsia"/>
        </w:rPr>
        <w:t>账</w:t>
      </w:r>
      <w:r>
        <w:t xml:space="preserve">    号：</w:t>
      </w:r>
    </w:p>
    <w:p>
      <w:pPr>
        <w:pStyle w:val="11"/>
        <w:ind w:firstLine="0" w:firstLineChars="0"/>
        <w:rPr>
          <w:rStyle w:val="14"/>
          <w:rFonts w:ascii="仿宋" w:eastAsia="仿宋"/>
          <w:sz w:val="24"/>
          <w:szCs w:val="24"/>
          <w:lang w:val="zh-CN"/>
        </w:rPr>
      </w:pPr>
      <w:r>
        <w:rPr>
          <w:rFonts w:hint="eastAsia"/>
          <w:lang w:val="zh-CN"/>
        </w:rPr>
        <w:t>5000 1083 8000 5000 0447</w:t>
      </w:r>
      <w:r>
        <w:rPr>
          <w:rFonts w:hint="eastAsia"/>
        </w:rPr>
        <w:t xml:space="preserve">          </w:t>
      </w:r>
    </w:p>
    <w:p>
      <w:pPr>
        <w:pStyle w:val="11"/>
        <w:ind w:firstLine="0" w:firstLineChars="0"/>
        <w:rPr>
          <w:rStyle w:val="14"/>
          <w:rFonts w:ascii="仿宋_GB2312" w:hAnsi="仿宋" w:eastAsia="仿宋_GB2312" w:cs="宋体"/>
          <w:shd w:val="clear" w:color="auto" w:fill="auto"/>
        </w:rPr>
      </w:pPr>
      <w:r>
        <w:rPr>
          <w:rStyle w:val="14"/>
          <w:rFonts w:hint="eastAsia" w:ascii="仿宋_GB2312" w:hAnsi="仿宋" w:eastAsia="仿宋_GB2312" w:cs="宋体"/>
          <w:shd w:val="clear" w:color="auto" w:fill="auto"/>
        </w:rPr>
        <w:t>合同签订时间：</w:t>
      </w:r>
    </w:p>
    <w:p>
      <w:pPr>
        <w:pStyle w:val="11"/>
        <w:ind w:left="0" w:leftChars="0" w:firstLine="0" w:firstLineChars="0"/>
        <w:rPr>
          <w:color w:val="auto"/>
        </w:rPr>
      </w:pPr>
      <w:r>
        <w:rPr>
          <w:rStyle w:val="14"/>
          <w:rFonts w:hint="eastAsia" w:ascii="仿宋_GB2312" w:hAnsi="仿宋" w:eastAsia="仿宋_GB2312" w:cs="宋体"/>
          <w:shd w:val="clear" w:color="auto" w:fill="auto"/>
        </w:rPr>
        <w:t>合同签订地点：重庆江北国际机场</w:t>
      </w:r>
    </w:p>
    <w:p>
      <w:pPr>
        <w:pStyle w:val="11"/>
        <w:ind w:firstLine="600"/>
        <w:rPr>
          <w:color w:val="auto"/>
        </w:rPr>
      </w:pPr>
    </w:p>
    <w:p>
      <w:pPr>
        <w:rPr>
          <w:color w:val="auto"/>
        </w:rPr>
      </w:pPr>
    </w:p>
    <w:p/>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D06E0"/>
    <w:rsid w:val="12A056E8"/>
    <w:rsid w:val="2B6D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0">
    <w:name w:val="List Paragraph"/>
    <w:basedOn w:val="1"/>
    <w:qFormat/>
    <w:uiPriority w:val="99"/>
    <w:pPr>
      <w:ind w:firstLine="420" w:firstLineChars="200"/>
    </w:pPr>
  </w:style>
  <w:style w:type="paragraph" w:customStyle="1" w:styleId="1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3">
    <w:name w:val="Body text (2)1"/>
    <w:basedOn w:val="1"/>
    <w:link w:val="14"/>
    <w:qFormat/>
    <w:uiPriority w:val="99"/>
    <w:pPr>
      <w:shd w:val="clear" w:color="auto" w:fill="FFFFFF"/>
      <w:spacing w:before="1020" w:line="619" w:lineRule="exact"/>
      <w:jc w:val="left"/>
    </w:pPr>
    <w:rPr>
      <w:rFonts w:ascii="MingLiU" w:hAnsi="Calibri" w:eastAsia="MingLiU"/>
      <w:sz w:val="30"/>
      <w:szCs w:val="30"/>
    </w:rPr>
  </w:style>
  <w:style w:type="character" w:customStyle="1" w:styleId="14">
    <w:name w:val="Body text (2)_"/>
    <w:link w:val="13"/>
    <w:qFormat/>
    <w:uiPriority w:val="99"/>
    <w:rPr>
      <w:rFonts w:ascii="MingLiU" w:hAnsi="Calibri" w:eastAsia="MingLiU"/>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2022-07-26T02:49:00Z</dcterms:created>
  <dc:creator>重庆能源文书</dc:creator>
  <cp:lastModifiedBy>重庆能源文书</cp:lastModifiedBy>
  <dcterms:modified xsi:type="dcterms:W3CDTF">2022-07-26T02:52:30Z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