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冰淇淋采购项目比选文件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3049" w:firstLineChars="953"/>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val="en-US" w:eastAsia="zh-CN"/>
          <w14:textFill>
            <w14:solidFill>
              <w14:schemeClr w14:val="tx1"/>
            </w14:solidFill>
          </w14:textFill>
        </w:rPr>
        <w:t>七</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冰淇淋采购项目比选文件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航站楼要客区及两舱贵宾室为旅客提供的冰淇淋项目邀请符合相应条件的供应商就本项目进行比选。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具有有效的营业执照，且经营范围涉及食品销售经营等相关内容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1.2.1项目简介：在重庆江北机场T3航站楼要客区、两舱贵宾室为旅客提供冰淇淋。</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·产品、参数、数量</w:t>
      </w:r>
    </w:p>
    <w:tbl>
      <w:tblPr>
        <w:tblStyle w:val="22"/>
        <w:tblW w:w="8443" w:type="dxa"/>
        <w:jc w:val="center"/>
        <w:tblInd w:w="0" w:type="dxa"/>
        <w:tblLayout w:type="fixed"/>
        <w:tblCellMar>
          <w:top w:w="0" w:type="dxa"/>
          <w:left w:w="108" w:type="dxa"/>
          <w:bottom w:w="0" w:type="dxa"/>
          <w:right w:w="108" w:type="dxa"/>
        </w:tblCellMar>
      </w:tblPr>
      <w:tblGrid>
        <w:gridCol w:w="865"/>
        <w:gridCol w:w="1596"/>
        <w:gridCol w:w="1858"/>
        <w:gridCol w:w="103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159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85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03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冰淇淋奶浆</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1.5L*8盒/件</w:t>
            </w:r>
          </w:p>
        </w:tc>
        <w:tc>
          <w:tcPr>
            <w:tcW w:w="103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146件</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包含但不限于三元、八喜、蒙牛等</w:t>
            </w:r>
            <w:r>
              <w:rPr>
                <w:rFonts w:hint="eastAsia" w:ascii="方正仿宋_GBK" w:hAnsi="方正仿宋_GBK" w:eastAsia="方正仿宋_GBK" w:cs="方正仿宋_GBK"/>
                <w:color w:val="000000" w:themeColor="text1"/>
                <w:sz w:val="24"/>
                <w14:textFill>
                  <w14:solidFill>
                    <w14:schemeClr w14:val="tx1"/>
                  </w14:solidFill>
                </w14:textFill>
              </w:rPr>
              <w:t>同档次</w:t>
            </w:r>
            <w:r>
              <w:rPr>
                <w:rFonts w:ascii="方正仿宋_GBK" w:hAnsi="方正仿宋_GBK" w:eastAsia="方正仿宋_GBK" w:cs="方正仿宋_GBK"/>
                <w:color w:val="000000" w:themeColor="text1"/>
                <w:sz w:val="24"/>
                <w14:textFill>
                  <w14:solidFill>
                    <w14:schemeClr w14:val="tx1"/>
                  </w14:solidFill>
                </w14:textFill>
              </w:rPr>
              <w:t>品牌奶浆</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冰淇淋脆筒</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300个/件</w:t>
            </w:r>
          </w:p>
        </w:tc>
        <w:tc>
          <w:tcPr>
            <w:tcW w:w="103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高度：1</w:t>
            </w: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mm（±2mm）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口径：5</w:t>
            </w:r>
            <w:r>
              <w:rPr>
                <w:rFonts w:ascii="方正仿宋_GBK" w:hAnsi="方正仿宋_GBK" w:eastAsia="方正仿宋_GBK" w:cs="方正仿宋_GBK"/>
                <w:color w:val="000000" w:themeColor="text1"/>
                <w:sz w:val="24"/>
                <w14:textFill>
                  <w14:solidFill>
                    <w14:schemeClr w14:val="tx1"/>
                  </w14:solidFill>
                </w14:textFill>
              </w:rPr>
              <w:t>4</w:t>
            </w:r>
            <w:r>
              <w:rPr>
                <w:rFonts w:hint="eastAsia" w:ascii="方正仿宋_GBK" w:hAnsi="方正仿宋_GBK" w:eastAsia="方正仿宋_GBK" w:cs="方正仿宋_GBK"/>
                <w:color w:val="000000" w:themeColor="text1"/>
                <w:sz w:val="24"/>
                <w14:textFill>
                  <w14:solidFill>
                    <w14:schemeClr w14:val="tx1"/>
                  </w14:solidFill>
                </w14:textFill>
              </w:rPr>
              <w:t>mm（±2mm）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厚度：3</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重量：2</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g（±2g）</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3</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冰淇淋机</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03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免费提供可制作冰淇淋的机器</w:t>
            </w:r>
          </w:p>
        </w:tc>
      </w:tr>
    </w:tbl>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冰淇淋项目最高限价（不含税）为人民币9万元（大写金额：玖万元整），超过最高限价，将取消比选响应方的比选资格。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经营范围涉及食品销售经营等相关内容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注：所有有效不含税总报价的平均值为基准价（得7</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分。最高得5分。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设备提供</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免费提供可制作冰淇淋的机器4台，且冰淇淋机器产品产量不少于1</w:t>
            </w:r>
            <w:r>
              <w:rPr>
                <w:rFonts w:ascii="方正仿宋_GBK" w:hAnsi="仿宋" w:eastAsia="方正仿宋_GBK" w:cs="仿宋"/>
                <w:color w:val="000000" w:themeColor="text1"/>
                <w:sz w:val="24"/>
                <w14:textFill>
                  <w14:solidFill>
                    <w14:schemeClr w14:val="tx1"/>
                  </w14:solidFill>
                </w14:textFill>
              </w:rPr>
              <w:t>6L/</w:t>
            </w:r>
            <w:r>
              <w:rPr>
                <w:rFonts w:hint="eastAsia" w:ascii="方正仿宋_GBK" w:hAnsi="仿宋" w:eastAsia="方正仿宋_GBK" w:cs="仿宋"/>
                <w:color w:val="000000" w:themeColor="text1"/>
                <w:sz w:val="24"/>
                <w14:textFill>
                  <w14:solidFill>
                    <w14:schemeClr w14:val="tx1"/>
                  </w14:solidFill>
                </w14:textFill>
              </w:rPr>
              <w:t>h，机身长宽高尺寸在2</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*690</w:t>
            </w:r>
            <w:r>
              <w:rPr>
                <w:rFonts w:hint="eastAsia" w:ascii="方正仿宋_GBK" w:hAnsi="仿宋" w:eastAsia="方正仿宋_GBK" w:cs="仿宋"/>
                <w:color w:val="000000" w:themeColor="text1"/>
                <w:sz w:val="24"/>
                <w14:textFill>
                  <w14:solidFill>
                    <w14:schemeClr w14:val="tx1"/>
                  </w14:solidFill>
                </w14:textFill>
              </w:rPr>
              <w:t>mm（±1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mm）范围内，机身外观大气，与装饰风格匹配得5分；少于4台，且产量少于1</w:t>
            </w:r>
            <w:r>
              <w:rPr>
                <w:rFonts w:ascii="方正仿宋_GBK" w:hAnsi="仿宋" w:eastAsia="方正仿宋_GBK" w:cs="仿宋"/>
                <w:color w:val="000000" w:themeColor="text1"/>
                <w:sz w:val="24"/>
                <w14:textFill>
                  <w14:solidFill>
                    <w14:schemeClr w14:val="tx1"/>
                  </w14:solidFill>
                </w14:textFill>
              </w:rPr>
              <w:t>6L/</w:t>
            </w:r>
            <w:r>
              <w:rPr>
                <w:rFonts w:hint="eastAsia" w:ascii="方正仿宋_GBK" w:hAnsi="仿宋" w:eastAsia="方正仿宋_GBK" w:cs="仿宋"/>
                <w:color w:val="000000" w:themeColor="text1"/>
                <w:sz w:val="24"/>
                <w14:textFill>
                  <w14:solidFill>
                    <w14:schemeClr w14:val="tx1"/>
                  </w14:solidFill>
                </w14:textFill>
              </w:rPr>
              <w:t>h，机身长宽高尺寸超出2</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*690</w:t>
            </w:r>
            <w:r>
              <w:rPr>
                <w:rFonts w:hint="eastAsia" w:ascii="方正仿宋_GBK" w:hAnsi="仿宋" w:eastAsia="方正仿宋_GBK" w:cs="仿宋"/>
                <w:color w:val="000000" w:themeColor="text1"/>
                <w:sz w:val="24"/>
                <w14:textFill>
                  <w14:solidFill>
                    <w14:schemeClr w14:val="tx1"/>
                  </w14:solidFill>
                </w14:textFill>
              </w:rPr>
              <w:t>mm（±1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mm）范围内，与装饰风格不太匹配的，不得分。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技术部分评分（B）</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（满分2</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产品品质及售后服务包</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（满分20分）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冰淇淋奶浆，具有产品质检报告等证明，且奶浆被大型餐饮机构用于制作冰淇淋，奶源健康，口感丝滑，奶香纯正的，得10分；提供的冰淇淋奶浆具有产品质检报告等证明，但未提供相关餐饮机构使用证明，奶源健康，口感丝滑，得5分；如既无相关资质，口感又较差的，不得分。（需带样品）</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比选响应人或响应人提供冰淇淋脆筒，具有产品质检报告等证明，口感酥脆，得5分；提供的冰淇淋脆筒具有产品质检报告等证明，口感一般，得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分；如既无相关资质，口感也不酥脆，不得分。（需带样品）</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提供售后服务包，列明服务包内容，相容丰富适用的得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（满分70分）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所有有效不含税总报价的平均值为基准价（得70分）；每高于基准价一个百分点扣1分，每低于基准价一个百分点扣0.5分，最高扣5分。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5"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项目比选响应保证金收取</w:t>
      </w:r>
      <w:r>
        <w:rPr>
          <w:rFonts w:ascii="方正仿宋_GBK" w:hAnsi="仿宋" w:eastAsia="方正仿宋_GBK" w:cs="仿宋"/>
          <w:color w:val="000000" w:themeColor="text1"/>
          <w:kern w:val="0"/>
          <w:sz w:val="28"/>
          <w:szCs w:val="28"/>
          <w14:textFill>
            <w14:solidFill>
              <w14:schemeClr w14:val="tx1"/>
            </w14:solidFill>
          </w14:textFill>
        </w:rPr>
        <w:t>4500</w:t>
      </w:r>
      <w:r>
        <w:rPr>
          <w:rFonts w:hint="eastAsia" w:ascii="方正仿宋_GBK" w:hAnsi="仿宋" w:eastAsia="方正仿宋_GBK" w:cs="仿宋"/>
          <w:color w:val="000000" w:themeColor="text1"/>
          <w:kern w:val="0"/>
          <w:sz w:val="28"/>
          <w:szCs w:val="28"/>
          <w14:textFill>
            <w14:solidFill>
              <w14:schemeClr w14:val="tx1"/>
            </w14:solidFill>
          </w14:textFill>
        </w:rPr>
        <w:t>元，约为合同不含税总结款的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履约保证金收取</w:t>
      </w:r>
      <w:r>
        <w:rPr>
          <w:rFonts w:ascii="方正仿宋_GBK" w:hAnsi="仿宋" w:eastAsia="方正仿宋_GBK" w:cs="仿宋"/>
          <w:color w:val="000000" w:themeColor="text1"/>
          <w:sz w:val="28"/>
          <w:szCs w:val="28"/>
          <w14:textFill>
            <w14:solidFill>
              <w14:schemeClr w14:val="tx1"/>
            </w14:solidFill>
          </w14:textFill>
        </w:rPr>
        <w:t>9000</w:t>
      </w:r>
      <w:r>
        <w:rPr>
          <w:rFonts w:hint="eastAsia" w:ascii="方正仿宋_GBK" w:hAnsi="仿宋" w:eastAsia="方正仿宋_GBK" w:cs="仿宋"/>
          <w:color w:val="000000" w:themeColor="text1"/>
          <w:sz w:val="28"/>
          <w:szCs w:val="28"/>
          <w14:textFill>
            <w14:solidFill>
              <w14:schemeClr w14:val="tx1"/>
            </w14:solidFill>
          </w14:textFill>
        </w:rPr>
        <w:t>元，约为合同不含税总结款的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日内缴纳到以下账户，于履约结束后4</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天内完成配送及安装工作，合同期内随时对现场设备进行维护清洗，冰淇淋奶浆、冰淇淋脆筒等产品供应量充足。</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十二、响应人违约等行为约束要求</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5301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14.1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16：00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bookmarkStart w:id="15" w:name="_GoBack"/>
      <w:bookmarkEnd w:id="15"/>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14.2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16：00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十五、联系方式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2"/>
      </w:pPr>
    </w:p>
    <w:p/>
    <w:p>
      <w:pPr>
        <w:pStyle w:val="2"/>
      </w:pPr>
    </w:p>
    <w:p/>
    <w:p>
      <w:pPr>
        <w:pStyle w:val="2"/>
      </w:pPr>
    </w:p>
    <w:p/>
    <w:p>
      <w:pPr>
        <w:spacing w:after="156" w:afterLines="50"/>
        <w:ind w:right="964"/>
        <w:jc w:val="both"/>
        <w:rPr>
          <w:rFonts w:hint="eastAsia" w:ascii="黑体" w:hAnsi="黑体" w:eastAsia="黑体"/>
          <w:color w:val="000000" w:themeColor="text1"/>
          <w:sz w:val="24"/>
          <w14:textFill>
            <w14:solidFill>
              <w14:schemeClr w14:val="tx1"/>
            </w14:solidFill>
          </w14:textFill>
        </w:rPr>
      </w:pPr>
    </w:p>
    <w:p>
      <w:pPr>
        <w:spacing w:after="156" w:afterLines="50"/>
        <w:ind w:right="964" w:firstLine="5520" w:firstLineChars="2300"/>
        <w:jc w:val="both"/>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甲方：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乙方：</w:t>
      </w:r>
      <w:r>
        <w:rPr>
          <w:rFonts w:hint="eastAsia" w:ascii="黑体" w:eastAsia="黑体"/>
          <w:color w:val="000000" w:themeColor="text1"/>
          <w:sz w:val="36"/>
          <w:szCs w:val="36"/>
          <w:u w:val="single"/>
          <w14:textFill>
            <w14:solidFill>
              <w14:schemeClr w14:val="tx1"/>
            </w14:solidFill>
          </w14:textFill>
        </w:rPr>
        <w:t xml:space="preserve">                    </w:t>
      </w: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甲乙双方依照《中华人民共和国合同法》及相关法律、法规规定，本着平等、自愿的原则，经双方协商，现就甲方向乙方采购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0"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0"/>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T</w:t>
      </w:r>
      <w:r>
        <w:rPr>
          <w:rFonts w:ascii="方正仿宋_GBK" w:eastAsia="方正仿宋_GBK"/>
          <w:color w:val="000000" w:themeColor="text1"/>
          <w:sz w:val="28"/>
          <w:szCs w:val="28"/>
          <w:u w:val="single"/>
          <w14:textFill>
            <w14:solidFill>
              <w14:schemeClr w14:val="tx1"/>
            </w14:solidFill>
          </w14:textFill>
        </w:rPr>
        <w:t>3</w:t>
      </w:r>
      <w:r>
        <w:rPr>
          <w:rFonts w:hint="eastAsia" w:ascii="方正仿宋_GBK" w:eastAsia="方正仿宋_GBK"/>
          <w:color w:val="000000" w:themeColor="text1"/>
          <w:sz w:val="28"/>
          <w:szCs w:val="28"/>
          <w:u w:val="single"/>
          <w14:textFill>
            <w14:solidFill>
              <w14:schemeClr w14:val="tx1"/>
            </w14:solidFill>
          </w14:textFill>
        </w:rPr>
        <w:t xml:space="preserve">要客区及两舱贵宾室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1"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1"/>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 xml:space="preserve"> 合同价款包含：</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办公室库房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采购费用按次结算\</w:t>
      </w:r>
      <w:r>
        <w:rPr>
          <w:rFonts w:hint="eastAsia" w:ascii="方正仿宋_GBK" w:eastAsia="方正仿宋_GBK"/>
          <w:color w:val="000000" w:themeColor="text1"/>
          <w:sz w:val="28"/>
          <w:szCs w:val="28"/>
          <w:u w:val="single"/>
          <w14:textFill>
            <w14:solidFill>
              <w14:schemeClr w14:val="tx1"/>
            </w14:solidFill>
          </w14:textFill>
        </w:rPr>
        <w:t>按  月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24</w:t>
      </w:r>
      <w:r>
        <w:rPr>
          <w:rFonts w:hint="eastAsia" w:ascii="方正仿宋_GBK" w:eastAsia="方正仿宋_GBK"/>
          <w:color w:val="000000" w:themeColor="text1"/>
          <w:sz w:val="28"/>
          <w:szCs w:val="28"/>
          <w:u w:val="single"/>
          <w14:textFill>
            <w14:solidFill>
              <w14:schemeClr w14:val="tx1"/>
            </w14:solidFill>
          </w14:textFill>
        </w:rPr>
        <w:t xml:space="preserve">个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项目比选文件的全部内容，愿意奶浆以人民币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，脆筒以人民币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701"/>
        <w:gridCol w:w="728"/>
        <w:gridCol w:w="1134"/>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不含税单价</w:t>
            </w:r>
          </w:p>
        </w:tc>
        <w:tc>
          <w:tcPr>
            <w:tcW w:w="72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税率</w:t>
            </w:r>
          </w:p>
        </w:tc>
        <w:tc>
          <w:tcPr>
            <w:tcW w:w="1134"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冰淇淋奶浆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1.5L*8盒/件</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146件</w:t>
            </w:r>
          </w:p>
        </w:tc>
        <w:tc>
          <w:tcPr>
            <w:tcW w:w="170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冰淇淋脆筒</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300个/件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3</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不含税单价总计</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2FA5"/>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46ECD"/>
    <w:rsid w:val="00050D62"/>
    <w:rsid w:val="0005249A"/>
    <w:rsid w:val="0005588C"/>
    <w:rsid w:val="00056869"/>
    <w:rsid w:val="000611DA"/>
    <w:rsid w:val="000631F6"/>
    <w:rsid w:val="00063B34"/>
    <w:rsid w:val="00063CCA"/>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04B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E04F7"/>
    <w:rsid w:val="001E0DD3"/>
    <w:rsid w:val="001E7299"/>
    <w:rsid w:val="001F0559"/>
    <w:rsid w:val="001F2DE1"/>
    <w:rsid w:val="001F2E0C"/>
    <w:rsid w:val="001F52E9"/>
    <w:rsid w:val="001F7E2E"/>
    <w:rsid w:val="00202EEA"/>
    <w:rsid w:val="002111D0"/>
    <w:rsid w:val="002146E5"/>
    <w:rsid w:val="002170C0"/>
    <w:rsid w:val="00223328"/>
    <w:rsid w:val="00224834"/>
    <w:rsid w:val="00224DEB"/>
    <w:rsid w:val="00230435"/>
    <w:rsid w:val="002334E4"/>
    <w:rsid w:val="002362BD"/>
    <w:rsid w:val="002369A5"/>
    <w:rsid w:val="00243A39"/>
    <w:rsid w:val="002474B4"/>
    <w:rsid w:val="00264544"/>
    <w:rsid w:val="00266533"/>
    <w:rsid w:val="0028006E"/>
    <w:rsid w:val="002834F6"/>
    <w:rsid w:val="00286275"/>
    <w:rsid w:val="00286536"/>
    <w:rsid w:val="00287E0A"/>
    <w:rsid w:val="00291AC2"/>
    <w:rsid w:val="002953D5"/>
    <w:rsid w:val="002B3C2F"/>
    <w:rsid w:val="002B75E8"/>
    <w:rsid w:val="002C46DA"/>
    <w:rsid w:val="002C52F9"/>
    <w:rsid w:val="002D6B1F"/>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51FE"/>
    <w:rsid w:val="00346E45"/>
    <w:rsid w:val="0034710B"/>
    <w:rsid w:val="00347BDE"/>
    <w:rsid w:val="00351066"/>
    <w:rsid w:val="0035137C"/>
    <w:rsid w:val="003534A4"/>
    <w:rsid w:val="0035797B"/>
    <w:rsid w:val="00357C50"/>
    <w:rsid w:val="00363220"/>
    <w:rsid w:val="00366333"/>
    <w:rsid w:val="00370602"/>
    <w:rsid w:val="00371016"/>
    <w:rsid w:val="003723A5"/>
    <w:rsid w:val="00376A32"/>
    <w:rsid w:val="003840CF"/>
    <w:rsid w:val="00384F85"/>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84EA2"/>
    <w:rsid w:val="00485C98"/>
    <w:rsid w:val="00485F00"/>
    <w:rsid w:val="00490926"/>
    <w:rsid w:val="00490CF8"/>
    <w:rsid w:val="004919D2"/>
    <w:rsid w:val="00493AD9"/>
    <w:rsid w:val="0049584A"/>
    <w:rsid w:val="004A06D9"/>
    <w:rsid w:val="004A0C85"/>
    <w:rsid w:val="004A743B"/>
    <w:rsid w:val="004B146A"/>
    <w:rsid w:val="004B3DF7"/>
    <w:rsid w:val="004B62AA"/>
    <w:rsid w:val="004B7D2E"/>
    <w:rsid w:val="004C0973"/>
    <w:rsid w:val="004C7884"/>
    <w:rsid w:val="004D050B"/>
    <w:rsid w:val="004D79C1"/>
    <w:rsid w:val="004E45E3"/>
    <w:rsid w:val="004E5FA6"/>
    <w:rsid w:val="004F2FAB"/>
    <w:rsid w:val="004F303F"/>
    <w:rsid w:val="004F307F"/>
    <w:rsid w:val="004F3384"/>
    <w:rsid w:val="004F3F16"/>
    <w:rsid w:val="004F6B0B"/>
    <w:rsid w:val="00500BE2"/>
    <w:rsid w:val="00503E67"/>
    <w:rsid w:val="00511A72"/>
    <w:rsid w:val="0052082B"/>
    <w:rsid w:val="00520DBA"/>
    <w:rsid w:val="0052266E"/>
    <w:rsid w:val="00522678"/>
    <w:rsid w:val="00534EB0"/>
    <w:rsid w:val="00546661"/>
    <w:rsid w:val="00550189"/>
    <w:rsid w:val="00550BF1"/>
    <w:rsid w:val="00565190"/>
    <w:rsid w:val="00566ECB"/>
    <w:rsid w:val="0057122D"/>
    <w:rsid w:val="005733B3"/>
    <w:rsid w:val="005766B4"/>
    <w:rsid w:val="00583692"/>
    <w:rsid w:val="0058393D"/>
    <w:rsid w:val="005863EB"/>
    <w:rsid w:val="00587A0A"/>
    <w:rsid w:val="00591811"/>
    <w:rsid w:val="005960AD"/>
    <w:rsid w:val="005B2C03"/>
    <w:rsid w:val="005B5E40"/>
    <w:rsid w:val="005B623B"/>
    <w:rsid w:val="005B6DF6"/>
    <w:rsid w:val="005B72F8"/>
    <w:rsid w:val="005C07B4"/>
    <w:rsid w:val="005C4CBA"/>
    <w:rsid w:val="005C7814"/>
    <w:rsid w:val="005C79AE"/>
    <w:rsid w:val="005E0721"/>
    <w:rsid w:val="005E467A"/>
    <w:rsid w:val="005F43B3"/>
    <w:rsid w:val="005F4938"/>
    <w:rsid w:val="005F4A5B"/>
    <w:rsid w:val="006019BF"/>
    <w:rsid w:val="006078C9"/>
    <w:rsid w:val="00610FB7"/>
    <w:rsid w:val="00610FBA"/>
    <w:rsid w:val="00614554"/>
    <w:rsid w:val="00622C32"/>
    <w:rsid w:val="00623354"/>
    <w:rsid w:val="00626931"/>
    <w:rsid w:val="006331B5"/>
    <w:rsid w:val="00643353"/>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84381"/>
    <w:rsid w:val="00691208"/>
    <w:rsid w:val="00693C5F"/>
    <w:rsid w:val="00694CA2"/>
    <w:rsid w:val="00694E61"/>
    <w:rsid w:val="006964FC"/>
    <w:rsid w:val="006A5EEC"/>
    <w:rsid w:val="006B78A8"/>
    <w:rsid w:val="006C49D1"/>
    <w:rsid w:val="006D1B7D"/>
    <w:rsid w:val="006E0BFC"/>
    <w:rsid w:val="006E2E45"/>
    <w:rsid w:val="006E55F4"/>
    <w:rsid w:val="006E67A6"/>
    <w:rsid w:val="006E7700"/>
    <w:rsid w:val="006E7EC8"/>
    <w:rsid w:val="006F0471"/>
    <w:rsid w:val="006F0D23"/>
    <w:rsid w:val="006F573C"/>
    <w:rsid w:val="00701961"/>
    <w:rsid w:val="0070395B"/>
    <w:rsid w:val="007118BA"/>
    <w:rsid w:val="00715847"/>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69FB"/>
    <w:rsid w:val="007B6DB2"/>
    <w:rsid w:val="007C1F70"/>
    <w:rsid w:val="007D5127"/>
    <w:rsid w:val="007E0D23"/>
    <w:rsid w:val="007E19FA"/>
    <w:rsid w:val="007E2E6A"/>
    <w:rsid w:val="007E4029"/>
    <w:rsid w:val="007F0083"/>
    <w:rsid w:val="007F559E"/>
    <w:rsid w:val="008063D1"/>
    <w:rsid w:val="008137A3"/>
    <w:rsid w:val="0081544B"/>
    <w:rsid w:val="008267C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47EA"/>
    <w:rsid w:val="008B5D37"/>
    <w:rsid w:val="008B6902"/>
    <w:rsid w:val="008C5EA9"/>
    <w:rsid w:val="008C74BC"/>
    <w:rsid w:val="008E2C9F"/>
    <w:rsid w:val="008F4CA5"/>
    <w:rsid w:val="00904FC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58AE"/>
    <w:rsid w:val="009C6598"/>
    <w:rsid w:val="009C65A3"/>
    <w:rsid w:val="009D00D9"/>
    <w:rsid w:val="009D1F92"/>
    <w:rsid w:val="009D5971"/>
    <w:rsid w:val="009D6B46"/>
    <w:rsid w:val="009D717E"/>
    <w:rsid w:val="009E0E24"/>
    <w:rsid w:val="009E193A"/>
    <w:rsid w:val="009F1A57"/>
    <w:rsid w:val="009F6F06"/>
    <w:rsid w:val="00A079DB"/>
    <w:rsid w:val="00A10C85"/>
    <w:rsid w:val="00A12488"/>
    <w:rsid w:val="00A279E1"/>
    <w:rsid w:val="00A307C5"/>
    <w:rsid w:val="00A321D3"/>
    <w:rsid w:val="00A5074D"/>
    <w:rsid w:val="00A51639"/>
    <w:rsid w:val="00A567FD"/>
    <w:rsid w:val="00A6310E"/>
    <w:rsid w:val="00A64B28"/>
    <w:rsid w:val="00A6743C"/>
    <w:rsid w:val="00A70F36"/>
    <w:rsid w:val="00A73E6F"/>
    <w:rsid w:val="00A74F64"/>
    <w:rsid w:val="00A76A01"/>
    <w:rsid w:val="00A81565"/>
    <w:rsid w:val="00A81671"/>
    <w:rsid w:val="00A9211E"/>
    <w:rsid w:val="00AA3DFD"/>
    <w:rsid w:val="00AA4C4C"/>
    <w:rsid w:val="00AA7541"/>
    <w:rsid w:val="00AB16FB"/>
    <w:rsid w:val="00AB18AB"/>
    <w:rsid w:val="00AB2664"/>
    <w:rsid w:val="00AB78B7"/>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6F3E"/>
    <w:rsid w:val="00B07E47"/>
    <w:rsid w:val="00B11767"/>
    <w:rsid w:val="00B229A3"/>
    <w:rsid w:val="00B22AD5"/>
    <w:rsid w:val="00B23001"/>
    <w:rsid w:val="00B24C62"/>
    <w:rsid w:val="00B27562"/>
    <w:rsid w:val="00B31151"/>
    <w:rsid w:val="00B3115C"/>
    <w:rsid w:val="00B3194A"/>
    <w:rsid w:val="00B41C81"/>
    <w:rsid w:val="00B44196"/>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2E72"/>
    <w:rsid w:val="00BE72AF"/>
    <w:rsid w:val="00BF544F"/>
    <w:rsid w:val="00C03881"/>
    <w:rsid w:val="00C048D4"/>
    <w:rsid w:val="00C062CB"/>
    <w:rsid w:val="00C101AC"/>
    <w:rsid w:val="00C11019"/>
    <w:rsid w:val="00C22891"/>
    <w:rsid w:val="00C22EDB"/>
    <w:rsid w:val="00C24EF6"/>
    <w:rsid w:val="00C258CE"/>
    <w:rsid w:val="00C25DD0"/>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4BB7"/>
    <w:rsid w:val="00CC609A"/>
    <w:rsid w:val="00CC6DA7"/>
    <w:rsid w:val="00CC7501"/>
    <w:rsid w:val="00CF5BF8"/>
    <w:rsid w:val="00CF7A22"/>
    <w:rsid w:val="00D125EB"/>
    <w:rsid w:val="00D13BAD"/>
    <w:rsid w:val="00D149F1"/>
    <w:rsid w:val="00D16BAA"/>
    <w:rsid w:val="00D16BE1"/>
    <w:rsid w:val="00D25497"/>
    <w:rsid w:val="00D445A8"/>
    <w:rsid w:val="00D45135"/>
    <w:rsid w:val="00D47F13"/>
    <w:rsid w:val="00D50B99"/>
    <w:rsid w:val="00D53F71"/>
    <w:rsid w:val="00D56D28"/>
    <w:rsid w:val="00D621D4"/>
    <w:rsid w:val="00D62FB4"/>
    <w:rsid w:val="00D63B4A"/>
    <w:rsid w:val="00D64587"/>
    <w:rsid w:val="00D66438"/>
    <w:rsid w:val="00D75600"/>
    <w:rsid w:val="00D75A6A"/>
    <w:rsid w:val="00D77018"/>
    <w:rsid w:val="00D77773"/>
    <w:rsid w:val="00D7779E"/>
    <w:rsid w:val="00D80CA9"/>
    <w:rsid w:val="00D80FCE"/>
    <w:rsid w:val="00D81DC5"/>
    <w:rsid w:val="00D83800"/>
    <w:rsid w:val="00D854B2"/>
    <w:rsid w:val="00D94DD4"/>
    <w:rsid w:val="00D95B98"/>
    <w:rsid w:val="00DA1CBE"/>
    <w:rsid w:val="00DA26F7"/>
    <w:rsid w:val="00DB06FB"/>
    <w:rsid w:val="00DB327C"/>
    <w:rsid w:val="00DB73DB"/>
    <w:rsid w:val="00DD4FFC"/>
    <w:rsid w:val="00DD6002"/>
    <w:rsid w:val="00DF0117"/>
    <w:rsid w:val="00DF18B6"/>
    <w:rsid w:val="00DF642B"/>
    <w:rsid w:val="00E039E8"/>
    <w:rsid w:val="00E053CA"/>
    <w:rsid w:val="00E05893"/>
    <w:rsid w:val="00E06F96"/>
    <w:rsid w:val="00E07520"/>
    <w:rsid w:val="00E14889"/>
    <w:rsid w:val="00E155D8"/>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4E18"/>
    <w:rsid w:val="00ED086E"/>
    <w:rsid w:val="00EE616E"/>
    <w:rsid w:val="00EF37E9"/>
    <w:rsid w:val="00F02E67"/>
    <w:rsid w:val="00F048C6"/>
    <w:rsid w:val="00F064F7"/>
    <w:rsid w:val="00F1365F"/>
    <w:rsid w:val="00F172DB"/>
    <w:rsid w:val="00F23D92"/>
    <w:rsid w:val="00F23FD7"/>
    <w:rsid w:val="00F25E04"/>
    <w:rsid w:val="00F2773C"/>
    <w:rsid w:val="00F3207E"/>
    <w:rsid w:val="00F33397"/>
    <w:rsid w:val="00F33FB2"/>
    <w:rsid w:val="00F40190"/>
    <w:rsid w:val="00F45E20"/>
    <w:rsid w:val="00F47531"/>
    <w:rsid w:val="00F479F7"/>
    <w:rsid w:val="00F50101"/>
    <w:rsid w:val="00F5221B"/>
    <w:rsid w:val="00F534C5"/>
    <w:rsid w:val="00F543B5"/>
    <w:rsid w:val="00F557C5"/>
    <w:rsid w:val="00F62AC2"/>
    <w:rsid w:val="00F62E33"/>
    <w:rsid w:val="00F70CF8"/>
    <w:rsid w:val="00F7325A"/>
    <w:rsid w:val="00F74A15"/>
    <w:rsid w:val="00F7503C"/>
    <w:rsid w:val="00F76AF7"/>
    <w:rsid w:val="00F8042D"/>
    <w:rsid w:val="00F8309E"/>
    <w:rsid w:val="00F85181"/>
    <w:rsid w:val="00F94430"/>
    <w:rsid w:val="00FA17E2"/>
    <w:rsid w:val="00FA6503"/>
    <w:rsid w:val="00FB1831"/>
    <w:rsid w:val="00FB1B3B"/>
    <w:rsid w:val="00FB24BC"/>
    <w:rsid w:val="00FB4220"/>
    <w:rsid w:val="00FC765C"/>
    <w:rsid w:val="00FD270A"/>
    <w:rsid w:val="00FD3A4E"/>
    <w:rsid w:val="00FD5A31"/>
    <w:rsid w:val="00FE7DA0"/>
    <w:rsid w:val="00FF087F"/>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7B44168"/>
    <w:rsid w:val="481E7019"/>
    <w:rsid w:val="482F185E"/>
    <w:rsid w:val="49905EE9"/>
    <w:rsid w:val="4C0842E9"/>
    <w:rsid w:val="4C453E34"/>
    <w:rsid w:val="4C704055"/>
    <w:rsid w:val="4EDA1403"/>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85B48-AA63-4996-997B-4B81D4B832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1877</Words>
  <Characters>10703</Characters>
  <Lines>89</Lines>
  <Paragraphs>25</Paragraphs>
  <TotalTime>2355</TotalTime>
  <ScaleCrop>false</ScaleCrop>
  <LinksUpToDate>false</LinksUpToDate>
  <CharactersWithSpaces>12555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2022-06-22T06:09:00Z</cp:lastPrinted>
  <dcterms:modified xsi:type="dcterms:W3CDTF">2022-07-20T00:21:31Z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