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jc w:val="center"/>
        <w:rPr>
          <w:rFonts w:hint="eastAsia" w:ascii="仿宋" w:hAnsi="仿宋" w:eastAsia="仿宋"/>
          <w:b/>
          <w:sz w:val="44"/>
          <w:szCs w:val="44"/>
        </w:rPr>
      </w:pPr>
      <w:r>
        <w:rPr>
          <w:rFonts w:hint="eastAsia" w:ascii="仿宋" w:hAnsi="仿宋" w:eastAsia="仿宋"/>
          <w:b/>
          <w:sz w:val="44"/>
          <w:szCs w:val="44"/>
        </w:rPr>
        <w:t>东区污水处理站超细格栅砂水分离器</w:t>
      </w:r>
    </w:p>
    <w:p>
      <w:pPr>
        <w:widowControl/>
        <w:jc w:val="center"/>
        <w:rPr>
          <w:rFonts w:ascii="仿宋" w:hAnsi="仿宋" w:eastAsia="仿宋"/>
          <w:b/>
          <w:sz w:val="44"/>
          <w:szCs w:val="44"/>
        </w:rPr>
      </w:pPr>
      <w:r>
        <w:rPr>
          <w:rFonts w:hint="eastAsia" w:ascii="仿宋" w:hAnsi="仿宋" w:eastAsia="仿宋"/>
          <w:b/>
          <w:sz w:val="44"/>
          <w:szCs w:val="44"/>
        </w:rPr>
        <w:t>采购项目</w:t>
      </w:r>
    </w:p>
    <w:p>
      <w:pPr>
        <w:widowControl/>
        <w:jc w:val="center"/>
        <w:rPr>
          <w:rFonts w:hint="eastAsia" w:ascii="仿宋" w:hAnsi="仿宋" w:eastAsia="仿宋"/>
          <w:b/>
          <w:sz w:val="44"/>
          <w:szCs w:val="44"/>
          <w:lang w:eastAsia="zh-CN"/>
        </w:rPr>
      </w:pPr>
      <w:r>
        <w:rPr>
          <w:rFonts w:hint="eastAsia" w:ascii="仿宋" w:hAnsi="仿宋" w:eastAsia="仿宋"/>
          <w:b/>
          <w:sz w:val="44"/>
          <w:szCs w:val="44"/>
          <w:lang w:eastAsia="zh-CN"/>
        </w:rPr>
        <w:t>竞争性</w:t>
      </w:r>
      <w:r>
        <w:rPr>
          <w:rFonts w:hint="eastAsia" w:ascii="仿宋" w:hAnsi="仿宋" w:eastAsia="仿宋"/>
          <w:b/>
          <w:sz w:val="44"/>
          <w:szCs w:val="44"/>
        </w:rPr>
        <w:t>比选文件</w:t>
      </w:r>
      <w:r>
        <w:rPr>
          <w:rFonts w:hint="eastAsia" w:ascii="仿宋" w:hAnsi="仿宋" w:eastAsia="仿宋"/>
          <w:b/>
          <w:sz w:val="44"/>
          <w:szCs w:val="44"/>
          <w:lang w:eastAsia="zh-CN"/>
        </w:rPr>
        <w:t>（第</w:t>
      </w:r>
      <w:r>
        <w:rPr>
          <w:rFonts w:hint="eastAsia" w:ascii="仿宋" w:hAnsi="仿宋" w:eastAsia="仿宋"/>
          <w:b/>
          <w:sz w:val="44"/>
          <w:szCs w:val="44"/>
          <w:u w:val="single"/>
          <w:lang w:val="en-US" w:eastAsia="zh-CN"/>
        </w:rPr>
        <w:t xml:space="preserve"> 1 </w:t>
      </w:r>
      <w:r>
        <w:rPr>
          <w:rFonts w:hint="eastAsia" w:ascii="仿宋" w:hAnsi="仿宋" w:eastAsia="仿宋"/>
          <w:b/>
          <w:sz w:val="44"/>
          <w:szCs w:val="44"/>
          <w:lang w:eastAsia="zh-CN"/>
        </w:rPr>
        <w:t>次）</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hint="eastAsia" w:ascii="仿宋" w:hAnsi="仿宋" w:eastAsia="仿宋"/>
          <w:b/>
          <w:sz w:val="32"/>
          <w:u w:val="single"/>
          <w:lang w:val="en-US" w:eastAsia="zh-CN"/>
        </w:rPr>
      </w:pPr>
      <w:r>
        <w:rPr>
          <w:rFonts w:hint="eastAsia" w:ascii="仿宋" w:hAnsi="仿宋" w:eastAsia="仿宋"/>
          <w:b/>
          <w:sz w:val="32"/>
        </w:rPr>
        <w:t>编号：</w:t>
      </w:r>
      <w:r>
        <w:rPr>
          <w:rFonts w:hint="eastAsia" w:ascii="仿宋" w:hAnsi="仿宋" w:eastAsia="仿宋"/>
          <w:b/>
          <w:sz w:val="32"/>
          <w:lang w:eastAsia="zh-CN"/>
        </w:rPr>
        <w:t>动力</w:t>
      </w:r>
      <w:r>
        <w:rPr>
          <w:rFonts w:hint="eastAsia" w:ascii="仿宋" w:hAnsi="仿宋" w:eastAsia="仿宋"/>
          <w:b/>
          <w:sz w:val="32"/>
          <w:lang w:val="en-US" w:eastAsia="zh-CN"/>
        </w:rPr>
        <w:t>2022-82</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ascii="仿宋" w:hAnsi="仿宋" w:eastAsia="仿宋"/>
          <w:b/>
          <w:sz w:val="32"/>
          <w:szCs w:val="32"/>
        </w:rPr>
      </w:pPr>
      <w:r>
        <w:rPr>
          <w:rFonts w:hint="eastAsia" w:ascii="仿宋" w:hAnsi="仿宋" w:eastAsia="仿宋"/>
          <w:b/>
          <w:sz w:val="32"/>
          <w:szCs w:val="32"/>
        </w:rPr>
        <w:t>动力能源保障部</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eastAsia="zh-CN"/>
        </w:rPr>
        <w:t>二二</w:t>
      </w:r>
      <w:r>
        <w:rPr>
          <w:rFonts w:hint="eastAsia" w:ascii="仿宋" w:hAnsi="仿宋" w:eastAsia="仿宋"/>
          <w:b/>
          <w:sz w:val="32"/>
          <w:szCs w:val="32"/>
        </w:rPr>
        <w:t xml:space="preserve">年 </w:t>
      </w:r>
      <w:r>
        <w:rPr>
          <w:rFonts w:ascii="仿宋" w:hAnsi="仿宋" w:eastAsia="仿宋"/>
          <w:b/>
          <w:sz w:val="32"/>
          <w:szCs w:val="32"/>
        </w:rPr>
        <w:t xml:space="preserve"> </w:t>
      </w:r>
      <w:r>
        <w:rPr>
          <w:rFonts w:hint="eastAsia" w:ascii="仿宋" w:hAnsi="仿宋" w:eastAsia="仿宋"/>
          <w:b/>
          <w:sz w:val="32"/>
          <w:szCs w:val="32"/>
          <w:lang w:eastAsia="zh-CN"/>
        </w:rPr>
        <w:t>七</w:t>
      </w:r>
      <w:r>
        <w:rPr>
          <w:rFonts w:hint="eastAsia" w:ascii="仿宋" w:hAnsi="仿宋" w:eastAsia="仿宋"/>
          <w:b/>
          <w:sz w:val="32"/>
          <w:szCs w:val="32"/>
        </w:rPr>
        <w:t xml:space="preserve"> 月</w:t>
      </w:r>
    </w:p>
    <w:p>
      <w:pPr>
        <w:widowControl/>
        <w:jc w:val="center"/>
        <w:rPr>
          <w:rFonts w:ascii="仿宋" w:hAnsi="仿宋" w:eastAsia="仿宋"/>
          <w:b/>
          <w:color w:val="FF0000"/>
          <w:sz w:val="44"/>
          <w:szCs w:val="44"/>
        </w:rPr>
      </w:pPr>
      <w:r>
        <w:rPr>
          <w:rFonts w:ascii="仿宋" w:hAnsi="仿宋" w:eastAsia="仿宋"/>
          <w:b/>
          <w:sz w:val="52"/>
        </w:rPr>
        <w:br w:type="page"/>
      </w:r>
      <w:r>
        <w:rPr>
          <w:rFonts w:hint="eastAsia" w:ascii="仿宋" w:hAnsi="仿宋" w:eastAsia="仿宋"/>
          <w:b/>
          <w:sz w:val="44"/>
          <w:szCs w:val="44"/>
        </w:rPr>
        <w:t>东区污水处理站超细格栅砂水分离器采购项目</w:t>
      </w:r>
      <w:r>
        <w:rPr>
          <w:rFonts w:hint="eastAsia" w:ascii="仿宋" w:hAnsi="仿宋" w:eastAsia="仿宋"/>
          <w:b/>
          <w:sz w:val="44"/>
          <w:szCs w:val="44"/>
          <w:lang w:eastAsia="zh-CN"/>
        </w:rPr>
        <w:t>竞争性比选</w:t>
      </w:r>
      <w:r>
        <w:rPr>
          <w:rFonts w:hint="eastAsia" w:ascii="仿宋" w:hAnsi="仿宋" w:eastAsia="仿宋"/>
          <w:b/>
          <w:sz w:val="44"/>
          <w:szCs w:val="44"/>
        </w:rPr>
        <w:t>文件</w:t>
      </w:r>
    </w:p>
    <w:p>
      <w:pPr>
        <w:ind w:firstLine="560" w:firstLineChars="200"/>
        <w:rPr>
          <w:rFonts w:ascii="仿宋" w:hAnsi="仿宋" w:eastAsia="仿宋"/>
          <w:b/>
          <w:sz w:val="28"/>
          <w:szCs w:val="28"/>
        </w:rPr>
      </w:pPr>
      <w:r>
        <w:rPr>
          <w:rFonts w:hint="eastAsia" w:ascii="仿宋" w:hAnsi="仿宋" w:eastAsia="仿宋"/>
          <w:color w:val="000000"/>
          <w:sz w:val="28"/>
          <w:szCs w:val="28"/>
        </w:rPr>
        <w:t>我部决定于近期对东区污水处理站超细格栅砂水分离器采购项目邀请符合相应条件的潜在供应商就本项目进行</w:t>
      </w:r>
      <w:r>
        <w:rPr>
          <w:rFonts w:hint="eastAsia" w:ascii="仿宋" w:hAnsi="仿宋" w:eastAsia="仿宋"/>
          <w:color w:val="000000"/>
          <w:sz w:val="28"/>
          <w:szCs w:val="28"/>
          <w:lang w:eastAsia="zh-CN"/>
        </w:rPr>
        <w:t>竞争性比选</w:t>
      </w:r>
      <w:r>
        <w:rPr>
          <w:rFonts w:hint="eastAsia" w:ascii="仿宋" w:hAnsi="仿宋" w:eastAsia="仿宋"/>
          <w:color w:val="000000"/>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sz w:val="28"/>
          <w:szCs w:val="28"/>
        </w:rPr>
      </w:pPr>
      <w:r>
        <w:rPr>
          <w:rFonts w:hint="eastAsia" w:ascii="仿宋" w:hAnsi="仿宋" w:eastAsia="仿宋" w:cs="仿宋"/>
          <w:sz w:val="28"/>
          <w:szCs w:val="28"/>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楷体" w:hAnsi="楷体" w:eastAsia="楷体" w:cs="楷体"/>
          <w:sz w:val="32"/>
          <w:szCs w:val="32"/>
        </w:rPr>
      </w:pPr>
      <w:r>
        <w:rPr>
          <w:rFonts w:hint="eastAsia" w:ascii="楷体" w:hAnsi="楷体" w:eastAsia="楷体" w:cs="楷体"/>
          <w:sz w:val="32"/>
          <w:szCs w:val="32"/>
        </w:rPr>
        <w:t>项目内容</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现购置一台砂水分离器，安装在东区污水处理站超细格栅处。</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楷体" w:hAnsi="楷体" w:eastAsia="楷体" w:cs="楷体"/>
          <w:b w:val="0"/>
          <w:sz w:val="32"/>
          <w:szCs w:val="32"/>
        </w:rPr>
      </w:pPr>
      <w:r>
        <w:rPr>
          <w:rFonts w:hint="eastAsia" w:ascii="楷体" w:hAnsi="楷体" w:eastAsia="楷体" w:cs="楷体"/>
          <w:b w:val="0"/>
          <w:sz w:val="32"/>
          <w:szCs w:val="32"/>
        </w:rPr>
        <w:t>项目要求</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1.购置要求</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东区污水处理站超细格栅处安装一台SF-260型砂水分离器（含驱动装置、螺旋体、水箱、U形槽、耐磨衬条、盖板、支腿等部件），相关技术参数及主要零部件材质如下表：</w:t>
      </w:r>
    </w:p>
    <w:tbl>
      <w:tblPr>
        <w:tblStyle w:val="14"/>
        <w:tblW w:w="8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6"/>
        <w:gridCol w:w="4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tcPr>
          <w:p>
            <w:pPr>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流量</w:t>
            </w:r>
          </w:p>
        </w:tc>
        <w:tc>
          <w:tcPr>
            <w:tcW w:w="4483" w:type="dxa"/>
          </w:tcPr>
          <w:p>
            <w:pPr>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5—12L/s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tcPr>
          <w:p>
            <w:pPr>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电机功率</w:t>
            </w:r>
          </w:p>
        </w:tc>
        <w:tc>
          <w:tcPr>
            <w:tcW w:w="4483" w:type="dxa"/>
          </w:tcPr>
          <w:p>
            <w:pPr>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0.37kw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tcPr>
          <w:p>
            <w:pPr>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电机防护等级</w:t>
            </w:r>
          </w:p>
        </w:tc>
        <w:tc>
          <w:tcPr>
            <w:tcW w:w="4483" w:type="dxa"/>
          </w:tcPr>
          <w:p>
            <w:pPr>
              <w:numPr>
                <w:ilvl w:val="0"/>
                <w:numId w:val="0"/>
              </w:numPr>
              <w:jc w:val="center"/>
              <w:rPr>
                <w:rFonts w:hint="eastAsia" w:ascii="仿宋" w:hAnsi="仿宋" w:eastAsia="仿宋" w:cs="Times New Roman"/>
                <w:color w:val="000000"/>
                <w:kern w:val="2"/>
                <w:sz w:val="28"/>
                <w:szCs w:val="28"/>
                <w:highlight w:val="none"/>
                <w:lang w:val="en-US" w:eastAsia="zh-CN" w:bidi="ar-SA"/>
              </w:rPr>
            </w:pPr>
            <w:r>
              <w:rPr>
                <w:rFonts w:hint="eastAsia" w:ascii="仿宋" w:hAnsi="仿宋" w:eastAsia="仿宋" w:cs="Times New Roman"/>
                <w:color w:val="000000"/>
                <w:kern w:val="2"/>
                <w:sz w:val="28"/>
                <w:szCs w:val="28"/>
                <w:highlight w:val="none"/>
                <w:lang w:val="en-US" w:eastAsia="zh-CN" w:bidi="ar-SA"/>
              </w:rPr>
              <w:t>≥IP55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tcPr>
          <w:p>
            <w:pPr>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电机绝缘等级</w:t>
            </w:r>
          </w:p>
        </w:tc>
        <w:tc>
          <w:tcPr>
            <w:tcW w:w="4483" w:type="dxa"/>
          </w:tcPr>
          <w:p>
            <w:pPr>
              <w:jc w:val="center"/>
              <w:rPr>
                <w:rFonts w:hint="eastAsia" w:ascii="仿宋" w:hAnsi="仿宋" w:eastAsia="仿宋" w:cs="Times New Roman"/>
                <w:color w:val="000000"/>
                <w:kern w:val="2"/>
                <w:sz w:val="28"/>
                <w:szCs w:val="28"/>
                <w:highlight w:val="none"/>
                <w:lang w:val="en-US" w:eastAsia="zh-CN" w:bidi="ar-SA"/>
              </w:rPr>
            </w:pPr>
            <w:r>
              <w:rPr>
                <w:rFonts w:hint="eastAsia" w:ascii="仿宋" w:hAnsi="仿宋" w:eastAsia="仿宋" w:cs="Times New Roman"/>
                <w:color w:val="000000"/>
                <w:kern w:val="2"/>
                <w:sz w:val="28"/>
                <w:szCs w:val="28"/>
                <w:highlight w:val="none"/>
                <w:lang w:val="en-US" w:eastAsia="zh-CN" w:bidi="ar-SA"/>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tcPr>
          <w:p>
            <w:pPr>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分离效率</w:t>
            </w:r>
          </w:p>
        </w:tc>
        <w:tc>
          <w:tcPr>
            <w:tcW w:w="4483" w:type="dxa"/>
          </w:tcPr>
          <w:p>
            <w:pPr>
              <w:jc w:val="center"/>
              <w:rPr>
                <w:rFonts w:hint="eastAsia" w:ascii="仿宋" w:hAnsi="仿宋" w:eastAsia="仿宋" w:cs="Times New Roman"/>
                <w:color w:val="000000"/>
                <w:kern w:val="2"/>
                <w:sz w:val="28"/>
                <w:szCs w:val="28"/>
                <w:highlight w:val="none"/>
                <w:lang w:val="en-US" w:eastAsia="zh-CN" w:bidi="ar-SA"/>
              </w:rPr>
            </w:pPr>
            <w:r>
              <w:rPr>
                <w:rFonts w:hint="eastAsia" w:ascii="仿宋" w:hAnsi="仿宋" w:eastAsia="仿宋" w:cs="Times New Roman"/>
                <w:color w:val="000000"/>
                <w:kern w:val="2"/>
                <w:sz w:val="28"/>
                <w:szCs w:val="28"/>
                <w:highlight w:val="none"/>
                <w:lang w:val="en-US" w:eastAsia="zh-CN" w:bidi="ar-SA"/>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tcPr>
          <w:p>
            <w:pPr>
              <w:numPr>
                <w:ilvl w:val="0"/>
                <w:numId w:val="0"/>
              </w:numPr>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分离粒径</w:t>
            </w:r>
          </w:p>
        </w:tc>
        <w:tc>
          <w:tcPr>
            <w:tcW w:w="4483" w:type="dxa"/>
          </w:tcPr>
          <w:p>
            <w:pPr>
              <w:numPr>
                <w:ilvl w:val="0"/>
                <w:numId w:val="0"/>
              </w:numPr>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vAlign w:val="top"/>
          </w:tcPr>
          <w:p>
            <w:pPr>
              <w:numPr>
                <w:ilvl w:val="0"/>
                <w:numId w:val="0"/>
              </w:numPr>
              <w:ind w:left="0" w:leftChars="0" w:firstLine="0" w:firstLineChars="0"/>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螺旋体</w:t>
            </w:r>
          </w:p>
        </w:tc>
        <w:tc>
          <w:tcPr>
            <w:tcW w:w="4483" w:type="dxa"/>
            <w:vAlign w:val="top"/>
          </w:tcPr>
          <w:p>
            <w:pPr>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16Mn 锰钢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vAlign w:val="top"/>
          </w:tcPr>
          <w:p>
            <w:pPr>
              <w:numPr>
                <w:ilvl w:val="0"/>
                <w:numId w:val="0"/>
              </w:numPr>
              <w:ind w:left="0" w:leftChars="0" w:firstLine="0" w:firstLineChars="0"/>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水箱</w:t>
            </w:r>
          </w:p>
        </w:tc>
        <w:tc>
          <w:tcPr>
            <w:tcW w:w="4483" w:type="dxa"/>
            <w:vAlign w:val="top"/>
          </w:tcPr>
          <w:p>
            <w:pPr>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vAlign w:val="top"/>
          </w:tcPr>
          <w:p>
            <w:pPr>
              <w:numPr>
                <w:ilvl w:val="0"/>
                <w:numId w:val="0"/>
              </w:numPr>
              <w:ind w:left="0" w:leftChars="0" w:firstLine="0" w:firstLineChars="0"/>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U形槽</w:t>
            </w:r>
          </w:p>
        </w:tc>
        <w:tc>
          <w:tcPr>
            <w:tcW w:w="4483" w:type="dxa"/>
            <w:vAlign w:val="top"/>
          </w:tcPr>
          <w:p>
            <w:pPr>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vAlign w:val="top"/>
          </w:tcPr>
          <w:p>
            <w:pPr>
              <w:numPr>
                <w:ilvl w:val="0"/>
                <w:numId w:val="0"/>
              </w:numPr>
              <w:ind w:left="0" w:leftChars="0" w:firstLine="0" w:firstLineChars="0"/>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衬条</w:t>
            </w:r>
          </w:p>
        </w:tc>
        <w:tc>
          <w:tcPr>
            <w:tcW w:w="4483" w:type="dxa"/>
            <w:vAlign w:val="top"/>
          </w:tcPr>
          <w:p>
            <w:pPr>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尼龙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vAlign w:val="top"/>
          </w:tcPr>
          <w:p>
            <w:pPr>
              <w:numPr>
                <w:ilvl w:val="0"/>
                <w:numId w:val="0"/>
              </w:numPr>
              <w:ind w:left="0" w:leftChars="0" w:firstLine="0" w:firstLineChars="0"/>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紧固件</w:t>
            </w:r>
          </w:p>
        </w:tc>
        <w:tc>
          <w:tcPr>
            <w:tcW w:w="4483" w:type="dxa"/>
            <w:vAlign w:val="top"/>
          </w:tcPr>
          <w:p>
            <w:pPr>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不锈钢</w:t>
            </w:r>
          </w:p>
        </w:tc>
      </w:tr>
    </w:tbl>
    <w:p>
      <w:pPr>
        <w:pStyle w:val="5"/>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2.安装要求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（1）在原落渣管道（材质：钢管，管径ф150）安装三通和闸阀（两个），并用钢管连接至砂水分离器；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（2）砂水分离器底部安装排水管道（钢管），并连接至厂区污水井内；</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（3）钢管、排水管道等相关管道管径需能保证砂水分离器正常运行；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（4）在调节池下安装不锈钢配电箱，内有手动控制按钮（运行、停机），并安装电源线；</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（5）砂水分离器基座需使用钢筋混凝土浇筑；砂水分离器排砂处需浇筑混凝土道路方便后期转移栅渣；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（6）相关管道安装后需刷漆。</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安全责任要求</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需遵守重庆机场集团有限公司空防、消防、机坪运行、车辆及通行证门禁等管理规定，并接受项目单位监督。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验收要求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outlineLvl w:val="9"/>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lang w:val="en-US" w:eastAsia="zh-CN"/>
        </w:rPr>
        <w:t>1.</w:t>
      </w:r>
      <w:r>
        <w:rPr>
          <w:rFonts w:hint="eastAsia" w:ascii="仿宋" w:hAnsi="仿宋" w:eastAsia="仿宋"/>
          <w:color w:val="000000"/>
          <w:sz w:val="28"/>
          <w:szCs w:val="28"/>
          <w:highlight w:val="none"/>
          <w:lang w:val="en-US" w:eastAsia="zh-CN"/>
        </w:rPr>
        <w:t>设备经试运行后，运行良好；外观无损坏。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outlineLvl w:val="9"/>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lang w:val="en-US" w:eastAsia="zh-CN"/>
        </w:rPr>
        <w:t>2.</w:t>
      </w:r>
      <w:r>
        <w:rPr>
          <w:rFonts w:hint="eastAsia" w:ascii="仿宋" w:hAnsi="仿宋" w:eastAsia="仿宋"/>
          <w:color w:val="000000"/>
          <w:sz w:val="28"/>
          <w:szCs w:val="28"/>
          <w:highlight w:val="none"/>
          <w:lang w:val="en-US" w:eastAsia="zh-CN"/>
        </w:rPr>
        <w:t>项目完成后需要提供技术资料、材料/产品合格证书等，作验收资料，无不予验收。</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其他要求</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现场施工时，供应商需与发包方充分协商确定施工方案，不能影响发包方污水处理正常运行。</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工期及售后服务</w:t>
      </w:r>
    </w:p>
    <w:p>
      <w:pPr>
        <w:numPr>
          <w:ilvl w:val="0"/>
          <w:numId w:val="0"/>
        </w:numPr>
        <w:spacing w:line="240" w:lineRule="auto"/>
        <w:ind w:leftChars="0" w:firstLine="560" w:firstLineChars="200"/>
        <w:jc w:val="left"/>
        <w:outlineLvl w:val="9"/>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1.工期：开工报告批复之日起60日历日。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outlineLvl w:val="9"/>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2.质保期：自验收合格之日起1年。</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outlineLvl w:val="9"/>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3.响应时间：质保期内出现与本项目有关或本项目引起的故障，在接到机场工作人员通知后，需派专业技术人员在48小时内赶到重庆江北国际机场处理故障,若未及时响应，每延迟一天供应商将偿付逾期违约金500元，依次累计。</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支付方式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outlineLvl w:val="9"/>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1.项目通过验收，支付合同金额的97%，剩余3%作为质保金，待质保期满，无质量问题后支付。</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outlineLvl w:val="9"/>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2.付款前供应商需开具发票，若供应商提供增值税普通发票，发包方支付不含增值税金额，若供应商提供增值税专用发票，发包方实际支付金额=不含增值税金额+增值税税额。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合格报价供应商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outlineLvl w:val="9"/>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1.依法注册的独立法人，具备有效的营业执照。（须提供营业执照复印件并加盖公章）。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outlineLvl w:val="9"/>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2.具有以下资质之一，提供复印件加盖鲜章：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outlineLvl w:val="9"/>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具有机电设备销售、安装或维修业绩（须提供业绩合同复印件并加盖公章，业绩合同复印件信息须足以满足竞争性比选文件的相关要求）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outlineLvl w:val="9"/>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3.为本项目配备的施工人员至少有1人持有应急管理局颁发的低压电工证。（须提供有效的低压电工证正反面复印件，并加盖公章）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outlineLvl w:val="9"/>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4.为本项目配备的施工人员至少有1人持有应急管理局颁发的颁发的焊工证（作业类别：焊接与热切割作业）。（须提供有效的焊工证（作业类别：焊接与热切割作业）正反面复印件，并加盖公章）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outlineLvl w:val="9"/>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5.持有低压电工证的施工人员和持有焊工证（作业类别：焊接与热切割作业）的施工人员可以为同一人。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outlineLvl w:val="9"/>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6.本项目不接受联合体，不得分包、转包。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ind w:left="0" w:firstLine="0" w:firstLineChars="0"/>
        <w:textAlignment w:val="auto"/>
        <w:outlineLvl w:val="1"/>
        <w:rPr>
          <w:rFonts w:hint="eastAsia" w:ascii="Arial" w:hAnsi="Arial" w:eastAsia="楷体" w:cs="Times New Roman"/>
          <w:b w:val="0"/>
          <w:sz w:val="32"/>
          <w:szCs w:val="24"/>
        </w:rPr>
      </w:pPr>
      <w:r>
        <w:rPr>
          <w:rFonts w:hint="eastAsia" w:ascii="Arial" w:hAnsi="Arial" w:eastAsia="楷体" w:cs="Times New Roman"/>
          <w:b w:val="0"/>
          <w:sz w:val="32"/>
          <w:szCs w:val="24"/>
        </w:rPr>
        <w:t>限价及报价要求</w:t>
      </w:r>
    </w:p>
    <w:p>
      <w:pPr>
        <w:pageBreakBefore w:val="0"/>
        <w:kinsoku/>
        <w:wordWrap/>
        <w:overflowPunct/>
        <w:topLinePunct w:val="0"/>
        <w:autoSpaceDE/>
        <w:autoSpaceDN/>
        <w:bidi w:val="0"/>
        <w:spacing w:line="240" w:lineRule="auto"/>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lang w:eastAsia="zh-CN"/>
        </w:rPr>
        <w:t>限价：</w:t>
      </w:r>
      <w:r>
        <w:rPr>
          <w:rFonts w:hint="eastAsia" w:ascii="仿宋" w:hAnsi="仿宋" w:eastAsia="仿宋" w:cs="仿宋"/>
          <w:bCs/>
          <w:sz w:val="28"/>
          <w:szCs w:val="28"/>
        </w:rPr>
        <w:t>本项目最高限价（不含增值税金额）为</w:t>
      </w:r>
      <w:r>
        <w:rPr>
          <w:rFonts w:hint="eastAsia" w:ascii="仿宋" w:hAnsi="仿宋" w:eastAsia="仿宋" w:cs="仿宋"/>
          <w:bCs/>
          <w:sz w:val="28"/>
          <w:szCs w:val="28"/>
          <w:u w:val="single"/>
          <w:lang w:val="en-US" w:eastAsia="zh-CN"/>
        </w:rPr>
        <w:t>12.5</w:t>
      </w:r>
      <w:r>
        <w:rPr>
          <w:rFonts w:hint="eastAsia" w:ascii="仿宋" w:hAnsi="仿宋" w:eastAsia="仿宋" w:cs="仿宋"/>
          <w:bCs/>
          <w:sz w:val="28"/>
          <w:szCs w:val="28"/>
        </w:rPr>
        <w:t>万元（大写金额：</w:t>
      </w:r>
      <w:r>
        <w:rPr>
          <w:rFonts w:hint="eastAsia" w:ascii="仿宋" w:hAnsi="仿宋" w:eastAsia="仿宋" w:cs="仿宋"/>
          <w:bCs/>
          <w:color w:val="auto"/>
          <w:sz w:val="28"/>
          <w:szCs w:val="28"/>
          <w:lang w:eastAsia="zh-CN"/>
        </w:rPr>
        <w:t>壹</w:t>
      </w:r>
      <w:r>
        <w:rPr>
          <w:rFonts w:hint="eastAsia" w:ascii="仿宋" w:hAnsi="仿宋" w:eastAsia="仿宋" w:cs="仿宋"/>
          <w:bCs/>
          <w:sz w:val="28"/>
          <w:szCs w:val="28"/>
        </w:rPr>
        <w:t>拾贰万伍仟元整），报价超过最高限价，将取消</w:t>
      </w:r>
      <w:r>
        <w:rPr>
          <w:rFonts w:hint="eastAsia" w:ascii="仿宋" w:hAnsi="仿宋" w:eastAsia="仿宋" w:cs="仿宋"/>
          <w:bCs/>
          <w:sz w:val="28"/>
          <w:szCs w:val="28"/>
          <w:lang w:eastAsia="zh-CN"/>
        </w:rPr>
        <w:t>竞争性比选</w:t>
      </w:r>
      <w:r>
        <w:rPr>
          <w:rFonts w:hint="eastAsia" w:ascii="仿宋" w:hAnsi="仿宋" w:eastAsia="仿宋" w:cs="仿宋"/>
          <w:bCs/>
          <w:sz w:val="28"/>
          <w:szCs w:val="28"/>
        </w:rPr>
        <w:t>响应</w:t>
      </w:r>
      <w:r>
        <w:rPr>
          <w:rFonts w:hint="eastAsia" w:ascii="仿宋" w:hAnsi="仿宋" w:eastAsia="仿宋" w:cs="仿宋"/>
          <w:bCs/>
          <w:sz w:val="28"/>
          <w:szCs w:val="28"/>
          <w:highlight w:val="none"/>
        </w:rPr>
        <w:t>方的</w:t>
      </w:r>
      <w:r>
        <w:rPr>
          <w:rFonts w:hint="eastAsia" w:ascii="仿宋" w:hAnsi="仿宋" w:eastAsia="仿宋" w:cs="仿宋"/>
          <w:bCs/>
          <w:sz w:val="28"/>
          <w:szCs w:val="28"/>
          <w:highlight w:val="none"/>
          <w:lang w:eastAsia="zh-CN"/>
        </w:rPr>
        <w:t>竞争性比选</w:t>
      </w:r>
      <w:r>
        <w:rPr>
          <w:rFonts w:hint="eastAsia" w:ascii="仿宋" w:hAnsi="仿宋" w:eastAsia="仿宋" w:cs="仿宋"/>
          <w:bCs/>
          <w:sz w:val="28"/>
          <w:szCs w:val="28"/>
          <w:highlight w:val="none"/>
        </w:rPr>
        <w:t>资格。</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报价要求：</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000000"/>
          <w:sz w:val="28"/>
          <w:szCs w:val="28"/>
          <w:highlight w:val="none"/>
          <w:lang w:val="en-US" w:eastAsia="zh-CN"/>
        </w:rPr>
        <w:t>为安装设备及管道涉及到的管道焊接、路缘石拆除及恢复、混凝土路面开挖及恢复、绿化带开挖及恢复等附属工程费用均包含在报价中，一次性包干。</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在修正范围内的以下情形不作为比选响应文件作废的依据：</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（1）比选响应文件中的大写金额与小写金额不一致的，以大写金额为准；</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（2）数字表示的数额与用文字表示的数额不一致时，以文字数额为准；</w:t>
      </w:r>
    </w:p>
    <w:p>
      <w:pPr>
        <w:spacing w:line="240" w:lineRule="auto"/>
        <w:ind w:firstLine="560" w:firstLineChars="200"/>
        <w:rPr>
          <w:rFonts w:hint="eastAsia"/>
        </w:rPr>
      </w:pPr>
      <w:r>
        <w:rPr>
          <w:rFonts w:hint="eastAsia" w:ascii="仿宋" w:hAnsi="仿宋" w:eastAsia="仿宋" w:cs="仿宋"/>
          <w:bCs/>
          <w:sz w:val="28"/>
          <w:szCs w:val="28"/>
          <w:highlight w:val="none"/>
        </w:rPr>
        <w:t>（3）总价金额与依据单价计算出的结果不一致的，以单价金额为准修正总价，但单价金额小数点有明显错误的除外。</w:t>
      </w:r>
    </w:p>
    <w:p>
      <w:pPr>
        <w:ind w:left="0" w:leftChars="0" w:firstLine="0" w:firstLineChars="0"/>
        <w:rPr>
          <w:rFonts w:hint="eastAsia" w:ascii="楷体" w:hAnsi="楷体" w:eastAsia="楷体" w:cs="楷体"/>
          <w:b w:val="0"/>
          <w:sz w:val="32"/>
          <w:szCs w:val="32"/>
        </w:rPr>
      </w:pPr>
      <w:r>
        <w:rPr>
          <w:rFonts w:hint="eastAsia" w:ascii="楷体" w:hAnsi="楷体" w:eastAsia="楷体" w:cs="楷体"/>
          <w:b w:val="0"/>
          <w:sz w:val="32"/>
          <w:szCs w:val="32"/>
          <w:lang w:eastAsia="zh-CN"/>
        </w:rPr>
        <w:t>（</w:t>
      </w:r>
      <w:r>
        <w:rPr>
          <w:rFonts w:hint="eastAsia" w:ascii="楷体" w:hAnsi="楷体" w:eastAsia="楷体" w:cs="楷体"/>
          <w:b w:val="0"/>
          <w:color w:val="auto"/>
          <w:sz w:val="32"/>
          <w:szCs w:val="32"/>
          <w:lang w:eastAsia="zh-CN"/>
        </w:rPr>
        <w:t>二</w:t>
      </w:r>
      <w:r>
        <w:rPr>
          <w:rFonts w:hint="eastAsia" w:ascii="楷体" w:hAnsi="楷体" w:eastAsia="楷体" w:cs="楷体"/>
          <w:b w:val="0"/>
          <w:sz w:val="32"/>
          <w:szCs w:val="32"/>
          <w:lang w:eastAsia="zh-CN"/>
        </w:rPr>
        <w:t>）竞争性比选办法</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本次</w:t>
      </w:r>
      <w:r>
        <w:rPr>
          <w:rFonts w:hint="eastAsia" w:ascii="仿宋" w:hAnsi="仿宋" w:eastAsia="仿宋" w:cs="仿宋"/>
          <w:sz w:val="28"/>
          <w:szCs w:val="28"/>
          <w:lang w:eastAsia="zh-CN"/>
        </w:rPr>
        <w:t>竞争性比选</w:t>
      </w:r>
      <w:r>
        <w:rPr>
          <w:rFonts w:hint="eastAsia" w:ascii="仿宋" w:hAnsi="仿宋" w:eastAsia="仿宋" w:cs="仿宋"/>
          <w:bCs/>
          <w:sz w:val="28"/>
          <w:szCs w:val="28"/>
        </w:rPr>
        <w:t>成交供应商确定办法采用</w:t>
      </w:r>
      <w:r>
        <w:rPr>
          <w:rFonts w:hint="eastAsia" w:ascii="仿宋" w:hAnsi="仿宋" w:eastAsia="仿宋" w:cs="仿宋"/>
          <w:b/>
          <w:bCs/>
          <w:sz w:val="28"/>
          <w:szCs w:val="28"/>
          <w:u w:val="single"/>
          <w:lang w:eastAsia="zh-CN"/>
        </w:rPr>
        <w:t>经评审的</w:t>
      </w:r>
      <w:r>
        <w:rPr>
          <w:rFonts w:hint="eastAsia" w:ascii="仿宋" w:hAnsi="仿宋" w:eastAsia="仿宋" w:cs="仿宋"/>
          <w:b/>
          <w:bCs/>
          <w:sz w:val="28"/>
          <w:szCs w:val="28"/>
          <w:u w:val="single"/>
        </w:rPr>
        <w:t>最低价</w:t>
      </w:r>
      <w:r>
        <w:rPr>
          <w:rFonts w:hint="eastAsia" w:ascii="仿宋" w:hAnsi="仿宋" w:eastAsia="仿宋" w:cs="仿宋"/>
          <w:b/>
          <w:bCs/>
          <w:sz w:val="28"/>
          <w:szCs w:val="28"/>
          <w:u w:val="single"/>
          <w:lang w:eastAsia="zh-CN"/>
        </w:rPr>
        <w:t>法</w:t>
      </w:r>
      <w:r>
        <w:rPr>
          <w:rFonts w:hint="eastAsia" w:ascii="仿宋" w:hAnsi="仿宋" w:eastAsia="仿宋" w:cs="仿宋"/>
          <w:bCs/>
          <w:sz w:val="28"/>
          <w:szCs w:val="28"/>
        </w:rPr>
        <w:t>成交，以各供应商</w:t>
      </w:r>
      <w:r>
        <w:rPr>
          <w:rFonts w:hint="eastAsia" w:ascii="仿宋" w:hAnsi="仿宋" w:eastAsia="仿宋" w:cs="仿宋"/>
          <w:bCs/>
          <w:sz w:val="28"/>
          <w:szCs w:val="28"/>
          <w:lang w:eastAsia="zh-CN"/>
        </w:rPr>
        <w:t>不含增值税</w:t>
      </w:r>
      <w:r>
        <w:rPr>
          <w:rFonts w:hint="eastAsia" w:ascii="仿宋" w:hAnsi="仿宋" w:eastAsia="仿宋" w:cs="仿宋"/>
          <w:bCs/>
          <w:sz w:val="28"/>
          <w:szCs w:val="28"/>
        </w:rPr>
        <w:t>报价为依据，请各供应商按照报价要求进行报价。</w:t>
      </w:r>
    </w:p>
    <w:p>
      <w:pPr>
        <w:ind w:left="0" w:leftChars="0"/>
        <w:rPr>
          <w:rFonts w:hint="eastAsia" w:ascii="楷体" w:hAnsi="楷体" w:eastAsia="楷体" w:cs="楷体"/>
          <w:b w:val="0"/>
          <w:sz w:val="32"/>
          <w:szCs w:val="32"/>
        </w:rPr>
      </w:pPr>
      <w:r>
        <w:rPr>
          <w:rFonts w:hint="eastAsia" w:ascii="楷体" w:hAnsi="楷体" w:eastAsia="楷体" w:cs="楷体"/>
          <w:b w:val="0"/>
          <w:sz w:val="32"/>
          <w:szCs w:val="32"/>
          <w:lang w:eastAsia="zh-CN"/>
        </w:rPr>
        <w:t>（三）</w:t>
      </w:r>
      <w:r>
        <w:rPr>
          <w:rFonts w:hint="eastAsia" w:ascii="楷体" w:hAnsi="楷体" w:eastAsia="楷体" w:cs="楷体"/>
          <w:b w:val="0"/>
          <w:sz w:val="32"/>
          <w:szCs w:val="32"/>
        </w:rPr>
        <w:t>成交标准</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具体</w:t>
      </w:r>
      <w:r>
        <w:rPr>
          <w:rFonts w:hint="eastAsia" w:ascii="仿宋" w:hAnsi="仿宋" w:eastAsia="仿宋" w:cs="仿宋"/>
          <w:bCs/>
          <w:sz w:val="28"/>
          <w:szCs w:val="28"/>
          <w:lang w:eastAsia="zh-CN"/>
        </w:rPr>
        <w:t>竞争性</w:t>
      </w:r>
      <w:r>
        <w:rPr>
          <w:rFonts w:hint="eastAsia" w:ascii="仿宋" w:hAnsi="仿宋" w:eastAsia="仿宋" w:cs="仿宋"/>
          <w:bCs/>
          <w:sz w:val="28"/>
          <w:szCs w:val="28"/>
        </w:rPr>
        <w:t>比选成交标准如下：</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 w:hAnsi="仿宋" w:eastAsia="仿宋" w:cs="仿宋"/>
          <w:bCs/>
          <w:sz w:val="28"/>
          <w:szCs w:val="28"/>
          <w:lang w:eastAsia="zh-CN"/>
        </w:rPr>
        <w:t>组织竞争性</w:t>
      </w:r>
      <w:r>
        <w:rPr>
          <w:rFonts w:hint="eastAsia" w:ascii="仿宋" w:hAnsi="仿宋" w:eastAsia="仿宋" w:cs="仿宋"/>
          <w:bCs/>
          <w:sz w:val="28"/>
          <w:szCs w:val="28"/>
        </w:rPr>
        <w:t>比选仍然不足3个单位的，</w:t>
      </w:r>
      <w:r>
        <w:rPr>
          <w:rFonts w:hint="eastAsia" w:ascii="仿宋" w:hAnsi="仿宋" w:eastAsia="仿宋" w:cs="仿宋"/>
          <w:bCs/>
          <w:sz w:val="28"/>
          <w:szCs w:val="28"/>
          <w:lang w:eastAsia="zh-CN"/>
        </w:rPr>
        <w:t>竞争性</w:t>
      </w:r>
      <w:r>
        <w:rPr>
          <w:rFonts w:hint="eastAsia" w:ascii="仿宋" w:hAnsi="仿宋" w:eastAsia="仿宋" w:cs="仿宋"/>
          <w:bCs/>
          <w:sz w:val="28"/>
          <w:szCs w:val="28"/>
        </w:rPr>
        <w:t>比选项目将可以继续进行比选。</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w:t>
      </w:r>
      <w:r>
        <w:rPr>
          <w:rFonts w:hint="eastAsia" w:ascii="仿宋" w:hAnsi="仿宋" w:eastAsia="仿宋" w:cs="仿宋"/>
          <w:kern w:val="0"/>
          <w:sz w:val="28"/>
          <w:szCs w:val="28"/>
        </w:rPr>
        <w:t>最终以</w:t>
      </w:r>
      <w:r>
        <w:rPr>
          <w:rFonts w:hint="eastAsia" w:ascii="仿宋" w:hAnsi="仿宋" w:eastAsia="仿宋" w:cs="仿宋"/>
          <w:b/>
          <w:bCs/>
          <w:kern w:val="0"/>
          <w:sz w:val="28"/>
          <w:szCs w:val="28"/>
          <w:u w:val="single"/>
        </w:rPr>
        <w:t>报价最低</w:t>
      </w:r>
      <w:r>
        <w:rPr>
          <w:rFonts w:hint="eastAsia" w:ascii="仿宋" w:hAnsi="仿宋" w:eastAsia="仿宋" w:cs="仿宋"/>
          <w:kern w:val="0"/>
          <w:sz w:val="28"/>
          <w:szCs w:val="28"/>
        </w:rPr>
        <w:t>的原则确定成交候选人。</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3.项目重新竞争性比选时，经评审有有效比选人的，按规定程序确定成交候选人。</w:t>
      </w:r>
    </w:p>
    <w:p>
      <w:pPr>
        <w:ind w:left="0" w:leftChars="0"/>
        <w:rPr>
          <w:rFonts w:hint="eastAsia" w:ascii="楷体" w:hAnsi="楷体" w:eastAsia="楷体" w:cs="楷体"/>
          <w:b w:val="0"/>
          <w:sz w:val="32"/>
          <w:szCs w:val="32"/>
        </w:rPr>
      </w:pPr>
      <w:r>
        <w:rPr>
          <w:rFonts w:hint="eastAsia" w:ascii="楷体" w:hAnsi="楷体" w:eastAsia="楷体" w:cs="楷体"/>
          <w:b w:val="0"/>
          <w:sz w:val="32"/>
          <w:szCs w:val="32"/>
          <w:lang w:eastAsia="zh-CN"/>
        </w:rPr>
        <w:t>（四）</w:t>
      </w:r>
      <w:r>
        <w:rPr>
          <w:rFonts w:hint="eastAsia" w:ascii="楷体" w:hAnsi="楷体" w:eastAsia="楷体" w:cs="楷体"/>
          <w:b w:val="0"/>
          <w:sz w:val="32"/>
          <w:szCs w:val="32"/>
        </w:rPr>
        <w:t>其他说明</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1.响应文件中报价须以人民币为单位；</w:t>
      </w:r>
    </w:p>
    <w:p>
      <w:pPr>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val="0"/>
          <w:sz w:val="28"/>
          <w:szCs w:val="28"/>
        </w:rPr>
      </w:pPr>
      <w:r>
        <w:rPr>
          <w:rFonts w:hint="eastAsia" w:ascii="仿宋" w:hAnsi="仿宋" w:eastAsia="仿宋" w:cs="仿宋"/>
          <w:b/>
          <w:bCs w:val="0"/>
          <w:sz w:val="28"/>
          <w:szCs w:val="28"/>
        </w:rPr>
        <w:t>2.响应文件中报价须四舍五入保留到“分”；</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3.响应文件中报价需同时填写报价金额的大写和小写，两者不一致的以大写金额为准；</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文件发售的时间、地点</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竞争性比选文件及相关资料于2022年</w:t>
      </w:r>
      <w:r>
        <w:rPr>
          <w:rFonts w:hint="eastAsia" w:ascii="仿宋" w:hAnsi="仿宋" w:eastAsia="仿宋" w:cs="仿宋"/>
          <w:bCs/>
          <w:sz w:val="28"/>
          <w:szCs w:val="28"/>
          <w:u w:val="single"/>
          <w:lang w:val="en-US" w:eastAsia="zh-CN"/>
        </w:rPr>
        <w:t xml:space="preserve">  7 </w:t>
      </w:r>
      <w:r>
        <w:rPr>
          <w:rFonts w:hint="eastAsia" w:ascii="仿宋" w:hAnsi="仿宋" w:eastAsia="仿宋" w:cs="仿宋"/>
          <w:bCs/>
          <w:sz w:val="28"/>
          <w:szCs w:val="28"/>
          <w:lang w:val="en-US" w:eastAsia="zh-CN"/>
        </w:rPr>
        <w:t>月</w:t>
      </w:r>
      <w:r>
        <w:rPr>
          <w:rFonts w:hint="eastAsia" w:ascii="仿宋" w:hAnsi="仿宋" w:eastAsia="仿宋" w:cs="仿宋"/>
          <w:bCs/>
          <w:sz w:val="28"/>
          <w:szCs w:val="28"/>
          <w:u w:val="single"/>
          <w:lang w:val="en-US" w:eastAsia="zh-CN"/>
        </w:rPr>
        <w:t xml:space="preserve">  4 </w:t>
      </w:r>
      <w:r>
        <w:rPr>
          <w:rFonts w:hint="eastAsia" w:ascii="仿宋" w:hAnsi="仿宋" w:eastAsia="仿宋" w:cs="仿宋"/>
          <w:bCs/>
          <w:sz w:val="28"/>
          <w:szCs w:val="28"/>
          <w:lang w:val="en-US" w:eastAsia="zh-CN"/>
        </w:rPr>
        <w:t>日由重庆机场集团有限公司动力能源保障部在重庆机场集团官方网站发布。</w:t>
      </w:r>
    </w:p>
    <w:p>
      <w:pPr>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20</w:t>
      </w:r>
      <w:r>
        <w:rPr>
          <w:rFonts w:hint="eastAsia" w:ascii="仿宋" w:hAnsi="仿宋" w:eastAsia="仿宋" w:cs="仿宋"/>
          <w:b/>
          <w:bCs w:val="0"/>
          <w:sz w:val="28"/>
          <w:szCs w:val="28"/>
          <w:lang w:val="en-US" w:eastAsia="zh-CN"/>
        </w:rPr>
        <w:t>22</w:t>
      </w:r>
      <w:r>
        <w:rPr>
          <w:rFonts w:hint="eastAsia" w:ascii="仿宋" w:hAnsi="仿宋" w:eastAsia="仿宋" w:cs="仿宋"/>
          <w:b/>
          <w:bCs w:val="0"/>
          <w:sz w:val="28"/>
          <w:szCs w:val="28"/>
        </w:rPr>
        <w:t>年</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u w:val="single"/>
          <w:lang w:val="en-US" w:eastAsia="zh-CN"/>
        </w:rPr>
        <w:t xml:space="preserve">7 </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rPr>
        <w:t>月</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u w:val="single"/>
          <w:lang w:val="en-US" w:eastAsia="zh-CN"/>
        </w:rPr>
        <w:t xml:space="preserve"> 5</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rPr>
        <w:t>日</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u w:val="single"/>
          <w:lang w:val="en-US" w:eastAsia="zh-CN"/>
        </w:rPr>
        <w:t xml:space="preserve">10:00 </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rPr>
        <w:t>时踏勘现场。（无论报价单位是否踏勘，报价一经递交，均视为已踏勘）。</w:t>
      </w:r>
    </w:p>
    <w:p>
      <w:pPr>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七、</w:t>
      </w:r>
      <w:r>
        <w:rPr>
          <w:rFonts w:hint="eastAsia" w:ascii="仿宋" w:hAnsi="仿宋" w:eastAsia="仿宋" w:cs="仿宋"/>
          <w:b/>
          <w:bCs w:val="0"/>
          <w:sz w:val="28"/>
          <w:szCs w:val="28"/>
        </w:rPr>
        <w:t>对</w:t>
      </w:r>
      <w:r>
        <w:rPr>
          <w:rFonts w:hint="eastAsia" w:ascii="仿宋" w:hAnsi="仿宋" w:eastAsia="仿宋" w:cs="仿宋"/>
          <w:b/>
          <w:bCs w:val="0"/>
          <w:sz w:val="28"/>
          <w:szCs w:val="28"/>
          <w:lang w:eastAsia="zh-CN"/>
        </w:rPr>
        <w:t>竞争性</w:t>
      </w:r>
      <w:r>
        <w:rPr>
          <w:rFonts w:hint="eastAsia" w:ascii="仿宋" w:hAnsi="仿宋" w:eastAsia="仿宋" w:cs="仿宋"/>
          <w:b/>
          <w:bCs w:val="0"/>
          <w:sz w:val="28"/>
          <w:szCs w:val="28"/>
        </w:rPr>
        <w:t>比选采购文件提出问题的截止时间及比选采购人澄清补遗时间</w:t>
      </w:r>
    </w:p>
    <w:p>
      <w:pPr>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val="0"/>
          <w:color w:val="000000" w:themeColor="text1"/>
          <w:kern w:val="2"/>
          <w:sz w:val="28"/>
          <w:szCs w:val="28"/>
          <w:highlight w:val="none"/>
          <w14:textFill>
            <w14:solidFill>
              <w14:schemeClr w14:val="tx1"/>
            </w14:solidFill>
          </w14:textFill>
        </w:rPr>
      </w:pPr>
      <w:r>
        <w:rPr>
          <w:rFonts w:hint="eastAsia" w:ascii="仿宋" w:hAnsi="仿宋" w:eastAsia="仿宋" w:cs="仿宋"/>
          <w:b/>
          <w:bCs w:val="0"/>
          <w:color w:val="000000" w:themeColor="text1"/>
          <w:kern w:val="2"/>
          <w:sz w:val="28"/>
          <w:szCs w:val="28"/>
          <w:highlight w:val="none"/>
          <w14:textFill>
            <w14:solidFill>
              <w14:schemeClr w14:val="tx1"/>
            </w14:solidFill>
          </w14:textFill>
        </w:rPr>
        <w:t xml:space="preserve">7.1 </w:t>
      </w:r>
      <w:r>
        <w:rPr>
          <w:rFonts w:hint="eastAsia" w:ascii="仿宋" w:hAnsi="仿宋" w:eastAsia="仿宋" w:cs="仿宋"/>
          <w:b/>
          <w:kern w:val="2"/>
          <w:sz w:val="28"/>
          <w:szCs w:val="28"/>
          <w:lang w:eastAsia="zh-CN"/>
        </w:rPr>
        <w:t>竞争性</w:t>
      </w:r>
      <w:r>
        <w:rPr>
          <w:rFonts w:hint="eastAsia" w:ascii="仿宋" w:hAnsi="仿宋" w:eastAsia="仿宋" w:cs="仿宋"/>
          <w:b/>
          <w:bCs w:val="0"/>
          <w:color w:val="000000" w:themeColor="text1"/>
          <w:kern w:val="2"/>
          <w:sz w:val="28"/>
          <w:szCs w:val="28"/>
          <w:highlight w:val="none"/>
          <w14:textFill>
            <w14:solidFill>
              <w14:schemeClr w14:val="tx1"/>
            </w14:solidFill>
          </w14:textFill>
        </w:rPr>
        <w:t>比选响应人对</w:t>
      </w:r>
      <w:r>
        <w:rPr>
          <w:rFonts w:hint="eastAsia" w:ascii="仿宋" w:hAnsi="仿宋" w:eastAsia="仿宋" w:cs="仿宋"/>
          <w:b/>
          <w:kern w:val="2"/>
          <w:sz w:val="28"/>
          <w:szCs w:val="28"/>
          <w:lang w:eastAsia="zh-CN"/>
        </w:rPr>
        <w:t>竞争性</w:t>
      </w:r>
      <w:r>
        <w:rPr>
          <w:rFonts w:hint="eastAsia" w:ascii="仿宋" w:hAnsi="仿宋" w:eastAsia="仿宋" w:cs="仿宋"/>
          <w:b/>
          <w:bCs w:val="0"/>
          <w:color w:val="000000" w:themeColor="text1"/>
          <w:kern w:val="2"/>
          <w:sz w:val="28"/>
          <w:szCs w:val="28"/>
          <w:highlight w:val="none"/>
          <w14:textFill>
            <w14:solidFill>
              <w14:schemeClr w14:val="tx1"/>
            </w14:solidFill>
          </w14:textFill>
        </w:rPr>
        <w:t>比选采购文件如有疑问，须于</w:t>
      </w:r>
      <w:r>
        <w:rPr>
          <w:rFonts w:hint="eastAsia" w:ascii="仿宋" w:hAnsi="仿宋" w:eastAsia="仿宋" w:cs="仿宋"/>
          <w:b/>
          <w:bCs w:val="0"/>
          <w:color w:val="000000" w:themeColor="text1"/>
          <w:kern w:val="2"/>
          <w:sz w:val="28"/>
          <w:szCs w:val="28"/>
          <w:highlight w:val="none"/>
          <w:lang w:val="en-US" w:eastAsia="zh-CN"/>
          <w14:textFill>
            <w14:solidFill>
              <w14:schemeClr w14:val="tx1"/>
            </w14:solidFill>
          </w14:textFill>
        </w:rPr>
        <w:t>2022</w:t>
      </w:r>
      <w:r>
        <w:rPr>
          <w:rFonts w:hint="eastAsia" w:ascii="仿宋" w:hAnsi="仿宋" w:eastAsia="仿宋" w:cs="仿宋"/>
          <w:b/>
          <w:bCs w:val="0"/>
          <w:color w:val="000000" w:themeColor="text1"/>
          <w:kern w:val="2"/>
          <w:sz w:val="28"/>
          <w:szCs w:val="28"/>
          <w:highlight w:val="none"/>
          <w14:textFill>
            <w14:solidFill>
              <w14:schemeClr w14:val="tx1"/>
            </w14:solidFill>
          </w14:textFill>
        </w:rPr>
        <w:t>年</w:t>
      </w:r>
      <w:r>
        <w:rPr>
          <w:rFonts w:hint="eastAsia" w:ascii="仿宋" w:hAnsi="仿宋" w:eastAsia="仿宋" w:cs="仿宋"/>
          <w:b/>
          <w:bCs w:val="0"/>
          <w:color w:val="000000" w:themeColor="text1"/>
          <w:kern w:val="2"/>
          <w:sz w:val="28"/>
          <w:szCs w:val="28"/>
          <w:highlight w:val="none"/>
          <w:lang w:val="en-US" w:eastAsia="zh-CN"/>
          <w14:textFill>
            <w14:solidFill>
              <w14:schemeClr w14:val="tx1"/>
            </w14:solidFill>
          </w14:textFill>
        </w:rPr>
        <w:t>7</w:t>
      </w:r>
      <w:r>
        <w:rPr>
          <w:rFonts w:hint="eastAsia" w:ascii="仿宋" w:hAnsi="仿宋" w:eastAsia="仿宋" w:cs="仿宋"/>
          <w:b/>
          <w:bCs w:val="0"/>
          <w:color w:val="000000" w:themeColor="text1"/>
          <w:kern w:val="2"/>
          <w:sz w:val="28"/>
          <w:szCs w:val="28"/>
          <w:highlight w:val="none"/>
          <w14:textFill>
            <w14:solidFill>
              <w14:schemeClr w14:val="tx1"/>
            </w14:solidFill>
          </w14:textFill>
        </w:rPr>
        <w:t>月</w:t>
      </w:r>
      <w:r>
        <w:rPr>
          <w:rFonts w:hint="eastAsia" w:ascii="仿宋" w:hAnsi="仿宋" w:eastAsia="仿宋" w:cs="仿宋"/>
          <w:b/>
          <w:bCs w:val="0"/>
          <w:kern w:val="2"/>
          <w:sz w:val="28"/>
          <w:szCs w:val="28"/>
          <w:u w:val="single"/>
          <w:lang w:val="en-US" w:eastAsia="zh-CN"/>
        </w:rPr>
        <w:t xml:space="preserve"> 6</w:t>
      </w:r>
      <w:r>
        <w:rPr>
          <w:rFonts w:hint="eastAsia" w:ascii="仿宋" w:hAnsi="仿宋" w:eastAsia="仿宋" w:cs="仿宋"/>
          <w:b/>
          <w:bCs w:val="0"/>
          <w:kern w:val="2"/>
          <w:sz w:val="28"/>
          <w:szCs w:val="28"/>
          <w:highlight w:val="none"/>
          <w:u w:val="single"/>
          <w:lang w:val="en-US" w:eastAsia="zh-CN"/>
        </w:rPr>
        <w:t xml:space="preserve"> </w:t>
      </w:r>
      <w:r>
        <w:rPr>
          <w:rFonts w:hint="eastAsia" w:ascii="仿宋" w:hAnsi="仿宋" w:eastAsia="仿宋" w:cs="仿宋"/>
          <w:b/>
          <w:bCs w:val="0"/>
          <w:color w:val="000000" w:themeColor="text1"/>
          <w:kern w:val="2"/>
          <w:sz w:val="28"/>
          <w:szCs w:val="28"/>
          <w:highlight w:val="none"/>
          <w14:textFill>
            <w14:solidFill>
              <w14:schemeClr w14:val="tx1"/>
            </w14:solidFill>
          </w14:textFill>
        </w:rPr>
        <w:t>日17：00前将疑问函（加盖单位鲜公章的扫描件）以电子邮件形式发至</w:t>
      </w:r>
      <w:r>
        <w:rPr>
          <w:rFonts w:hint="eastAsia" w:ascii="仿宋" w:hAnsi="仿宋" w:eastAsia="仿宋" w:cs="仿宋"/>
          <w:b/>
          <w:kern w:val="2"/>
          <w:sz w:val="28"/>
          <w:szCs w:val="28"/>
          <w:lang w:eastAsia="zh-CN"/>
        </w:rPr>
        <w:t>竞争性</w:t>
      </w:r>
      <w:r>
        <w:rPr>
          <w:rFonts w:hint="eastAsia" w:ascii="仿宋" w:hAnsi="仿宋" w:eastAsia="仿宋" w:cs="仿宋"/>
          <w:b/>
          <w:bCs w:val="0"/>
          <w:color w:val="000000" w:themeColor="text1"/>
          <w:kern w:val="2"/>
          <w:sz w:val="28"/>
          <w:szCs w:val="28"/>
          <w:highlight w:val="none"/>
          <w14:textFill>
            <w14:solidFill>
              <w14:schemeClr w14:val="tx1"/>
            </w14:solidFill>
          </w14:textFill>
        </w:rPr>
        <w:t>比选采购人电子邮箱</w:t>
      </w:r>
      <w:r>
        <w:rPr>
          <w:rFonts w:hint="eastAsia" w:ascii="仿宋" w:hAnsi="仿宋" w:eastAsia="仿宋" w:cs="仿宋"/>
          <w:b/>
          <w:bCs w:val="0"/>
          <w:kern w:val="2"/>
          <w:sz w:val="28"/>
          <w:szCs w:val="28"/>
          <w:highlight w:val="none"/>
          <w:lang w:val="en-US" w:eastAsia="zh-CN"/>
        </w:rPr>
        <w:t>dlnycgb</w:t>
      </w:r>
      <w:r>
        <w:rPr>
          <w:rFonts w:hint="eastAsia" w:ascii="仿宋" w:hAnsi="仿宋" w:eastAsia="仿宋" w:cs="仿宋"/>
          <w:b/>
          <w:bCs w:val="0"/>
          <w:color w:val="000000" w:themeColor="text1"/>
          <w:kern w:val="2"/>
          <w:sz w:val="28"/>
          <w:szCs w:val="28"/>
          <w:highlight w:val="none"/>
          <w:lang w:val="en-US" w:eastAsia="zh-CN"/>
          <w14:textFill>
            <w14:solidFill>
              <w14:schemeClr w14:val="tx1"/>
            </w14:solidFill>
          </w14:textFill>
        </w:rPr>
        <w:t>@163.com</w:t>
      </w:r>
      <w:r>
        <w:rPr>
          <w:rFonts w:hint="eastAsia" w:ascii="仿宋" w:hAnsi="仿宋" w:eastAsia="仿宋" w:cs="仿宋"/>
          <w:b/>
          <w:bCs w:val="0"/>
          <w:color w:val="000000" w:themeColor="text1"/>
          <w:kern w:val="2"/>
          <w:sz w:val="28"/>
          <w:szCs w:val="28"/>
          <w:highlight w:val="none"/>
          <w14:textFill>
            <w14:solidFill>
              <w14:schemeClr w14:val="tx1"/>
            </w14:solidFill>
          </w14:textFill>
        </w:rPr>
        <w:t>，并电话通知</w:t>
      </w:r>
      <w:r>
        <w:rPr>
          <w:rFonts w:hint="eastAsia" w:ascii="仿宋" w:hAnsi="仿宋" w:eastAsia="仿宋" w:cs="仿宋"/>
          <w:b/>
          <w:kern w:val="2"/>
          <w:sz w:val="28"/>
          <w:szCs w:val="28"/>
          <w:lang w:eastAsia="zh-CN"/>
        </w:rPr>
        <w:t>竞争性</w:t>
      </w:r>
      <w:r>
        <w:rPr>
          <w:rFonts w:hint="eastAsia" w:ascii="仿宋" w:hAnsi="仿宋" w:eastAsia="仿宋" w:cs="仿宋"/>
          <w:b/>
          <w:bCs w:val="0"/>
          <w:color w:val="000000" w:themeColor="text1"/>
          <w:kern w:val="2"/>
          <w:sz w:val="28"/>
          <w:szCs w:val="28"/>
          <w:highlight w:val="none"/>
          <w14:textFill>
            <w14:solidFill>
              <w14:schemeClr w14:val="tx1"/>
            </w14:solidFill>
          </w14:textFill>
        </w:rPr>
        <w:t>比选采购人，过期不再受理。采购人将在</w:t>
      </w:r>
      <w:r>
        <w:rPr>
          <w:rFonts w:hint="eastAsia" w:ascii="仿宋" w:hAnsi="仿宋" w:eastAsia="仿宋" w:cs="仿宋"/>
          <w:b/>
          <w:kern w:val="2"/>
          <w:sz w:val="28"/>
          <w:szCs w:val="28"/>
          <w:lang w:eastAsia="zh-CN"/>
        </w:rPr>
        <w:t>竞争性</w:t>
      </w:r>
      <w:r>
        <w:rPr>
          <w:rFonts w:hint="eastAsia" w:ascii="仿宋" w:hAnsi="仿宋" w:eastAsia="仿宋" w:cs="仿宋"/>
          <w:b/>
          <w:bCs w:val="0"/>
          <w:color w:val="000000" w:themeColor="text1"/>
          <w:kern w:val="2"/>
          <w:sz w:val="28"/>
          <w:szCs w:val="28"/>
          <w:highlight w:val="none"/>
          <w14:textFill>
            <w14:solidFill>
              <w14:schemeClr w14:val="tx1"/>
            </w14:solidFill>
          </w14:textFill>
        </w:rPr>
        <w:t>比选采购文件提问截止时间后及时组织答疑，答疑内容在重庆机场集团有限公司官方网站（www.cqa.cn）以公告形式发布。</w:t>
      </w:r>
    </w:p>
    <w:p>
      <w:pPr>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val="0"/>
          <w:color w:val="000000" w:themeColor="text1"/>
          <w:kern w:val="2"/>
          <w:sz w:val="28"/>
          <w:szCs w:val="28"/>
          <w:highlight w:val="none"/>
          <w14:textFill>
            <w14:solidFill>
              <w14:schemeClr w14:val="tx1"/>
            </w14:solidFill>
          </w14:textFill>
        </w:rPr>
      </w:pPr>
      <w:r>
        <w:rPr>
          <w:rFonts w:hint="eastAsia" w:ascii="仿宋" w:hAnsi="仿宋" w:eastAsia="仿宋" w:cs="仿宋"/>
          <w:b/>
          <w:bCs w:val="0"/>
          <w:color w:val="000000" w:themeColor="text1"/>
          <w:kern w:val="2"/>
          <w:sz w:val="28"/>
          <w:szCs w:val="28"/>
          <w:highlight w:val="none"/>
          <w14:textFill>
            <w14:solidFill>
              <w14:schemeClr w14:val="tx1"/>
            </w14:solidFill>
          </w14:textFill>
        </w:rPr>
        <w:t xml:space="preserve">7.2 </w:t>
      </w:r>
      <w:r>
        <w:rPr>
          <w:rFonts w:hint="eastAsia" w:ascii="仿宋" w:hAnsi="仿宋" w:eastAsia="仿宋" w:cs="仿宋"/>
          <w:b/>
          <w:kern w:val="2"/>
          <w:sz w:val="28"/>
          <w:szCs w:val="28"/>
          <w:lang w:eastAsia="zh-CN"/>
        </w:rPr>
        <w:t>竞争性</w:t>
      </w:r>
      <w:r>
        <w:rPr>
          <w:rFonts w:hint="eastAsia" w:ascii="仿宋" w:hAnsi="仿宋" w:eastAsia="仿宋" w:cs="仿宋"/>
          <w:b/>
          <w:bCs w:val="0"/>
          <w:color w:val="000000" w:themeColor="text1"/>
          <w:kern w:val="2"/>
          <w:sz w:val="28"/>
          <w:szCs w:val="28"/>
          <w:highlight w:val="none"/>
          <w14:textFill>
            <w14:solidFill>
              <w14:schemeClr w14:val="tx1"/>
            </w14:solidFill>
          </w14:textFill>
        </w:rPr>
        <w:t>采购人对</w:t>
      </w:r>
      <w:r>
        <w:rPr>
          <w:rFonts w:hint="eastAsia" w:ascii="仿宋" w:hAnsi="仿宋" w:eastAsia="仿宋" w:cs="仿宋"/>
          <w:b/>
          <w:kern w:val="2"/>
          <w:sz w:val="28"/>
          <w:szCs w:val="28"/>
          <w:lang w:eastAsia="zh-CN"/>
        </w:rPr>
        <w:t>竞争性</w:t>
      </w:r>
      <w:r>
        <w:rPr>
          <w:rFonts w:hint="eastAsia" w:ascii="仿宋" w:hAnsi="仿宋" w:eastAsia="仿宋" w:cs="仿宋"/>
          <w:b/>
          <w:bCs w:val="0"/>
          <w:color w:val="000000" w:themeColor="text1"/>
          <w:kern w:val="2"/>
          <w:sz w:val="28"/>
          <w:szCs w:val="28"/>
          <w:highlight w:val="none"/>
          <w14:textFill>
            <w14:solidFill>
              <w14:schemeClr w14:val="tx1"/>
            </w14:solidFill>
          </w14:textFill>
        </w:rPr>
        <w:t>比选采购文件澄清、补遗的内容在</w:t>
      </w:r>
      <w:r>
        <w:rPr>
          <w:rFonts w:hint="eastAsia" w:ascii="仿宋" w:hAnsi="仿宋" w:eastAsia="仿宋" w:cs="仿宋"/>
          <w:b/>
          <w:bCs w:val="0"/>
          <w:color w:val="000000" w:themeColor="text1"/>
          <w:kern w:val="2"/>
          <w:sz w:val="28"/>
          <w:szCs w:val="28"/>
          <w:highlight w:val="none"/>
          <w:lang w:val="en-US" w:eastAsia="zh-CN"/>
          <w14:textFill>
            <w14:solidFill>
              <w14:schemeClr w14:val="tx1"/>
            </w14:solidFill>
          </w14:textFill>
        </w:rPr>
        <w:t>2022</w:t>
      </w:r>
      <w:r>
        <w:rPr>
          <w:rFonts w:hint="eastAsia" w:ascii="仿宋" w:hAnsi="仿宋" w:eastAsia="仿宋" w:cs="仿宋"/>
          <w:b/>
          <w:bCs w:val="0"/>
          <w:color w:val="000000" w:themeColor="text1"/>
          <w:kern w:val="2"/>
          <w:sz w:val="28"/>
          <w:szCs w:val="28"/>
          <w:highlight w:val="none"/>
          <w14:textFill>
            <w14:solidFill>
              <w14:schemeClr w14:val="tx1"/>
            </w14:solidFill>
          </w14:textFill>
        </w:rPr>
        <w:t>年</w:t>
      </w:r>
      <w:r>
        <w:rPr>
          <w:rFonts w:hint="eastAsia" w:ascii="仿宋" w:hAnsi="仿宋" w:eastAsia="仿宋" w:cs="仿宋"/>
          <w:b/>
          <w:bCs w:val="0"/>
          <w:color w:val="000000" w:themeColor="text1"/>
          <w:kern w:val="2"/>
          <w:sz w:val="28"/>
          <w:szCs w:val="28"/>
          <w:highlight w:val="none"/>
          <w:lang w:val="en-US" w:eastAsia="zh-CN"/>
          <w14:textFill>
            <w14:solidFill>
              <w14:schemeClr w14:val="tx1"/>
            </w14:solidFill>
          </w14:textFill>
        </w:rPr>
        <w:t>7</w:t>
      </w:r>
      <w:r>
        <w:rPr>
          <w:rFonts w:hint="eastAsia" w:ascii="仿宋" w:hAnsi="仿宋" w:eastAsia="仿宋" w:cs="仿宋"/>
          <w:b/>
          <w:bCs w:val="0"/>
          <w:kern w:val="2"/>
          <w:sz w:val="28"/>
          <w:szCs w:val="28"/>
          <w:highlight w:val="none"/>
          <w:u w:val="single"/>
          <w:lang w:val="en-US" w:eastAsia="zh-CN"/>
        </w:rPr>
        <w:t xml:space="preserve"> </w:t>
      </w:r>
      <w:r>
        <w:rPr>
          <w:rFonts w:hint="eastAsia" w:ascii="仿宋" w:hAnsi="仿宋" w:eastAsia="仿宋" w:cs="仿宋"/>
          <w:b/>
          <w:bCs w:val="0"/>
          <w:color w:val="000000" w:themeColor="text1"/>
          <w:kern w:val="2"/>
          <w:sz w:val="28"/>
          <w:szCs w:val="28"/>
          <w:highlight w:val="none"/>
          <w14:textFill>
            <w14:solidFill>
              <w14:schemeClr w14:val="tx1"/>
            </w14:solidFill>
          </w14:textFill>
        </w:rPr>
        <w:t>月</w:t>
      </w:r>
      <w:r>
        <w:rPr>
          <w:rFonts w:hint="eastAsia" w:ascii="仿宋" w:hAnsi="仿宋" w:eastAsia="仿宋" w:cs="仿宋"/>
          <w:b/>
          <w:bCs w:val="0"/>
          <w:color w:val="000000" w:themeColor="text1"/>
          <w:kern w:val="2"/>
          <w:sz w:val="28"/>
          <w:szCs w:val="28"/>
          <w:highlight w:val="none"/>
          <w:lang w:val="en-US" w:eastAsia="zh-CN"/>
          <w14:textFill>
            <w14:solidFill>
              <w14:schemeClr w14:val="tx1"/>
            </w14:solidFill>
          </w14:textFill>
        </w:rPr>
        <w:t>7</w:t>
      </w:r>
      <w:r>
        <w:rPr>
          <w:rFonts w:hint="eastAsia" w:ascii="仿宋" w:hAnsi="仿宋" w:eastAsia="仿宋" w:cs="仿宋"/>
          <w:b/>
          <w:bCs w:val="0"/>
          <w:color w:val="000000" w:themeColor="text1"/>
          <w:kern w:val="2"/>
          <w:sz w:val="28"/>
          <w:szCs w:val="28"/>
          <w:highlight w:val="none"/>
          <w14:textFill>
            <w14:solidFill>
              <w14:schemeClr w14:val="tx1"/>
            </w14:solidFill>
          </w14:textFill>
        </w:rPr>
        <w:t>日17：00前在重庆机场集团有限公司官方网站（www.cqa.cn）以公告形式发布。</w:t>
      </w:r>
    </w:p>
    <w:p>
      <w:pPr>
        <w:snapToGrid/>
        <w:spacing w:line="240" w:lineRule="auto"/>
        <w:ind w:firstLine="562" w:firstLineChars="200"/>
        <w:rPr>
          <w:rFonts w:hint="eastAsia" w:ascii="仿宋" w:hAnsi="仿宋" w:eastAsia="仿宋" w:cs="仿宋"/>
          <w:b/>
          <w:bCs w:val="0"/>
          <w:sz w:val="28"/>
          <w:szCs w:val="28"/>
          <w:highlight w:val="none"/>
        </w:rPr>
      </w:pPr>
      <w:r>
        <w:rPr>
          <w:rFonts w:hint="eastAsia" w:ascii="仿宋" w:hAnsi="仿宋" w:eastAsia="仿宋" w:cs="仿宋"/>
          <w:b/>
          <w:bCs w:val="0"/>
          <w:color w:val="000000" w:themeColor="text1"/>
          <w:kern w:val="2"/>
          <w:sz w:val="28"/>
          <w:szCs w:val="28"/>
          <w:highlight w:val="none"/>
          <w14:textFill>
            <w14:solidFill>
              <w14:schemeClr w14:val="tx1"/>
            </w14:solidFill>
          </w14:textFill>
        </w:rPr>
        <w:t>注：各</w:t>
      </w:r>
      <w:r>
        <w:rPr>
          <w:rFonts w:hint="eastAsia" w:ascii="仿宋" w:hAnsi="仿宋" w:eastAsia="仿宋" w:cs="仿宋"/>
          <w:b/>
          <w:bCs w:val="0"/>
          <w:kern w:val="2"/>
          <w:sz w:val="28"/>
          <w:szCs w:val="28"/>
          <w:lang w:eastAsia="zh-CN"/>
        </w:rPr>
        <w:t>竞争性</w:t>
      </w:r>
      <w:r>
        <w:rPr>
          <w:rFonts w:hint="eastAsia" w:ascii="仿宋" w:hAnsi="仿宋" w:eastAsia="仿宋" w:cs="仿宋"/>
          <w:b/>
          <w:bCs w:val="0"/>
          <w:color w:val="000000" w:themeColor="text1"/>
          <w:kern w:val="2"/>
          <w:sz w:val="28"/>
          <w:szCs w:val="28"/>
          <w:highlight w:val="none"/>
          <w14:textFill>
            <w14:solidFill>
              <w14:schemeClr w14:val="tx1"/>
            </w14:solidFill>
          </w14:textFill>
        </w:rPr>
        <w:t>比选响应人应当随时关注重庆机场集团有限公司官方网站（www.cqa.cn）所发布的相关答疑、澄清或补遗资料，各</w:t>
      </w:r>
      <w:r>
        <w:rPr>
          <w:rFonts w:hint="eastAsia" w:ascii="仿宋" w:hAnsi="仿宋" w:eastAsia="仿宋" w:cs="仿宋"/>
          <w:b/>
          <w:bCs w:val="0"/>
          <w:kern w:val="2"/>
          <w:sz w:val="28"/>
          <w:szCs w:val="28"/>
          <w:lang w:eastAsia="zh-CN"/>
        </w:rPr>
        <w:t>竞争性</w:t>
      </w:r>
      <w:r>
        <w:rPr>
          <w:rFonts w:hint="eastAsia" w:ascii="仿宋" w:hAnsi="仿宋" w:eastAsia="仿宋" w:cs="仿宋"/>
          <w:b/>
          <w:bCs w:val="0"/>
          <w:color w:val="000000" w:themeColor="text1"/>
          <w:kern w:val="2"/>
          <w:sz w:val="28"/>
          <w:szCs w:val="28"/>
          <w:highlight w:val="none"/>
          <w14:textFill>
            <w14:solidFill>
              <w14:schemeClr w14:val="tx1"/>
            </w14:solidFill>
          </w14:textFill>
        </w:rPr>
        <w:t>比选响应人不管下载与否都将被视为已知晓。由此产生的一切后果由</w:t>
      </w:r>
      <w:r>
        <w:rPr>
          <w:rFonts w:hint="eastAsia" w:ascii="仿宋" w:hAnsi="仿宋" w:eastAsia="仿宋" w:cs="仿宋"/>
          <w:b/>
          <w:bCs w:val="0"/>
          <w:kern w:val="2"/>
          <w:sz w:val="28"/>
          <w:szCs w:val="28"/>
          <w:lang w:eastAsia="zh-CN"/>
        </w:rPr>
        <w:t>竞争性</w:t>
      </w:r>
      <w:r>
        <w:rPr>
          <w:rFonts w:hint="eastAsia" w:ascii="仿宋" w:hAnsi="仿宋" w:eastAsia="仿宋" w:cs="仿宋"/>
          <w:b/>
          <w:bCs w:val="0"/>
          <w:color w:val="000000" w:themeColor="text1"/>
          <w:kern w:val="2"/>
          <w:sz w:val="28"/>
          <w:szCs w:val="28"/>
          <w:highlight w:val="none"/>
          <w14:textFill>
            <w14:solidFill>
              <w14:schemeClr w14:val="tx1"/>
            </w14:solidFill>
          </w14:textFill>
        </w:rPr>
        <w:t>比选响应人自负。</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highlight w:val="none"/>
          <w:lang w:eastAsia="zh-CN"/>
        </w:rPr>
        <w:t>竞争性比选</w:t>
      </w:r>
      <w:r>
        <w:rPr>
          <w:rFonts w:hint="eastAsia" w:ascii="仿宋" w:hAnsi="仿宋" w:eastAsia="仿宋" w:cs="仿宋"/>
          <w:b/>
          <w:sz w:val="28"/>
          <w:szCs w:val="28"/>
          <w:highlight w:val="none"/>
        </w:rPr>
        <w:t>有效期：</w:t>
      </w:r>
      <w:r>
        <w:rPr>
          <w:rFonts w:hint="eastAsia" w:ascii="仿宋" w:hAnsi="仿宋" w:eastAsia="仿宋" w:cs="仿宋"/>
          <w:b/>
          <w:sz w:val="28"/>
          <w:szCs w:val="28"/>
          <w:highlight w:val="none"/>
          <w:u w:val="single"/>
        </w:rPr>
        <w:t xml:space="preserve">  90  </w:t>
      </w:r>
      <w:r>
        <w:rPr>
          <w:rFonts w:hint="eastAsia" w:ascii="仿宋" w:hAnsi="仿宋" w:eastAsia="仿宋" w:cs="仿宋"/>
          <w:b/>
          <w:sz w:val="28"/>
          <w:szCs w:val="28"/>
          <w:highlight w:val="none"/>
        </w:rPr>
        <w:t>日历天（根据</w:t>
      </w:r>
      <w:r>
        <w:rPr>
          <w:rFonts w:hint="eastAsia" w:ascii="仿宋" w:hAnsi="仿宋" w:eastAsia="仿宋" w:cs="仿宋"/>
          <w:b/>
          <w:sz w:val="28"/>
          <w:szCs w:val="28"/>
        </w:rPr>
        <w:t>实际需求确定）</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时间、地点及结果通知</w:t>
      </w:r>
    </w:p>
    <w:p>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bottom"/>
        <w:outlineLvl w:val="9"/>
        <w:rPr>
          <w:rFonts w:ascii="仿宋" w:hAnsi="仿宋" w:eastAsia="仿宋"/>
          <w:kern w:val="0"/>
          <w:sz w:val="28"/>
          <w:szCs w:val="28"/>
        </w:rPr>
      </w:pPr>
      <w:r>
        <w:rPr>
          <w:rFonts w:ascii="仿宋" w:hAnsi="仿宋" w:eastAsia="仿宋"/>
          <w:sz w:val="28"/>
          <w:szCs w:val="28"/>
        </w:rPr>
        <w:t>1.</w:t>
      </w:r>
      <w:r>
        <w:rPr>
          <w:rFonts w:hint="eastAsia" w:ascii="仿宋" w:hAnsi="仿宋" w:eastAsia="仿宋"/>
          <w:sz w:val="28"/>
          <w:szCs w:val="28"/>
          <w:u w:val="single"/>
          <w:lang w:eastAsia="zh-CN"/>
        </w:rPr>
        <w:t>2022</w:t>
      </w:r>
      <w:r>
        <w:rPr>
          <w:rFonts w:hint="eastAsia" w:ascii="仿宋" w:hAnsi="仿宋" w:eastAsia="仿宋"/>
          <w:sz w:val="28"/>
          <w:szCs w:val="28"/>
          <w:u w:val="single"/>
        </w:rPr>
        <w:t xml:space="preserve">年 </w:t>
      </w:r>
      <w:r>
        <w:rPr>
          <w:rFonts w:hint="eastAsia" w:ascii="仿宋" w:hAnsi="仿宋" w:eastAsia="仿宋"/>
          <w:sz w:val="28"/>
          <w:szCs w:val="28"/>
          <w:u w:val="single"/>
          <w:lang w:val="en-US" w:eastAsia="zh-CN"/>
        </w:rPr>
        <w:t>7</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11</w:t>
      </w:r>
      <w:r>
        <w:rPr>
          <w:rFonts w:ascii="仿宋" w:hAnsi="仿宋" w:eastAsia="仿宋"/>
          <w:sz w:val="28"/>
          <w:szCs w:val="28"/>
          <w:u w:val="single"/>
        </w:rPr>
        <w:t xml:space="preserve"> </w:t>
      </w:r>
      <w:r>
        <w:rPr>
          <w:rFonts w:hint="eastAsia" w:ascii="仿宋" w:hAnsi="仿宋" w:eastAsia="仿宋"/>
          <w:sz w:val="28"/>
          <w:szCs w:val="28"/>
          <w:u w:val="single"/>
        </w:rPr>
        <w:t>日</w:t>
      </w:r>
      <w:r>
        <w:rPr>
          <w:rFonts w:ascii="仿宋" w:hAnsi="仿宋" w:eastAsia="仿宋"/>
          <w:sz w:val="28"/>
          <w:szCs w:val="28"/>
          <w:u w:val="single"/>
        </w:rPr>
        <w:t xml:space="preserve"> </w:t>
      </w:r>
      <w:r>
        <w:rPr>
          <w:rFonts w:hint="eastAsia" w:ascii="仿宋" w:hAnsi="仿宋" w:eastAsia="仿宋"/>
          <w:sz w:val="28"/>
          <w:szCs w:val="28"/>
          <w:u w:val="single"/>
          <w:lang w:val="en-US" w:eastAsia="zh-CN"/>
        </w:rPr>
        <w:t>10:00</w:t>
      </w:r>
      <w:r>
        <w:rPr>
          <w:rFonts w:ascii="仿宋" w:hAnsi="仿宋" w:eastAsia="仿宋"/>
          <w:sz w:val="28"/>
          <w:szCs w:val="28"/>
          <w:u w:val="single"/>
        </w:rPr>
        <w:t xml:space="preserve">  </w:t>
      </w:r>
      <w:r>
        <w:rPr>
          <w:rFonts w:hint="eastAsia" w:ascii="仿宋" w:hAnsi="仿宋" w:eastAsia="仿宋"/>
          <w:sz w:val="28"/>
          <w:szCs w:val="28"/>
        </w:rPr>
        <w:t>时在重庆机场集团公司动力能源保障部（机场东路3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w:t>
      </w:r>
      <w:r>
        <w:rPr>
          <w:rFonts w:hint="eastAsia" w:ascii="仿宋" w:hAnsi="仿宋" w:eastAsia="仿宋"/>
          <w:sz w:val="28"/>
          <w:szCs w:val="28"/>
          <w:lang w:eastAsia="zh-CN"/>
        </w:rPr>
        <w:t>请</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p>
    <w:p>
      <w:pPr>
        <w:keepNext w:val="0"/>
        <w:keepLines w:val="0"/>
        <w:pageBreakBefore w:val="0"/>
        <w:numPr>
          <w:ilvl w:val="-1"/>
          <w:numId w:val="0"/>
        </w:numPr>
        <w:kinsoku/>
        <w:wordWrap/>
        <w:overflowPunct/>
        <w:topLinePunct w:val="0"/>
        <w:autoSpaceDE w:val="0"/>
        <w:autoSpaceDN w:val="0"/>
        <w:bidi w:val="0"/>
        <w:adjustRightInd w:val="0"/>
        <w:snapToGrid w:val="0"/>
        <w:spacing w:line="360" w:lineRule="auto"/>
        <w:ind w:firstLine="560" w:firstLineChars="200"/>
        <w:textAlignment w:val="bottom"/>
        <w:outlineLvl w:val="9"/>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公布</w:t>
      </w:r>
      <w:r>
        <w:rPr>
          <w:rFonts w:hint="eastAsia" w:ascii="仿宋" w:hAnsi="仿宋" w:eastAsia="仿宋"/>
          <w:sz w:val="28"/>
          <w:szCs w:val="28"/>
          <w:highlight w:val="none"/>
          <w:lang w:eastAsia="zh-CN"/>
        </w:rPr>
        <w:t>竞争性比选</w:t>
      </w:r>
      <w:r>
        <w:rPr>
          <w:rFonts w:hint="eastAsia" w:ascii="仿宋" w:hAnsi="仿宋" w:eastAsia="仿宋"/>
          <w:sz w:val="28"/>
          <w:szCs w:val="28"/>
          <w:highlight w:val="none"/>
        </w:rPr>
        <w:t>结果时间：</w:t>
      </w:r>
      <w:r>
        <w:rPr>
          <w:rFonts w:hint="eastAsia" w:ascii="仿宋" w:hAnsi="仿宋" w:eastAsia="仿宋"/>
          <w:sz w:val="28"/>
          <w:szCs w:val="28"/>
          <w:highlight w:val="none"/>
          <w:lang w:eastAsia="zh-CN"/>
        </w:rPr>
        <w:t>拟成交结果将公示在重庆机场集团有限公司官方网站（www.cqa.cn），待结果确定后会及时通知，原则上只通知被选中的竞争性比选响应人，对未被选中的竞争性比选响应人不通知、不解释，响应文件不予退还。</w:t>
      </w:r>
      <w:r>
        <w:rPr>
          <w:rFonts w:hint="eastAsia" w:ascii="仿宋" w:hAnsi="仿宋" w:eastAsia="仿宋"/>
          <w:color w:val="000000" w:themeColor="text1"/>
          <w:sz w:val="28"/>
          <w:szCs w:val="28"/>
          <w:highlight w:val="none"/>
          <w14:textFill>
            <w14:solidFill>
              <w14:schemeClr w14:val="tx1"/>
            </w14:solidFill>
          </w14:textFill>
        </w:rPr>
        <w:t>若</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响应人</w:t>
      </w:r>
      <w:r>
        <w:rPr>
          <w:rFonts w:hint="eastAsia" w:ascii="仿宋" w:hAnsi="仿宋" w:eastAsia="仿宋"/>
          <w:color w:val="000000" w:themeColor="text1"/>
          <w:sz w:val="28"/>
          <w:szCs w:val="28"/>
          <w:highlight w:val="none"/>
          <w14:textFill>
            <w14:solidFill>
              <w14:schemeClr w14:val="tx1"/>
            </w14:solidFill>
          </w14:textFill>
        </w:rPr>
        <w:t>对</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结果有异议，可在</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结束之日起</w:t>
      </w:r>
      <w:r>
        <w:rPr>
          <w:rFonts w:hint="eastAsia" w:ascii="仿宋" w:hAnsi="仿宋" w:eastAsia="仿宋"/>
          <w:color w:val="000000" w:themeColor="text1"/>
          <w:sz w:val="28"/>
          <w:szCs w:val="28"/>
          <w:highlight w:val="none"/>
          <w14:textFill>
            <w14:solidFill>
              <w14:schemeClr w14:val="tx1"/>
            </w14:solidFill>
          </w14:textFill>
        </w:rPr>
        <w:t>5个自然日</w:t>
      </w:r>
      <w:r>
        <w:rPr>
          <w:rFonts w:ascii="仿宋" w:hAnsi="仿宋" w:eastAsia="仿宋"/>
          <w:color w:val="000000" w:themeColor="text1"/>
          <w:sz w:val="28"/>
          <w:szCs w:val="28"/>
          <w:highlight w:val="none"/>
          <w14:textFill>
            <w14:solidFill>
              <w14:schemeClr w14:val="tx1"/>
            </w14:solidFill>
          </w14:textFill>
        </w:rPr>
        <w:t>内</w:t>
      </w:r>
      <w:r>
        <w:rPr>
          <w:rFonts w:hint="eastAsia" w:ascii="仿宋" w:hAnsi="仿宋" w:eastAsia="仿宋"/>
          <w:color w:val="000000" w:themeColor="text1"/>
          <w:sz w:val="28"/>
          <w:szCs w:val="28"/>
          <w:highlight w:val="none"/>
          <w14:textFill>
            <w14:solidFill>
              <w14:schemeClr w14:val="tx1"/>
            </w14:solidFill>
          </w14:textFill>
        </w:rPr>
        <w:t>提出书面</w:t>
      </w:r>
      <w:r>
        <w:rPr>
          <w:rFonts w:ascii="仿宋" w:hAnsi="仿宋" w:eastAsia="仿宋"/>
          <w:color w:val="000000" w:themeColor="text1"/>
          <w:sz w:val="28"/>
          <w:szCs w:val="28"/>
          <w:highlight w:val="none"/>
          <w14:textFill>
            <w14:solidFill>
              <w14:schemeClr w14:val="tx1"/>
            </w14:solidFill>
          </w14:textFill>
        </w:rPr>
        <w:t>异议，过期不予受理</w:t>
      </w:r>
      <w:r>
        <w:rPr>
          <w:rFonts w:hint="eastAsia" w:ascii="仿宋" w:hAnsi="仿宋" w:eastAsia="仿宋"/>
          <w:color w:val="000000" w:themeColor="text1"/>
          <w:sz w:val="28"/>
          <w:szCs w:val="28"/>
          <w:highlight w:val="none"/>
          <w14:textFill>
            <w14:solidFill>
              <w14:schemeClr w14:val="tx1"/>
            </w14:solidFill>
          </w14:textFill>
        </w:rPr>
        <w:t>。</w:t>
      </w:r>
    </w:p>
    <w:p>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firstLine="560" w:firstLineChars="200"/>
        <w:textAlignment w:val="bottom"/>
        <w:outlineLvl w:val="9"/>
        <w:rPr>
          <w:rFonts w:ascii="仿宋" w:hAnsi="仿宋" w:eastAsia="仿宋" w:cs="Times New Roman"/>
          <w:color w:val="000000"/>
          <w:sz w:val="28"/>
          <w:szCs w:val="28"/>
          <w:highlight w:val="none"/>
        </w:rPr>
      </w:pPr>
      <w:r>
        <w:rPr>
          <w:rFonts w:hint="default" w:ascii="仿宋" w:hAnsi="仿宋" w:eastAsia="仿宋" w:cs="Times New Roman"/>
          <w:color w:val="000000"/>
          <w:sz w:val="28"/>
          <w:szCs w:val="28"/>
          <w:highlight w:val="none"/>
          <w:lang w:val="en-US" w:eastAsia="zh-CN"/>
        </w:rPr>
        <w:t>3.</w:t>
      </w:r>
      <w:r>
        <w:rPr>
          <w:rFonts w:hint="default" w:ascii="仿宋" w:hAnsi="仿宋" w:eastAsia="仿宋" w:cs="Times New Roman"/>
          <w:color w:val="000000"/>
          <w:sz w:val="28"/>
          <w:szCs w:val="28"/>
          <w:highlight w:val="none"/>
        </w:rPr>
        <w:t>参加比选唱价会议的</w:t>
      </w:r>
      <w:r>
        <w:rPr>
          <w:rFonts w:hint="eastAsia" w:ascii="仿宋" w:hAnsi="仿宋" w:eastAsia="仿宋" w:cs="Times New Roman"/>
          <w:color w:val="000000" w:themeColor="text1"/>
          <w:sz w:val="28"/>
          <w:szCs w:val="28"/>
          <w:highlight w:val="none"/>
          <w:lang w:eastAsia="zh-CN"/>
          <w14:textFill>
            <w14:solidFill>
              <w14:schemeClr w14:val="tx1"/>
            </w14:solidFill>
          </w14:textFill>
        </w:rPr>
        <w:t>竞争性</w:t>
      </w:r>
      <w:r>
        <w:rPr>
          <w:rFonts w:hint="default" w:ascii="仿宋" w:hAnsi="仿宋" w:eastAsia="仿宋" w:cs="Times New Roman"/>
          <w:color w:val="000000"/>
          <w:sz w:val="28"/>
          <w:szCs w:val="28"/>
          <w:highlight w:val="none"/>
        </w:rPr>
        <w:t>比选响应人的法定代表人或被授权的代理人应当随身携带本人身份证（原件）、采购人财务部门开具的项目比选保证金收据</w:t>
      </w:r>
      <w:r>
        <w:rPr>
          <w:rFonts w:hint="eastAsia" w:ascii="仿宋" w:hAnsi="仿宋" w:eastAsia="仿宋" w:cs="Times New Roman"/>
          <w:color w:val="000000" w:themeColor="text1"/>
          <w:sz w:val="28"/>
          <w:szCs w:val="28"/>
          <w:highlight w:val="none"/>
          <w:lang w:eastAsia="zh-CN"/>
          <w14:textFill>
            <w14:solidFill>
              <w14:schemeClr w14:val="tx1"/>
            </w14:solidFill>
          </w14:textFill>
        </w:rPr>
        <w:t>（若有）</w:t>
      </w:r>
      <w:r>
        <w:rPr>
          <w:rFonts w:hint="default" w:ascii="仿宋" w:hAnsi="仿宋" w:eastAsia="仿宋" w:cs="Times New Roman"/>
          <w:color w:val="000000"/>
          <w:sz w:val="28"/>
          <w:szCs w:val="28"/>
          <w:highlight w:val="none"/>
        </w:rPr>
        <w:t>，法定代表人还应当随身携带法定代表人身份证明函件（原件），被授权的代理人还应当随身携带法定代表人授权委托书（原件），以备核验其合法身份。</w:t>
      </w:r>
    </w:p>
    <w:p>
      <w:pPr>
        <w:numPr>
          <w:ilvl w:val="-1"/>
          <w:numId w:val="0"/>
        </w:numPr>
        <w:autoSpaceDE w:val="0"/>
        <w:autoSpaceDN w:val="0"/>
        <w:adjustRightInd w:val="0"/>
        <w:snapToGrid w:val="0"/>
        <w:spacing w:line="360" w:lineRule="auto"/>
        <w:ind w:firstLine="560" w:firstLineChars="200"/>
        <w:textAlignment w:val="bottom"/>
        <w:rPr>
          <w:rFonts w:hint="eastAsia" w:ascii="仿宋" w:hAnsi="仿宋" w:eastAsia="仿宋"/>
          <w:sz w:val="28"/>
          <w:szCs w:val="28"/>
          <w:highlight w:val="none"/>
        </w:rPr>
      </w:pPr>
      <w:r>
        <w:rPr>
          <w:rFonts w:hint="eastAsia" w:ascii="仿宋" w:hAnsi="仿宋" w:eastAsia="仿宋" w:cs="Times New Roman"/>
          <w:color w:val="000000" w:themeColor="text1"/>
          <w:sz w:val="28"/>
          <w:szCs w:val="28"/>
          <w:highlight w:val="none"/>
          <w:lang w:eastAsia="zh-CN"/>
          <w14:textFill>
            <w14:solidFill>
              <w14:schemeClr w14:val="tx1"/>
            </w14:solidFill>
          </w14:textFill>
        </w:rPr>
        <w:t>竞争性</w:t>
      </w:r>
      <w:r>
        <w:rPr>
          <w:rFonts w:hint="eastAsia" w:ascii="仿宋" w:hAnsi="仿宋" w:eastAsia="仿宋" w:cs="Times New Roman"/>
          <w:color w:val="000000" w:themeColor="text1"/>
          <w:sz w:val="28"/>
          <w:szCs w:val="28"/>
          <w:highlight w:val="none"/>
          <w14:textFill>
            <w14:solidFill>
              <w14:schemeClr w14:val="tx1"/>
            </w14:solidFill>
          </w14:textFill>
        </w:rPr>
        <w:t>比选响应人若未派法定代表人或委托代理人出席比选唱价会议，视为该比选响应人默认比选唱价结果。</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履约保证金：成交的供应商在签订合同前必须按</w:t>
      </w:r>
      <w:r>
        <w:rPr>
          <w:rFonts w:hint="eastAsia" w:ascii="仿宋" w:hAnsi="仿宋" w:eastAsia="仿宋"/>
          <w:color w:val="auto"/>
          <w:sz w:val="28"/>
          <w:szCs w:val="28"/>
          <w:highlight w:val="none"/>
          <w:lang w:eastAsia="zh-CN"/>
        </w:rPr>
        <w:t>不含增值税</w:t>
      </w:r>
      <w:r>
        <w:rPr>
          <w:rFonts w:hint="eastAsia" w:ascii="仿宋" w:hAnsi="仿宋" w:eastAsia="仿宋"/>
          <w:color w:val="auto"/>
          <w:sz w:val="28"/>
          <w:szCs w:val="28"/>
          <w:highlight w:val="none"/>
        </w:rPr>
        <w:t>成交价款的</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5</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%以</w:t>
      </w:r>
      <w:r>
        <w:rPr>
          <w:rFonts w:ascii="仿宋" w:hAnsi="仿宋" w:eastAsia="仿宋"/>
          <w:color w:val="auto"/>
          <w:sz w:val="28"/>
          <w:szCs w:val="28"/>
          <w:highlight w:val="none"/>
        </w:rPr>
        <w:t>转账</w:t>
      </w:r>
      <w:r>
        <w:rPr>
          <w:rFonts w:hint="eastAsia" w:ascii="仿宋" w:hAnsi="仿宋" w:eastAsia="仿宋"/>
          <w:color w:val="auto"/>
          <w:sz w:val="28"/>
          <w:szCs w:val="28"/>
          <w:highlight w:val="none"/>
        </w:rPr>
        <w:t>方式向</w:t>
      </w:r>
      <w:r>
        <w:rPr>
          <w:rFonts w:hint="eastAsia" w:ascii="仿宋" w:hAnsi="仿宋" w:eastAsia="仿宋"/>
          <w:color w:val="auto"/>
          <w:sz w:val="28"/>
          <w:szCs w:val="28"/>
          <w:highlight w:val="none"/>
          <w:lang w:eastAsia="zh-CN"/>
        </w:rPr>
        <w:t>发包方</w:t>
      </w:r>
      <w:r>
        <w:rPr>
          <w:rFonts w:hint="eastAsia" w:ascii="仿宋" w:hAnsi="仿宋" w:eastAsia="仿宋"/>
          <w:color w:val="auto"/>
          <w:sz w:val="28"/>
          <w:szCs w:val="28"/>
          <w:highlight w:val="none"/>
        </w:rPr>
        <w:t>交纳履约保证金，开户行：建行渝北机场支行，帐号：</w:t>
      </w:r>
      <w:r>
        <w:rPr>
          <w:rFonts w:ascii="仿宋" w:hAnsi="仿宋" w:eastAsia="仿宋"/>
          <w:color w:val="auto"/>
          <w:sz w:val="28"/>
          <w:szCs w:val="28"/>
          <w:highlight w:val="none"/>
        </w:rPr>
        <w:t>50001083800050000447</w:t>
      </w:r>
      <w:r>
        <w:rPr>
          <w:rFonts w:hint="eastAsia" w:ascii="仿宋" w:hAnsi="仿宋" w:eastAsia="仿宋"/>
          <w:color w:val="auto"/>
          <w:sz w:val="28"/>
          <w:szCs w:val="28"/>
          <w:highlight w:val="none"/>
        </w:rPr>
        <w:t>，并前往财务部换取交纳履约保证金收据，履约保证金在完工后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w:t>
      </w:r>
      <w:r>
        <w:rPr>
          <w:rFonts w:hint="eastAsia" w:ascii="仿宋" w:hAnsi="仿宋" w:eastAsia="仿宋"/>
          <w:color w:val="auto"/>
          <w:sz w:val="28"/>
          <w:szCs w:val="28"/>
          <w:highlight w:val="none"/>
          <w:lang w:eastAsia="zh-CN"/>
        </w:rPr>
        <w:t>供应商</w:t>
      </w:r>
      <w:r>
        <w:rPr>
          <w:rFonts w:hint="eastAsia" w:ascii="仿宋" w:hAnsi="仿宋" w:eastAsia="仿宋"/>
          <w:color w:val="auto"/>
          <w:sz w:val="28"/>
          <w:szCs w:val="28"/>
          <w:highlight w:val="none"/>
        </w:rPr>
        <w:t>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w:t>
      </w:r>
      <w:r>
        <w:rPr>
          <w:rFonts w:hint="eastAsia" w:ascii="仿宋" w:hAnsi="仿宋" w:eastAsia="仿宋"/>
          <w:color w:val="auto"/>
          <w:sz w:val="28"/>
          <w:szCs w:val="28"/>
          <w:highlight w:val="none"/>
          <w:lang w:eastAsia="zh-CN"/>
        </w:rPr>
        <w:t>发包</w:t>
      </w:r>
      <w:r>
        <w:rPr>
          <w:rFonts w:hint="eastAsia" w:ascii="仿宋" w:hAnsi="仿宋" w:eastAsia="仿宋"/>
          <w:color w:val="auto"/>
          <w:sz w:val="28"/>
          <w:szCs w:val="28"/>
          <w:highlight w:val="none"/>
        </w:rPr>
        <w:t>方造成生产不能正常运行、重大安全事故的，</w:t>
      </w:r>
      <w:r>
        <w:rPr>
          <w:rFonts w:hint="eastAsia" w:ascii="仿宋" w:hAnsi="仿宋" w:eastAsia="仿宋"/>
          <w:color w:val="auto"/>
          <w:sz w:val="28"/>
          <w:szCs w:val="28"/>
          <w:highlight w:val="none"/>
          <w:lang w:eastAsia="zh-CN"/>
        </w:rPr>
        <w:t>发包</w:t>
      </w:r>
      <w:r>
        <w:rPr>
          <w:rFonts w:hint="eastAsia" w:ascii="仿宋" w:hAnsi="仿宋" w:eastAsia="仿宋"/>
          <w:color w:val="auto"/>
          <w:sz w:val="28"/>
          <w:szCs w:val="28"/>
          <w:highlight w:val="none"/>
        </w:rPr>
        <w:t>方有权终止合同并要求赔偿造成的损失，且不退换履约保证金。</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报价及响应文件编制要求</w:t>
      </w:r>
    </w:p>
    <w:p>
      <w:pPr>
        <w:pStyle w:val="15"/>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采购文件提出的要求和条件作出实质性应答。</w:t>
      </w:r>
    </w:p>
    <w:p>
      <w:pPr>
        <w:pStyle w:val="15"/>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响应文件应用A4规格纸编制并装订成册，主要由以下几个部分组成：</w:t>
      </w:r>
    </w:p>
    <w:p>
      <w:pPr>
        <w:autoSpaceDE w:val="0"/>
        <w:autoSpaceDN w:val="0"/>
        <w:adjustRightInd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1.</w:t>
      </w:r>
      <w:r>
        <w:rPr>
          <w:rFonts w:hint="eastAsia" w:ascii="仿宋" w:hAnsi="仿宋" w:eastAsia="仿宋" w:cs="仿宋"/>
          <w:sz w:val="28"/>
          <w:szCs w:val="28"/>
          <w:lang w:val="zh-CN"/>
        </w:rPr>
        <w:t>封面。</w:t>
      </w:r>
    </w:p>
    <w:p>
      <w:pPr>
        <w:autoSpaceDE w:val="0"/>
        <w:autoSpaceDN w:val="0"/>
        <w:adjustRightInd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2.</w:t>
      </w:r>
      <w:r>
        <w:rPr>
          <w:rFonts w:hint="eastAsia" w:ascii="仿宋" w:hAnsi="仿宋" w:eastAsia="仿宋" w:cs="仿宋"/>
          <w:sz w:val="28"/>
          <w:szCs w:val="28"/>
          <w:lang w:val="zh-CN"/>
        </w:rPr>
        <w:t>加盖公章的报价函及声明。</w:t>
      </w:r>
    </w:p>
    <w:p>
      <w:pPr>
        <w:autoSpaceDE w:val="0"/>
        <w:autoSpaceDN w:val="0"/>
        <w:adjustRightInd w:val="0"/>
        <w:spacing w:line="360" w:lineRule="auto"/>
        <w:ind w:firstLine="560" w:firstLineChars="200"/>
        <w:rPr>
          <w:rFonts w:hint="eastAsia" w:ascii="仿宋" w:hAnsi="仿宋" w:eastAsia="仿宋" w:cs="仿宋"/>
          <w:color w:val="FF0000"/>
          <w:sz w:val="28"/>
          <w:szCs w:val="28"/>
          <w:lang w:val="zh-CN"/>
        </w:rPr>
      </w:pPr>
      <w:r>
        <w:rPr>
          <w:rFonts w:hint="eastAsia" w:ascii="仿宋" w:hAnsi="仿宋" w:eastAsia="仿宋" w:cs="仿宋"/>
          <w:sz w:val="28"/>
          <w:szCs w:val="28"/>
        </w:rPr>
        <w:t>3.</w:t>
      </w:r>
      <w:r>
        <w:rPr>
          <w:rFonts w:hint="eastAsia" w:ascii="仿宋" w:hAnsi="仿宋" w:eastAsia="仿宋" w:cs="仿宋"/>
          <w:sz w:val="28"/>
          <w:szCs w:val="28"/>
          <w:lang w:val="zh-CN"/>
        </w:rPr>
        <w:t>技术部分：</w:t>
      </w:r>
      <w:r>
        <w:rPr>
          <w:rFonts w:hint="eastAsia" w:ascii="仿宋" w:hAnsi="仿宋" w:eastAsia="仿宋" w:cs="仿宋"/>
          <w:color w:val="000000"/>
          <w:sz w:val="28"/>
          <w:szCs w:val="28"/>
          <w:lang w:val="zh-CN" w:eastAsia="zh-CN"/>
        </w:rPr>
        <w:t>主要包括砂水分离器相关参数、安装方案等。</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4.</w:t>
      </w:r>
      <w:r>
        <w:rPr>
          <w:rFonts w:hint="eastAsia" w:ascii="仿宋" w:hAnsi="仿宋" w:eastAsia="仿宋" w:cs="仿宋"/>
          <w:color w:val="auto"/>
          <w:sz w:val="28"/>
          <w:szCs w:val="28"/>
          <w:lang w:val="zh-CN"/>
        </w:rPr>
        <w:t>报价部分：竞争性比选响应方应按照竞争性比选采购文件要求报出拟提供服务的单价、总价、相关税金等详细内容</w:t>
      </w:r>
      <w:r>
        <w:rPr>
          <w:rFonts w:hint="eastAsia" w:ascii="仿宋" w:hAnsi="仿宋" w:eastAsia="仿宋" w:cs="仿宋"/>
          <w:b/>
          <w:bCs/>
          <w:color w:val="auto"/>
          <w:kern w:val="0"/>
          <w:sz w:val="28"/>
          <w:szCs w:val="28"/>
        </w:rPr>
        <w:t>（根据实际需求确定）</w:t>
      </w:r>
      <w:r>
        <w:rPr>
          <w:rFonts w:hint="eastAsia" w:ascii="仿宋" w:hAnsi="仿宋" w:eastAsia="仿宋" w:cs="仿宋"/>
          <w:color w:val="auto"/>
          <w:sz w:val="28"/>
          <w:szCs w:val="28"/>
          <w:lang w:val="zh-CN"/>
        </w:rPr>
        <w:t>，报价为不含增值税报价，增值税税率单列。</w:t>
      </w:r>
      <w:r>
        <w:rPr>
          <w:rFonts w:hint="eastAsia" w:ascii="仿宋" w:hAnsi="仿宋" w:eastAsia="仿宋" w:cs="仿宋"/>
          <w:b/>
          <w:color w:val="auto"/>
          <w:sz w:val="28"/>
          <w:szCs w:val="28"/>
          <w:lang w:val="zh-CN"/>
        </w:rPr>
        <w:t>（表格自制）</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5.</w:t>
      </w:r>
      <w:r>
        <w:rPr>
          <w:rFonts w:hint="eastAsia" w:ascii="仿宋" w:hAnsi="仿宋" w:eastAsia="仿宋" w:cs="仿宋"/>
          <w:color w:val="auto"/>
          <w:sz w:val="28"/>
          <w:szCs w:val="28"/>
          <w:lang w:val="zh-CN"/>
        </w:rPr>
        <w:t>商务部分：</w:t>
      </w:r>
      <w:r>
        <w:rPr>
          <w:rFonts w:hint="eastAsia" w:ascii="仿宋" w:hAnsi="仿宋" w:eastAsia="仿宋" w:cs="仿宋"/>
          <w:b/>
          <w:bCs/>
          <w:color w:val="auto"/>
          <w:kern w:val="0"/>
          <w:sz w:val="28"/>
          <w:szCs w:val="28"/>
        </w:rPr>
        <w:t>（根据实际需求确定）</w:t>
      </w:r>
    </w:p>
    <w:p>
      <w:pPr>
        <w:autoSpaceDE w:val="0"/>
        <w:autoSpaceDN w:val="0"/>
        <w:adjustRightInd w:val="0"/>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（1）必备资料：主要包括三证合一的营业执照（复印件），</w:t>
      </w:r>
      <w:r>
        <w:rPr>
          <w:rFonts w:hint="eastAsia" w:ascii="仿宋" w:hAnsi="仿宋" w:eastAsia="仿宋"/>
          <w:color w:val="000000"/>
          <w:sz w:val="28"/>
          <w:szCs w:val="28"/>
          <w:highlight w:val="none"/>
          <w:lang w:val="en-US" w:eastAsia="zh-CN"/>
        </w:rPr>
        <w:t>具有机电设备销售、安装或维修业绩合同（复印件）、有效的低压电工证（正反面复印件）、有效的焊工证（作业类别：焊接与热切割作业）（正反面复印件）</w:t>
      </w:r>
      <w:r>
        <w:rPr>
          <w:rFonts w:hint="eastAsia" w:ascii="仿宋" w:hAnsi="仿宋" w:eastAsia="仿宋" w:cs="仿宋"/>
          <w:color w:val="auto"/>
          <w:sz w:val="28"/>
          <w:szCs w:val="28"/>
          <w:lang w:val="zh-CN"/>
        </w:rPr>
        <w:t>、法人代表委托书（原件）、加盖鲜章的法定代表人及被授权人身份证复印件、服务承诺；</w:t>
      </w:r>
    </w:p>
    <w:p>
      <w:pPr>
        <w:autoSpaceDE w:val="0"/>
        <w:autoSpaceDN w:val="0"/>
        <w:adjustRightInd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color w:val="000000"/>
          <w:sz w:val="28"/>
          <w:szCs w:val="28"/>
          <w:lang w:val="zh-CN"/>
        </w:rPr>
        <w:t>（2）补充资料：</w:t>
      </w:r>
      <w:r>
        <w:rPr>
          <w:rFonts w:hint="eastAsia" w:ascii="仿宋" w:hAnsi="仿宋" w:eastAsia="仿宋" w:cs="仿宋"/>
          <w:sz w:val="28"/>
          <w:szCs w:val="28"/>
          <w:lang w:val="zh-CN"/>
        </w:rPr>
        <w:t>其它资格证明（如企业资信证明、质量体系认证等）。</w:t>
      </w:r>
    </w:p>
    <w:p>
      <w:pPr>
        <w:autoSpaceDE w:val="0"/>
        <w:autoSpaceDN w:val="0"/>
        <w:adjustRightInd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以上资料</w:t>
      </w:r>
      <w:r>
        <w:rPr>
          <w:rFonts w:hint="eastAsia" w:ascii="仿宋" w:hAnsi="仿宋" w:eastAsia="仿宋" w:cs="仿宋"/>
          <w:b/>
          <w:sz w:val="28"/>
          <w:szCs w:val="28"/>
          <w:lang w:val="zh-CN"/>
        </w:rPr>
        <w:t>要求原件备查</w:t>
      </w:r>
      <w:r>
        <w:rPr>
          <w:rFonts w:hint="eastAsia" w:ascii="仿宋" w:hAnsi="仿宋" w:eastAsia="仿宋" w:cs="仿宋"/>
          <w:sz w:val="28"/>
          <w:szCs w:val="28"/>
          <w:lang w:val="zh-CN"/>
        </w:rPr>
        <w:t>（若资料带二维码查询验证，不查验原件）</w:t>
      </w:r>
      <w:r>
        <w:rPr>
          <w:rFonts w:hint="eastAsia" w:ascii="仿宋" w:hAnsi="仿宋" w:eastAsia="仿宋" w:cs="仿宋"/>
          <w:b/>
          <w:sz w:val="28"/>
          <w:szCs w:val="28"/>
          <w:lang w:val="zh-CN"/>
        </w:rPr>
        <w:t>，复印件均需加盖鲜章。</w:t>
      </w:r>
    </w:p>
    <w:p>
      <w:pPr>
        <w:autoSpaceDE w:val="0"/>
        <w:autoSpaceDN w:val="0"/>
        <w:adjustRightInd w:val="0"/>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6.</w:t>
      </w:r>
      <w:r>
        <w:rPr>
          <w:rFonts w:hint="eastAsia" w:ascii="仿宋" w:hAnsi="仿宋" w:eastAsia="仿宋" w:cs="仿宋"/>
          <w:sz w:val="28"/>
          <w:szCs w:val="28"/>
          <w:lang w:val="zh-CN"/>
        </w:rPr>
        <w:t>响应文件可合并装订成册，</w:t>
      </w:r>
      <w:r>
        <w:rPr>
          <w:rFonts w:hint="eastAsia" w:ascii="仿宋" w:hAnsi="仿宋" w:eastAsia="仿宋" w:cs="仿宋"/>
          <w:b/>
          <w:bCs/>
          <w:sz w:val="28"/>
          <w:szCs w:val="28"/>
          <w:lang w:val="zh-CN"/>
        </w:rPr>
        <w:t>纸质文件一式</w:t>
      </w:r>
      <w:r>
        <w:rPr>
          <w:rFonts w:hint="eastAsia" w:ascii="仿宋" w:hAnsi="仿宋" w:eastAsia="仿宋" w:cs="仿宋"/>
          <w:b/>
          <w:bCs/>
          <w:sz w:val="28"/>
          <w:szCs w:val="28"/>
        </w:rPr>
        <w:t>3</w:t>
      </w:r>
      <w:r>
        <w:rPr>
          <w:rFonts w:hint="eastAsia" w:ascii="仿宋" w:hAnsi="仿宋" w:eastAsia="仿宋" w:cs="仿宋"/>
          <w:b/>
          <w:bCs/>
          <w:sz w:val="28"/>
          <w:szCs w:val="28"/>
          <w:lang w:val="zh-CN"/>
        </w:rPr>
        <w:t>份，其中正本1份，副本</w:t>
      </w:r>
      <w:r>
        <w:rPr>
          <w:rFonts w:hint="eastAsia" w:ascii="仿宋" w:hAnsi="仿宋" w:eastAsia="仿宋" w:cs="仿宋"/>
          <w:b/>
          <w:bCs/>
          <w:sz w:val="28"/>
          <w:szCs w:val="28"/>
        </w:rPr>
        <w:t>2</w:t>
      </w:r>
      <w:r>
        <w:rPr>
          <w:rFonts w:hint="eastAsia" w:ascii="仿宋" w:hAnsi="仿宋" w:eastAsia="仿宋" w:cs="仿宋"/>
          <w:b/>
          <w:bCs/>
          <w:sz w:val="28"/>
          <w:szCs w:val="28"/>
          <w:lang w:val="zh-CN"/>
        </w:rPr>
        <w:t>份</w:t>
      </w:r>
      <w:r>
        <w:rPr>
          <w:rFonts w:hint="eastAsia" w:ascii="仿宋" w:hAnsi="仿宋" w:eastAsia="仿宋" w:cs="仿宋"/>
          <w:b/>
          <w:bCs/>
          <w:sz w:val="28"/>
          <w:szCs w:val="28"/>
          <w:lang w:val="zh-CN" w:eastAsia="zh-CN"/>
        </w:rPr>
        <w:t>，正本文件内签字和盖章须为原件</w:t>
      </w:r>
      <w:r>
        <w:rPr>
          <w:rFonts w:hint="eastAsia" w:ascii="仿宋" w:hAnsi="仿宋" w:eastAsia="仿宋" w:cs="仿宋"/>
          <w:sz w:val="28"/>
          <w:szCs w:val="28"/>
          <w:lang w:val="zh-CN" w:eastAsia="zh-CN"/>
        </w:rPr>
        <w:t>。副本可为正本的复印件</w:t>
      </w:r>
      <w:r>
        <w:rPr>
          <w:rFonts w:hint="eastAsia" w:ascii="仿宋" w:hAnsi="仿宋" w:eastAsia="仿宋" w:cs="仿宋"/>
          <w:sz w:val="28"/>
          <w:szCs w:val="28"/>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响应文件作废条款</w:t>
      </w:r>
    </w:p>
    <w:p>
      <w:pPr>
        <w:pStyle w:val="15"/>
        <w:keepNext w:val="0"/>
        <w:keepLines w:val="0"/>
        <w:pageBreakBefore w:val="0"/>
        <w:numPr>
          <w:ilvl w:val="1"/>
          <w:numId w:val="5"/>
        </w:numPr>
        <w:kinsoku/>
        <w:wordWrap/>
        <w:overflowPunct/>
        <w:topLinePunct w:val="0"/>
        <w:bidi w:val="0"/>
        <w:spacing w:line="240" w:lineRule="auto"/>
        <w:ind w:left="0" w:firstLine="528"/>
        <w:outlineLvl w:val="9"/>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keepNext w:val="0"/>
        <w:keepLines w:val="0"/>
        <w:pageBreakBefore w:val="0"/>
        <w:widowControl/>
        <w:kinsoku/>
        <w:wordWrap/>
        <w:overflowPunct/>
        <w:topLinePunct w:val="0"/>
        <w:bidi w:val="0"/>
        <w:adjustRightInd w:val="0"/>
        <w:snapToGrid w:val="0"/>
        <w:spacing w:line="360" w:lineRule="auto"/>
        <w:ind w:firstLine="562" w:firstLineChars="200"/>
        <w:jc w:val="left"/>
        <w:textAlignment w:val="bottom"/>
        <w:outlineLvl w:val="9"/>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hint="eastAsia" w:ascii="仿宋" w:hAnsi="仿宋" w:eastAsia="仿宋"/>
          <w:b/>
          <w:kern w:val="0"/>
          <w:sz w:val="28"/>
          <w:szCs w:val="28"/>
          <w:u w:val="single"/>
          <w:lang w:eastAsia="zh-CN"/>
        </w:rPr>
        <w:t>2022</w:t>
      </w:r>
      <w:r>
        <w:rPr>
          <w:rFonts w:hint="eastAsia" w:ascii="仿宋" w:hAnsi="仿宋" w:eastAsia="仿宋"/>
          <w:b/>
          <w:kern w:val="0"/>
          <w:sz w:val="28"/>
          <w:szCs w:val="28"/>
          <w:u w:val="single"/>
        </w:rPr>
        <w:t xml:space="preserve">年 </w:t>
      </w:r>
      <w:r>
        <w:rPr>
          <w:rFonts w:ascii="仿宋" w:hAnsi="仿宋" w:eastAsia="仿宋"/>
          <w:b/>
          <w:kern w:val="0"/>
          <w:sz w:val="28"/>
          <w:szCs w:val="28"/>
          <w:u w:val="single"/>
        </w:rPr>
        <w:t xml:space="preserve"> </w:t>
      </w:r>
      <w:r>
        <w:rPr>
          <w:rFonts w:hint="eastAsia" w:ascii="仿宋" w:hAnsi="仿宋" w:eastAsia="仿宋"/>
          <w:b/>
          <w:kern w:val="0"/>
          <w:sz w:val="28"/>
          <w:szCs w:val="28"/>
          <w:u w:val="single"/>
          <w:lang w:val="en-US" w:eastAsia="zh-CN"/>
        </w:rPr>
        <w:t>7</w:t>
      </w:r>
      <w:r>
        <w:rPr>
          <w:rFonts w:ascii="仿宋" w:hAnsi="仿宋" w:eastAsia="仿宋"/>
          <w:b/>
          <w:kern w:val="0"/>
          <w:sz w:val="28"/>
          <w:szCs w:val="28"/>
          <w:u w:val="single"/>
        </w:rPr>
        <w:t xml:space="preserve"> </w:t>
      </w:r>
      <w:r>
        <w:rPr>
          <w:rFonts w:hint="eastAsia" w:ascii="仿宋" w:hAnsi="仿宋" w:eastAsia="仿宋"/>
          <w:b/>
          <w:kern w:val="0"/>
          <w:sz w:val="28"/>
          <w:szCs w:val="28"/>
          <w:u w:val="single"/>
        </w:rPr>
        <w:t xml:space="preserve">月 </w:t>
      </w:r>
      <w:r>
        <w:rPr>
          <w:rFonts w:hint="eastAsia" w:ascii="仿宋" w:hAnsi="仿宋" w:eastAsia="仿宋"/>
          <w:b/>
          <w:kern w:val="0"/>
          <w:sz w:val="28"/>
          <w:szCs w:val="28"/>
          <w:u w:val="single"/>
          <w:lang w:val="en-US" w:eastAsia="zh-CN"/>
        </w:rPr>
        <w:t>11</w:t>
      </w:r>
      <w:r>
        <w:rPr>
          <w:rFonts w:ascii="仿宋" w:hAnsi="仿宋" w:eastAsia="仿宋"/>
          <w:b/>
          <w:kern w:val="0"/>
          <w:sz w:val="28"/>
          <w:szCs w:val="28"/>
          <w:u w:val="single"/>
        </w:rPr>
        <w:t xml:space="preserve">  </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10:00</w:t>
      </w:r>
      <w:r>
        <w:rPr>
          <w:rFonts w:ascii="仿宋" w:hAnsi="仿宋" w:eastAsia="仿宋"/>
          <w:b/>
          <w:kern w:val="0"/>
          <w:sz w:val="28"/>
          <w:szCs w:val="28"/>
          <w:u w:val="single"/>
        </w:rPr>
        <w:t xml:space="preserve">   </w:t>
      </w:r>
      <w:r>
        <w:rPr>
          <w:rFonts w:hint="eastAsia" w:ascii="仿宋" w:hAnsi="仿宋" w:eastAsia="仿宋"/>
          <w:b/>
          <w:kern w:val="0"/>
          <w:sz w:val="28"/>
          <w:szCs w:val="28"/>
        </w:rPr>
        <w:t>时前送到重庆机场有限公司动力能源保障部采购办公室（机场东路3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keepNext w:val="0"/>
        <w:keepLines w:val="0"/>
        <w:pageBreakBefore w:val="0"/>
        <w:kinsoku/>
        <w:wordWrap/>
        <w:overflowPunct/>
        <w:topLinePunct w:val="0"/>
        <w:autoSpaceDE w:val="0"/>
        <w:autoSpaceDN w:val="0"/>
        <w:bidi w:val="0"/>
        <w:adjustRightInd w:val="0"/>
        <w:snapToGrid w:val="0"/>
        <w:spacing w:line="360" w:lineRule="auto"/>
        <w:ind w:firstLine="562" w:firstLineChars="200"/>
        <w:textAlignment w:val="bottom"/>
        <w:outlineLvl w:val="9"/>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文件袋中并密封，在密封处</w:t>
      </w:r>
      <w:r>
        <w:rPr>
          <w:rFonts w:hint="eastAsia" w:ascii="仿宋" w:hAnsi="仿宋" w:eastAsia="仿宋"/>
          <w:b/>
          <w:kern w:val="0"/>
          <w:sz w:val="28"/>
          <w:szCs w:val="28"/>
        </w:rPr>
        <w:t>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15"/>
        <w:keepNext w:val="0"/>
        <w:keepLines w:val="0"/>
        <w:pageBreakBefore w:val="0"/>
        <w:numPr>
          <w:ilvl w:val="1"/>
          <w:numId w:val="5"/>
        </w:numPr>
        <w:kinsoku/>
        <w:wordWrap/>
        <w:overflowPunct/>
        <w:topLinePunct w:val="0"/>
        <w:bidi w:val="0"/>
        <w:spacing w:line="240" w:lineRule="auto"/>
        <w:ind w:left="0" w:firstLine="528"/>
        <w:outlineLvl w:val="9"/>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15"/>
        <w:keepNext w:val="0"/>
        <w:keepLines w:val="0"/>
        <w:pageBreakBefore w:val="0"/>
        <w:numPr>
          <w:ilvl w:val="1"/>
          <w:numId w:val="5"/>
        </w:numPr>
        <w:kinsoku/>
        <w:wordWrap/>
        <w:overflowPunct/>
        <w:topLinePunct w:val="0"/>
        <w:bidi w:val="0"/>
        <w:spacing w:line="240" w:lineRule="auto"/>
        <w:ind w:left="0" w:firstLine="528"/>
        <w:outlineLvl w:val="9"/>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15"/>
        <w:keepNext w:val="0"/>
        <w:keepLines w:val="0"/>
        <w:pageBreakBefore w:val="0"/>
        <w:numPr>
          <w:ilvl w:val="1"/>
          <w:numId w:val="5"/>
        </w:numPr>
        <w:kinsoku/>
        <w:wordWrap/>
        <w:overflowPunct/>
        <w:topLinePunct w:val="0"/>
        <w:bidi w:val="0"/>
        <w:spacing w:line="240" w:lineRule="auto"/>
        <w:ind w:left="0" w:firstLine="528"/>
        <w:outlineLvl w:val="9"/>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15"/>
        <w:keepNext w:val="0"/>
        <w:keepLines w:val="0"/>
        <w:pageBreakBefore w:val="0"/>
        <w:numPr>
          <w:ilvl w:val="1"/>
          <w:numId w:val="5"/>
        </w:numPr>
        <w:kinsoku/>
        <w:wordWrap/>
        <w:overflowPunct/>
        <w:topLinePunct w:val="0"/>
        <w:bidi w:val="0"/>
        <w:spacing w:line="240" w:lineRule="auto"/>
        <w:ind w:left="0" w:firstLine="528"/>
        <w:outlineLvl w:val="9"/>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15"/>
        <w:keepNext w:val="0"/>
        <w:keepLines w:val="0"/>
        <w:pageBreakBefore w:val="0"/>
        <w:numPr>
          <w:ilvl w:val="1"/>
          <w:numId w:val="5"/>
        </w:numPr>
        <w:kinsoku/>
        <w:wordWrap/>
        <w:overflowPunct/>
        <w:topLinePunct w:val="0"/>
        <w:bidi w:val="0"/>
        <w:spacing w:line="240" w:lineRule="auto"/>
        <w:ind w:left="0" w:firstLine="528"/>
        <w:outlineLvl w:val="9"/>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15"/>
        <w:keepNext w:val="0"/>
        <w:keepLines w:val="0"/>
        <w:pageBreakBefore w:val="0"/>
        <w:numPr>
          <w:ilvl w:val="1"/>
          <w:numId w:val="5"/>
        </w:numPr>
        <w:kinsoku/>
        <w:wordWrap/>
        <w:overflowPunct/>
        <w:topLinePunct w:val="0"/>
        <w:bidi w:val="0"/>
        <w:spacing w:line="240" w:lineRule="auto"/>
        <w:ind w:left="0" w:firstLine="528"/>
        <w:outlineLvl w:val="9"/>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15"/>
        <w:keepNext w:val="0"/>
        <w:keepLines w:val="0"/>
        <w:pageBreakBefore w:val="0"/>
        <w:numPr>
          <w:ilvl w:val="1"/>
          <w:numId w:val="5"/>
        </w:numPr>
        <w:kinsoku/>
        <w:wordWrap/>
        <w:overflowPunct/>
        <w:topLinePunct w:val="0"/>
        <w:bidi w:val="0"/>
        <w:spacing w:line="240" w:lineRule="auto"/>
        <w:ind w:left="0" w:firstLine="528"/>
        <w:outlineLvl w:val="9"/>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15"/>
        <w:keepNext w:val="0"/>
        <w:keepLines w:val="0"/>
        <w:pageBreakBefore w:val="0"/>
        <w:numPr>
          <w:ilvl w:val="1"/>
          <w:numId w:val="5"/>
        </w:numPr>
        <w:kinsoku/>
        <w:wordWrap/>
        <w:overflowPunct/>
        <w:topLinePunct w:val="0"/>
        <w:bidi w:val="0"/>
        <w:spacing w:line="240" w:lineRule="auto"/>
        <w:ind w:left="0" w:firstLine="528"/>
        <w:outlineLvl w:val="9"/>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r>
        <w:rPr>
          <w:rFonts w:hint="eastAsia" w:ascii="仿宋" w:hAnsi="仿宋" w:eastAsia="仿宋"/>
          <w:spacing w:val="-8"/>
          <w:sz w:val="28"/>
          <w:szCs w:val="28"/>
          <w:lang w:val="en-US" w:eastAsia="zh-CN"/>
        </w:rPr>
        <w:t>;</w:t>
      </w:r>
    </w:p>
    <w:p>
      <w:pPr>
        <w:pStyle w:val="15"/>
        <w:keepNext w:val="0"/>
        <w:keepLines w:val="0"/>
        <w:pageBreakBefore w:val="0"/>
        <w:numPr>
          <w:ilvl w:val="1"/>
          <w:numId w:val="5"/>
        </w:numPr>
        <w:kinsoku/>
        <w:wordWrap/>
        <w:overflowPunct/>
        <w:topLinePunct w:val="0"/>
        <w:bidi w:val="0"/>
        <w:spacing w:line="240" w:lineRule="auto"/>
        <w:ind w:left="0" w:firstLine="528"/>
        <w:outlineLvl w:val="9"/>
        <w:rPr>
          <w:rFonts w:ascii="仿宋" w:hAnsi="仿宋" w:eastAsia="仿宋"/>
          <w:spacing w:val="-8"/>
          <w:sz w:val="28"/>
          <w:szCs w:val="28"/>
          <w:highlight w:val="none"/>
        </w:rPr>
      </w:pPr>
      <w:r>
        <w:rPr>
          <w:rFonts w:hint="eastAsia" w:ascii="仿宋" w:hAnsi="仿宋" w:eastAsia="仿宋"/>
          <w:spacing w:val="-8"/>
          <w:sz w:val="28"/>
          <w:szCs w:val="28"/>
          <w:highlight w:val="none"/>
          <w:lang w:eastAsia="zh-CN"/>
        </w:rPr>
        <w:t>竞争性</w:t>
      </w:r>
      <w:r>
        <w:rPr>
          <w:rFonts w:hint="eastAsia" w:ascii="仿宋" w:hAnsi="仿宋" w:eastAsia="仿宋"/>
          <w:spacing w:val="-8"/>
          <w:sz w:val="28"/>
          <w:szCs w:val="28"/>
          <w:highlight w:val="none"/>
        </w:rPr>
        <w:t>比选响应人的报价超过比选最高限价的</w:t>
      </w:r>
      <w:r>
        <w:rPr>
          <w:rFonts w:hint="eastAsia" w:ascii="仿宋" w:hAnsi="仿宋" w:eastAsia="仿宋"/>
          <w:spacing w:val="-8"/>
          <w:sz w:val="28"/>
          <w:szCs w:val="28"/>
          <w:highlight w:val="none"/>
          <w:lang w:eastAsia="zh-CN"/>
        </w:rPr>
        <w:t>；</w:t>
      </w:r>
    </w:p>
    <w:p>
      <w:pPr>
        <w:pStyle w:val="3"/>
        <w:keepNext/>
        <w:keepLines/>
        <w:pageBreakBefore w:val="0"/>
        <w:widowControl w:val="0"/>
        <w:numPr>
          <w:ilvl w:val="-1"/>
          <w:numId w:val="0"/>
        </w:numPr>
        <w:kinsoku/>
        <w:wordWrap/>
        <w:overflowPunct/>
        <w:topLinePunct w:val="0"/>
        <w:autoSpaceDE/>
        <w:autoSpaceDN/>
        <w:bidi w:val="0"/>
        <w:adjustRightInd/>
        <w:snapToGrid/>
        <w:spacing w:beforeLines="0" w:afterLines="0" w:line="360" w:lineRule="auto"/>
        <w:ind w:left="0" w:firstLine="562" w:firstLineChars="200"/>
        <w:jc w:val="left"/>
        <w:textAlignment w:val="auto"/>
        <w:outlineLvl w:val="0"/>
        <w:rPr>
          <w:rFonts w:hint="eastAsia" w:ascii="仿宋" w:hAnsi="仿宋" w:eastAsia="仿宋" w:cs="仿宋"/>
          <w:b/>
          <w:color w:val="000000"/>
          <w:sz w:val="28"/>
          <w:szCs w:val="28"/>
          <w:highlight w:val="none"/>
          <w:lang w:val="zh-CN"/>
        </w:rPr>
      </w:pPr>
      <w:r>
        <w:rPr>
          <w:rFonts w:hint="eastAsia" w:ascii="仿宋" w:hAnsi="仿宋" w:cs="仿宋"/>
          <w:b/>
          <w:sz w:val="28"/>
          <w:szCs w:val="28"/>
          <w:lang w:val="zh-CN" w:eastAsia="zh-CN"/>
        </w:rPr>
        <w:t>十二</w:t>
      </w:r>
      <w:r>
        <w:rPr>
          <w:rFonts w:hint="eastAsia" w:ascii="仿宋" w:hAnsi="仿宋" w:cs="仿宋"/>
          <w:b/>
          <w:sz w:val="28"/>
          <w:szCs w:val="28"/>
          <w:highlight w:val="none"/>
          <w:lang w:val="zh-CN" w:eastAsia="zh-CN"/>
        </w:rPr>
        <w:t>、</w:t>
      </w:r>
      <w:r>
        <w:rPr>
          <w:rFonts w:hint="eastAsia" w:ascii="仿宋" w:hAnsi="仿宋" w:eastAsia="仿宋" w:cs="仿宋"/>
          <w:b/>
          <w:color w:val="000000"/>
          <w:sz w:val="28"/>
          <w:szCs w:val="28"/>
          <w:highlight w:val="none"/>
          <w:lang w:val="zh-CN"/>
        </w:rPr>
        <w:t>响应人违约等行为约束要求</w:t>
      </w:r>
    </w:p>
    <w:p>
      <w:pPr>
        <w:pageBreakBefore w:val="0"/>
        <w:widowControl w:val="0"/>
        <w:kinsoku/>
        <w:wordWrap/>
        <w:overflowPunct/>
        <w:topLinePunct w:val="0"/>
        <w:autoSpaceDE w:val="0"/>
        <w:autoSpaceDN w:val="0"/>
        <w:bidi w:val="0"/>
        <w:adjustRightInd w:val="0"/>
        <w:snapToGrid/>
        <w:spacing w:line="360" w:lineRule="auto"/>
        <w:ind w:firstLine="528" w:firstLineChars="200"/>
        <w:textAlignment w:val="auto"/>
        <w:rPr>
          <w:rFonts w:hint="eastAsia" w:ascii="仿宋" w:hAnsi="仿宋" w:eastAsia="仿宋" w:cs="Times New Roman"/>
          <w:color w:val="000000"/>
          <w:spacing w:val="-8"/>
          <w:sz w:val="28"/>
          <w:szCs w:val="28"/>
          <w:highlight w:val="none"/>
        </w:rPr>
      </w:pPr>
      <w:r>
        <w:rPr>
          <w:rFonts w:hint="eastAsia" w:ascii="仿宋" w:hAnsi="仿宋" w:eastAsia="仿宋" w:cs="Times New Roman"/>
          <w:color w:val="000000"/>
          <w:spacing w:val="-8"/>
          <w:sz w:val="28"/>
          <w:szCs w:val="28"/>
          <w:highlight w:val="none"/>
        </w:rPr>
        <w:t>12.1 采购人将进一步核查</w:t>
      </w:r>
      <w:r>
        <w:rPr>
          <w:rFonts w:hint="eastAsia" w:ascii="仿宋" w:hAnsi="仿宋" w:eastAsia="仿宋" w:cs="Times New Roman"/>
          <w:color w:val="000000"/>
          <w:spacing w:val="-8"/>
          <w:sz w:val="28"/>
          <w:szCs w:val="28"/>
          <w:highlight w:val="none"/>
          <w:lang w:eastAsia="zh-CN"/>
        </w:rPr>
        <w:t>竞争性</w:t>
      </w:r>
      <w:r>
        <w:rPr>
          <w:rFonts w:hint="eastAsia" w:ascii="仿宋" w:hAnsi="仿宋" w:eastAsia="仿宋" w:cs="Times New Roman"/>
          <w:color w:val="000000"/>
          <w:spacing w:val="-8"/>
          <w:sz w:val="28"/>
          <w:szCs w:val="28"/>
          <w:highlight w:val="none"/>
        </w:rPr>
        <w:t>比选响应人在</w:t>
      </w:r>
      <w:r>
        <w:rPr>
          <w:rFonts w:hint="eastAsia" w:ascii="仿宋" w:hAnsi="仿宋" w:eastAsia="仿宋" w:cs="Times New Roman"/>
          <w:color w:val="000000"/>
          <w:spacing w:val="-8"/>
          <w:sz w:val="28"/>
          <w:szCs w:val="28"/>
          <w:highlight w:val="none"/>
          <w:lang w:eastAsia="zh-CN"/>
        </w:rPr>
        <w:t>竞争性</w:t>
      </w:r>
      <w:r>
        <w:rPr>
          <w:rFonts w:hint="eastAsia" w:ascii="仿宋" w:hAnsi="仿宋" w:eastAsia="仿宋" w:cs="Times New Roman"/>
          <w:color w:val="000000"/>
          <w:spacing w:val="-8"/>
          <w:sz w:val="28"/>
          <w:szCs w:val="28"/>
          <w:highlight w:val="none"/>
        </w:rPr>
        <w:t>比选响应文件中提供的材料，若在评审期间发现</w:t>
      </w:r>
      <w:r>
        <w:rPr>
          <w:rFonts w:hint="eastAsia" w:ascii="仿宋" w:hAnsi="仿宋" w:eastAsia="仿宋" w:cs="Times New Roman"/>
          <w:color w:val="000000"/>
          <w:spacing w:val="-8"/>
          <w:sz w:val="28"/>
          <w:szCs w:val="28"/>
          <w:highlight w:val="none"/>
          <w:lang w:eastAsia="zh-CN"/>
        </w:rPr>
        <w:t>竞争性</w:t>
      </w:r>
      <w:r>
        <w:rPr>
          <w:rFonts w:hint="eastAsia" w:ascii="仿宋" w:hAnsi="仿宋" w:eastAsia="仿宋" w:cs="Times New Roman"/>
          <w:color w:val="000000"/>
          <w:spacing w:val="-8"/>
          <w:sz w:val="28"/>
          <w:szCs w:val="28"/>
          <w:highlight w:val="none"/>
        </w:rPr>
        <w:t>比选响应人提供了虚假资料，其比选资格将被否决，其比选响应保证金不予退还，并将被列入采购人黑名单；若在评审结果公示期间发现成交候选人在</w:t>
      </w:r>
      <w:r>
        <w:rPr>
          <w:rFonts w:hint="eastAsia" w:ascii="仿宋" w:hAnsi="仿宋" w:eastAsia="仿宋" w:cs="Times New Roman"/>
          <w:color w:val="000000"/>
          <w:spacing w:val="-8"/>
          <w:sz w:val="28"/>
          <w:szCs w:val="28"/>
          <w:highlight w:val="none"/>
          <w:lang w:eastAsia="zh-CN"/>
        </w:rPr>
        <w:t>竞争性</w:t>
      </w:r>
      <w:r>
        <w:rPr>
          <w:rFonts w:hint="eastAsia" w:ascii="仿宋" w:hAnsi="仿宋" w:eastAsia="仿宋" w:cs="Times New Roman"/>
          <w:color w:val="000000"/>
          <w:spacing w:val="-8"/>
          <w:sz w:val="28"/>
          <w:szCs w:val="28"/>
          <w:highlight w:val="none"/>
        </w:rPr>
        <w:t>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pageBreakBefore w:val="0"/>
        <w:widowControl w:val="0"/>
        <w:kinsoku/>
        <w:wordWrap/>
        <w:overflowPunct/>
        <w:topLinePunct w:val="0"/>
        <w:autoSpaceDE w:val="0"/>
        <w:autoSpaceDN w:val="0"/>
        <w:bidi w:val="0"/>
        <w:adjustRightInd w:val="0"/>
        <w:snapToGrid/>
        <w:spacing w:line="360" w:lineRule="auto"/>
        <w:ind w:firstLine="528" w:firstLineChars="200"/>
        <w:textAlignment w:val="auto"/>
        <w:rPr>
          <w:rFonts w:hint="eastAsia" w:ascii="仿宋" w:hAnsi="仿宋" w:eastAsia="仿宋" w:cs="Times New Roman"/>
          <w:color w:val="000000"/>
          <w:spacing w:val="-8"/>
          <w:sz w:val="28"/>
          <w:szCs w:val="28"/>
          <w:highlight w:val="none"/>
        </w:rPr>
      </w:pPr>
      <w:r>
        <w:rPr>
          <w:rFonts w:hint="eastAsia" w:ascii="仿宋" w:hAnsi="仿宋" w:eastAsia="仿宋" w:cs="Times New Roman"/>
          <w:color w:val="000000"/>
          <w:spacing w:val="-8"/>
          <w:sz w:val="28"/>
          <w:szCs w:val="28"/>
          <w:highlight w:val="none"/>
        </w:rPr>
        <w:t>12.2 在</w:t>
      </w:r>
      <w:r>
        <w:rPr>
          <w:rFonts w:hint="eastAsia" w:ascii="仿宋" w:hAnsi="仿宋" w:eastAsia="仿宋" w:cs="Times New Roman"/>
          <w:color w:val="000000"/>
          <w:spacing w:val="-8"/>
          <w:sz w:val="28"/>
          <w:szCs w:val="28"/>
          <w:highlight w:val="none"/>
          <w:lang w:eastAsia="zh-CN"/>
        </w:rPr>
        <w:t>竞争性</w:t>
      </w:r>
      <w:r>
        <w:rPr>
          <w:rFonts w:hint="eastAsia" w:ascii="仿宋" w:hAnsi="仿宋" w:eastAsia="仿宋" w:cs="Times New Roman"/>
          <w:color w:val="000000"/>
          <w:spacing w:val="-8"/>
          <w:sz w:val="28"/>
          <w:szCs w:val="28"/>
          <w:highlight w:val="none"/>
        </w:rPr>
        <w:t>比选响应有效期内，</w:t>
      </w:r>
      <w:r>
        <w:rPr>
          <w:rFonts w:hint="eastAsia" w:ascii="仿宋" w:hAnsi="仿宋" w:eastAsia="仿宋" w:cs="Times New Roman"/>
          <w:color w:val="000000"/>
          <w:spacing w:val="-8"/>
          <w:sz w:val="28"/>
          <w:szCs w:val="28"/>
          <w:highlight w:val="none"/>
          <w:lang w:eastAsia="zh-CN"/>
        </w:rPr>
        <w:t>竞争性</w:t>
      </w:r>
      <w:r>
        <w:rPr>
          <w:rFonts w:hint="eastAsia" w:ascii="仿宋" w:hAnsi="仿宋" w:eastAsia="仿宋" w:cs="Times New Roman"/>
          <w:color w:val="000000"/>
          <w:spacing w:val="-8"/>
          <w:sz w:val="28"/>
          <w:szCs w:val="28"/>
          <w:highlight w:val="none"/>
        </w:rPr>
        <w:t>比选响应人撤销</w:t>
      </w:r>
      <w:r>
        <w:rPr>
          <w:rFonts w:hint="eastAsia" w:ascii="仿宋" w:hAnsi="仿宋" w:eastAsia="仿宋" w:cs="Times New Roman"/>
          <w:color w:val="000000"/>
          <w:spacing w:val="-8"/>
          <w:sz w:val="28"/>
          <w:szCs w:val="28"/>
          <w:highlight w:val="none"/>
          <w:lang w:eastAsia="zh-CN"/>
        </w:rPr>
        <w:t>竞争性</w:t>
      </w:r>
      <w:r>
        <w:rPr>
          <w:rFonts w:hint="eastAsia" w:ascii="仿宋" w:hAnsi="仿宋" w:eastAsia="仿宋" w:cs="Times New Roman"/>
          <w:color w:val="000000"/>
          <w:spacing w:val="-8"/>
          <w:sz w:val="28"/>
          <w:szCs w:val="28"/>
          <w:highlight w:val="none"/>
        </w:rPr>
        <w:t>比选响应文件的，其</w:t>
      </w:r>
      <w:r>
        <w:rPr>
          <w:rFonts w:hint="eastAsia" w:ascii="仿宋" w:hAnsi="仿宋" w:eastAsia="仿宋" w:cs="Times New Roman"/>
          <w:color w:val="000000"/>
          <w:spacing w:val="-8"/>
          <w:sz w:val="28"/>
          <w:szCs w:val="28"/>
          <w:highlight w:val="none"/>
          <w:lang w:eastAsia="zh-CN"/>
        </w:rPr>
        <w:t>竞争性</w:t>
      </w:r>
      <w:r>
        <w:rPr>
          <w:rFonts w:hint="eastAsia" w:ascii="仿宋" w:hAnsi="仿宋" w:eastAsia="仿宋" w:cs="Times New Roman"/>
          <w:color w:val="000000"/>
          <w:spacing w:val="-8"/>
          <w:sz w:val="28"/>
          <w:szCs w:val="28"/>
          <w:highlight w:val="none"/>
        </w:rPr>
        <w:t>比选响应保证金不予退还。</w:t>
      </w:r>
    </w:p>
    <w:p>
      <w:pPr>
        <w:pageBreakBefore w:val="0"/>
        <w:widowControl w:val="0"/>
        <w:kinsoku/>
        <w:wordWrap/>
        <w:overflowPunct/>
        <w:topLinePunct w:val="0"/>
        <w:autoSpaceDE w:val="0"/>
        <w:autoSpaceDN w:val="0"/>
        <w:bidi w:val="0"/>
        <w:adjustRightInd w:val="0"/>
        <w:snapToGrid/>
        <w:spacing w:line="360" w:lineRule="auto"/>
        <w:ind w:firstLine="528" w:firstLineChars="200"/>
        <w:textAlignment w:val="auto"/>
        <w:rPr>
          <w:rFonts w:hint="eastAsia" w:ascii="仿宋" w:hAnsi="仿宋" w:eastAsia="仿宋" w:cs="Times New Roman"/>
          <w:color w:val="000000"/>
          <w:spacing w:val="-8"/>
          <w:sz w:val="28"/>
          <w:szCs w:val="28"/>
          <w:highlight w:val="none"/>
        </w:rPr>
      </w:pPr>
      <w:r>
        <w:rPr>
          <w:rFonts w:hint="eastAsia" w:ascii="仿宋" w:hAnsi="仿宋" w:eastAsia="仿宋" w:cs="Times New Roman"/>
          <w:color w:val="000000"/>
          <w:spacing w:val="-8"/>
          <w:sz w:val="28"/>
          <w:szCs w:val="28"/>
          <w:highlight w:val="none"/>
        </w:rPr>
        <w:t>12.3 在</w:t>
      </w:r>
      <w:r>
        <w:rPr>
          <w:rFonts w:hint="eastAsia" w:ascii="仿宋" w:hAnsi="仿宋" w:eastAsia="仿宋" w:cs="Times New Roman"/>
          <w:color w:val="000000"/>
          <w:spacing w:val="-8"/>
          <w:sz w:val="28"/>
          <w:szCs w:val="28"/>
          <w:highlight w:val="none"/>
          <w:lang w:eastAsia="zh-CN"/>
        </w:rPr>
        <w:t>竞争性</w:t>
      </w:r>
      <w:r>
        <w:rPr>
          <w:rFonts w:hint="eastAsia" w:ascii="仿宋" w:hAnsi="仿宋" w:eastAsia="仿宋" w:cs="Times New Roman"/>
          <w:color w:val="000000"/>
          <w:spacing w:val="-8"/>
          <w:sz w:val="28"/>
          <w:szCs w:val="28"/>
          <w:highlight w:val="none"/>
        </w:rPr>
        <w:t>比选响应有效期内，</w:t>
      </w:r>
      <w:r>
        <w:rPr>
          <w:rFonts w:hint="eastAsia" w:ascii="仿宋" w:hAnsi="仿宋" w:eastAsia="仿宋" w:cs="Times New Roman"/>
          <w:color w:val="000000"/>
          <w:spacing w:val="-8"/>
          <w:sz w:val="28"/>
          <w:szCs w:val="28"/>
          <w:highlight w:val="none"/>
          <w:lang w:eastAsia="zh-CN"/>
        </w:rPr>
        <w:t>竞争性</w:t>
      </w:r>
      <w:r>
        <w:rPr>
          <w:rFonts w:hint="eastAsia" w:ascii="仿宋" w:hAnsi="仿宋" w:eastAsia="仿宋" w:cs="Times New Roman"/>
          <w:color w:val="000000"/>
          <w:spacing w:val="-8"/>
          <w:sz w:val="28"/>
          <w:szCs w:val="28"/>
          <w:highlight w:val="none"/>
        </w:rPr>
        <w:t>比选响应人无故放弃成交候选人资格的，其</w:t>
      </w:r>
      <w:r>
        <w:rPr>
          <w:rFonts w:hint="eastAsia" w:ascii="仿宋" w:hAnsi="仿宋" w:eastAsia="仿宋" w:cs="Times New Roman"/>
          <w:color w:val="000000"/>
          <w:spacing w:val="-8"/>
          <w:sz w:val="28"/>
          <w:szCs w:val="28"/>
          <w:highlight w:val="none"/>
          <w:lang w:eastAsia="zh-CN"/>
        </w:rPr>
        <w:t>竞争性</w:t>
      </w:r>
      <w:r>
        <w:rPr>
          <w:rFonts w:hint="eastAsia" w:ascii="仿宋" w:hAnsi="仿宋" w:eastAsia="仿宋" w:cs="Times New Roman"/>
          <w:color w:val="000000"/>
          <w:spacing w:val="-8"/>
          <w:sz w:val="28"/>
          <w:szCs w:val="28"/>
          <w:highlight w:val="none"/>
        </w:rPr>
        <w:t>比选响应保证金不予退还，并将被列入采购人黑名单。</w:t>
      </w:r>
    </w:p>
    <w:p>
      <w:pPr>
        <w:pageBreakBefore w:val="0"/>
        <w:widowControl w:val="0"/>
        <w:kinsoku/>
        <w:wordWrap/>
        <w:overflowPunct/>
        <w:topLinePunct w:val="0"/>
        <w:autoSpaceDE w:val="0"/>
        <w:autoSpaceDN w:val="0"/>
        <w:bidi w:val="0"/>
        <w:adjustRightInd w:val="0"/>
        <w:snapToGrid/>
        <w:spacing w:line="360" w:lineRule="auto"/>
        <w:ind w:firstLine="528" w:firstLineChars="200"/>
        <w:textAlignment w:val="auto"/>
        <w:rPr>
          <w:rFonts w:hint="eastAsia" w:ascii="仿宋" w:hAnsi="仿宋" w:eastAsia="仿宋" w:cs="Times New Roman"/>
          <w:color w:val="000000"/>
          <w:spacing w:val="-8"/>
          <w:sz w:val="28"/>
          <w:szCs w:val="28"/>
          <w:highlight w:val="none"/>
        </w:rPr>
      </w:pPr>
      <w:r>
        <w:rPr>
          <w:rFonts w:hint="eastAsia" w:ascii="仿宋" w:hAnsi="仿宋" w:eastAsia="仿宋" w:cs="Times New Roman"/>
          <w:color w:val="000000"/>
          <w:spacing w:val="-8"/>
          <w:sz w:val="28"/>
          <w:szCs w:val="28"/>
          <w:highlight w:val="none"/>
        </w:rPr>
        <w:t>12.4 成交人在收到成交通知书后，无正当理由不与采购人订立合同，在签订合同时向采购人提出附加条件，或者不按照采购文件要求提交履约保证金的，其</w:t>
      </w:r>
      <w:r>
        <w:rPr>
          <w:rFonts w:hint="eastAsia" w:ascii="仿宋" w:hAnsi="仿宋" w:eastAsia="仿宋" w:cs="Times New Roman"/>
          <w:color w:val="000000"/>
          <w:spacing w:val="-8"/>
          <w:sz w:val="28"/>
          <w:szCs w:val="28"/>
          <w:highlight w:val="none"/>
          <w:lang w:eastAsia="zh-CN"/>
        </w:rPr>
        <w:t>竞争性</w:t>
      </w:r>
      <w:r>
        <w:rPr>
          <w:rFonts w:hint="eastAsia" w:ascii="仿宋" w:hAnsi="仿宋" w:eastAsia="仿宋" w:cs="Times New Roman"/>
          <w:color w:val="000000"/>
          <w:spacing w:val="-8"/>
          <w:sz w:val="28"/>
          <w:szCs w:val="28"/>
          <w:highlight w:val="none"/>
        </w:rPr>
        <w:t>比选响应保证金不予退还，并将被列入采购人黑名单。</w:t>
      </w:r>
    </w:p>
    <w:p>
      <w:pPr>
        <w:pageBreakBefore w:val="0"/>
        <w:widowControl w:val="0"/>
        <w:kinsoku/>
        <w:wordWrap/>
        <w:overflowPunct/>
        <w:topLinePunct w:val="0"/>
        <w:autoSpaceDE w:val="0"/>
        <w:autoSpaceDN w:val="0"/>
        <w:bidi w:val="0"/>
        <w:adjustRightInd w:val="0"/>
        <w:snapToGrid/>
        <w:spacing w:line="360" w:lineRule="auto"/>
        <w:ind w:firstLine="528" w:firstLineChars="200"/>
        <w:textAlignment w:val="auto"/>
        <w:rPr>
          <w:rFonts w:hint="eastAsia" w:ascii="仿宋" w:hAnsi="仿宋" w:eastAsia="仿宋" w:cs="Times New Roman"/>
          <w:color w:val="000000"/>
          <w:spacing w:val="-8"/>
          <w:sz w:val="28"/>
          <w:szCs w:val="28"/>
          <w:highlight w:val="none"/>
        </w:rPr>
      </w:pPr>
      <w:r>
        <w:rPr>
          <w:rFonts w:hint="eastAsia" w:ascii="仿宋" w:hAnsi="仿宋" w:eastAsia="仿宋" w:cs="Times New Roman"/>
          <w:color w:val="000000"/>
          <w:spacing w:val="-8"/>
          <w:sz w:val="28"/>
          <w:szCs w:val="28"/>
          <w:highlight w:val="none"/>
        </w:rPr>
        <w:t>12.5 评审期间若发现</w:t>
      </w:r>
      <w:r>
        <w:rPr>
          <w:rFonts w:hint="eastAsia" w:ascii="仿宋" w:hAnsi="仿宋" w:eastAsia="仿宋" w:cs="Times New Roman"/>
          <w:color w:val="000000"/>
          <w:spacing w:val="-8"/>
          <w:sz w:val="28"/>
          <w:szCs w:val="28"/>
          <w:highlight w:val="none"/>
          <w:lang w:eastAsia="zh-CN"/>
        </w:rPr>
        <w:t>竞争性</w:t>
      </w:r>
      <w:r>
        <w:rPr>
          <w:rFonts w:hint="eastAsia" w:ascii="仿宋" w:hAnsi="仿宋" w:eastAsia="仿宋" w:cs="Times New Roman"/>
          <w:color w:val="000000"/>
          <w:spacing w:val="-8"/>
          <w:sz w:val="28"/>
          <w:szCs w:val="28"/>
          <w:highlight w:val="none"/>
        </w:rPr>
        <w:t>比选响应人有围标、串标或以他人名义参与比选的，其</w:t>
      </w:r>
      <w:r>
        <w:rPr>
          <w:rFonts w:hint="eastAsia" w:ascii="仿宋" w:hAnsi="仿宋" w:eastAsia="仿宋" w:cs="Times New Roman"/>
          <w:color w:val="000000"/>
          <w:spacing w:val="-8"/>
          <w:sz w:val="28"/>
          <w:szCs w:val="28"/>
          <w:highlight w:val="none"/>
          <w:lang w:eastAsia="zh-CN"/>
        </w:rPr>
        <w:t>竞争性</w:t>
      </w:r>
      <w:r>
        <w:rPr>
          <w:rFonts w:hint="eastAsia" w:ascii="仿宋" w:hAnsi="仿宋" w:eastAsia="仿宋" w:cs="Times New Roman"/>
          <w:color w:val="000000"/>
          <w:spacing w:val="-8"/>
          <w:sz w:val="28"/>
          <w:szCs w:val="28"/>
          <w:highlight w:val="none"/>
        </w:rPr>
        <w:t>比选响应将被否决，其</w:t>
      </w:r>
      <w:r>
        <w:rPr>
          <w:rFonts w:hint="eastAsia" w:ascii="仿宋" w:hAnsi="仿宋" w:eastAsia="仿宋" w:cs="Times New Roman"/>
          <w:color w:val="000000"/>
          <w:spacing w:val="-8"/>
          <w:sz w:val="28"/>
          <w:szCs w:val="28"/>
          <w:highlight w:val="none"/>
          <w:lang w:eastAsia="zh-CN"/>
        </w:rPr>
        <w:t>竞争性</w:t>
      </w:r>
      <w:r>
        <w:rPr>
          <w:rFonts w:hint="eastAsia" w:ascii="仿宋" w:hAnsi="仿宋" w:eastAsia="仿宋" w:cs="Times New Roman"/>
          <w:color w:val="000000"/>
          <w:spacing w:val="-8"/>
          <w:sz w:val="28"/>
          <w:szCs w:val="28"/>
          <w:highlight w:val="none"/>
        </w:rPr>
        <w:t>比选响应保证金不予退还，并将被列入采购人黑名单；若在评审结果公示期间发现成交候选人有围标、串标或以他人名义参加比选的，采购人将取消其成交资格且其</w:t>
      </w:r>
      <w:r>
        <w:rPr>
          <w:rFonts w:hint="eastAsia" w:ascii="仿宋" w:hAnsi="仿宋" w:eastAsia="仿宋" w:cs="Times New Roman"/>
          <w:color w:val="000000"/>
          <w:spacing w:val="-8"/>
          <w:sz w:val="28"/>
          <w:szCs w:val="28"/>
          <w:highlight w:val="none"/>
          <w:lang w:eastAsia="zh-CN"/>
        </w:rPr>
        <w:t>竞争性</w:t>
      </w:r>
      <w:r>
        <w:rPr>
          <w:rFonts w:hint="eastAsia" w:ascii="仿宋" w:hAnsi="仿宋" w:eastAsia="仿宋" w:cs="Times New Roman"/>
          <w:color w:val="000000"/>
          <w:spacing w:val="-8"/>
          <w:sz w:val="28"/>
          <w:szCs w:val="28"/>
          <w:highlight w:val="none"/>
        </w:rPr>
        <w:t>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Times New Roman"/>
          <w:color w:val="000000"/>
          <w:spacing w:val="-8"/>
          <w:sz w:val="28"/>
          <w:szCs w:val="28"/>
          <w:highlight w:val="none"/>
        </w:rPr>
      </w:pPr>
      <w:r>
        <w:rPr>
          <w:rFonts w:hint="eastAsia" w:ascii="仿宋" w:hAnsi="仿宋" w:eastAsia="仿宋" w:cs="Times New Roman"/>
          <w:color w:val="000000"/>
          <w:spacing w:val="-8"/>
          <w:sz w:val="28"/>
          <w:szCs w:val="28"/>
          <w:highlight w:val="none"/>
        </w:rPr>
        <w:t>注：黑名单有效期3年，被列入黑名单的单位在黑名单有效期内禁止参与采购人的项目。</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cs="仿宋"/>
          <w:b/>
          <w:sz w:val="28"/>
          <w:szCs w:val="28"/>
          <w:lang w:eastAsia="zh-CN"/>
        </w:rPr>
        <w:t>十三、</w:t>
      </w:r>
      <w:r>
        <w:rPr>
          <w:rFonts w:hint="eastAsia" w:ascii="仿宋" w:hAnsi="仿宋" w:eastAsia="仿宋" w:cs="仿宋"/>
          <w:b/>
          <w:sz w:val="28"/>
          <w:szCs w:val="28"/>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kern w:val="2"/>
          <w:sz w:val="28"/>
          <w:szCs w:val="28"/>
          <w:highlight w:val="none"/>
          <w:lang w:val="zh-CN" w:eastAsia="zh-CN" w:bidi="ar-SA"/>
        </w:rPr>
      </w:pPr>
      <w:r>
        <w:rPr>
          <w:rFonts w:hint="eastAsia" w:ascii="仿宋" w:hAnsi="仿宋" w:eastAsia="仿宋" w:cs="Times New Roman"/>
          <w:kern w:val="2"/>
          <w:sz w:val="28"/>
          <w:szCs w:val="28"/>
          <w:highlight w:val="none"/>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sz w:val="28"/>
          <w:szCs w:val="28"/>
          <w:lang w:val="zh-CN"/>
        </w:rPr>
      </w:pPr>
      <w:r>
        <w:rPr>
          <w:rFonts w:hint="eastAsia" w:ascii="仿宋" w:hAnsi="仿宋" w:eastAsia="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cs="仿宋"/>
          <w:b/>
          <w:sz w:val="28"/>
          <w:szCs w:val="28"/>
          <w:lang w:eastAsia="zh-CN"/>
        </w:rPr>
        <w:t>十四、</w:t>
      </w:r>
      <w:r>
        <w:rPr>
          <w:rFonts w:hint="eastAsia" w:ascii="仿宋" w:hAnsi="仿宋" w:eastAsia="仿宋" w:cs="仿宋"/>
          <w:b/>
          <w:sz w:val="28"/>
          <w:szCs w:val="28"/>
        </w:rPr>
        <w:t>联系方式</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业主：重庆机场集团有限公司动力能源保障部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eastAsia="zh-CN"/>
        </w:rPr>
        <w:t>雷</w:t>
      </w:r>
      <w:r>
        <w:rPr>
          <w:rFonts w:hint="eastAsia" w:ascii="仿宋_GB2312" w:hAnsi="宋体" w:eastAsia="仿宋_GB2312"/>
          <w:color w:val="auto"/>
          <w:sz w:val="28"/>
          <w:szCs w:val="28"/>
        </w:rPr>
        <w:t>老师</w:t>
      </w:r>
    </w:p>
    <w:p>
      <w:pPr>
        <w:snapToGrid w:val="0"/>
        <w:spacing w:line="360" w:lineRule="auto"/>
        <w:ind w:firstLine="539"/>
        <w:rPr>
          <w:rFonts w:hint="eastAsia"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3569</w:t>
      </w:r>
    </w:p>
    <w:p>
      <w:pPr>
        <w:snapToGrid w:val="0"/>
        <w:spacing w:line="360" w:lineRule="auto"/>
        <w:ind w:firstLine="539"/>
        <w:rPr>
          <w:rFonts w:eastAsia="仿宋_GB2312"/>
          <w:sz w:val="28"/>
          <w:szCs w:val="28"/>
        </w:rPr>
      </w:pPr>
      <w:r>
        <w:rPr>
          <w:rFonts w:eastAsia="仿宋_GB2312"/>
          <w:color w:val="auto"/>
          <w:sz w:val="28"/>
          <w:szCs w:val="28"/>
        </w:rPr>
        <w:t>邮</w:t>
      </w:r>
      <w:r>
        <w:rPr>
          <w:rFonts w:eastAsia="仿宋_GB2312"/>
          <w:sz w:val="28"/>
          <w:szCs w:val="28"/>
        </w:rPr>
        <w:t>件：dlnycgb@163.com</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邮编：401120</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pStyle w:val="3"/>
        <w:rPr>
          <w:b w:val="0"/>
          <w:bCs/>
        </w:rPr>
      </w:pPr>
      <w:r>
        <w:rPr>
          <w:rFonts w:hint="eastAsia"/>
          <w:b w:val="0"/>
          <w:bCs/>
        </w:rPr>
        <w:t>附件</w:t>
      </w:r>
      <w:r>
        <w:rPr>
          <w:b w:val="0"/>
          <w:bCs/>
        </w:rPr>
        <w:t>1</w:t>
      </w:r>
      <w:r>
        <w:rPr>
          <w:rFonts w:hint="eastAsia"/>
          <w:b w:val="0"/>
          <w:bCs/>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pPr>
    </w:p>
    <w:p>
      <w:pPr>
        <w:rPr>
          <w:rFonts w:ascii="仿宋" w:hAnsi="仿宋" w:eastAsia="仿宋"/>
          <w:szCs w:val="21"/>
        </w:rPr>
      </w:pPr>
      <w:r>
        <w:rPr>
          <w:rFonts w:ascii="仿宋" w:hAnsi="仿宋" w:eastAsia="仿宋"/>
          <w:szCs w:val="21"/>
        </w:rPr>
        <w:br w:type="page"/>
      </w: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hint="eastAsia"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pacing w:line="480" w:lineRule="auto"/>
        <w:rPr>
          <w:rFonts w:ascii="仿宋" w:hAnsi="仿宋" w:eastAsia="仿宋"/>
        </w:rPr>
      </w:pP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7"/>
        <w:spacing w:line="360" w:lineRule="auto"/>
        <w:rPr>
          <w:rFonts w:hAnsi="宋体" w:cs="宋体"/>
          <w:sz w:val="28"/>
          <w:szCs w:val="28"/>
        </w:rPr>
      </w:pPr>
    </w:p>
    <w:p>
      <w:pPr>
        <w:pStyle w:val="7"/>
        <w:spacing w:line="360" w:lineRule="auto"/>
        <w:rPr>
          <w:rFonts w:hAnsi="宋体" w:cs="宋体"/>
          <w:sz w:val="28"/>
          <w:szCs w:val="28"/>
        </w:rPr>
      </w:pPr>
    </w:p>
    <w:p>
      <w:pPr>
        <w:pStyle w:val="7"/>
        <w:spacing w:line="360" w:lineRule="auto"/>
        <w:rPr>
          <w:rFonts w:hAnsi="宋体" w:cs="宋体"/>
          <w:sz w:val="28"/>
          <w:szCs w:val="28"/>
        </w:rPr>
      </w:pPr>
    </w:p>
    <w:p>
      <w:pPr>
        <w:pStyle w:val="7"/>
        <w:spacing w:line="360" w:lineRule="auto"/>
        <w:rPr>
          <w:rFonts w:hAnsi="宋体" w:cs="宋体"/>
          <w:sz w:val="28"/>
          <w:szCs w:val="28"/>
        </w:rPr>
      </w:pPr>
    </w:p>
    <w:p>
      <w:pPr>
        <w:rPr>
          <w:rFonts w:hAnsi="宋体" w:cs="宋体"/>
          <w:sz w:val="28"/>
          <w:szCs w:val="28"/>
        </w:rPr>
      </w:pPr>
      <w:r>
        <w:rPr>
          <w:rFonts w:hAnsi="宋体" w:cs="宋体"/>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7"/>
        <w:spacing w:line="360" w:lineRule="auto"/>
        <w:rPr>
          <w:rFonts w:hAnsi="宋体" w:cs="宋体"/>
          <w:sz w:val="28"/>
          <w:szCs w:val="28"/>
        </w:rPr>
      </w:pPr>
    </w:p>
    <w:p>
      <w:pPr>
        <w:pStyle w:val="7"/>
        <w:spacing w:line="360" w:lineRule="auto"/>
        <w:rPr>
          <w:rFonts w:hAnsi="宋体" w:cs="宋体"/>
          <w:sz w:val="28"/>
          <w:szCs w:val="28"/>
        </w:rPr>
      </w:pPr>
    </w:p>
    <w:p>
      <w:pPr>
        <w:snapToGrid w:val="0"/>
        <w:spacing w:line="360" w:lineRule="auto"/>
        <w:rPr>
          <w:rFonts w:ascii="仿宋" w:hAnsi="仿宋" w:eastAsia="仿宋"/>
          <w:sz w:val="28"/>
          <w:szCs w:val="28"/>
        </w:rPr>
      </w:pPr>
    </w:p>
    <w:p>
      <w:pPr>
        <w:widowControl/>
        <w:jc w:val="left"/>
        <w:rPr>
          <w:rFonts w:ascii="仿宋_GB2312" w:eastAsia="仿宋_GB2312"/>
          <w:b/>
          <w:sz w:val="44"/>
          <w:szCs w:val="44"/>
        </w:rPr>
        <w:sectPr>
          <w:footerReference r:id="rId4" w:type="default"/>
          <w:pgSz w:w="11906" w:h="16838"/>
          <w:pgMar w:top="1080" w:right="1440" w:bottom="1080" w:left="1440" w:header="851" w:footer="992" w:gutter="0"/>
          <w:cols w:space="720" w:num="1"/>
          <w:docGrid w:type="linesAndChars" w:linePitch="312" w:charSpace="0"/>
        </w:sectPr>
      </w:pPr>
    </w:p>
    <w:p>
      <w:pPr>
        <w:wordWrap w:val="0"/>
        <w:spacing w:line="300" w:lineRule="exact"/>
        <w:ind w:firstLine="422" w:firstLineChars="200"/>
        <w:jc w:val="right"/>
        <w:rPr>
          <w:rFonts w:ascii="仿宋" w:hAnsi="仿宋" w:eastAsia="仿宋"/>
          <w:b/>
          <w:color w:val="000000"/>
        </w:rPr>
      </w:pPr>
      <w:r>
        <w:rPr>
          <w:rFonts w:hint="eastAsia" w:ascii="仿宋" w:hAnsi="仿宋" w:eastAsia="仿宋"/>
          <w:b/>
          <w:color w:val="000000"/>
        </w:rPr>
        <w:t xml:space="preserve"> </w:t>
      </w:r>
      <w:r>
        <w:rPr>
          <w:rFonts w:ascii="仿宋" w:hAnsi="仿宋" w:eastAsia="仿宋"/>
          <w:b/>
          <w:color w:val="000000"/>
        </w:rPr>
        <w:t xml:space="preserve">           </w:t>
      </w:r>
    </w:p>
    <w:p>
      <w:pPr>
        <w:pStyle w:val="16"/>
        <w:ind w:right="600" w:firstLine="600"/>
        <w:jc w:val="right"/>
      </w:pPr>
      <w:r>
        <w:rPr>
          <w:rFonts w:hint="eastAsia"/>
        </w:rPr>
        <w:t xml:space="preserve">合同编号： </w:t>
      </w:r>
      <w:r>
        <w:t xml:space="preserve">           </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pStyle w:val="17"/>
        <w:ind w:left="0" w:leftChars="0" w:firstLine="1446" w:firstLineChars="200"/>
        <w:jc w:val="both"/>
      </w:pPr>
      <w:r>
        <w:rPr>
          <w:rFonts w:hint="eastAsia"/>
        </w:rPr>
        <w:t>重庆江北国际机场</w:t>
      </w:r>
    </w:p>
    <w:p>
      <w:pPr>
        <w:pStyle w:val="17"/>
        <w:ind w:left="0" w:leftChars="0" w:firstLine="0" w:firstLineChars="0"/>
        <w:jc w:val="center"/>
        <w:rPr>
          <w:sz w:val="44"/>
        </w:rPr>
      </w:pPr>
      <w:r>
        <w:rPr>
          <w:rFonts w:hint="eastAsia"/>
        </w:rPr>
        <w:t>东区污水处理站超细格栅砂水分离器采购项目合同</w:t>
      </w: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rFonts w:hint="eastAsia" w:eastAsia="宋体"/>
          <w:b/>
          <w:color w:val="auto"/>
          <w:sz w:val="32"/>
          <w:szCs w:val="32"/>
          <w:highlight w:val="none"/>
          <w:lang w:eastAsia="zh-CN"/>
        </w:rPr>
      </w:pPr>
      <w:r>
        <w:rPr>
          <w:rFonts w:hint="eastAsia"/>
          <w:b/>
          <w:sz w:val="32"/>
          <w:szCs w:val="32"/>
        </w:rPr>
        <w:t>甲方：</w:t>
      </w:r>
      <w:r>
        <w:rPr>
          <w:rFonts w:hint="eastAsia"/>
          <w:b/>
          <w:color w:val="auto"/>
          <w:sz w:val="32"/>
          <w:szCs w:val="32"/>
          <w:highlight w:val="none"/>
        </w:rPr>
        <w:t>重庆机场集团有限公司</w:t>
      </w:r>
    </w:p>
    <w:p>
      <w:pPr>
        <w:snapToGrid w:val="0"/>
        <w:spacing w:line="360" w:lineRule="auto"/>
        <w:rPr>
          <w:rFonts w:cs="宋体"/>
          <w:b/>
          <w:bCs/>
          <w:sz w:val="32"/>
          <w:szCs w:val="32"/>
        </w:rPr>
      </w:pPr>
      <w:r>
        <w:rPr>
          <w:rFonts w:hint="eastAsia"/>
          <w:b/>
          <w:sz w:val="32"/>
          <w:szCs w:val="32"/>
        </w:rPr>
        <w:t xml:space="preserve">      </w:t>
      </w:r>
      <w:r>
        <w:rPr>
          <w:rFonts w:hint="eastAsia"/>
          <w:b/>
          <w:sz w:val="32"/>
          <w:szCs w:val="32"/>
          <w:lang w:val="en-US" w:eastAsia="zh-CN"/>
        </w:rPr>
        <w:t xml:space="preserve">       </w:t>
      </w:r>
      <w:r>
        <w:rPr>
          <w:rFonts w:hint="eastAsia"/>
          <w:b/>
          <w:sz w:val="32"/>
          <w:szCs w:val="32"/>
        </w:rPr>
        <w:t>乙方：</w:t>
      </w:r>
      <w:r>
        <w:rPr>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footerReference r:id="rId7" w:type="first"/>
          <w:headerReference r:id="rId5" w:type="default"/>
          <w:footerReference r:id="rId6" w:type="default"/>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正文 CS 字体)"/>
          <w:color w:val="auto"/>
          <w:kern w:val="2"/>
          <w:sz w:val="24"/>
          <w:szCs w:val="24"/>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lang w:val="zh-CN"/>
        </w:rPr>
      </w:sdtEndPr>
      <w:sdtContent>
        <w:p>
          <w:pPr>
            <w:pStyle w:val="18"/>
            <w:pageBreakBefore w:val="0"/>
            <w:kinsoku/>
            <w:wordWrap/>
            <w:overflowPunct/>
            <w:topLinePunct w:val="0"/>
            <w:autoSpaceDE/>
            <w:autoSpaceDN/>
            <w:bidi w:val="0"/>
            <w:adjustRightInd/>
            <w:snapToGrid/>
            <w:spacing w:line="520" w:lineRule="exact"/>
            <w:jc w:val="center"/>
            <w:textAlignment w:val="auto"/>
            <w:rPr>
              <w:rFonts w:ascii="仿宋_GB2312" w:eastAsia="仿宋_GB2312"/>
              <w:sz w:val="30"/>
              <w:szCs w:val="30"/>
            </w:rPr>
          </w:pPr>
          <w:r>
            <w:rPr>
              <w:rFonts w:hint="eastAsia" w:ascii="仿宋_GB2312" w:eastAsia="仿宋_GB2312"/>
              <w:sz w:val="30"/>
              <w:szCs w:val="30"/>
              <w:lang w:val="zh-CN"/>
            </w:rPr>
            <w:t>目录</w:t>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TOC \o "1-3" \h \z \u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_Toc3474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第一条 项目名称</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_Toc3474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23</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_Toc17686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第二条 项目地点</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_Toc17686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23</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_Toc23844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第三条 项目内容和范围</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_Toc23844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23</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_Toc26715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第四条 项目工期</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_Toc26715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25</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_Toc24321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第五条  履约担保、质量保证</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_Toc24321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25</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_Toc15072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第六条  合同价款</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_Toc15072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26</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_Toc3521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第七条 付款方式</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_Toc3521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26</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_Toc12245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第八条  承揽要求</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_Toc12245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26</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_Toc20195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第九条  双方的权利与义务</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_Toc20195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27</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6"/>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_Toc8580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9.1甲方权责：</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_Toc8580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27</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6"/>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_Toc6959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9.2乙方权责：</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_Toc6959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27</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_Toc5815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第十条  成果验收标准和方法</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_Toc5815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27</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_Toc29432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第十一条  知识产权</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_Toc29432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28</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_Toc6231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第十二条  违约责任</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_Toc6231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28</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_Toc17861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第十三条  争议解决方式</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_Toc17861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28</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_Toc16654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第十四条  通知与送达</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_Toc16654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29</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_Toc28646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第十五条 不可抗力</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_Toc28646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30</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_Toc16116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第十六条  补充协议</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_Toc16116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30</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_Toc17914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第十七条  保密条款</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_Toc17914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31</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Style w:val="10"/>
            <w:pageBreakBefore w:val="0"/>
            <w:tabs>
              <w:tab w:val="right" w:leader="dot" w:pos="8300"/>
            </w:tabs>
            <w:kinsoku/>
            <w:wordWrap/>
            <w:overflowPunct/>
            <w:topLinePunct w:val="0"/>
            <w:autoSpaceDE/>
            <w:autoSpaceDN/>
            <w:bidi w:val="0"/>
            <w:adjustRightInd/>
            <w:snapToGrid/>
            <w:spacing w:line="520" w:lineRule="exact"/>
            <w:textAlignment w:val="auto"/>
            <w:rPr>
              <w:rFonts w:hint="eastAsia" w:ascii="仿宋_GB2312" w:eastAsia="仿宋_GB2312" w:hAnsiTheme="majorHAnsi" w:cstheme="majorBidi"/>
              <w:b w:val="0"/>
              <w:bCs w:val="0"/>
              <w:color w:val="auto"/>
              <w:kern w:val="0"/>
              <w:sz w:val="30"/>
              <w:szCs w:val="30"/>
              <w:lang w:val="zh-CN" w:eastAsia="zh-CN" w:bidi="ar-SA"/>
            </w:rPr>
          </w:pP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HYPERLINK \l _Toc32645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第十八条  其他</w:t>
          </w:r>
          <w:r>
            <w:rPr>
              <w:rFonts w:hint="eastAsia" w:ascii="仿宋_GB2312" w:eastAsia="仿宋_GB2312" w:hAnsiTheme="majorHAnsi" w:cstheme="majorBidi"/>
              <w:b w:val="0"/>
              <w:bCs w:val="0"/>
              <w:color w:val="auto"/>
              <w:kern w:val="0"/>
              <w:sz w:val="30"/>
              <w:szCs w:val="30"/>
              <w:lang w:val="zh-CN" w:eastAsia="zh-CN" w:bidi="ar-SA"/>
            </w:rPr>
            <w:tab/>
          </w:r>
          <w:r>
            <w:rPr>
              <w:rFonts w:hint="eastAsia" w:ascii="仿宋_GB2312" w:eastAsia="仿宋_GB2312" w:hAnsiTheme="majorHAnsi" w:cstheme="majorBidi"/>
              <w:b w:val="0"/>
              <w:bCs w:val="0"/>
              <w:color w:val="auto"/>
              <w:kern w:val="0"/>
              <w:sz w:val="30"/>
              <w:szCs w:val="30"/>
              <w:lang w:val="zh-CN" w:eastAsia="zh-CN" w:bidi="ar-SA"/>
            </w:rPr>
            <w:fldChar w:fldCharType="begin"/>
          </w:r>
          <w:r>
            <w:rPr>
              <w:rFonts w:hint="eastAsia" w:ascii="仿宋_GB2312" w:eastAsia="仿宋_GB2312" w:hAnsiTheme="majorHAnsi" w:cstheme="majorBidi"/>
              <w:b w:val="0"/>
              <w:bCs w:val="0"/>
              <w:color w:val="auto"/>
              <w:kern w:val="0"/>
              <w:sz w:val="30"/>
              <w:szCs w:val="30"/>
              <w:lang w:val="zh-CN" w:eastAsia="zh-CN" w:bidi="ar-SA"/>
            </w:rPr>
            <w:instrText xml:space="preserve"> PAGEREF _Toc32645 </w:instrText>
          </w:r>
          <w:r>
            <w:rPr>
              <w:rFonts w:hint="eastAsia" w:ascii="仿宋_GB2312" w:eastAsia="仿宋_GB2312" w:hAnsiTheme="majorHAnsi" w:cstheme="majorBidi"/>
              <w:b w:val="0"/>
              <w:bCs w:val="0"/>
              <w:color w:val="auto"/>
              <w:kern w:val="0"/>
              <w:sz w:val="30"/>
              <w:szCs w:val="30"/>
              <w:lang w:val="zh-CN" w:eastAsia="zh-CN" w:bidi="ar-SA"/>
            </w:rPr>
            <w:fldChar w:fldCharType="separate"/>
          </w:r>
          <w:r>
            <w:rPr>
              <w:rFonts w:hint="eastAsia" w:ascii="仿宋_GB2312" w:eastAsia="仿宋_GB2312" w:hAnsiTheme="majorHAnsi" w:cstheme="majorBidi"/>
              <w:b w:val="0"/>
              <w:bCs w:val="0"/>
              <w:color w:val="auto"/>
              <w:kern w:val="0"/>
              <w:sz w:val="30"/>
              <w:szCs w:val="30"/>
              <w:lang w:val="zh-CN" w:eastAsia="zh-CN" w:bidi="ar-SA"/>
            </w:rPr>
            <w:t>31</w:t>
          </w:r>
          <w:r>
            <w:rPr>
              <w:rFonts w:hint="eastAsia" w:ascii="仿宋_GB2312" w:eastAsia="仿宋_GB2312" w:hAnsiTheme="majorHAnsi" w:cstheme="majorBidi"/>
              <w:b w:val="0"/>
              <w:bCs w:val="0"/>
              <w:color w:val="auto"/>
              <w:kern w:val="0"/>
              <w:sz w:val="30"/>
              <w:szCs w:val="30"/>
              <w:lang w:val="zh-CN" w:eastAsia="zh-CN" w:bidi="ar-SA"/>
            </w:rPr>
            <w:fldChar w:fldCharType="end"/>
          </w:r>
          <w:r>
            <w:rPr>
              <w:rFonts w:hint="eastAsia" w:ascii="仿宋_GB2312" w:eastAsia="仿宋_GB2312" w:hAnsiTheme="majorHAnsi" w:cstheme="majorBidi"/>
              <w:b w:val="0"/>
              <w:bCs w:val="0"/>
              <w:color w:val="auto"/>
              <w:kern w:val="0"/>
              <w:sz w:val="30"/>
              <w:szCs w:val="30"/>
              <w:lang w:val="zh-CN" w:eastAsia="zh-CN" w:bidi="ar-SA"/>
            </w:rPr>
            <w:fldChar w:fldCharType="end"/>
          </w:r>
        </w:p>
        <w:p>
          <w:pPr>
            <w:pageBreakBefore w:val="0"/>
            <w:kinsoku/>
            <w:wordWrap/>
            <w:overflowPunct/>
            <w:topLinePunct w:val="0"/>
            <w:autoSpaceDE/>
            <w:autoSpaceDN/>
            <w:bidi w:val="0"/>
            <w:adjustRightInd/>
            <w:snapToGrid/>
            <w:spacing w:line="520" w:lineRule="exact"/>
            <w:textAlignment w:val="auto"/>
            <w:rPr>
              <w:rFonts w:hint="eastAsia"/>
            </w:rPr>
            <w:sectPr>
              <w:footerReference r:id="rId8" w:type="default"/>
              <w:pgSz w:w="11900" w:h="16840"/>
              <w:pgMar w:top="1440" w:right="1800" w:bottom="1440" w:left="1800" w:header="851" w:footer="992" w:gutter="0"/>
              <w:cols w:space="425" w:num="1"/>
              <w:docGrid w:type="lines" w:linePitch="326" w:charSpace="0"/>
            </w:sectPr>
          </w:pPr>
          <w:r>
            <w:rPr>
              <w:rFonts w:hint="eastAsia" w:ascii="仿宋_GB2312" w:eastAsia="仿宋_GB2312" w:hAnsiTheme="majorHAnsi" w:cstheme="majorBidi"/>
              <w:b w:val="0"/>
              <w:bCs w:val="0"/>
              <w:color w:val="auto"/>
              <w:kern w:val="0"/>
              <w:sz w:val="30"/>
              <w:szCs w:val="30"/>
              <w:lang w:val="zh-CN" w:eastAsia="zh-CN" w:bidi="ar-SA"/>
            </w:rPr>
            <w:fldChar w:fldCharType="end"/>
          </w:r>
        </w:p>
      </w:sdtContent>
    </w:sdt>
    <w:p>
      <w:pPr>
        <w:pStyle w:val="16"/>
        <w:ind w:firstLine="602"/>
        <w:rPr>
          <w:rFonts w:hint="eastAsia"/>
          <w:b/>
          <w:bCs/>
          <w:highlight w:val="none"/>
        </w:rPr>
      </w:pPr>
      <w:r>
        <w:rPr>
          <w:rFonts w:hint="eastAsia"/>
          <w:b/>
          <w:bCs/>
          <w:highlight w:val="none"/>
          <w:lang w:eastAsia="zh-CN"/>
        </w:rPr>
        <w:t>甲</w:t>
      </w:r>
      <w:r>
        <w:rPr>
          <w:rFonts w:hint="eastAsia"/>
          <w:b/>
          <w:bCs/>
          <w:highlight w:val="none"/>
        </w:rPr>
        <w:t>方:重庆机场集团有限公司</w:t>
      </w:r>
    </w:p>
    <w:p>
      <w:pPr>
        <w:pStyle w:val="16"/>
        <w:ind w:firstLine="562"/>
        <w:rPr>
          <w:rFonts w:hint="eastAsia"/>
          <w:b/>
          <w:bCs/>
          <w:color w:val="auto"/>
          <w:sz w:val="28"/>
          <w:szCs w:val="28"/>
          <w:highlight w:val="none"/>
          <w:lang w:eastAsia="zh-CN"/>
        </w:rPr>
      </w:pPr>
      <w:r>
        <w:rPr>
          <w:rFonts w:hint="eastAsia"/>
          <w:b/>
          <w:bCs/>
          <w:color w:val="auto"/>
          <w:sz w:val="28"/>
          <w:szCs w:val="28"/>
          <w:highlight w:val="none"/>
          <w:lang w:eastAsia="zh-CN"/>
        </w:rPr>
        <w:t>统一社会信用代码：91500000756209971P</w:t>
      </w:r>
    </w:p>
    <w:p>
      <w:pPr>
        <w:pStyle w:val="16"/>
        <w:ind w:firstLine="562"/>
        <w:rPr>
          <w:rFonts w:hint="eastAsia"/>
          <w:b/>
          <w:bCs/>
          <w:color w:val="auto"/>
          <w:sz w:val="28"/>
          <w:szCs w:val="28"/>
          <w:highlight w:val="none"/>
          <w:lang w:eastAsia="zh-CN"/>
        </w:rPr>
      </w:pPr>
      <w:r>
        <w:rPr>
          <w:rFonts w:hint="eastAsia"/>
          <w:b/>
          <w:bCs/>
          <w:color w:val="auto"/>
          <w:sz w:val="28"/>
          <w:szCs w:val="28"/>
          <w:highlight w:val="none"/>
          <w:lang w:eastAsia="zh-CN"/>
        </w:rPr>
        <w:t>通讯地址： 重庆市渝北区两路镇江北国际机场内</w:t>
      </w:r>
    </w:p>
    <w:p>
      <w:pPr>
        <w:pStyle w:val="16"/>
        <w:ind w:firstLine="562"/>
        <w:rPr>
          <w:rFonts w:hint="eastAsia"/>
          <w:b/>
          <w:bCs/>
          <w:color w:val="auto"/>
          <w:sz w:val="28"/>
          <w:szCs w:val="28"/>
          <w:highlight w:val="none"/>
          <w:lang w:eastAsia="zh-CN"/>
        </w:rPr>
      </w:pPr>
      <w:r>
        <w:rPr>
          <w:rFonts w:hint="eastAsia"/>
          <w:b/>
          <w:bCs/>
          <w:color w:val="auto"/>
          <w:sz w:val="28"/>
          <w:szCs w:val="28"/>
          <w:highlight w:val="none"/>
          <w:lang w:eastAsia="zh-CN"/>
        </w:rPr>
        <w:t>法定代表人或委托代理人： 戴科（法定代表人）</w:t>
      </w:r>
    </w:p>
    <w:p>
      <w:pPr>
        <w:pStyle w:val="16"/>
        <w:ind w:firstLine="562"/>
        <w:rPr>
          <w:rFonts w:hint="eastAsia"/>
          <w:b/>
          <w:bCs/>
          <w:color w:val="auto"/>
          <w:sz w:val="28"/>
          <w:szCs w:val="28"/>
          <w:highlight w:val="none"/>
          <w:lang w:val="en-US" w:eastAsia="zh-CN"/>
        </w:rPr>
      </w:pPr>
      <w:r>
        <w:rPr>
          <w:rFonts w:hint="eastAsia"/>
          <w:b/>
          <w:bCs/>
          <w:color w:val="auto"/>
          <w:sz w:val="28"/>
          <w:szCs w:val="28"/>
          <w:highlight w:val="none"/>
          <w:lang w:eastAsia="zh-CN"/>
        </w:rPr>
        <w:t>联系电话：</w:t>
      </w:r>
      <w:r>
        <w:rPr>
          <w:rFonts w:hint="eastAsia"/>
          <w:b/>
          <w:bCs/>
          <w:color w:val="auto"/>
          <w:sz w:val="28"/>
          <w:szCs w:val="28"/>
          <w:highlight w:val="none"/>
          <w:lang w:val="en-US" w:eastAsia="zh-CN"/>
        </w:rPr>
        <w:t>67151341</w:t>
      </w:r>
    </w:p>
    <w:p>
      <w:pPr>
        <w:ind w:firstLine="562" w:firstLineChars="200"/>
        <w:jc w:val="left"/>
        <w:rPr>
          <w:rFonts w:hint="eastAsia"/>
          <w:b/>
          <w:bCs/>
          <w:color w:val="auto"/>
          <w:sz w:val="28"/>
          <w:szCs w:val="28"/>
          <w:highlight w:val="none"/>
          <w:lang w:eastAsia="zh-CN"/>
        </w:rPr>
      </w:pPr>
      <w:r>
        <w:rPr>
          <w:rFonts w:hint="eastAsia"/>
          <w:b/>
          <w:bCs/>
          <w:color w:val="auto"/>
          <w:sz w:val="28"/>
          <w:szCs w:val="28"/>
          <w:highlight w:val="none"/>
          <w:lang w:eastAsia="zh-CN"/>
        </w:rPr>
        <w:t>邮箱地址：</w:t>
      </w:r>
      <w:r>
        <w:rPr>
          <w:rFonts w:hint="eastAsia" w:ascii="仿宋_GB2312" w:hAnsi="仿宋" w:eastAsia="仿宋_GB2312" w:cs="宋体"/>
          <w:b/>
          <w:bCs/>
          <w:color w:val="auto"/>
          <w:kern w:val="2"/>
          <w:highlight w:val="none"/>
          <w:u w:val="none"/>
          <w:shd w:val="clear" w:color="auto" w:fill="auto"/>
          <w:lang w:val="zh-CN" w:eastAsia="zh-CN" w:bidi="ar-SA"/>
        </w:rPr>
        <w:fldChar w:fldCharType="begin"/>
      </w:r>
      <w:r>
        <w:rPr>
          <w:rStyle w:val="19"/>
          <w:rFonts w:hint="eastAsia" w:ascii="仿宋_GB2312" w:hAnsi="仿宋" w:eastAsia="仿宋_GB2312" w:cs="宋体"/>
          <w:b/>
          <w:bCs/>
          <w:color w:val="auto"/>
          <w:kern w:val="2"/>
          <w:highlight w:val="none"/>
          <w:u w:val="none"/>
          <w:shd w:val="clear" w:color="auto" w:fill="auto"/>
          <w:lang w:val="zh-CN" w:eastAsia="zh-CN" w:bidi="ar-SA"/>
        </w:rPr>
        <w:instrText xml:space="preserve"> HYPERLINK "mailto:120050301@qq.com" </w:instrText>
      </w:r>
      <w:r>
        <w:rPr>
          <w:rFonts w:hint="eastAsia" w:ascii="仿宋_GB2312" w:hAnsi="仿宋" w:eastAsia="仿宋_GB2312" w:cs="宋体"/>
          <w:b/>
          <w:bCs/>
          <w:color w:val="auto"/>
          <w:kern w:val="2"/>
          <w:highlight w:val="none"/>
          <w:u w:val="none"/>
          <w:shd w:val="clear" w:color="auto" w:fill="auto"/>
          <w:lang w:val="zh-CN" w:eastAsia="zh-CN" w:bidi="ar-SA"/>
        </w:rPr>
        <w:fldChar w:fldCharType="separate"/>
      </w:r>
      <w:r>
        <w:rPr>
          <w:rStyle w:val="12"/>
          <w:rFonts w:hint="eastAsia" w:ascii="仿宋_GB2312" w:hAnsi="仿宋" w:eastAsia="仿宋_GB2312" w:cs="宋体"/>
          <w:b/>
          <w:bCs/>
          <w:color w:val="auto"/>
          <w:kern w:val="2"/>
          <w:sz w:val="30"/>
          <w:szCs w:val="30"/>
          <w:highlight w:val="none"/>
          <w:u w:val="none"/>
          <w:shd w:val="clear" w:color="auto" w:fill="auto"/>
          <w:lang w:val="en-US" w:eastAsia="zh-CN" w:bidi="ar-SA"/>
        </w:rPr>
        <w:t>743844673</w:t>
      </w:r>
      <w:r>
        <w:rPr>
          <w:rStyle w:val="12"/>
          <w:rFonts w:hint="eastAsia" w:ascii="仿宋_GB2312" w:hAnsi="仿宋" w:eastAsia="仿宋_GB2312" w:cs="宋体"/>
          <w:b/>
          <w:bCs/>
          <w:color w:val="auto"/>
          <w:kern w:val="2"/>
          <w:sz w:val="30"/>
          <w:szCs w:val="30"/>
          <w:highlight w:val="none"/>
          <w:u w:val="none"/>
          <w:shd w:val="clear" w:color="auto" w:fill="auto"/>
          <w:lang w:val="zh-CN" w:eastAsia="zh-CN" w:bidi="ar-SA"/>
        </w:rPr>
        <w:t>@qq.com</w:t>
      </w:r>
      <w:r>
        <w:rPr>
          <w:rFonts w:hint="eastAsia" w:ascii="仿宋_GB2312" w:hAnsi="仿宋" w:eastAsia="仿宋_GB2312" w:cs="宋体"/>
          <w:b/>
          <w:bCs/>
          <w:color w:val="auto"/>
          <w:kern w:val="2"/>
          <w:highlight w:val="none"/>
          <w:u w:val="none"/>
          <w:shd w:val="clear" w:color="auto" w:fill="auto"/>
          <w:lang w:val="zh-CN" w:eastAsia="zh-CN" w:bidi="ar-SA"/>
        </w:rPr>
        <w:fldChar w:fldCharType="end"/>
      </w:r>
    </w:p>
    <w:p>
      <w:pPr>
        <w:pStyle w:val="16"/>
        <w:ind w:firstLine="562"/>
        <w:rPr>
          <w:rFonts w:hint="eastAsia"/>
          <w:b/>
          <w:bCs/>
          <w:color w:val="auto"/>
          <w:sz w:val="28"/>
          <w:szCs w:val="28"/>
          <w:highlight w:val="none"/>
          <w:lang w:eastAsia="zh-CN"/>
        </w:rPr>
      </w:pPr>
      <w:r>
        <w:rPr>
          <w:rFonts w:hint="eastAsia"/>
          <w:b/>
          <w:bCs/>
          <w:color w:val="auto"/>
          <w:sz w:val="28"/>
          <w:szCs w:val="28"/>
          <w:highlight w:val="none"/>
          <w:lang w:eastAsia="zh-CN"/>
        </w:rPr>
        <w:t>开户银行： 建行重庆渝北机场支行</w:t>
      </w:r>
    </w:p>
    <w:p>
      <w:pPr>
        <w:pStyle w:val="16"/>
        <w:ind w:firstLine="562"/>
        <w:rPr>
          <w:rFonts w:hint="eastAsia"/>
          <w:b/>
          <w:bCs/>
          <w:color w:val="auto"/>
          <w:sz w:val="28"/>
          <w:szCs w:val="28"/>
          <w:highlight w:val="none"/>
          <w:lang w:eastAsia="zh-CN"/>
        </w:rPr>
      </w:pPr>
      <w:r>
        <w:rPr>
          <w:rFonts w:hint="eastAsia"/>
          <w:b/>
          <w:bCs/>
          <w:color w:val="auto"/>
          <w:sz w:val="28"/>
          <w:szCs w:val="28"/>
          <w:highlight w:val="none"/>
          <w:lang w:eastAsia="zh-CN"/>
        </w:rPr>
        <w:t>开户名称： 重庆机场集团有限公司</w:t>
      </w:r>
    </w:p>
    <w:p>
      <w:pPr>
        <w:pStyle w:val="16"/>
        <w:ind w:firstLine="562"/>
        <w:rPr>
          <w:rFonts w:hint="eastAsia"/>
          <w:b/>
          <w:bCs/>
          <w:color w:val="auto"/>
          <w:sz w:val="28"/>
          <w:szCs w:val="28"/>
          <w:highlight w:val="none"/>
          <w:lang w:eastAsia="zh-CN"/>
        </w:rPr>
      </w:pPr>
      <w:r>
        <w:rPr>
          <w:rFonts w:hint="eastAsia"/>
          <w:b/>
          <w:bCs/>
          <w:color w:val="auto"/>
          <w:sz w:val="28"/>
          <w:szCs w:val="28"/>
          <w:highlight w:val="none"/>
          <w:lang w:eastAsia="zh-CN"/>
        </w:rPr>
        <w:t>账号：50001083800050000447</w:t>
      </w:r>
    </w:p>
    <w:p>
      <w:pPr>
        <w:pStyle w:val="16"/>
        <w:ind w:firstLine="602"/>
        <w:rPr>
          <w:b/>
          <w:bCs/>
        </w:rPr>
      </w:pPr>
    </w:p>
    <w:p>
      <w:pPr>
        <w:pStyle w:val="16"/>
        <w:ind w:firstLine="602"/>
        <w:rPr>
          <w:b/>
          <w:bCs/>
        </w:rPr>
      </w:pPr>
      <w:r>
        <w:rPr>
          <w:rFonts w:hint="eastAsia"/>
          <w:b/>
          <w:bCs/>
        </w:rPr>
        <w:t>乙方：</w:t>
      </w:r>
      <w:r>
        <w:rPr>
          <w:b/>
          <w:bCs/>
        </w:rPr>
        <w:t xml:space="preserve"> </w:t>
      </w:r>
    </w:p>
    <w:p>
      <w:pPr>
        <w:pStyle w:val="16"/>
        <w:ind w:firstLine="602"/>
        <w:rPr>
          <w:b/>
          <w:bCs/>
        </w:rPr>
      </w:pPr>
      <w:r>
        <w:rPr>
          <w:rFonts w:hint="eastAsia"/>
          <w:b/>
          <w:bCs/>
        </w:rPr>
        <w:t>统一社会信用代码：</w:t>
      </w:r>
    </w:p>
    <w:p>
      <w:pPr>
        <w:pStyle w:val="16"/>
        <w:ind w:firstLine="602"/>
        <w:rPr>
          <w:b/>
          <w:bCs/>
        </w:rPr>
      </w:pPr>
      <w:r>
        <w:rPr>
          <w:b/>
          <w:bCs/>
        </w:rPr>
        <w:t>通讯地址：</w:t>
      </w:r>
    </w:p>
    <w:p>
      <w:pPr>
        <w:pStyle w:val="16"/>
        <w:ind w:firstLine="602"/>
        <w:rPr>
          <w:b/>
          <w:bCs/>
        </w:rPr>
      </w:pPr>
      <w:r>
        <w:rPr>
          <w:b/>
          <w:bCs/>
        </w:rPr>
        <w:t xml:space="preserve">法定代表人或委托代理人： </w:t>
      </w:r>
    </w:p>
    <w:p>
      <w:pPr>
        <w:pStyle w:val="16"/>
        <w:ind w:firstLine="602"/>
        <w:rPr>
          <w:b/>
          <w:bCs/>
        </w:rPr>
      </w:pPr>
      <w:r>
        <w:rPr>
          <w:b/>
          <w:bCs/>
        </w:rPr>
        <w:t>邮政编码：</w:t>
      </w:r>
    </w:p>
    <w:p>
      <w:pPr>
        <w:pStyle w:val="16"/>
        <w:ind w:firstLine="602"/>
        <w:rPr>
          <w:b/>
          <w:bCs/>
        </w:rPr>
      </w:pPr>
      <w:r>
        <w:rPr>
          <w:b/>
          <w:bCs/>
        </w:rPr>
        <w:t>联系电话：</w:t>
      </w:r>
    </w:p>
    <w:p>
      <w:pPr>
        <w:pStyle w:val="16"/>
        <w:ind w:firstLine="602"/>
        <w:rPr>
          <w:b/>
          <w:bCs/>
        </w:rPr>
      </w:pPr>
      <w:r>
        <w:rPr>
          <w:b/>
          <w:bCs/>
        </w:rPr>
        <w:t xml:space="preserve">邮箱地址： </w:t>
      </w:r>
    </w:p>
    <w:p>
      <w:pPr>
        <w:pStyle w:val="20"/>
        <w:shd w:val="clear" w:color="auto" w:fill="auto"/>
        <w:spacing w:before="0" w:after="163" w:afterLines="50" w:line="240" w:lineRule="auto"/>
        <w:ind w:firstLine="480" w:firstLineChars="200"/>
        <w:jc w:val="both"/>
        <w:rPr>
          <w:rStyle w:val="19"/>
          <w:rFonts w:hint="eastAsia" w:asciiTheme="minorEastAsia" w:hAnsiTheme="minorEastAsia" w:eastAsiaTheme="minorEastAsia"/>
          <w:sz w:val="24"/>
          <w:szCs w:val="24"/>
          <w:lang w:val="zh-CN"/>
        </w:rPr>
      </w:pPr>
      <w:r>
        <w:rPr>
          <w:rStyle w:val="19"/>
          <w:rFonts w:hint="eastAsia" w:asciiTheme="minorEastAsia" w:hAnsiTheme="minorEastAsia" w:eastAsiaTheme="minorEastAsia"/>
          <w:sz w:val="24"/>
          <w:szCs w:val="24"/>
          <w:lang w:val="zh-CN"/>
        </w:rPr>
        <w:t xml:space="preserve"> </w:t>
      </w:r>
    </w:p>
    <w:p>
      <w:pPr>
        <w:pStyle w:val="20"/>
        <w:shd w:val="clear" w:color="auto" w:fill="auto"/>
        <w:spacing w:before="0" w:after="163" w:afterLines="50" w:line="240" w:lineRule="auto"/>
        <w:ind w:firstLine="480" w:firstLineChars="200"/>
        <w:jc w:val="both"/>
        <w:rPr>
          <w:rStyle w:val="19"/>
          <w:rFonts w:hint="eastAsia" w:asciiTheme="minorEastAsia" w:hAnsiTheme="minorEastAsia" w:eastAsiaTheme="minorEastAsia"/>
          <w:sz w:val="24"/>
          <w:szCs w:val="24"/>
          <w:lang w:val="zh-CN"/>
        </w:rPr>
      </w:pPr>
    </w:p>
    <w:p>
      <w:pPr>
        <w:pStyle w:val="20"/>
        <w:shd w:val="clear" w:color="auto" w:fill="auto"/>
        <w:spacing w:before="0" w:after="163" w:afterLines="50" w:line="240" w:lineRule="auto"/>
        <w:ind w:firstLine="480" w:firstLineChars="200"/>
        <w:jc w:val="both"/>
        <w:rPr>
          <w:rStyle w:val="19"/>
          <w:rFonts w:hint="eastAsia" w:asciiTheme="minorEastAsia" w:hAnsiTheme="minorEastAsia" w:eastAsiaTheme="minorEastAsia"/>
          <w:sz w:val="24"/>
          <w:szCs w:val="24"/>
          <w:lang w:val="zh-CN"/>
        </w:rPr>
      </w:pPr>
    </w:p>
    <w:p>
      <w:pPr>
        <w:pStyle w:val="20"/>
        <w:shd w:val="clear" w:color="auto" w:fill="auto"/>
        <w:spacing w:before="0" w:after="163" w:afterLines="50" w:line="240" w:lineRule="auto"/>
        <w:ind w:firstLine="480" w:firstLineChars="200"/>
        <w:jc w:val="both"/>
        <w:rPr>
          <w:rStyle w:val="19"/>
          <w:rFonts w:hint="eastAsia" w:asciiTheme="minorEastAsia" w:hAnsiTheme="minorEastAsia" w:eastAsiaTheme="minorEastAsia"/>
          <w:sz w:val="24"/>
          <w:szCs w:val="24"/>
          <w:lang w:val="zh-CN"/>
        </w:rPr>
      </w:pPr>
    </w:p>
    <w:p>
      <w:pPr>
        <w:pStyle w:val="20"/>
        <w:shd w:val="clear" w:color="auto" w:fill="auto"/>
        <w:spacing w:before="0" w:after="163" w:afterLines="50" w:line="240" w:lineRule="auto"/>
        <w:ind w:firstLine="480" w:firstLineChars="200"/>
        <w:jc w:val="both"/>
        <w:rPr>
          <w:rStyle w:val="19"/>
          <w:rFonts w:hint="eastAsia" w:asciiTheme="minorEastAsia" w:hAnsiTheme="minorEastAsia" w:eastAsiaTheme="minorEastAsia"/>
          <w:sz w:val="24"/>
          <w:szCs w:val="24"/>
          <w:lang w:val="zh-CN"/>
        </w:rPr>
      </w:pPr>
    </w:p>
    <w:p>
      <w:pPr>
        <w:pStyle w:val="20"/>
        <w:shd w:val="clear" w:color="auto" w:fill="auto"/>
        <w:spacing w:before="0" w:after="163" w:afterLines="50" w:line="240" w:lineRule="auto"/>
        <w:ind w:firstLine="480" w:firstLineChars="200"/>
        <w:jc w:val="both"/>
        <w:rPr>
          <w:rStyle w:val="19"/>
          <w:rFonts w:hint="eastAsia" w:asciiTheme="minorEastAsia" w:hAnsiTheme="minorEastAsia" w:eastAsiaTheme="minorEastAsia"/>
          <w:sz w:val="24"/>
          <w:szCs w:val="24"/>
          <w:lang w:val="zh-CN"/>
        </w:rPr>
      </w:pPr>
    </w:p>
    <w:p>
      <w:pPr>
        <w:pStyle w:val="20"/>
        <w:shd w:val="clear" w:color="auto" w:fill="auto"/>
        <w:spacing w:before="0" w:after="163" w:afterLines="50" w:line="240" w:lineRule="auto"/>
        <w:ind w:firstLine="480" w:firstLineChars="200"/>
        <w:jc w:val="both"/>
        <w:rPr>
          <w:rStyle w:val="19"/>
          <w:rFonts w:hint="eastAsia" w:asciiTheme="minorEastAsia" w:hAnsiTheme="minorEastAsia" w:eastAsiaTheme="minorEastAsia"/>
          <w:sz w:val="24"/>
          <w:szCs w:val="24"/>
          <w:lang w:val="zh-CN"/>
        </w:rPr>
      </w:pPr>
    </w:p>
    <w:p>
      <w:pPr>
        <w:pStyle w:val="16"/>
        <w:ind w:firstLine="600"/>
        <w:rPr>
          <w:rStyle w:val="19"/>
          <w:rFonts w:hint="eastAsia" w:ascii="仿宋_GB2312" w:hAnsi="仿宋_GB2312" w:eastAsia="仿宋_GB2312" w:cs="仿宋_GB2312"/>
          <w:shd w:val="clear" w:color="auto" w:fill="auto"/>
        </w:rPr>
      </w:pPr>
      <w:r>
        <w:rPr>
          <w:rStyle w:val="19"/>
          <w:rFonts w:hint="eastAsia" w:ascii="仿宋_GB2312" w:hAnsi="仿宋_GB2312" w:eastAsia="仿宋_GB2312" w:cs="仿宋_GB2312"/>
          <w:shd w:val="clear" w:color="auto" w:fill="auto"/>
        </w:rPr>
        <w:t>依照《中华人民共和国</w:t>
      </w:r>
      <w:r>
        <w:rPr>
          <w:rStyle w:val="19"/>
          <w:rFonts w:hint="eastAsia" w:ascii="仿宋_GB2312" w:hAnsi="仿宋_GB2312" w:eastAsia="仿宋_GB2312" w:cs="仿宋_GB2312"/>
          <w:shd w:val="clear" w:color="auto" w:fill="auto"/>
          <w:lang w:eastAsia="zh-CN"/>
        </w:rPr>
        <w:t>民法典</w:t>
      </w:r>
      <w:r>
        <w:rPr>
          <w:rStyle w:val="19"/>
          <w:rFonts w:hint="eastAsia" w:ascii="仿宋_GB2312" w:hAnsi="仿宋_GB2312" w:eastAsia="仿宋_GB2312" w:cs="仿宋_GB2312"/>
          <w:shd w:val="clear" w:color="auto" w:fill="auto"/>
        </w:rPr>
        <w:t>》等有关法律、法规，就乙方承揽甲方</w:t>
      </w:r>
      <w:r>
        <w:rPr>
          <w:rStyle w:val="19"/>
          <w:rFonts w:hint="eastAsia" w:ascii="仿宋_GB2312" w:hAnsi="仿宋_GB2312" w:eastAsia="仿宋_GB2312" w:cs="仿宋_GB2312"/>
          <w:u w:val="single"/>
          <w:shd w:val="clear" w:color="auto" w:fill="auto"/>
        </w:rPr>
        <w:t>东区污水处理站超细格栅砂水分离器采购项目</w:t>
      </w:r>
      <w:r>
        <w:rPr>
          <w:rStyle w:val="19"/>
          <w:rFonts w:hint="eastAsia" w:ascii="仿宋_GB2312" w:hAnsi="仿宋_GB2312" w:eastAsia="仿宋_GB2312" w:cs="仿宋_GB2312"/>
          <w:shd w:val="clear" w:color="auto" w:fill="auto"/>
        </w:rPr>
        <w:t>事宜（以下称项目），双方经充分平等协商，达成本协议。</w:t>
      </w:r>
    </w:p>
    <w:p>
      <w:pPr>
        <w:pStyle w:val="4"/>
        <w:ind w:firstLine="640"/>
        <w:rPr>
          <w:rStyle w:val="19"/>
          <w:rFonts w:ascii="仿宋" w:hAnsi="仿宋" w:eastAsia="黑体" w:cs="Times New Roman"/>
          <w:sz w:val="32"/>
          <w:szCs w:val="24"/>
          <w:shd w:val="clear" w:color="auto" w:fill="auto"/>
        </w:rPr>
      </w:pPr>
      <w:bookmarkStart w:id="0" w:name="_Toc3474"/>
      <w:r>
        <w:rPr>
          <w:rStyle w:val="19"/>
          <w:rFonts w:hint="eastAsia" w:ascii="仿宋" w:hAnsi="仿宋" w:eastAsia="黑体" w:cs="Times New Roman"/>
          <w:sz w:val="32"/>
          <w:szCs w:val="24"/>
          <w:shd w:val="clear" w:color="auto" w:fill="auto"/>
        </w:rPr>
        <w:t>第一条 项目名称</w:t>
      </w:r>
      <w:bookmarkEnd w:id="0"/>
    </w:p>
    <w:p>
      <w:pPr>
        <w:pStyle w:val="16"/>
        <w:ind w:firstLine="600"/>
        <w:rPr>
          <w:rStyle w:val="19"/>
          <w:rFonts w:hint="eastAsia" w:ascii="仿宋_GB2312" w:hAnsi="仿宋" w:eastAsia="仿宋_GB2312" w:cs="宋体"/>
          <w:u w:val="single"/>
          <w:shd w:val="clear" w:color="auto" w:fill="auto"/>
        </w:rPr>
      </w:pPr>
      <w:r>
        <w:rPr>
          <w:rStyle w:val="19"/>
          <w:rFonts w:hint="eastAsia" w:ascii="仿宋_GB2312" w:hAnsi="仿宋" w:eastAsia="仿宋_GB2312" w:cs="宋体"/>
          <w:u w:val="single"/>
          <w:shd w:val="clear" w:color="auto" w:fill="auto"/>
          <w:lang w:val="zh-CN"/>
        </w:rPr>
        <w:t xml:space="preserve"> 东区污水处理站超细格栅砂水分离器采购项目</w:t>
      </w:r>
      <w:r>
        <w:rPr>
          <w:rStyle w:val="19"/>
          <w:rFonts w:hint="eastAsia" w:cs="宋体"/>
          <w:u w:val="single"/>
          <w:shd w:val="clear" w:color="auto" w:fill="auto"/>
          <w:lang w:val="zh-CN"/>
        </w:rPr>
        <w:t>。</w:t>
      </w:r>
    </w:p>
    <w:p>
      <w:pPr>
        <w:pStyle w:val="4"/>
        <w:ind w:firstLine="640"/>
        <w:rPr>
          <w:rStyle w:val="19"/>
          <w:rFonts w:ascii="仿宋" w:hAnsi="仿宋" w:eastAsia="黑体" w:cs="Times New Roman"/>
          <w:sz w:val="32"/>
          <w:szCs w:val="24"/>
          <w:shd w:val="clear" w:color="auto" w:fill="auto"/>
        </w:rPr>
      </w:pPr>
      <w:bookmarkStart w:id="1" w:name="_Toc17686"/>
      <w:r>
        <w:rPr>
          <w:rStyle w:val="19"/>
          <w:rFonts w:hint="eastAsia" w:ascii="仿宋" w:hAnsi="仿宋" w:eastAsia="黑体" w:cs="Times New Roman"/>
          <w:sz w:val="32"/>
          <w:szCs w:val="24"/>
          <w:shd w:val="clear" w:color="auto" w:fill="auto"/>
        </w:rPr>
        <w:t>第二条 项目地点</w:t>
      </w:r>
      <w:bookmarkEnd w:id="1"/>
    </w:p>
    <w:p>
      <w:pPr>
        <w:pStyle w:val="16"/>
        <w:ind w:firstLine="600"/>
        <w:rPr>
          <w:rStyle w:val="19"/>
          <w:rFonts w:ascii="仿宋_GB2312" w:hAnsi="仿宋" w:eastAsia="仿宋_GB2312" w:cs="宋体"/>
          <w:shd w:val="clear" w:color="auto" w:fill="auto"/>
        </w:rPr>
      </w:pPr>
      <w:r>
        <w:rPr>
          <w:rStyle w:val="19"/>
          <w:rFonts w:hint="eastAsia" w:ascii="仿宋_GB2312" w:hAnsi="仿宋" w:eastAsia="仿宋_GB2312" w:cs="宋体"/>
          <w:u w:val="single"/>
          <w:shd w:val="clear" w:color="auto" w:fill="auto"/>
          <w:lang w:val="zh-CN"/>
        </w:rPr>
        <w:t>东区污水处理站</w:t>
      </w:r>
      <w:r>
        <w:rPr>
          <w:rStyle w:val="19"/>
          <w:rFonts w:hint="eastAsia" w:ascii="仿宋_GB2312" w:hAnsi="仿宋" w:eastAsia="仿宋_GB2312" w:cs="宋体"/>
          <w:shd w:val="clear" w:color="auto" w:fill="auto"/>
        </w:rPr>
        <w:t>。</w:t>
      </w:r>
    </w:p>
    <w:p>
      <w:pPr>
        <w:pStyle w:val="4"/>
        <w:ind w:firstLine="640"/>
      </w:pPr>
      <w:bookmarkStart w:id="2" w:name="_Toc23844"/>
      <w:r>
        <w:rPr>
          <w:rStyle w:val="19"/>
          <w:rFonts w:hint="eastAsia" w:ascii="仿宋" w:hAnsi="仿宋" w:eastAsia="黑体" w:cs="Times New Roman"/>
          <w:sz w:val="32"/>
          <w:szCs w:val="24"/>
          <w:shd w:val="clear" w:color="auto" w:fill="auto"/>
        </w:rPr>
        <w:t>第三条</w:t>
      </w:r>
      <w:r>
        <w:rPr>
          <w:rStyle w:val="19"/>
          <w:rFonts w:ascii="仿宋" w:hAnsi="仿宋" w:eastAsia="黑体" w:cs="Times New Roman"/>
          <w:sz w:val="32"/>
          <w:szCs w:val="24"/>
          <w:shd w:val="clear" w:color="auto" w:fill="auto"/>
        </w:rPr>
        <w:t xml:space="preserve"> </w:t>
      </w:r>
      <w:r>
        <w:rPr>
          <w:rFonts w:hint="eastAsia"/>
        </w:rPr>
        <w:t>项目内容和范围</w:t>
      </w:r>
      <w:bookmarkEnd w:id="2"/>
    </w:p>
    <w:p>
      <w:pPr>
        <w:keepNext w:val="0"/>
        <w:keepLines w:val="0"/>
        <w:pageBreakBefore w:val="0"/>
        <w:widowControl w:val="0"/>
        <w:kinsoku/>
        <w:wordWrap/>
        <w:overflowPunct/>
        <w:topLinePunct w:val="0"/>
        <w:autoSpaceDE/>
        <w:autoSpaceDN/>
        <w:bidi w:val="0"/>
        <w:adjustRightInd/>
        <w:snapToGrid/>
        <w:ind w:left="525" w:leftChars="250" w:firstLine="0" w:firstLineChars="0"/>
        <w:jc w:val="left"/>
        <w:textAlignment w:val="auto"/>
        <w:outlineLvl w:val="9"/>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现购置一台砂水分离器，安装在东区污水处理站超细格栅处。</w:t>
      </w:r>
    </w:p>
    <w:p>
      <w:pPr>
        <w:keepNext w:val="0"/>
        <w:keepLines w:val="0"/>
        <w:pageBreakBefore w:val="0"/>
        <w:widowControl w:val="0"/>
        <w:kinsoku/>
        <w:wordWrap/>
        <w:overflowPunct/>
        <w:topLinePunct w:val="0"/>
        <w:autoSpaceDE/>
        <w:autoSpaceDN/>
        <w:bidi w:val="0"/>
        <w:adjustRightInd/>
        <w:snapToGrid/>
        <w:ind w:left="525" w:leftChars="250" w:firstLine="0" w:firstLineChars="0"/>
        <w:jc w:val="left"/>
        <w:textAlignment w:val="auto"/>
        <w:outlineLvl w:val="9"/>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3.1购置要求</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outlineLvl w:val="9"/>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东区污水处理站超细格栅处安装一台SF-260型砂水分离器（含驱动装置、螺旋体、水箱、U形槽、耐磨衬条、盖板、支腿等部件），相关技术参数及主要零部件材质如下表：</w:t>
      </w:r>
    </w:p>
    <w:tbl>
      <w:tblPr>
        <w:tblStyle w:val="14"/>
        <w:tblW w:w="8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6"/>
        <w:gridCol w:w="4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tcPr>
          <w:p>
            <w:p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流量</w:t>
            </w:r>
          </w:p>
        </w:tc>
        <w:tc>
          <w:tcPr>
            <w:tcW w:w="4483" w:type="dxa"/>
          </w:tcPr>
          <w:p>
            <w:p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5—12L/s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tcPr>
          <w:p>
            <w:p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电机功率</w:t>
            </w:r>
          </w:p>
        </w:tc>
        <w:tc>
          <w:tcPr>
            <w:tcW w:w="4483" w:type="dxa"/>
          </w:tcPr>
          <w:p>
            <w:p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0.37kw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tcPr>
          <w:p>
            <w:p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电机防护等级</w:t>
            </w:r>
          </w:p>
        </w:tc>
        <w:tc>
          <w:tcPr>
            <w:tcW w:w="4483" w:type="dxa"/>
          </w:tcPr>
          <w:p>
            <w:pPr>
              <w:numPr>
                <w:ilvl w:val="0"/>
                <w:numId w:val="0"/>
              </w:num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≥IP55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tcPr>
          <w:p>
            <w:p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电机绝缘等级</w:t>
            </w:r>
          </w:p>
        </w:tc>
        <w:tc>
          <w:tcPr>
            <w:tcW w:w="4483" w:type="dxa"/>
          </w:tcPr>
          <w:p>
            <w:p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tcPr>
          <w:p>
            <w:p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分离效率</w:t>
            </w:r>
          </w:p>
        </w:tc>
        <w:tc>
          <w:tcPr>
            <w:tcW w:w="4483" w:type="dxa"/>
          </w:tcPr>
          <w:p>
            <w:p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tcPr>
          <w:p>
            <w:pPr>
              <w:numPr>
                <w:ilvl w:val="0"/>
                <w:numId w:val="0"/>
              </w:num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分离粒径</w:t>
            </w:r>
          </w:p>
        </w:tc>
        <w:tc>
          <w:tcPr>
            <w:tcW w:w="4483" w:type="dxa"/>
          </w:tcPr>
          <w:p>
            <w:pPr>
              <w:numPr>
                <w:ilvl w:val="0"/>
                <w:numId w:val="0"/>
              </w:num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vAlign w:val="top"/>
          </w:tcPr>
          <w:p>
            <w:pPr>
              <w:numPr>
                <w:ilvl w:val="0"/>
                <w:numId w:val="0"/>
              </w:numPr>
              <w:ind w:left="0" w:leftChars="0" w:firstLine="0" w:firstLineChars="0"/>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螺旋体</w:t>
            </w:r>
          </w:p>
        </w:tc>
        <w:tc>
          <w:tcPr>
            <w:tcW w:w="4483" w:type="dxa"/>
            <w:vAlign w:val="top"/>
          </w:tcPr>
          <w:p>
            <w:p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16Mn 锰钢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vAlign w:val="top"/>
          </w:tcPr>
          <w:p>
            <w:pPr>
              <w:numPr>
                <w:ilvl w:val="0"/>
                <w:numId w:val="0"/>
              </w:numPr>
              <w:ind w:left="0" w:leftChars="0" w:firstLine="0" w:firstLineChars="0"/>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水箱</w:t>
            </w:r>
          </w:p>
        </w:tc>
        <w:tc>
          <w:tcPr>
            <w:tcW w:w="4483" w:type="dxa"/>
            <w:vAlign w:val="top"/>
          </w:tcPr>
          <w:p>
            <w:p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vAlign w:val="top"/>
          </w:tcPr>
          <w:p>
            <w:pPr>
              <w:numPr>
                <w:ilvl w:val="0"/>
                <w:numId w:val="0"/>
              </w:numPr>
              <w:ind w:left="0" w:leftChars="0" w:firstLine="0" w:firstLineChars="0"/>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U形槽</w:t>
            </w:r>
          </w:p>
        </w:tc>
        <w:tc>
          <w:tcPr>
            <w:tcW w:w="4483" w:type="dxa"/>
            <w:vAlign w:val="top"/>
          </w:tcPr>
          <w:p>
            <w:p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vAlign w:val="top"/>
          </w:tcPr>
          <w:p>
            <w:pPr>
              <w:numPr>
                <w:ilvl w:val="0"/>
                <w:numId w:val="0"/>
              </w:numPr>
              <w:ind w:left="0" w:leftChars="0" w:firstLine="0" w:firstLineChars="0"/>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衬条</w:t>
            </w:r>
          </w:p>
        </w:tc>
        <w:tc>
          <w:tcPr>
            <w:tcW w:w="4483" w:type="dxa"/>
            <w:vAlign w:val="top"/>
          </w:tcPr>
          <w:p>
            <w:p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尼龙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36" w:type="dxa"/>
            <w:vAlign w:val="top"/>
          </w:tcPr>
          <w:p>
            <w:pPr>
              <w:numPr>
                <w:ilvl w:val="0"/>
                <w:numId w:val="0"/>
              </w:numPr>
              <w:ind w:left="0" w:leftChars="0" w:firstLine="0" w:firstLineChars="0"/>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紧固件</w:t>
            </w:r>
          </w:p>
        </w:tc>
        <w:tc>
          <w:tcPr>
            <w:tcW w:w="4483" w:type="dxa"/>
            <w:vAlign w:val="top"/>
          </w:tcPr>
          <w:p>
            <w:pPr>
              <w:jc w:val="center"/>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不锈钢</w:t>
            </w:r>
          </w:p>
        </w:tc>
      </w:tr>
    </w:tbl>
    <w:p>
      <w:pPr>
        <w:keepNext w:val="0"/>
        <w:keepLines w:val="0"/>
        <w:pageBreakBefore w:val="0"/>
        <w:widowControl w:val="0"/>
        <w:kinsoku/>
        <w:wordWrap/>
        <w:overflowPunct/>
        <w:topLinePunct w:val="0"/>
        <w:autoSpaceDE/>
        <w:autoSpaceDN/>
        <w:bidi w:val="0"/>
        <w:adjustRightInd/>
        <w:snapToGrid/>
        <w:spacing w:line="240" w:lineRule="auto"/>
        <w:ind w:leftChars="0" w:firstLine="600" w:firstLineChars="200"/>
        <w:jc w:val="left"/>
        <w:textAlignment w:val="auto"/>
        <w:outlineLvl w:val="9"/>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3.2安装要求</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outlineLvl w:val="9"/>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3.2.1在原落渣管道（材质：钢管，管径ф150）安装三通和闸阀（两个），并用钢管连接至砂水分离器；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outlineLvl w:val="9"/>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3.2.2砂水分离器底部安装排水管道（钢管），并连接至厂区污水井内；</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outlineLvl w:val="9"/>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3.2.3钢管、排水管道等相关管道管径需能保证砂水分离器正常运行；</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outlineLvl w:val="9"/>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3.2.4在调节池下安装不锈钢配电箱，内有手动控制按钮（运行、停机），并安装电源线；</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outlineLvl w:val="9"/>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3.2.5砂水分离器基座需使用钢筋混凝土浇筑；砂水分离器排砂处需浇筑混凝土道路方便后期转移栅渣；</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0" w:firstLineChars="200"/>
        <w:jc w:val="both"/>
        <w:textAlignment w:val="auto"/>
        <w:outlineLvl w:val="9"/>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3.2.6相关管道安装后需刷漆。</w:t>
      </w:r>
    </w:p>
    <w:p>
      <w:pPr>
        <w:pStyle w:val="5"/>
        <w:keepNext w:val="0"/>
        <w:keepLines w:val="0"/>
        <w:pageBreakBefore w:val="0"/>
        <w:numPr>
          <w:ilvl w:val="0"/>
          <w:numId w:val="0"/>
        </w:numPr>
        <w:kinsoku/>
        <w:wordWrap/>
        <w:overflowPunct/>
        <w:topLinePunct w:val="0"/>
        <w:autoSpaceDE/>
        <w:autoSpaceDN/>
        <w:bidi w:val="0"/>
        <w:spacing w:line="240" w:lineRule="auto"/>
        <w:ind w:leftChars="0" w:firstLine="600" w:firstLineChars="200"/>
        <w:jc w:val="left"/>
        <w:textAlignment w:val="auto"/>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3.3验收要求</w:t>
      </w:r>
    </w:p>
    <w:p>
      <w:pPr>
        <w:pStyle w:val="5"/>
        <w:keepNext w:val="0"/>
        <w:keepLines w:val="0"/>
        <w:pageBreakBefore w:val="0"/>
        <w:kinsoku/>
        <w:wordWrap/>
        <w:overflowPunct/>
        <w:topLinePunct w:val="0"/>
        <w:autoSpaceDE/>
        <w:autoSpaceDN/>
        <w:bidi w:val="0"/>
        <w:spacing w:line="240" w:lineRule="auto"/>
        <w:ind w:leftChars="0" w:firstLine="600" w:firstLineChars="200"/>
        <w:jc w:val="left"/>
        <w:textAlignment w:val="auto"/>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3.3.1设备经试运行后，运行良好；外观无损坏。</w:t>
      </w:r>
    </w:p>
    <w:p>
      <w:pPr>
        <w:pStyle w:val="5"/>
        <w:keepNext w:val="0"/>
        <w:keepLines w:val="0"/>
        <w:pageBreakBefore w:val="0"/>
        <w:kinsoku/>
        <w:wordWrap/>
        <w:overflowPunct/>
        <w:topLinePunct w:val="0"/>
        <w:autoSpaceDE/>
        <w:autoSpaceDN/>
        <w:bidi w:val="0"/>
        <w:spacing w:line="240" w:lineRule="auto"/>
        <w:ind w:leftChars="0" w:firstLine="600" w:firstLineChars="200"/>
        <w:jc w:val="left"/>
        <w:textAlignment w:val="auto"/>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3.3.2项目完成后需要提供技术资料、材料/产品合格证书等，作验收资料，无不予验收。</w:t>
      </w:r>
    </w:p>
    <w:p>
      <w:pPr>
        <w:pStyle w:val="5"/>
        <w:keepNext w:val="0"/>
        <w:keepLines w:val="0"/>
        <w:pageBreakBefore w:val="0"/>
        <w:kinsoku/>
        <w:wordWrap/>
        <w:overflowPunct/>
        <w:topLinePunct w:val="0"/>
        <w:autoSpaceDE/>
        <w:autoSpaceDN/>
        <w:bidi w:val="0"/>
        <w:spacing w:line="240" w:lineRule="auto"/>
        <w:ind w:leftChars="0" w:firstLine="600" w:firstLineChars="200"/>
        <w:jc w:val="left"/>
        <w:textAlignment w:val="auto"/>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3.4其他要求</w:t>
      </w:r>
    </w:p>
    <w:p>
      <w:pPr>
        <w:pStyle w:val="5"/>
        <w:keepNext w:val="0"/>
        <w:keepLines w:val="0"/>
        <w:pageBreakBefore w:val="0"/>
        <w:kinsoku/>
        <w:wordWrap/>
        <w:overflowPunct/>
        <w:topLinePunct w:val="0"/>
        <w:autoSpaceDE/>
        <w:autoSpaceDN/>
        <w:bidi w:val="0"/>
        <w:spacing w:line="240" w:lineRule="auto"/>
        <w:ind w:leftChars="0" w:firstLine="600" w:firstLineChars="200"/>
        <w:jc w:val="left"/>
        <w:textAlignment w:val="auto"/>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现场施工时，乙方需与甲方充分协商确定施工方案，不能影响甲方污水处理正常运行。</w:t>
      </w:r>
    </w:p>
    <w:p>
      <w:pPr>
        <w:pStyle w:val="4"/>
        <w:ind w:firstLine="640"/>
        <w:rPr>
          <w:rStyle w:val="19"/>
          <w:rFonts w:ascii="仿宋" w:hAnsi="仿宋" w:eastAsia="黑体" w:cs="Times New Roman"/>
          <w:sz w:val="32"/>
          <w:szCs w:val="24"/>
          <w:shd w:val="clear" w:color="auto" w:fill="auto"/>
        </w:rPr>
      </w:pPr>
      <w:bookmarkStart w:id="3" w:name="_Toc26715"/>
      <w:r>
        <w:rPr>
          <w:rStyle w:val="19"/>
          <w:rFonts w:hint="eastAsia" w:ascii="仿宋" w:hAnsi="仿宋" w:eastAsia="黑体" w:cs="Times New Roman"/>
          <w:sz w:val="32"/>
          <w:szCs w:val="24"/>
          <w:shd w:val="clear" w:color="auto" w:fill="auto"/>
        </w:rPr>
        <w:t>第四条 项目工期</w:t>
      </w:r>
      <w:bookmarkEnd w:id="3"/>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本项目工期为：</w:t>
      </w:r>
      <w:r>
        <w:rPr>
          <w:rStyle w:val="19"/>
          <w:rFonts w:hint="eastAsia" w:ascii="仿宋_GB2312" w:hAnsi="仿宋" w:eastAsia="仿宋_GB2312" w:cs="宋体"/>
          <w:color w:val="000000"/>
          <w:kern w:val="2"/>
          <w:u w:val="single"/>
          <w:shd w:val="clear" w:fill="auto"/>
          <w:lang w:val="en-US" w:eastAsia="zh-CN" w:bidi="ar-SA"/>
        </w:rPr>
        <w:t>开工报告批复之日起60日历日</w:t>
      </w:r>
      <w:r>
        <w:rPr>
          <w:rStyle w:val="19"/>
          <w:rFonts w:hint="eastAsia" w:ascii="仿宋_GB2312" w:hAnsi="仿宋" w:eastAsia="仿宋_GB2312" w:cs="宋体"/>
          <w:color w:val="000000"/>
          <w:kern w:val="2"/>
          <w:shd w:val="clear" w:fill="auto"/>
          <w:lang w:val="en-US" w:eastAsia="zh-CN" w:bidi="ar-SA"/>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19"/>
          <w:rFonts w:ascii="仿宋" w:hAnsi="仿宋" w:eastAsia="黑体" w:cs="Times New Roman"/>
          <w:sz w:val="32"/>
          <w:szCs w:val="24"/>
          <w:shd w:val="clear" w:color="auto" w:fill="auto"/>
        </w:rPr>
      </w:pPr>
      <w:bookmarkStart w:id="4" w:name="_Toc24321"/>
      <w:r>
        <w:rPr>
          <w:rStyle w:val="19"/>
          <w:rFonts w:hint="eastAsia" w:ascii="仿宋" w:hAnsi="仿宋" w:eastAsia="黑体" w:cs="Times New Roman"/>
          <w:sz w:val="32"/>
          <w:szCs w:val="24"/>
          <w:shd w:val="clear" w:color="auto" w:fill="auto"/>
        </w:rPr>
        <w:t>第五条  履约担保、质量保证</w:t>
      </w:r>
      <w:bookmarkEnd w:id="4"/>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5.1乙方应在</w:t>
      </w:r>
      <w:r>
        <w:rPr>
          <w:rStyle w:val="19"/>
          <w:rFonts w:hint="eastAsia" w:ascii="仿宋_GB2312" w:hAnsi="仿宋" w:eastAsia="仿宋_GB2312" w:cs="宋体"/>
          <w:color w:val="000000"/>
          <w:kern w:val="2"/>
          <w:u w:val="single"/>
          <w:shd w:val="clear" w:fill="auto"/>
          <w:lang w:val="en-US" w:eastAsia="zh-CN" w:bidi="ar-SA"/>
        </w:rPr>
        <w:t>中标通知书发出后10日</w:t>
      </w:r>
      <w:r>
        <w:rPr>
          <w:rStyle w:val="19"/>
          <w:rFonts w:hint="eastAsia" w:ascii="仿宋_GB2312" w:hAnsi="仿宋" w:eastAsia="仿宋_GB2312" w:cs="宋体"/>
          <w:color w:val="000000"/>
          <w:kern w:val="2"/>
          <w:shd w:val="clear" w:fill="auto"/>
          <w:lang w:val="en-US" w:eastAsia="zh-CN" w:bidi="ar-SA"/>
        </w:rPr>
        <w:t>内向甲方支付5%的履约保证金（按不含增值税成交价款），作为履行本合同之担保，甲方应在项目验收合格后无息退还。</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5.2 履约保证金应由乙方名义开立的账户支付到甲方账户，否则视为未支付，甲方有权追究乙方逾期付款责任。</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5.3 乙方支付履约保证金时，应在“付款备注”中写明“（合同编号）东区污水处理站超细格栅砂水分离器采购项目履约保证金”。乙方不得与其他合同、其他缴费项目一起支付履约保证金，若因混合支付造成无法确认为本合同款项到账的，视为逾期未支付。</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5.4项目质量保证期为：</w:t>
      </w:r>
      <w:r>
        <w:rPr>
          <w:rStyle w:val="19"/>
          <w:rFonts w:hint="eastAsia" w:ascii="仿宋_GB2312" w:hAnsi="仿宋" w:eastAsia="仿宋_GB2312" w:cs="宋体"/>
          <w:color w:val="000000"/>
          <w:kern w:val="2"/>
          <w:u w:val="single"/>
          <w:shd w:val="clear" w:fill="auto"/>
          <w:lang w:val="en-US" w:eastAsia="zh-CN" w:bidi="ar-SA"/>
        </w:rPr>
        <w:t>1年</w:t>
      </w:r>
      <w:r>
        <w:rPr>
          <w:rStyle w:val="19"/>
          <w:rFonts w:hint="eastAsia" w:ascii="仿宋_GB2312" w:hAnsi="仿宋" w:eastAsia="仿宋_GB2312" w:cs="宋体"/>
          <w:color w:val="000000"/>
          <w:kern w:val="2"/>
          <w:shd w:val="clear" w:fill="auto"/>
          <w:lang w:val="en-US" w:eastAsia="zh-CN" w:bidi="ar-SA"/>
        </w:rPr>
        <w:t>，自项目验收合格之日起算，质保期内出现与本项目有关或本项目引起的故障或异常，在接到甲方通知后，乙方需派专业技术人员在48小时内赶到现场处理,若未及时响应，每延迟一天乙方将偿付逾期违约金500元，依次累计。</w:t>
      </w:r>
    </w:p>
    <w:p>
      <w:pPr>
        <w:pStyle w:val="4"/>
        <w:ind w:firstLine="640"/>
        <w:rPr>
          <w:rStyle w:val="19"/>
          <w:rFonts w:ascii="仿宋" w:hAnsi="仿宋" w:eastAsia="黑体" w:cs="Times New Roman"/>
          <w:sz w:val="32"/>
          <w:szCs w:val="24"/>
          <w:shd w:val="clear" w:color="auto" w:fill="auto"/>
        </w:rPr>
      </w:pPr>
      <w:bookmarkStart w:id="5" w:name="_Toc15072"/>
      <w:r>
        <w:rPr>
          <w:rStyle w:val="19"/>
          <w:rFonts w:hint="eastAsia" w:ascii="仿宋" w:hAnsi="仿宋" w:eastAsia="黑体" w:cs="Times New Roman"/>
          <w:sz w:val="32"/>
          <w:szCs w:val="24"/>
          <w:shd w:val="clear" w:color="auto" w:fill="auto"/>
        </w:rPr>
        <w:t>第六条  合同价款</w:t>
      </w:r>
      <w:bookmarkEnd w:id="5"/>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合同金额（不含增值税）：</w:t>
      </w:r>
      <w:r>
        <w:rPr>
          <w:rStyle w:val="19"/>
          <w:rFonts w:hint="eastAsia" w:ascii="仿宋_GB2312" w:hAnsi="仿宋" w:eastAsia="仿宋_GB2312" w:cs="宋体"/>
          <w:color w:val="000000"/>
          <w:kern w:val="2"/>
          <w:u w:val="single"/>
          <w:shd w:val="clear" w:fill="auto"/>
          <w:lang w:val="en-US" w:eastAsia="zh-CN" w:bidi="ar-SA"/>
        </w:rPr>
        <w:t xml:space="preserve">   元（大写：                 ）</w:t>
      </w:r>
      <w:r>
        <w:rPr>
          <w:rStyle w:val="19"/>
          <w:rFonts w:hint="eastAsia" w:ascii="仿宋_GB2312" w:hAnsi="仿宋" w:eastAsia="仿宋_GB2312" w:cs="宋体"/>
          <w:color w:val="000000"/>
          <w:kern w:val="2"/>
          <w:shd w:val="clear" w:fill="auto"/>
          <w:lang w:val="en-US" w:eastAsia="zh-CN" w:bidi="ar-SA"/>
        </w:rPr>
        <w:t>；含税金额：</w:t>
      </w:r>
      <w:r>
        <w:rPr>
          <w:rStyle w:val="19"/>
          <w:rFonts w:hint="eastAsia" w:ascii="仿宋_GB2312" w:hAnsi="仿宋" w:eastAsia="仿宋_GB2312" w:cs="宋体"/>
          <w:color w:val="000000"/>
          <w:kern w:val="2"/>
          <w:u w:val="single"/>
          <w:shd w:val="clear" w:fill="auto"/>
          <w:lang w:val="en-US" w:eastAsia="zh-CN" w:bidi="ar-SA"/>
        </w:rPr>
        <w:t xml:space="preserve">         元（大写：               ）</w:t>
      </w:r>
      <w:r>
        <w:rPr>
          <w:rStyle w:val="19"/>
          <w:rFonts w:hint="eastAsia" w:ascii="仿宋_GB2312" w:hAnsi="仿宋" w:eastAsia="仿宋_GB2312" w:cs="宋体"/>
          <w:color w:val="000000"/>
          <w:kern w:val="2"/>
          <w:shd w:val="clear" w:fill="auto"/>
          <w:lang w:val="en-US" w:eastAsia="zh-CN" w:bidi="ar-SA"/>
        </w:rPr>
        <w:t>,增值税税率为</w:t>
      </w:r>
      <w:r>
        <w:rPr>
          <w:rStyle w:val="19"/>
          <w:rFonts w:hint="eastAsia" w:cs="宋体"/>
          <w:color w:val="000000"/>
          <w:kern w:val="2"/>
          <w:u w:val="single"/>
          <w:shd w:val="clear" w:fill="auto"/>
          <w:lang w:val="en-US" w:eastAsia="zh-CN" w:bidi="ar-SA"/>
        </w:rPr>
        <w:t xml:space="preserve">  </w:t>
      </w:r>
      <w:r>
        <w:rPr>
          <w:rStyle w:val="19"/>
          <w:rFonts w:hint="eastAsia" w:ascii="仿宋_GB2312" w:hAnsi="仿宋" w:eastAsia="仿宋_GB2312" w:cs="宋体"/>
          <w:color w:val="000000"/>
          <w:kern w:val="2"/>
          <w:shd w:val="clear" w:fill="auto"/>
          <w:lang w:val="en-US" w:eastAsia="zh-CN" w:bidi="ar-SA"/>
        </w:rPr>
        <w:t>%。本合同价格为 “总价包干”，包括但不限于材料购买、人工、运输、保险、风险措施费用等一切与项目内容相关的费用。</w:t>
      </w:r>
    </w:p>
    <w:p>
      <w:pPr>
        <w:pStyle w:val="4"/>
        <w:ind w:firstLine="640"/>
        <w:rPr>
          <w:rStyle w:val="19"/>
          <w:rFonts w:ascii="仿宋" w:hAnsi="仿宋" w:eastAsia="黑体" w:cs="Times New Roman"/>
          <w:sz w:val="32"/>
          <w:szCs w:val="24"/>
          <w:shd w:val="clear" w:color="auto" w:fill="auto"/>
        </w:rPr>
      </w:pPr>
      <w:bookmarkStart w:id="6" w:name="_Toc3521"/>
      <w:r>
        <w:rPr>
          <w:rStyle w:val="19"/>
          <w:rFonts w:hint="eastAsia" w:ascii="仿宋" w:hAnsi="仿宋" w:eastAsia="黑体" w:cs="Times New Roman"/>
          <w:sz w:val="32"/>
          <w:szCs w:val="24"/>
          <w:shd w:val="clear" w:color="auto" w:fill="auto"/>
        </w:rPr>
        <w:t>第七条 付款方式</w:t>
      </w:r>
      <w:bookmarkEnd w:id="6"/>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7.1项目完工验收合格后，乙方向甲方开具合同金额的正规增值税发票。甲方在收到增值税发票后30个工作日内，向乙方支付合同价款的</w:t>
      </w:r>
      <w:r>
        <w:rPr>
          <w:rStyle w:val="19"/>
          <w:rFonts w:hint="eastAsia" w:ascii="仿宋_GB2312" w:hAnsi="仿宋" w:eastAsia="仿宋_GB2312" w:cs="宋体"/>
          <w:color w:val="000000"/>
          <w:kern w:val="2"/>
          <w:u w:val="single"/>
          <w:shd w:val="clear" w:fill="auto"/>
          <w:lang w:val="en-US" w:eastAsia="zh-CN" w:bidi="ar-SA"/>
        </w:rPr>
        <w:t>97</w:t>
      </w:r>
      <w:r>
        <w:rPr>
          <w:rStyle w:val="19"/>
          <w:rFonts w:hint="eastAsia" w:ascii="仿宋_GB2312" w:hAnsi="仿宋" w:eastAsia="仿宋_GB2312" w:cs="宋体"/>
          <w:color w:val="000000"/>
          <w:kern w:val="2"/>
          <w:shd w:val="clear" w:fill="auto"/>
          <w:lang w:val="en-US" w:eastAsia="zh-CN" w:bidi="ar-SA"/>
        </w:rPr>
        <w:t>％，剩余</w:t>
      </w:r>
      <w:r>
        <w:rPr>
          <w:rStyle w:val="19"/>
          <w:rFonts w:hint="eastAsia" w:ascii="仿宋_GB2312" w:hAnsi="仿宋" w:eastAsia="仿宋_GB2312" w:cs="宋体"/>
          <w:color w:val="000000"/>
          <w:kern w:val="2"/>
          <w:u w:val="single"/>
          <w:shd w:val="clear" w:fill="auto"/>
          <w:lang w:val="en-US" w:eastAsia="zh-CN" w:bidi="ar-SA"/>
        </w:rPr>
        <w:t>3</w:t>
      </w:r>
      <w:r>
        <w:rPr>
          <w:rStyle w:val="19"/>
          <w:rFonts w:hint="eastAsia" w:ascii="仿宋_GB2312" w:hAnsi="仿宋" w:eastAsia="仿宋_GB2312" w:cs="宋体"/>
          <w:color w:val="000000"/>
          <w:kern w:val="2"/>
          <w:shd w:val="clear" w:fill="auto"/>
          <w:lang w:val="en-US" w:eastAsia="zh-CN" w:bidi="ar-SA"/>
        </w:rPr>
        <w:t>％的余款在质量保证期届满且无问题后30个工作日内无息支付。</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如果乙方提供增值税普通发票，甲方支付金额为不含增值税金额；如果乙方提供增值税专用发票，甲方支付金额=不含增值税金额+增值税税额。</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7.2 支付方式：银行转账。</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7.3 乙方帐户信息：</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开户行：</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账号：</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户名：</w:t>
      </w:r>
    </w:p>
    <w:p>
      <w:pPr>
        <w:pStyle w:val="4"/>
        <w:ind w:firstLine="640"/>
        <w:rPr>
          <w:rStyle w:val="19"/>
          <w:rFonts w:ascii="仿宋" w:hAnsi="仿宋" w:eastAsia="黑体" w:cs="Times New Roman"/>
          <w:sz w:val="32"/>
          <w:szCs w:val="24"/>
          <w:shd w:val="clear" w:color="auto" w:fill="auto"/>
        </w:rPr>
      </w:pPr>
      <w:bookmarkStart w:id="7" w:name="_Toc12245"/>
      <w:r>
        <w:rPr>
          <w:rStyle w:val="19"/>
          <w:rFonts w:hint="eastAsia" w:ascii="仿宋" w:hAnsi="仿宋" w:eastAsia="黑体" w:cs="Times New Roman"/>
          <w:sz w:val="32"/>
          <w:szCs w:val="24"/>
          <w:shd w:val="clear" w:color="auto" w:fill="auto"/>
        </w:rPr>
        <w:t>第八条  承揽要求</w:t>
      </w:r>
      <w:bookmarkEnd w:id="7"/>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8.1 项目所需材料的提供和使用由</w:t>
      </w:r>
      <w:r>
        <w:rPr>
          <w:rStyle w:val="19"/>
          <w:rFonts w:hint="eastAsia" w:ascii="仿宋_GB2312" w:hAnsi="仿宋" w:eastAsia="仿宋_GB2312" w:cs="宋体"/>
          <w:color w:val="000000"/>
          <w:kern w:val="2"/>
          <w:u w:val="single"/>
          <w:shd w:val="clear" w:fill="auto"/>
          <w:lang w:val="en-US" w:eastAsia="zh-CN" w:bidi="ar-SA"/>
        </w:rPr>
        <w:t>乙方</w:t>
      </w:r>
      <w:r>
        <w:rPr>
          <w:rStyle w:val="19"/>
          <w:rFonts w:hint="eastAsia" w:ascii="仿宋_GB2312" w:hAnsi="仿宋" w:eastAsia="仿宋_GB2312" w:cs="宋体"/>
          <w:color w:val="000000"/>
          <w:kern w:val="2"/>
          <w:shd w:val="clear" w:fill="auto"/>
          <w:lang w:val="en-US" w:eastAsia="zh-CN" w:bidi="ar-SA"/>
        </w:rPr>
        <w:t>负责；</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8.2 未经甲方书面同意，乙方不得擅自改变合同约定材料，也不得转包、分包；</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8.5 其它要求：在设备安装过程中不能影响甲方正常运行。</w:t>
      </w:r>
    </w:p>
    <w:p>
      <w:pPr>
        <w:pStyle w:val="4"/>
        <w:ind w:firstLine="640"/>
        <w:rPr>
          <w:rStyle w:val="19"/>
          <w:rFonts w:ascii="仿宋" w:hAnsi="仿宋" w:eastAsia="黑体" w:cs="Times New Roman"/>
          <w:sz w:val="32"/>
          <w:szCs w:val="24"/>
          <w:shd w:val="clear" w:color="auto" w:fill="auto"/>
        </w:rPr>
      </w:pPr>
      <w:bookmarkStart w:id="8" w:name="_Toc20195"/>
      <w:r>
        <w:rPr>
          <w:rStyle w:val="19"/>
          <w:rFonts w:hint="eastAsia" w:ascii="仿宋" w:hAnsi="仿宋" w:eastAsia="黑体" w:cs="Times New Roman"/>
          <w:sz w:val="32"/>
          <w:szCs w:val="24"/>
          <w:shd w:val="clear" w:color="auto" w:fill="auto"/>
        </w:rPr>
        <w:t>第九条  双方的权利与义务</w:t>
      </w:r>
      <w:bookmarkEnd w:id="8"/>
    </w:p>
    <w:p>
      <w:pPr>
        <w:pStyle w:val="20"/>
        <w:shd w:val="clear" w:color="auto" w:fill="auto"/>
        <w:spacing w:before="0" w:after="120" w:line="360" w:lineRule="auto"/>
        <w:ind w:firstLine="600" w:firstLineChars="200"/>
        <w:jc w:val="both"/>
        <w:outlineLvl w:val="2"/>
        <w:rPr>
          <w:rStyle w:val="19"/>
          <w:rFonts w:ascii="黑体" w:hAnsi="仿宋" w:eastAsia="黑体"/>
          <w:szCs w:val="24"/>
          <w:lang w:val="zh-CN"/>
        </w:rPr>
      </w:pPr>
      <w:bookmarkStart w:id="9" w:name="_Toc8580"/>
      <w:r>
        <w:rPr>
          <w:rStyle w:val="19"/>
          <w:rFonts w:hint="eastAsia" w:ascii="黑体" w:hAnsi="仿宋" w:eastAsia="黑体"/>
          <w:szCs w:val="24"/>
        </w:rPr>
        <w:t>9</w:t>
      </w:r>
      <w:r>
        <w:rPr>
          <w:rStyle w:val="19"/>
          <w:rFonts w:hint="eastAsia" w:ascii="黑体" w:hAnsi="仿宋" w:eastAsia="黑体"/>
          <w:szCs w:val="24"/>
          <w:lang w:val="zh-CN"/>
        </w:rPr>
        <w:t>.1甲方权责：</w:t>
      </w:r>
      <w:bookmarkEnd w:id="9"/>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9.1.1甲方负责按照约定的付款方式向乙方支付承揽费用；</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9.1.2对乙方实施监督，并有权对乙方提出意见和建议；</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9.1.3 对乙方的承揽工作提供必要的、合理的协助工作；</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9.1.4甲方有权从履约保证金或未付费用中抵扣相当于违约金和滞纳金数额的款项。</w:t>
      </w:r>
    </w:p>
    <w:p>
      <w:pPr>
        <w:pStyle w:val="20"/>
        <w:shd w:val="clear" w:color="auto" w:fill="auto"/>
        <w:spacing w:before="0" w:after="120" w:line="360" w:lineRule="auto"/>
        <w:ind w:firstLine="600" w:firstLineChars="200"/>
        <w:jc w:val="both"/>
        <w:outlineLvl w:val="2"/>
        <w:rPr>
          <w:rStyle w:val="19"/>
          <w:rFonts w:ascii="黑体" w:hAnsi="仿宋" w:eastAsia="黑体"/>
          <w:szCs w:val="24"/>
          <w:lang w:val="zh-CN"/>
        </w:rPr>
      </w:pPr>
      <w:bookmarkStart w:id="10" w:name="_Toc6959"/>
      <w:r>
        <w:rPr>
          <w:rStyle w:val="19"/>
          <w:rFonts w:hint="eastAsia" w:ascii="黑体" w:hAnsi="仿宋" w:eastAsia="黑体"/>
          <w:szCs w:val="24"/>
          <w:lang w:val="zh-CN"/>
        </w:rPr>
        <w:t>9.2乙方权责：</w:t>
      </w:r>
      <w:bookmarkEnd w:id="10"/>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9.2.1服从甲方监督，遵守重庆江北国际机场空防安全的有关制度及重庆江北国际机场的各类规定。</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9.2.2负责组织该项目的实施，并负责项目实施中的一切施工安全、第三方安全、人身安全和消防安全。</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9.2.3遵守有关安全规则，负责现场人员安全，排除现场危险隐患，提供安全设施。</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9.2.4按期完工，提出验收申请，并参与成果验收工作。</w:t>
      </w:r>
    </w:p>
    <w:p>
      <w:pPr>
        <w:pStyle w:val="16"/>
        <w:ind w:firstLine="600"/>
      </w:pPr>
      <w:r>
        <w:rPr>
          <w:rStyle w:val="19"/>
          <w:rFonts w:hint="eastAsia" w:ascii="仿宋_GB2312" w:hAnsi="仿宋" w:eastAsia="仿宋_GB2312" w:cs="宋体"/>
          <w:color w:val="000000"/>
          <w:kern w:val="2"/>
          <w:shd w:val="clear" w:fill="auto"/>
          <w:lang w:val="en-US" w:eastAsia="zh-CN" w:bidi="ar-SA"/>
        </w:rPr>
        <w:t>9.2.5在履行本合同的过程中乙方若造成乙方工作人员、甲方或第三方人身、财产损害的，乙方应承担全部责任。</w:t>
      </w:r>
    </w:p>
    <w:p>
      <w:pPr>
        <w:pStyle w:val="4"/>
        <w:ind w:firstLine="640"/>
        <w:rPr>
          <w:rStyle w:val="19"/>
          <w:rFonts w:ascii="仿宋" w:hAnsi="仿宋" w:eastAsia="黑体" w:cs="Times New Roman"/>
          <w:sz w:val="32"/>
          <w:szCs w:val="24"/>
          <w:shd w:val="clear" w:color="auto" w:fill="auto"/>
        </w:rPr>
      </w:pPr>
      <w:bookmarkStart w:id="11" w:name="_Toc5815"/>
      <w:r>
        <w:rPr>
          <w:rStyle w:val="19"/>
          <w:rFonts w:hint="eastAsia" w:ascii="仿宋" w:hAnsi="仿宋" w:eastAsia="黑体" w:cs="Times New Roman"/>
          <w:sz w:val="32"/>
          <w:szCs w:val="24"/>
          <w:shd w:val="clear" w:color="auto" w:fill="auto"/>
        </w:rPr>
        <w:t>第十条  成果验收标准和方法</w:t>
      </w:r>
      <w:bookmarkEnd w:id="11"/>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项目完工后，由乙方向甲方提出验收申请，甲方按</w:t>
      </w:r>
      <w:r>
        <w:rPr>
          <w:rStyle w:val="19"/>
          <w:rFonts w:hint="eastAsia" w:ascii="仿宋_GB2312" w:hAnsi="仿宋" w:eastAsia="仿宋_GB2312" w:cs="宋体"/>
          <w:color w:val="000000"/>
          <w:kern w:val="2"/>
          <w:u w:val="single"/>
          <w:shd w:val="clear" w:fill="auto"/>
          <w:lang w:val="en-US" w:eastAsia="zh-CN" w:bidi="ar-SA"/>
        </w:rPr>
        <w:t>合同验收要求约定内容</w:t>
      </w:r>
      <w:r>
        <w:rPr>
          <w:rStyle w:val="19"/>
          <w:rFonts w:hint="eastAsia" w:ascii="仿宋_GB2312" w:hAnsi="仿宋" w:eastAsia="仿宋_GB2312" w:cs="宋体"/>
          <w:color w:val="000000"/>
          <w:kern w:val="2"/>
          <w:shd w:val="clear" w:fill="auto"/>
          <w:lang w:val="en-US" w:eastAsia="zh-CN" w:bidi="ar-SA"/>
        </w:rPr>
        <w:t>进行验收。</w:t>
      </w:r>
    </w:p>
    <w:p>
      <w:pPr>
        <w:pStyle w:val="4"/>
        <w:ind w:firstLine="640"/>
        <w:rPr>
          <w:rStyle w:val="19"/>
          <w:rFonts w:ascii="仿宋" w:hAnsi="仿宋" w:eastAsia="黑体" w:cs="Times New Roman"/>
          <w:sz w:val="32"/>
          <w:szCs w:val="24"/>
          <w:shd w:val="clear" w:color="auto" w:fill="auto"/>
        </w:rPr>
      </w:pPr>
      <w:bookmarkStart w:id="12" w:name="_Toc29432"/>
      <w:r>
        <w:rPr>
          <w:rStyle w:val="19"/>
          <w:rFonts w:hint="eastAsia" w:ascii="仿宋" w:hAnsi="仿宋" w:eastAsia="黑体" w:cs="Times New Roman"/>
          <w:sz w:val="32"/>
          <w:szCs w:val="24"/>
          <w:shd w:val="clear" w:color="auto" w:fill="auto"/>
        </w:rPr>
        <w:t>第十一条  知识产权</w:t>
      </w:r>
      <w:bookmarkEnd w:id="12"/>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rStyle w:val="19"/>
          <w:rFonts w:ascii="仿宋" w:hAnsi="仿宋" w:eastAsia="黑体"/>
          <w:shd w:val="clear" w:color="auto" w:fill="auto"/>
        </w:rPr>
      </w:pPr>
      <w:bookmarkStart w:id="13" w:name="_Toc6231"/>
      <w:r>
        <w:rPr>
          <w:rStyle w:val="19"/>
          <w:rFonts w:ascii="仿宋" w:hAnsi="仿宋" w:eastAsia="黑体"/>
          <w:shd w:val="clear" w:color="auto" w:fill="auto"/>
        </w:rPr>
        <w:t>第十二条  违约责任</w:t>
      </w:r>
      <w:bookmarkEnd w:id="13"/>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12.1甲方未按本合同履约导致施工无法进行的，工期相应顺延。</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12.2.项目验收不合格，乙方应负责无偿修理或返工。因修理或返工而造成的逾期验收的，按12.3约定处理。</w:t>
      </w:r>
      <w:r>
        <w:rPr>
          <w:rStyle w:val="19"/>
          <w:rFonts w:hint="eastAsia" w:ascii="仿宋_GB2312" w:hAnsi="仿宋" w:eastAsia="仿宋_GB2312" w:cs="宋体"/>
          <w:color w:val="000000"/>
          <w:kern w:val="2"/>
          <w:shd w:val="clear" w:fill="auto"/>
          <w:lang w:val="en-US" w:eastAsia="zh-CN" w:bidi="ar-SA"/>
        </w:rPr>
        <w:br w:type="textWrapping"/>
      </w:r>
      <w:r>
        <w:rPr>
          <w:rStyle w:val="19"/>
          <w:rFonts w:hint="eastAsia" w:ascii="仿宋_GB2312" w:hAnsi="仿宋" w:eastAsia="仿宋_GB2312" w:cs="宋体"/>
          <w:color w:val="000000"/>
          <w:kern w:val="2"/>
          <w:shd w:val="clear" w:fill="auto"/>
          <w:lang w:val="en-US" w:eastAsia="zh-CN" w:bidi="ar-SA"/>
        </w:rPr>
        <w:t xml:space="preserve">    12.3乙方不能按合同规定的工期完工，每逾期1天，应偿付给甲方按合同总额的万分之五的逾期违约金。逾期超过30天的，甲方有权解除合同。</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12.4 乙方擅自改变材料或擅自转、分包的，甲方有权要求改正，并处合同总价款10%的违约金，乙方不能改正的，甲方有权解除合同。</w:t>
      </w:r>
    </w:p>
    <w:p>
      <w:pPr>
        <w:pStyle w:val="4"/>
        <w:ind w:firstLine="640"/>
        <w:rPr>
          <w:rStyle w:val="19"/>
          <w:rFonts w:ascii="仿宋" w:hAnsi="仿宋" w:eastAsia="黑体"/>
          <w:shd w:val="clear" w:color="auto" w:fill="auto"/>
        </w:rPr>
      </w:pPr>
      <w:bookmarkStart w:id="14" w:name="_Toc17861"/>
      <w:r>
        <w:rPr>
          <w:rStyle w:val="19"/>
          <w:rFonts w:ascii="仿宋" w:hAnsi="仿宋" w:eastAsia="黑体"/>
          <w:shd w:val="clear" w:color="auto" w:fill="auto"/>
        </w:rPr>
        <w:t>第十三条  争议解决方式</w:t>
      </w:r>
      <w:bookmarkEnd w:id="14"/>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若在合同履行过程中发生争议，甲乙双方应当友好协商解决，协商不成，按以下第（二）种方式解决：</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（一）提交重庆仲裁委员会，按照申请仲裁时该会现行有效的仲裁规则进行仲裁。</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（二）向甲方所在地有管辖权的人民法院起诉。</w:t>
      </w:r>
    </w:p>
    <w:p>
      <w:pPr>
        <w:pStyle w:val="4"/>
        <w:ind w:firstLine="640"/>
        <w:rPr>
          <w:rStyle w:val="19"/>
          <w:rFonts w:ascii="仿宋" w:hAnsi="仿宋" w:eastAsia="黑体"/>
          <w:shd w:val="clear" w:color="auto" w:fill="auto"/>
        </w:rPr>
      </w:pPr>
      <w:bookmarkStart w:id="15" w:name="_Toc16654"/>
      <w:r>
        <w:rPr>
          <w:rStyle w:val="19"/>
          <w:rFonts w:ascii="仿宋" w:hAnsi="仿宋" w:eastAsia="黑体"/>
          <w:shd w:val="clear" w:color="auto" w:fill="auto"/>
        </w:rPr>
        <w:t>第十四条  通知与送达</w:t>
      </w:r>
      <w:bookmarkEnd w:id="15"/>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14.1任何一方均应本着诚实信用原则来对待另一方在履行合同时的通知、告知事项，如因重大事项须履行通知义务的，均应当以当面签收或特快专递、电子邮件方式送达相对人。</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14.2采用特快专递形式的，应按照双方在合同中确定的通讯地址以特快专递的形式通知相对人，一旦特快专递送达上述地址且经该方签收的，即视为有效送达收件人。该方签收的时间，即为送达时间。</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14.4任何一方的地址或电子邮件地址有变更时，须以书面形式通知对方，否则因地址或电子邮件地址变更发生而客观上不能送达或退件的情形亦视为送达收件人。</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14.5收件一方若认为邮件封面标题与邮件中实际文件内容不符的，应在收到邮件后三日内通知相对人，逾期视为邮件封面标题与邮件中实际文件内容一致，并视为有效送达收件人。</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14.7本合同约定的联系方式与送达方式同时可作为法律文书的联系方式与送达方式。</w:t>
      </w:r>
    </w:p>
    <w:p>
      <w:pPr>
        <w:pStyle w:val="4"/>
        <w:ind w:firstLine="640"/>
        <w:rPr>
          <w:rStyle w:val="19"/>
          <w:rFonts w:ascii="仿宋" w:hAnsi="仿宋" w:eastAsia="黑体"/>
          <w:shd w:val="clear" w:color="auto" w:fill="auto"/>
        </w:rPr>
      </w:pPr>
      <w:bookmarkStart w:id="16" w:name="_Toc28646"/>
      <w:r>
        <w:rPr>
          <w:rStyle w:val="19"/>
          <w:rFonts w:ascii="仿宋" w:hAnsi="仿宋" w:eastAsia="黑体"/>
          <w:shd w:val="clear" w:color="auto" w:fill="auto"/>
        </w:rPr>
        <w:t>第十五条 不可抗力</w:t>
      </w:r>
      <w:bookmarkEnd w:id="16"/>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rStyle w:val="19"/>
          <w:rFonts w:ascii="仿宋" w:hAnsi="仿宋" w:eastAsia="黑体"/>
          <w:shd w:val="clear" w:color="auto" w:fill="auto"/>
        </w:rPr>
      </w:pPr>
      <w:bookmarkStart w:id="17" w:name="_Toc16116"/>
      <w:r>
        <w:rPr>
          <w:rStyle w:val="19"/>
          <w:rFonts w:ascii="仿宋" w:hAnsi="仿宋" w:eastAsia="黑体"/>
          <w:shd w:val="clear" w:color="auto" w:fill="auto"/>
        </w:rPr>
        <w:t>第十六条  补充协议</w:t>
      </w:r>
      <w:bookmarkEnd w:id="17"/>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本合同履行过程中，如果合同履行条件发生变化，由双方进行协商，并以签订补充合同的方式加以确认，补充合同与本合同具有同等效力。</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如果补充协议条款与本合同条款产生冲突，以补充协议的条款为准。</w:t>
      </w:r>
    </w:p>
    <w:p>
      <w:pPr>
        <w:pStyle w:val="4"/>
        <w:ind w:firstLine="640"/>
        <w:rPr>
          <w:rStyle w:val="19"/>
          <w:rFonts w:hint="eastAsia" w:ascii="仿宋" w:hAnsi="仿宋" w:eastAsia="黑体"/>
          <w:shd w:val="clear" w:color="auto" w:fill="auto"/>
        </w:rPr>
      </w:pPr>
      <w:bookmarkStart w:id="18" w:name="_Toc17914"/>
      <w:r>
        <w:rPr>
          <w:rStyle w:val="19"/>
          <w:rFonts w:ascii="仿宋" w:hAnsi="仿宋" w:eastAsia="黑体"/>
          <w:shd w:val="clear" w:color="auto" w:fill="auto"/>
        </w:rPr>
        <w:t xml:space="preserve">第十七条  </w:t>
      </w:r>
      <w:r>
        <w:rPr>
          <w:rStyle w:val="19"/>
          <w:rFonts w:hint="eastAsia" w:ascii="仿宋" w:hAnsi="仿宋" w:eastAsia="黑体"/>
          <w:shd w:val="clear" w:color="auto" w:fill="auto"/>
        </w:rPr>
        <w:t>保密条款</w:t>
      </w:r>
      <w:bookmarkEnd w:id="18"/>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19"/>
          <w:rFonts w:ascii="仿宋" w:hAnsi="仿宋" w:eastAsia="黑体" w:cs="Times New Roman"/>
          <w:sz w:val="32"/>
          <w:szCs w:val="24"/>
          <w:shd w:val="clear" w:color="auto" w:fill="auto"/>
        </w:rPr>
      </w:pPr>
      <w:bookmarkStart w:id="19" w:name="_Toc32645"/>
      <w:r>
        <w:rPr>
          <w:rStyle w:val="19"/>
          <w:rFonts w:hint="eastAsia" w:ascii="仿宋" w:hAnsi="仿宋" w:eastAsia="黑体" w:cs="Times New Roman"/>
          <w:sz w:val="32"/>
          <w:szCs w:val="24"/>
          <w:shd w:val="clear" w:color="auto" w:fill="auto"/>
        </w:rPr>
        <w:t>第十八条  其他</w:t>
      </w:r>
      <w:bookmarkEnd w:id="19"/>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18.1本合同自双方法定代表人或委托代理人签字并加盖公司公章或合同专用章后生效。</w:t>
      </w:r>
    </w:p>
    <w:p>
      <w:pPr>
        <w:pStyle w:val="16"/>
        <w:ind w:firstLine="600"/>
        <w:rPr>
          <w:rStyle w:val="19"/>
          <w:rFonts w:hint="eastAsia" w:ascii="仿宋_GB2312" w:hAnsi="仿宋" w:eastAsia="仿宋_GB2312" w:cs="宋体"/>
          <w:color w:val="000000"/>
          <w:kern w:val="2"/>
          <w:shd w:val="clear" w:fill="auto"/>
          <w:lang w:val="en-US" w:eastAsia="zh-CN" w:bidi="ar-SA"/>
        </w:rPr>
      </w:pPr>
      <w:r>
        <w:rPr>
          <w:rStyle w:val="19"/>
          <w:rFonts w:hint="eastAsia" w:ascii="仿宋_GB2312" w:hAnsi="仿宋" w:eastAsia="仿宋_GB2312" w:cs="宋体"/>
          <w:color w:val="000000"/>
          <w:kern w:val="2"/>
          <w:shd w:val="clear" w:fill="auto"/>
          <w:lang w:val="en-US" w:eastAsia="zh-CN" w:bidi="ar-SA"/>
        </w:rPr>
        <w:t>18.2本合同一式捌份，正本贰份，由甲乙双方各执壹份，副本陆份，由甲方执伍份，乙方执壹份，正副本均具同等法律效力。</w:t>
      </w:r>
    </w:p>
    <w:p>
      <w:pPr>
        <w:pStyle w:val="16"/>
        <w:ind w:firstLine="600"/>
      </w:pPr>
    </w:p>
    <w:p>
      <w:pPr>
        <w:pStyle w:val="16"/>
        <w:ind w:firstLine="600"/>
      </w:pPr>
      <w:r>
        <w:rPr>
          <w:rFonts w:hint="eastAsia"/>
        </w:rPr>
        <w:t>（以下无正文）</w:t>
      </w:r>
    </w:p>
    <w:p>
      <w:pPr>
        <w:pStyle w:val="16"/>
        <w:ind w:firstLine="0" w:firstLineChars="0"/>
        <w:rPr>
          <w:rStyle w:val="19"/>
          <w:rFonts w:ascii="仿宋" w:eastAsia="仿宋"/>
          <w:sz w:val="24"/>
          <w:szCs w:val="24"/>
          <w:lang w:val="zh-CN"/>
        </w:rPr>
      </w:pPr>
    </w:p>
    <w:p>
      <w:pPr>
        <w:pStyle w:val="16"/>
        <w:ind w:firstLine="0" w:firstLineChars="0"/>
        <w:rPr>
          <w:rStyle w:val="19"/>
          <w:rFonts w:ascii="仿宋" w:eastAsia="仿宋"/>
          <w:sz w:val="24"/>
          <w:szCs w:val="24"/>
          <w:lang w:val="zh-CN"/>
        </w:rPr>
      </w:pPr>
    </w:p>
    <w:p>
      <w:pPr>
        <w:pStyle w:val="16"/>
        <w:ind w:firstLine="0" w:firstLineChars="0"/>
        <w:rPr>
          <w:rStyle w:val="19"/>
          <w:rFonts w:ascii="仿宋" w:eastAsia="仿宋"/>
          <w:sz w:val="24"/>
          <w:szCs w:val="24"/>
          <w:lang w:val="zh-CN"/>
        </w:rPr>
      </w:pPr>
    </w:p>
    <w:p>
      <w:pPr>
        <w:pStyle w:val="16"/>
        <w:ind w:firstLine="0" w:firstLineChars="0"/>
        <w:rPr>
          <w:rStyle w:val="19"/>
          <w:rFonts w:ascii="仿宋" w:eastAsia="仿宋"/>
          <w:sz w:val="24"/>
          <w:szCs w:val="24"/>
          <w:lang w:val="zh-CN"/>
        </w:rPr>
      </w:pPr>
    </w:p>
    <w:p>
      <w:pPr>
        <w:pStyle w:val="16"/>
        <w:ind w:firstLine="0" w:firstLineChars="0"/>
        <w:rPr>
          <w:rStyle w:val="19"/>
          <w:rFonts w:ascii="仿宋" w:eastAsia="仿宋"/>
          <w:sz w:val="24"/>
          <w:szCs w:val="24"/>
          <w:lang w:val="zh-CN"/>
        </w:rPr>
      </w:pPr>
    </w:p>
    <w:p>
      <w:pPr>
        <w:pStyle w:val="16"/>
        <w:ind w:firstLine="0" w:firstLineChars="0"/>
        <w:rPr>
          <w:rStyle w:val="19"/>
          <w:rFonts w:ascii="仿宋" w:eastAsia="仿宋"/>
          <w:sz w:val="24"/>
          <w:szCs w:val="24"/>
          <w:lang w:val="zh-CN"/>
        </w:rPr>
      </w:pPr>
    </w:p>
    <w:p>
      <w:pPr>
        <w:pStyle w:val="16"/>
        <w:ind w:firstLine="0" w:firstLineChars="0"/>
        <w:rPr>
          <w:rStyle w:val="19"/>
          <w:rFonts w:ascii="仿宋" w:eastAsia="仿宋"/>
          <w:sz w:val="24"/>
          <w:szCs w:val="24"/>
          <w:lang w:val="zh-CN"/>
        </w:rPr>
      </w:pPr>
    </w:p>
    <w:p>
      <w:pPr>
        <w:pStyle w:val="16"/>
        <w:ind w:firstLine="0" w:firstLineChars="0"/>
        <w:rPr>
          <w:rStyle w:val="19"/>
          <w:rFonts w:ascii="仿宋" w:eastAsia="仿宋"/>
          <w:sz w:val="24"/>
          <w:szCs w:val="24"/>
          <w:lang w:val="zh-CN"/>
        </w:rPr>
      </w:pPr>
    </w:p>
    <w:p>
      <w:pPr>
        <w:pStyle w:val="16"/>
        <w:ind w:firstLine="0" w:firstLineChars="0"/>
        <w:rPr>
          <w:rStyle w:val="19"/>
          <w:rFonts w:ascii="仿宋" w:eastAsia="仿宋"/>
          <w:sz w:val="24"/>
          <w:szCs w:val="24"/>
          <w:lang w:val="zh-CN"/>
        </w:rPr>
      </w:pPr>
    </w:p>
    <w:p>
      <w:pPr>
        <w:pStyle w:val="16"/>
        <w:ind w:firstLine="0" w:firstLineChars="0"/>
        <w:rPr>
          <w:rStyle w:val="19"/>
          <w:rFonts w:hint="eastAsia" w:ascii="仿宋" w:eastAsia="仿宋"/>
          <w:sz w:val="24"/>
          <w:szCs w:val="24"/>
          <w:lang w:val="zh-CN"/>
        </w:rPr>
      </w:pPr>
    </w:p>
    <w:p>
      <w:pPr>
        <w:pStyle w:val="16"/>
        <w:ind w:firstLine="0" w:firstLineChars="0"/>
        <w:rPr>
          <w:rStyle w:val="19"/>
          <w:rFonts w:ascii="仿宋_GB2312" w:hAnsi="仿宋" w:eastAsia="仿宋_GB2312" w:cs="宋体"/>
          <w:shd w:val="clear" w:color="auto" w:fill="auto"/>
        </w:rPr>
      </w:pPr>
      <w:r>
        <w:rPr>
          <w:rStyle w:val="19"/>
          <w:rFonts w:hint="eastAsia" w:ascii="仿宋_GB2312" w:hAnsi="仿宋" w:eastAsia="仿宋_GB2312" w:cs="宋体"/>
          <w:shd w:val="clear" w:color="auto" w:fill="auto"/>
        </w:rPr>
        <w:t xml:space="preserve">甲方：（盖章）                   </w:t>
      </w:r>
      <w:r>
        <w:rPr>
          <w:rStyle w:val="19"/>
          <w:rFonts w:ascii="仿宋_GB2312" w:hAnsi="仿宋" w:eastAsia="仿宋_GB2312" w:cs="宋体"/>
          <w:shd w:val="clear" w:color="auto" w:fill="auto"/>
        </w:rPr>
        <w:t xml:space="preserve">  </w:t>
      </w:r>
      <w:r>
        <w:rPr>
          <w:rStyle w:val="19"/>
          <w:rFonts w:hint="eastAsia" w:ascii="仿宋_GB2312" w:hAnsi="仿宋" w:eastAsia="仿宋_GB2312" w:cs="宋体"/>
          <w:shd w:val="clear" w:color="auto" w:fill="auto"/>
        </w:rPr>
        <w:t>乙方：（盖章）</w:t>
      </w:r>
    </w:p>
    <w:p>
      <w:pPr>
        <w:pStyle w:val="16"/>
        <w:ind w:firstLine="600"/>
        <w:rPr>
          <w:rStyle w:val="19"/>
          <w:rFonts w:ascii="仿宋_GB2312" w:hAnsi="仿宋" w:eastAsia="仿宋_GB2312" w:cs="宋体"/>
          <w:shd w:val="clear" w:color="auto" w:fill="auto"/>
        </w:rPr>
      </w:pPr>
      <w:r>
        <w:rPr>
          <w:rStyle w:val="19"/>
          <w:rFonts w:hint="eastAsia" w:ascii="仿宋_GB2312" w:hAnsi="仿宋" w:eastAsia="仿宋_GB2312" w:cs="宋体"/>
          <w:shd w:val="clear" w:color="auto" w:fill="auto"/>
        </w:rPr>
        <w:t xml:space="preserve">         </w:t>
      </w:r>
      <w:r>
        <w:rPr>
          <w:rStyle w:val="19"/>
          <w:rFonts w:ascii="仿宋_GB2312" w:hAnsi="仿宋" w:eastAsia="仿宋_GB2312" w:cs="宋体"/>
          <w:shd w:val="clear" w:color="auto" w:fill="auto"/>
        </w:rPr>
        <w:t xml:space="preserve">     </w:t>
      </w:r>
    </w:p>
    <w:p>
      <w:pPr>
        <w:pStyle w:val="16"/>
        <w:ind w:firstLine="0" w:firstLineChars="0"/>
        <w:rPr>
          <w:rStyle w:val="19"/>
          <w:rFonts w:ascii="仿宋_GB2312" w:hAnsi="仿宋" w:eastAsia="仿宋_GB2312" w:cs="宋体"/>
          <w:shd w:val="clear" w:color="auto" w:fill="auto"/>
        </w:rPr>
      </w:pPr>
      <w:r>
        <w:rPr>
          <w:rStyle w:val="19"/>
          <w:rFonts w:hint="eastAsia" w:ascii="仿宋_GB2312" w:hAnsi="仿宋" w:eastAsia="仿宋_GB2312" w:cs="宋体"/>
          <w:shd w:val="clear" w:color="auto" w:fill="auto"/>
        </w:rPr>
        <w:t xml:space="preserve">法定代表人：                   </w:t>
      </w:r>
      <w:r>
        <w:rPr>
          <w:rStyle w:val="19"/>
          <w:rFonts w:ascii="仿宋_GB2312" w:hAnsi="仿宋" w:eastAsia="仿宋_GB2312" w:cs="宋体"/>
          <w:shd w:val="clear" w:color="auto" w:fill="auto"/>
        </w:rPr>
        <w:t xml:space="preserve">   </w:t>
      </w:r>
      <w:r>
        <w:rPr>
          <w:rStyle w:val="19"/>
          <w:rFonts w:hint="eastAsia" w:ascii="仿宋_GB2312" w:hAnsi="仿宋" w:eastAsia="仿宋_GB2312" w:cs="宋体"/>
          <w:shd w:val="clear" w:color="auto" w:fill="auto"/>
        </w:rPr>
        <w:t xml:space="preserve">法定代表人： </w:t>
      </w:r>
    </w:p>
    <w:p>
      <w:pPr>
        <w:pStyle w:val="16"/>
        <w:ind w:firstLine="0" w:firstLineChars="0"/>
      </w:pPr>
      <w:r>
        <w:rPr>
          <w:rStyle w:val="19"/>
          <w:rFonts w:hint="eastAsia" w:ascii="仿宋_GB2312" w:hAnsi="仿宋" w:eastAsia="仿宋_GB2312" w:cs="宋体"/>
          <w:shd w:val="clear" w:color="auto" w:fill="auto"/>
        </w:rPr>
        <w:t xml:space="preserve">委托代理人：                   </w:t>
      </w:r>
      <w:r>
        <w:rPr>
          <w:rStyle w:val="19"/>
          <w:rFonts w:ascii="仿宋_GB2312" w:hAnsi="仿宋" w:eastAsia="仿宋_GB2312" w:cs="宋体"/>
          <w:shd w:val="clear" w:color="auto" w:fill="auto"/>
        </w:rPr>
        <w:t xml:space="preserve">   </w:t>
      </w:r>
      <w:r>
        <w:rPr>
          <w:rStyle w:val="19"/>
          <w:rFonts w:hint="eastAsia" w:ascii="仿宋_GB2312" w:hAnsi="仿宋" w:eastAsia="仿宋_GB2312" w:cs="宋体"/>
          <w:shd w:val="clear" w:color="auto" w:fill="auto"/>
        </w:rPr>
        <w:t>委托代理人：</w:t>
      </w:r>
    </w:p>
    <w:p>
      <w:pPr>
        <w:pStyle w:val="16"/>
        <w:ind w:firstLine="0" w:firstLineChars="0"/>
      </w:pPr>
      <w:r>
        <w:rPr>
          <w:rFonts w:hint="eastAsia"/>
        </w:rPr>
        <w:t>通讯地址：</w:t>
      </w:r>
      <w:r>
        <w:t xml:space="preserve">                        </w:t>
      </w:r>
      <w:r>
        <w:rPr>
          <w:rFonts w:hint="eastAsia"/>
        </w:rPr>
        <w:t>通讯地址：</w:t>
      </w:r>
    </w:p>
    <w:p>
      <w:pPr>
        <w:pStyle w:val="16"/>
        <w:ind w:firstLine="0" w:firstLineChars="0"/>
      </w:pPr>
      <w:r>
        <w:rPr>
          <w:rFonts w:hint="eastAsia"/>
        </w:rPr>
        <w:t>邮箱：</w:t>
      </w:r>
      <w:r>
        <w:t xml:space="preserve">                            </w:t>
      </w:r>
      <w:r>
        <w:rPr>
          <w:rFonts w:hint="eastAsia"/>
        </w:rPr>
        <w:t>邮箱：</w:t>
      </w:r>
    </w:p>
    <w:p>
      <w:pPr>
        <w:pStyle w:val="16"/>
        <w:ind w:firstLine="0" w:firstLineChars="0"/>
      </w:pPr>
      <w:r>
        <w:rPr>
          <w:rFonts w:hint="eastAsia"/>
        </w:rPr>
        <w:t>联系人：</w:t>
      </w:r>
      <w:r>
        <w:t xml:space="preserve">                          联系人： </w:t>
      </w:r>
    </w:p>
    <w:p>
      <w:pPr>
        <w:pStyle w:val="16"/>
        <w:ind w:firstLine="0" w:firstLineChars="0"/>
      </w:pPr>
      <w:r>
        <w:rPr>
          <w:rFonts w:hint="eastAsia"/>
        </w:rPr>
        <w:t>联系电话及传真：</w:t>
      </w:r>
      <w:r>
        <w:t xml:space="preserve">                  联系电话及传真： </w:t>
      </w:r>
    </w:p>
    <w:p>
      <w:pPr>
        <w:pStyle w:val="16"/>
        <w:ind w:firstLine="0" w:firstLineChars="0"/>
      </w:pPr>
      <w:r>
        <w:rPr>
          <w:rFonts w:hint="eastAsia"/>
        </w:rPr>
        <w:t>开户银行：</w:t>
      </w:r>
      <w:r>
        <w:t xml:space="preserve">                        开户银行： </w:t>
      </w:r>
    </w:p>
    <w:p>
      <w:pPr>
        <w:pStyle w:val="16"/>
        <w:ind w:firstLine="0" w:firstLineChars="0"/>
      </w:pPr>
      <w:r>
        <w:rPr>
          <w:rFonts w:hint="eastAsia"/>
        </w:rPr>
        <w:t>账</w:t>
      </w:r>
      <w:r>
        <w:t xml:space="preserve">    号：                        </w:t>
      </w:r>
      <w:r>
        <w:rPr>
          <w:rFonts w:hint="eastAsia"/>
        </w:rPr>
        <w:t>账</w:t>
      </w:r>
      <w:r>
        <w:t xml:space="preserve">    号：</w:t>
      </w:r>
    </w:p>
    <w:p>
      <w:pPr>
        <w:pStyle w:val="16"/>
        <w:ind w:firstLine="480"/>
        <w:rPr>
          <w:rStyle w:val="19"/>
          <w:rFonts w:ascii="仿宋" w:eastAsia="仿宋"/>
          <w:sz w:val="24"/>
          <w:szCs w:val="24"/>
          <w:lang w:val="zh-CN"/>
        </w:rPr>
      </w:pPr>
      <w:r>
        <w:rPr>
          <w:rStyle w:val="19"/>
          <w:rFonts w:hint="eastAsia" w:ascii="仿宋" w:eastAsia="仿宋"/>
          <w:sz w:val="24"/>
          <w:szCs w:val="24"/>
          <w:lang w:val="zh-CN"/>
        </w:rPr>
        <w:t xml:space="preserve">   </w:t>
      </w:r>
    </w:p>
    <w:p>
      <w:pPr>
        <w:pStyle w:val="16"/>
        <w:ind w:firstLine="480"/>
        <w:rPr>
          <w:rStyle w:val="19"/>
          <w:rFonts w:ascii="仿宋" w:eastAsia="仿宋"/>
          <w:sz w:val="24"/>
          <w:szCs w:val="24"/>
          <w:lang w:val="zh-CN"/>
        </w:rPr>
      </w:pPr>
    </w:p>
    <w:p>
      <w:pPr>
        <w:pStyle w:val="16"/>
        <w:ind w:firstLine="480"/>
        <w:rPr>
          <w:rStyle w:val="19"/>
          <w:rFonts w:ascii="仿宋" w:eastAsia="仿宋"/>
          <w:sz w:val="24"/>
          <w:szCs w:val="24"/>
          <w:lang w:val="zh-CN"/>
        </w:rPr>
      </w:pPr>
    </w:p>
    <w:p>
      <w:pPr>
        <w:pStyle w:val="16"/>
        <w:ind w:firstLine="0" w:firstLineChars="0"/>
        <w:rPr>
          <w:rStyle w:val="19"/>
          <w:rFonts w:ascii="仿宋_GB2312" w:hAnsi="仿宋" w:eastAsia="仿宋_GB2312" w:cs="宋体"/>
          <w:shd w:val="clear" w:color="auto" w:fill="auto"/>
        </w:rPr>
      </w:pPr>
      <w:r>
        <w:rPr>
          <w:rStyle w:val="19"/>
          <w:rFonts w:hint="eastAsia" w:ascii="仿宋_GB2312" w:hAnsi="仿宋" w:eastAsia="仿宋_GB2312" w:cs="宋体"/>
          <w:shd w:val="clear" w:color="auto" w:fill="auto"/>
        </w:rPr>
        <w:t>合同签订时间：</w:t>
      </w:r>
    </w:p>
    <w:p>
      <w:pPr>
        <w:pStyle w:val="16"/>
        <w:ind w:firstLine="0" w:firstLineChars="0"/>
        <w:rPr>
          <w:rStyle w:val="19"/>
          <w:rFonts w:ascii="仿宋_GB2312" w:hAnsi="仿宋" w:eastAsia="仿宋_GB2312" w:cs="宋体"/>
          <w:shd w:val="clear" w:color="auto" w:fill="auto"/>
        </w:rPr>
      </w:pPr>
      <w:r>
        <w:rPr>
          <w:rStyle w:val="19"/>
          <w:rFonts w:hint="eastAsia" w:ascii="仿宋_GB2312" w:hAnsi="仿宋" w:eastAsia="仿宋_GB2312" w:cs="宋体"/>
          <w:shd w:val="clear" w:color="auto" w:fill="auto"/>
        </w:rPr>
        <w:t>合同签订地点：重庆江北国际机场</w:t>
      </w:r>
    </w:p>
    <w:p>
      <w:bookmarkStart w:id="20" w:name="_GoBack"/>
      <w:bookmarkEnd w:id="2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libri Light">
    <w:altName w:val="Calibri"/>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8</w:t>
    </w:r>
    <w: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8</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D2A3F"/>
    <w:rsid w:val="625D2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1">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5">
    <w:name w:val="Body Text"/>
    <w:basedOn w:val="1"/>
    <w:next w:val="1"/>
    <w:qFormat/>
    <w:uiPriority w:val="0"/>
    <w:pPr>
      <w:jc w:val="center"/>
    </w:pPr>
    <w:rPr>
      <w:rFonts w:ascii="幼圆" w:hAnsi="幼圆" w:eastAsia="仿宋"/>
      <w:sz w:val="32"/>
    </w:rPr>
  </w:style>
  <w:style w:type="paragraph" w:styleId="6">
    <w:name w:val="toc 3"/>
    <w:basedOn w:val="1"/>
    <w:next w:val="1"/>
    <w:unhideWhenUsed/>
    <w:qFormat/>
    <w:uiPriority w:val="39"/>
    <w:pPr>
      <w:ind w:left="840" w:leftChars="400"/>
    </w:pPr>
  </w:style>
  <w:style w:type="paragraph" w:styleId="7">
    <w:name w:val="Plain Text"/>
    <w:basedOn w:val="1"/>
    <w:qFormat/>
    <w:uiPriority w:val="0"/>
    <w:rPr>
      <w:rFonts w:ascii="宋体" w:hAnsi="Courier New" w:cs="金山简魏碑"/>
      <w:szCs w:val="21"/>
    </w:rPr>
  </w:style>
  <w:style w:type="paragraph" w:styleId="8">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2"/>
    <w:basedOn w:val="1"/>
    <w:next w:val="1"/>
    <w:unhideWhenUsed/>
    <w:qFormat/>
    <w:uiPriority w:val="39"/>
    <w:pPr>
      <w:ind w:left="420" w:leftChars="200"/>
    </w:p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table" w:styleId="14">
    <w:name w:val="Table Grid"/>
    <w:basedOn w:val="13"/>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5">
    <w:name w:val="List Paragraph"/>
    <w:basedOn w:val="1"/>
    <w:qFormat/>
    <w:uiPriority w:val="99"/>
    <w:pPr>
      <w:ind w:firstLine="420" w:firstLineChars="200"/>
    </w:pPr>
  </w:style>
  <w:style w:type="paragraph" w:customStyle="1" w:styleId="16">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7">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8">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19">
    <w:name w:val="Body text (2)_"/>
    <w:link w:val="20"/>
    <w:qFormat/>
    <w:uiPriority w:val="99"/>
    <w:rPr>
      <w:rFonts w:ascii="MingLiU" w:hAnsi="Calibri" w:eastAsia="MingLiU"/>
      <w:sz w:val="30"/>
      <w:szCs w:val="30"/>
    </w:rPr>
  </w:style>
  <w:style w:type="paragraph" w:customStyle="1" w:styleId="20">
    <w:name w:val="Body text (2)1"/>
    <w:basedOn w:val="1"/>
    <w:link w:val="19"/>
    <w:qFormat/>
    <w:uiPriority w:val="99"/>
    <w:pPr>
      <w:shd w:val="clear" w:color="auto" w:fill="FFFFFF"/>
      <w:spacing w:before="1020" w:line="619" w:lineRule="exact"/>
      <w:jc w:val="left"/>
    </w:pPr>
    <w:rPr>
      <w:rFonts w:ascii="MingLiU" w:hAnsi="Calibri" w:eastAsia="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2022-07-04T01:33:00Z</dcterms:created>
  <dc:creator>重庆能源文书</dc:creator>
  <cp:lastModifiedBy>重庆能源文书</cp:lastModifiedBy>
  <dcterms:modified xsi:type="dcterms:W3CDTF">2022-07-04T01:34:21Z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