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香薰精油采购项目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二〇二二年</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六</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香薰精油采购项目比选文件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航站楼要客区及两舱贵宾室使用扩香系统进行香薰精油雾化熏香的项目邀请符合相应条件的供应商就本项目进行比选。</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0"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1.1.2具备有效的营业执照和相关经营范围（提供有效的营业执照复印件加盖企业鲜章）。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1.1.</w:t>
      </w:r>
      <w:r>
        <w:rPr>
          <w:rFonts w:ascii="方正仿宋_GBK" w:hAnsi="方正仿宋_GBK" w:eastAsia="方正仿宋_GBK" w:cs="方正仿宋_GBK"/>
          <w:color w:val="FF0000"/>
          <w:sz w:val="28"/>
          <w:szCs w:val="28"/>
        </w:rPr>
        <w:t xml:space="preserve">8 </w:t>
      </w:r>
      <w:r>
        <w:rPr>
          <w:rFonts w:hint="eastAsia" w:ascii="方正仿宋_GBK" w:hAnsi="方正仿宋_GBK" w:eastAsia="方正仿宋_GBK" w:cs="方正仿宋_GBK"/>
          <w:color w:val="FF0000"/>
          <w:sz w:val="28"/>
          <w:szCs w:val="28"/>
        </w:rPr>
        <w:t>20</w:t>
      </w:r>
      <w:r>
        <w:rPr>
          <w:rFonts w:ascii="方正仿宋_GBK" w:hAnsi="方正仿宋_GBK" w:eastAsia="方正仿宋_GBK" w:cs="方正仿宋_GBK"/>
          <w:color w:val="FF0000"/>
          <w:sz w:val="28"/>
          <w:szCs w:val="28"/>
        </w:rPr>
        <w:t>20</w:t>
      </w:r>
      <w:r>
        <w:rPr>
          <w:rFonts w:hint="eastAsia" w:ascii="方正仿宋_GBK" w:hAnsi="方正仿宋_GBK" w:eastAsia="方正仿宋_GBK" w:cs="方正仿宋_GBK"/>
          <w:color w:val="FF0000"/>
          <w:sz w:val="28"/>
          <w:szCs w:val="28"/>
        </w:rPr>
        <w:t>年1月1日以来（含）投标人在国内签订的相同或类似项目供货业绩，提供合同关键页复印件，以及合同金额50%的发票复印件。（请提供合同复印件并加盖投标人公章放入比选响应文件）</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1.2.1项目简介：为重庆江北机场T2、T3航站楼要客区、两舱贵宾室提供香薰精油。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pStyle w:val="2"/>
        <w:jc w:val="center"/>
        <w:rPr>
          <w:sz w:val="28"/>
          <w:szCs w:val="28"/>
        </w:rPr>
      </w:pPr>
      <w:r>
        <w:rPr>
          <w:rFonts w:hint="eastAsia"/>
          <w:sz w:val="28"/>
          <w:szCs w:val="28"/>
        </w:rPr>
        <w:t>香薰精油统计表</w:t>
      </w:r>
    </w:p>
    <w:tbl>
      <w:tblPr>
        <w:tblStyle w:val="12"/>
        <w:tblW w:w="8831" w:type="dxa"/>
        <w:jc w:val="center"/>
        <w:tblInd w:w="0" w:type="dxa"/>
        <w:tblLayout w:type="fixed"/>
        <w:tblCellMar>
          <w:top w:w="0" w:type="dxa"/>
          <w:left w:w="108" w:type="dxa"/>
          <w:bottom w:w="0" w:type="dxa"/>
          <w:right w:w="108" w:type="dxa"/>
        </w:tblCellMar>
      </w:tblPr>
      <w:tblGrid>
        <w:gridCol w:w="2410"/>
        <w:gridCol w:w="1701"/>
        <w:gridCol w:w="1602"/>
        <w:gridCol w:w="1580"/>
        <w:gridCol w:w="1538"/>
      </w:tblGrid>
      <w:tr>
        <w:tblPrEx>
          <w:tblLayout w:type="fixed"/>
          <w:tblCellMar>
            <w:top w:w="0" w:type="dxa"/>
            <w:left w:w="108" w:type="dxa"/>
            <w:bottom w:w="0" w:type="dxa"/>
            <w:right w:w="108" w:type="dxa"/>
          </w:tblCellMar>
        </w:tblPrEx>
        <w:trPr>
          <w:trHeight w:val="720"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设备型号</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单价（不含税）/元</w:t>
            </w:r>
          </w:p>
        </w:tc>
        <w:tc>
          <w:tcPr>
            <w:tcW w:w="1538"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总价（不含税）/元</w:t>
            </w:r>
          </w:p>
        </w:tc>
      </w:tr>
      <w:tr>
        <w:tblPrEx>
          <w:tblLayout w:type="fixed"/>
          <w:tblCellMar>
            <w:top w:w="0" w:type="dxa"/>
            <w:left w:w="108" w:type="dxa"/>
            <w:bottom w:w="0" w:type="dxa"/>
            <w:right w:w="108" w:type="dxa"/>
          </w:tblCellMar>
        </w:tblPrEx>
        <w:trPr>
          <w:trHeight w:val="586" w:hRule="atLeast"/>
          <w:jc w:val="center"/>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香薰精油（普通香味）</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00ML/</w:t>
            </w:r>
            <w:r>
              <w:rPr>
                <w:rFonts w:hint="eastAsia" w:ascii="宋体" w:hAnsi="宋体" w:cs="宋体"/>
                <w:color w:val="000000"/>
                <w:kern w:val="0"/>
                <w:sz w:val="24"/>
              </w:rPr>
              <w:t>瓶</w:t>
            </w: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r>
              <w:rPr>
                <w:rFonts w:ascii="宋体" w:hAnsi="宋体" w:cs="宋体"/>
                <w:color w:val="000000"/>
                <w:kern w:val="0"/>
                <w:sz w:val="24"/>
              </w:rPr>
              <w:t>6</w:t>
            </w:r>
            <w:r>
              <w:rPr>
                <w:rFonts w:hint="eastAsia" w:ascii="宋体" w:hAnsi="宋体" w:cs="宋体"/>
                <w:color w:val="000000"/>
                <w:kern w:val="0"/>
                <w:sz w:val="24"/>
              </w:rPr>
              <w:t>瓶</w:t>
            </w:r>
          </w:p>
        </w:tc>
        <w:tc>
          <w:tcPr>
            <w:tcW w:w="1580" w:type="dxa"/>
            <w:tcBorders>
              <w:top w:val="nil"/>
              <w:left w:val="nil"/>
              <w:bottom w:val="single" w:color="auto" w:sz="4" w:space="0"/>
              <w:right w:val="single" w:color="auto" w:sz="4" w:space="0"/>
            </w:tcBorders>
          </w:tcPr>
          <w:p>
            <w:pPr>
              <w:widowControl/>
              <w:jc w:val="center"/>
              <w:rPr>
                <w:rFonts w:ascii="宋体" w:hAnsi="宋体" w:cs="宋体"/>
                <w:color w:val="000000"/>
                <w:kern w:val="0"/>
                <w:sz w:val="24"/>
              </w:rPr>
            </w:pPr>
          </w:p>
        </w:tc>
        <w:tc>
          <w:tcPr>
            <w:tcW w:w="1538" w:type="dxa"/>
            <w:tcBorders>
              <w:top w:val="nil"/>
              <w:left w:val="nil"/>
              <w:bottom w:val="single" w:color="auto" w:sz="4" w:space="0"/>
              <w:right w:val="single" w:color="auto" w:sz="4" w:space="0"/>
            </w:tcBorders>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735"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香薰精油（咖啡味）</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50ML/</w:t>
            </w:r>
            <w:r>
              <w:rPr>
                <w:rFonts w:hint="eastAsia" w:ascii="宋体" w:hAnsi="宋体" w:cs="宋体"/>
                <w:color w:val="000000"/>
                <w:kern w:val="0"/>
                <w:sz w:val="24"/>
              </w:rPr>
              <w:t>瓶</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r>
              <w:rPr>
                <w:rFonts w:hint="eastAsia" w:ascii="宋体" w:hAnsi="宋体" w:cs="宋体"/>
                <w:color w:val="000000"/>
                <w:kern w:val="0"/>
                <w:sz w:val="24"/>
              </w:rPr>
              <w:t>瓶</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4"/>
              </w:rPr>
            </w:pPr>
          </w:p>
        </w:tc>
        <w:tc>
          <w:tcPr>
            <w:tcW w:w="1538"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55" w:hRule="atLeast"/>
          <w:jc w:val="center"/>
        </w:trPr>
        <w:tc>
          <w:tcPr>
            <w:tcW w:w="241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000ML</w:t>
            </w:r>
          </w:p>
        </w:tc>
        <w:tc>
          <w:tcPr>
            <w:tcW w:w="1602"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2台</w:t>
            </w:r>
          </w:p>
        </w:tc>
        <w:tc>
          <w:tcPr>
            <w:tcW w:w="1580" w:type="dxa"/>
            <w:tcBorders>
              <w:top w:val="single" w:color="auto" w:sz="4" w:space="0"/>
              <w:left w:val="nil"/>
              <w:bottom w:val="nil"/>
              <w:right w:val="single" w:color="auto" w:sz="4" w:space="0"/>
            </w:tcBorders>
          </w:tcPr>
          <w:p>
            <w:pPr>
              <w:widowControl/>
              <w:jc w:val="center"/>
              <w:rPr>
                <w:rFonts w:ascii="宋体" w:hAnsi="宋体" w:cs="宋体"/>
                <w:color w:val="000000"/>
                <w:kern w:val="0"/>
                <w:sz w:val="24"/>
              </w:rPr>
            </w:pPr>
          </w:p>
        </w:tc>
        <w:tc>
          <w:tcPr>
            <w:tcW w:w="1538"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r>
        <w:tblPrEx>
          <w:tblLayout w:type="fixed"/>
          <w:tblCellMar>
            <w:top w:w="0" w:type="dxa"/>
            <w:left w:w="108" w:type="dxa"/>
            <w:bottom w:w="0" w:type="dxa"/>
            <w:right w:w="108" w:type="dxa"/>
          </w:tblCellMar>
        </w:tblPrEx>
        <w:trPr>
          <w:trHeight w:val="708"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500ML</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台</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4"/>
              </w:rPr>
            </w:pPr>
          </w:p>
        </w:tc>
        <w:tc>
          <w:tcPr>
            <w:tcW w:w="15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1.2.3本项目的报价应包括：产品单价、运输、维保等费用。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香薰精油项目最高限价（不含税）为人民币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9.32</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万元（大写金额：玖万叁仟贰佰元整），超过最高限价，将取消比选响应方的比选资格。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1.2.4.1项目要求：响应人需赠送17台香薰机（其中装载1000ml容量的香薰机2台，装载500ml容量的香薰机15台），香薰机质保三年以上。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1.2.4.2</w:t>
      </w:r>
      <w:r>
        <w:rPr>
          <w:rFonts w:hint="eastAsia" w:ascii="方正仿宋_GBK" w:hAnsi="方正仿宋_GBK" w:eastAsia="方正仿宋_GBK" w:cs="方正仿宋_GBK"/>
          <w:color w:val="000000" w:themeColor="text1"/>
          <w:sz w:val="28"/>
          <w:szCs w:val="28"/>
          <w14:textFill>
            <w14:solidFill>
              <w14:schemeClr w14:val="tx1"/>
            </w14:solidFill>
          </w14:textFill>
        </w:rPr>
        <w:t>响应人提供机器设备的安装技术；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1.2.4.3</w:t>
      </w:r>
      <w:r>
        <w:rPr>
          <w:rFonts w:hint="eastAsia" w:ascii="方正仿宋_GBK" w:hAnsi="方正仿宋_GBK" w:eastAsia="方正仿宋_GBK" w:cs="方正仿宋_GBK"/>
          <w:color w:val="000000" w:themeColor="text1"/>
          <w:sz w:val="28"/>
          <w:szCs w:val="28"/>
          <w14:textFill>
            <w14:solidFill>
              <w14:schemeClr w14:val="tx1"/>
            </w14:solidFill>
          </w14:textFill>
        </w:rPr>
        <w:t>响应人每月定期指派专人添加更换精油并对香薰机设备进行维护；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1.2.4.4</w:t>
      </w:r>
      <w:r>
        <w:rPr>
          <w:rFonts w:hint="eastAsia" w:ascii="方正仿宋_GBK" w:hAnsi="方正仿宋_GBK" w:eastAsia="方正仿宋_GBK" w:cs="方正仿宋_GBK"/>
          <w:color w:val="000000" w:themeColor="text1"/>
          <w:sz w:val="28"/>
          <w:szCs w:val="28"/>
          <w14:textFill>
            <w14:solidFill>
              <w14:schemeClr w14:val="tx1"/>
            </w14:solidFill>
          </w14:textFill>
        </w:rPr>
        <w:t>响应人需提供普通香味香型库（包含但不限于古龙、蓝风铃、白茶、蓝色海洋等香味），供使用方选择。</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响应人具有良好信誉，在以往经营中无任何产品质量、消防安全等方面的不良记录。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1.2.4.6</w:t>
      </w:r>
      <w:r>
        <w:rPr>
          <w:rFonts w:hint="eastAsia" w:ascii="方正仿宋_GBK" w:hAnsi="方正仿宋_GBK" w:eastAsia="方正仿宋_GBK" w:cs="方正仿宋_GBK"/>
          <w:color w:val="000000" w:themeColor="text1"/>
          <w:sz w:val="28"/>
          <w:szCs w:val="28"/>
          <w14:textFill>
            <w14:solidFill>
              <w14:schemeClr w14:val="tx1"/>
            </w14:solidFill>
          </w14:textFill>
        </w:rPr>
        <w:t>响应人需提供进口精油原产地证明，精油进出口报关证明，提供产品质量报告包括不限于SCCP过敏原检测报告，精油SGS检测报告，精油IFRA证书等。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w:t>
      </w:r>
      <w:r>
        <w:rPr>
          <w:rFonts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w:t>
      </w:r>
      <w:r>
        <w:rPr>
          <w:rFonts w:ascii="方正仿宋_GBK" w:hAnsi="方正仿宋_GBK" w:eastAsia="方正仿宋_GBK" w:cs="方正仿宋_GBK"/>
          <w:color w:val="000000" w:themeColor="text1"/>
          <w:sz w:val="28"/>
          <w:szCs w:val="28"/>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tbl>
      <w:tblPr>
        <w:tblStyle w:val="12"/>
        <w:tblW w:w="7495" w:type="dxa"/>
        <w:jc w:val="center"/>
        <w:tblInd w:w="0" w:type="dxa"/>
        <w:tblLayout w:type="fixed"/>
        <w:tblCellMar>
          <w:top w:w="0" w:type="dxa"/>
          <w:left w:w="108" w:type="dxa"/>
          <w:bottom w:w="0" w:type="dxa"/>
          <w:right w:w="108" w:type="dxa"/>
        </w:tblCellMar>
      </w:tblPr>
      <w:tblGrid>
        <w:gridCol w:w="2612"/>
        <w:gridCol w:w="1701"/>
        <w:gridCol w:w="1602"/>
        <w:gridCol w:w="1580"/>
      </w:tblGrid>
      <w:tr>
        <w:tblPrEx>
          <w:tblLayout w:type="fixed"/>
          <w:tblCellMar>
            <w:top w:w="0" w:type="dxa"/>
            <w:left w:w="108" w:type="dxa"/>
            <w:bottom w:w="0" w:type="dxa"/>
            <w:right w:w="108" w:type="dxa"/>
          </w:tblCellMar>
        </w:tblPrEx>
        <w:trPr>
          <w:trHeight w:val="720" w:hRule="atLeast"/>
          <w:jc w:val="center"/>
        </w:trPr>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设备型号</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单价（不含税）/元</w:t>
            </w:r>
          </w:p>
        </w:tc>
      </w:tr>
      <w:tr>
        <w:tblPrEx>
          <w:tblLayout w:type="fixed"/>
          <w:tblCellMar>
            <w:top w:w="0" w:type="dxa"/>
            <w:left w:w="108" w:type="dxa"/>
            <w:bottom w:w="0" w:type="dxa"/>
            <w:right w:w="108" w:type="dxa"/>
          </w:tblCellMar>
        </w:tblPrEx>
        <w:trPr>
          <w:trHeight w:val="586" w:hRule="atLeast"/>
          <w:jc w:val="center"/>
        </w:trPr>
        <w:tc>
          <w:tcPr>
            <w:tcW w:w="26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香薰精油（普通香味）</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00ML/</w:t>
            </w:r>
            <w:r>
              <w:rPr>
                <w:rFonts w:hint="eastAsia" w:ascii="宋体" w:hAnsi="宋体" w:cs="宋体"/>
                <w:color w:val="000000"/>
                <w:kern w:val="0"/>
                <w:sz w:val="24"/>
              </w:rPr>
              <w:t>瓶</w:t>
            </w: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r>
              <w:rPr>
                <w:rFonts w:ascii="宋体" w:hAnsi="宋体" w:cs="宋体"/>
                <w:color w:val="000000"/>
                <w:kern w:val="0"/>
                <w:sz w:val="24"/>
              </w:rPr>
              <w:t>6</w:t>
            </w:r>
            <w:r>
              <w:rPr>
                <w:rFonts w:hint="eastAsia" w:ascii="宋体" w:hAnsi="宋体" w:cs="宋体"/>
                <w:color w:val="000000"/>
                <w:kern w:val="0"/>
                <w:sz w:val="24"/>
              </w:rPr>
              <w:t>瓶</w:t>
            </w:r>
          </w:p>
        </w:tc>
        <w:tc>
          <w:tcPr>
            <w:tcW w:w="1580" w:type="dxa"/>
            <w:tcBorders>
              <w:top w:val="nil"/>
              <w:left w:val="nil"/>
              <w:bottom w:val="single" w:color="auto" w:sz="4" w:space="0"/>
              <w:right w:val="single" w:color="auto" w:sz="4" w:space="0"/>
            </w:tcBorders>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735" w:hRule="atLeast"/>
          <w:jc w:val="center"/>
        </w:trPr>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香薰精油（咖啡味）</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50ML/</w:t>
            </w:r>
            <w:r>
              <w:rPr>
                <w:rFonts w:hint="eastAsia" w:ascii="宋体" w:hAnsi="宋体" w:cs="宋体"/>
                <w:color w:val="000000"/>
                <w:kern w:val="0"/>
                <w:sz w:val="24"/>
              </w:rPr>
              <w:t>瓶</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r>
              <w:rPr>
                <w:rFonts w:hint="eastAsia" w:ascii="宋体" w:hAnsi="宋体" w:cs="宋体"/>
                <w:color w:val="000000"/>
                <w:kern w:val="0"/>
                <w:sz w:val="24"/>
              </w:rPr>
              <w:t>瓶</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55" w:hRule="atLeast"/>
          <w:jc w:val="center"/>
        </w:trPr>
        <w:tc>
          <w:tcPr>
            <w:tcW w:w="2612"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000ML</w:t>
            </w:r>
          </w:p>
        </w:tc>
        <w:tc>
          <w:tcPr>
            <w:tcW w:w="1602"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2台</w:t>
            </w:r>
          </w:p>
        </w:tc>
        <w:tc>
          <w:tcPr>
            <w:tcW w:w="1580"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r>
        <w:tblPrEx>
          <w:tblLayout w:type="fixed"/>
          <w:tblCellMar>
            <w:top w:w="0" w:type="dxa"/>
            <w:left w:w="108" w:type="dxa"/>
            <w:bottom w:w="0" w:type="dxa"/>
            <w:right w:w="108" w:type="dxa"/>
          </w:tblCellMar>
        </w:tblPrEx>
        <w:trPr>
          <w:trHeight w:val="708" w:hRule="atLeast"/>
          <w:jc w:val="center"/>
        </w:trPr>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500ML</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台</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备注：提供的精油品牌为IAA、AIR AROMA或SCENTA等同等价格的品牌。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2.2响应人须提供合格有效的产品质检报告。（提供产品质检报告副本复印件加盖鲜章）。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2.3响应人须承诺能够提供得到甲方认可的日常所需及替换精油种类。（承诺书格式自拟）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年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日由重庆空港贵宾服务有限公司在重庆机场官网发布。</w:t>
      </w:r>
    </w:p>
    <w:p>
      <w:pPr>
        <w:snapToGrid w:val="0"/>
        <w:spacing w:before="120" w:beforeLines="50" w:after="120" w:afterLines="50"/>
        <w:ind w:firstLine="560"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1500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5000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 甲方在收到履约保证金后，20个工作日内与乙方签订相关合同。</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 乙方出现逾期供货情况，则按以下条款处理：</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6.2.1 逾期后，若成交供应商无法继续履行合同，我方不再返还履约保证金。</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6.2.2 逾期后，若成交供应商继续履行合同，并在逾期30天（含第30天）内完成供货，甲方扣除50%履约保证金。甲方一次性收到货物和对应的增值税专用发票，经甲方人员验收合格后20个工作日内，甲方支付合同总价款（含税）并退还扣除后的履约保证金。</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6.2.3 逾期60天及其以上，视成交供应商无法履行合同，我方直接解除合同，并不再返还履约保证金。</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6.3 合同有效期内，若成交供应商因自身原因无法履行合同，我方不再返还履约保证金。</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7.2采用通知送货形式，供货方需在24小时内将香薰精油送达指定位置。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十二、响应人违约等行为约束要求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在比选响应有效期内，比选响应人撤销比选响应文件的，其比选响应保证金不予退还。</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 在比选响应有效期内，比选响应人无故放弃成交候选人资格的，其比选响应保证金不予退还，并将被列入采购人黑名单。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 成交人在收到成交通知书后，无正当理由不与采购人订立合同，在签订合同时向采购人提出附加条件，或者不按照采购文件要求提交履约保证金的，其比选响应保证金不予退还，并将被列入采购人黑名单。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ascii="方正仿宋_GBK" w:hAnsi="方正仿宋_GBK" w:eastAsia="方正仿宋_GBK" w:cs="方正仿宋_GBK"/>
          <w:color w:val="000000" w:themeColor="text1"/>
          <w:sz w:val="28"/>
          <w:szCs w:val="28"/>
          <w14:textFill>
            <w14:solidFill>
              <w14:schemeClr w14:val="tx1"/>
            </w14:solidFill>
          </w14:textFill>
        </w:rPr>
        <w:t>5031</w:t>
      </w:r>
    </w:p>
    <w:p>
      <w:pPr>
        <w:widowControl/>
        <w:spacing w:before="120" w:beforeLines="50" w:after="120" w:afterLines="50"/>
        <w:ind w:firstLine="560" w:firstLineChars="200"/>
        <w:jc w:val="left"/>
        <w:rPr>
          <w:b/>
          <w:bCs/>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如下表  </w:t>
      </w:r>
      <w:r>
        <w:rPr>
          <w:rFonts w:hint="eastAsia" w:ascii="仿宋_GB2312" w:hAnsi="仿宋_GB2312" w:eastAsia="仿宋_GB2312" w:cs="仿宋_GB2312"/>
          <w:color w:val="000000" w:themeColor="text1"/>
          <w:sz w:val="28"/>
          <w:szCs w:val="28"/>
          <w14:textFill>
            <w14:solidFill>
              <w14:schemeClr w14:val="tx1"/>
            </w14:solidFill>
          </w14:textFill>
        </w:rPr>
        <w:t xml:space="preserve">      （可附清单说明）；</w:t>
      </w:r>
    </w:p>
    <w:tbl>
      <w:tblPr>
        <w:tblStyle w:val="12"/>
        <w:tblW w:w="7168" w:type="dxa"/>
        <w:jc w:val="center"/>
        <w:tblInd w:w="0" w:type="dxa"/>
        <w:tblLayout w:type="fixed"/>
        <w:tblCellMar>
          <w:top w:w="0" w:type="dxa"/>
          <w:left w:w="108" w:type="dxa"/>
          <w:bottom w:w="0" w:type="dxa"/>
          <w:right w:w="108" w:type="dxa"/>
        </w:tblCellMar>
      </w:tblPr>
      <w:tblGrid>
        <w:gridCol w:w="2285"/>
        <w:gridCol w:w="1701"/>
        <w:gridCol w:w="1602"/>
        <w:gridCol w:w="1580"/>
      </w:tblGrid>
      <w:tr>
        <w:tblPrEx>
          <w:tblLayout w:type="fixed"/>
          <w:tblCellMar>
            <w:top w:w="0" w:type="dxa"/>
            <w:left w:w="108" w:type="dxa"/>
            <w:bottom w:w="0" w:type="dxa"/>
            <w:right w:w="108" w:type="dxa"/>
          </w:tblCellMar>
        </w:tblPrEx>
        <w:trPr>
          <w:trHeight w:val="720" w:hRule="atLeast"/>
          <w:jc w:val="center"/>
        </w:trPr>
        <w:tc>
          <w:tcPr>
            <w:tcW w:w="22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设备型号</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单价（不含税）/元</w:t>
            </w:r>
          </w:p>
        </w:tc>
      </w:tr>
      <w:tr>
        <w:tblPrEx>
          <w:tblLayout w:type="fixed"/>
          <w:tblCellMar>
            <w:top w:w="0" w:type="dxa"/>
            <w:left w:w="108" w:type="dxa"/>
            <w:bottom w:w="0" w:type="dxa"/>
            <w:right w:w="108" w:type="dxa"/>
          </w:tblCellMar>
        </w:tblPrEx>
        <w:trPr>
          <w:trHeight w:val="586" w:hRule="atLeast"/>
          <w:jc w:val="center"/>
        </w:trPr>
        <w:tc>
          <w:tcPr>
            <w:tcW w:w="22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香薰精油（普通）</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00ML/</w:t>
            </w:r>
            <w:r>
              <w:rPr>
                <w:rFonts w:hint="eastAsia" w:ascii="宋体" w:hAnsi="宋体" w:cs="宋体"/>
                <w:color w:val="000000"/>
                <w:kern w:val="0"/>
                <w:sz w:val="24"/>
              </w:rPr>
              <w:t>瓶</w:t>
            </w: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r>
              <w:rPr>
                <w:rFonts w:ascii="宋体" w:hAnsi="宋体" w:cs="宋体"/>
                <w:color w:val="000000"/>
                <w:kern w:val="0"/>
                <w:sz w:val="24"/>
              </w:rPr>
              <w:t>6</w:t>
            </w:r>
            <w:r>
              <w:rPr>
                <w:rFonts w:hint="eastAsia" w:ascii="宋体" w:hAnsi="宋体" w:cs="宋体"/>
                <w:color w:val="000000"/>
                <w:kern w:val="0"/>
                <w:sz w:val="24"/>
              </w:rPr>
              <w:t>瓶</w:t>
            </w:r>
          </w:p>
        </w:tc>
        <w:tc>
          <w:tcPr>
            <w:tcW w:w="1580" w:type="dxa"/>
            <w:tcBorders>
              <w:top w:val="nil"/>
              <w:left w:val="nil"/>
              <w:bottom w:val="single" w:color="auto" w:sz="4" w:space="0"/>
              <w:right w:val="single" w:color="auto" w:sz="4" w:space="0"/>
            </w:tcBorders>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735" w:hRule="atLeast"/>
          <w:jc w:val="center"/>
        </w:trPr>
        <w:tc>
          <w:tcPr>
            <w:tcW w:w="22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香薰精油（咖啡味）</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50ML/</w:t>
            </w:r>
            <w:r>
              <w:rPr>
                <w:rFonts w:hint="eastAsia" w:ascii="宋体" w:hAnsi="宋体" w:cs="宋体"/>
                <w:color w:val="000000"/>
                <w:kern w:val="0"/>
                <w:sz w:val="24"/>
              </w:rPr>
              <w:t>瓶</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r>
              <w:rPr>
                <w:rFonts w:hint="eastAsia" w:ascii="宋体" w:hAnsi="宋体" w:cs="宋体"/>
                <w:color w:val="000000"/>
                <w:kern w:val="0"/>
                <w:sz w:val="24"/>
              </w:rPr>
              <w:t>瓶</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55" w:hRule="atLeast"/>
          <w:jc w:val="center"/>
        </w:trPr>
        <w:tc>
          <w:tcPr>
            <w:tcW w:w="2285"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000ML</w:t>
            </w:r>
          </w:p>
        </w:tc>
        <w:tc>
          <w:tcPr>
            <w:tcW w:w="1602"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2台</w:t>
            </w:r>
          </w:p>
        </w:tc>
        <w:tc>
          <w:tcPr>
            <w:tcW w:w="1580"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r>
        <w:tblPrEx>
          <w:tblLayout w:type="fixed"/>
          <w:tblCellMar>
            <w:top w:w="0" w:type="dxa"/>
            <w:left w:w="108" w:type="dxa"/>
            <w:bottom w:w="0" w:type="dxa"/>
            <w:right w:w="108" w:type="dxa"/>
          </w:tblCellMar>
        </w:tblPrEx>
        <w:trPr>
          <w:trHeight w:val="708" w:hRule="atLeast"/>
          <w:jc w:val="center"/>
        </w:trPr>
        <w:tc>
          <w:tcPr>
            <w:tcW w:w="22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500ML</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台</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贵宾部、嘉宾部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因乙方提供产品不符合产品质量标准，造成产品使用安全事件或侵权事件其产生的赔偿或补偿责任由乙方自行承担；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依法承担相应的产品质量责任，主动接受政府职能部门和采购人监督和检查，认真强化和落实产品质量第一责任人的规定，加强产品质量管理。若因我方配送的商品造成中毒、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（5）我方保证建立原料采购索证和验收制度；保证从原料采购、加工销售，实施有效的全过程质量管理；保证所采购的原料索取发票，有效证件与记录相一致。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（6）我方保证不采购使用标签标识不全，以及包装破损或超过保质期的产品。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（8）我方若配送不合格商品，或配送的产品造成了安全事故，采购人有权单方面中止与我方达成的购货协议，且不承担由此给我方带来的损失。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比选响应</w:t>
      </w:r>
      <w:r>
        <w:rPr>
          <w:rFonts w:hint="eastAsia" w:ascii="宋体" w:hAnsi="宋体" w:eastAsia="宋体" w:cs="宋体"/>
          <w:color w:val="000000" w:themeColor="text1"/>
          <w:spacing w:val="-1"/>
          <w:kern w:val="0"/>
          <w:sz w:val="28"/>
          <w:szCs w:val="28"/>
          <w14:textFill>
            <w14:solidFill>
              <w14:schemeClr w14:val="tx1"/>
            </w14:solidFill>
          </w14:textFill>
        </w:rPr>
        <w:t>人</w:t>
      </w:r>
      <w:r>
        <w:rPr>
          <w:rFonts w:hint="eastAsia" w:ascii="宋体" w:hAnsi="宋体" w:eastAsia="宋体" w:cs="宋体"/>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w:t>
      </w:r>
      <w:bookmarkStart w:id="1" w:name="_GoBack"/>
      <w:bookmarkEnd w:id="1"/>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0"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香薰精油报价表</w:t>
      </w:r>
    </w:p>
    <w:tbl>
      <w:tblPr>
        <w:tblStyle w:val="12"/>
        <w:tblW w:w="8888" w:type="dxa"/>
        <w:jc w:val="center"/>
        <w:tblInd w:w="0" w:type="dxa"/>
        <w:tblLayout w:type="fixed"/>
        <w:tblCellMar>
          <w:top w:w="0" w:type="dxa"/>
          <w:left w:w="108" w:type="dxa"/>
          <w:bottom w:w="0" w:type="dxa"/>
          <w:right w:w="108" w:type="dxa"/>
        </w:tblCellMar>
      </w:tblPr>
      <w:tblGrid>
        <w:gridCol w:w="2467"/>
        <w:gridCol w:w="1701"/>
        <w:gridCol w:w="1602"/>
        <w:gridCol w:w="1580"/>
        <w:gridCol w:w="1538"/>
      </w:tblGrid>
      <w:tr>
        <w:tblPrEx>
          <w:tblLayout w:type="fixed"/>
          <w:tblCellMar>
            <w:top w:w="0" w:type="dxa"/>
            <w:left w:w="108" w:type="dxa"/>
            <w:bottom w:w="0" w:type="dxa"/>
            <w:right w:w="108" w:type="dxa"/>
          </w:tblCellMar>
        </w:tblPrEx>
        <w:trPr>
          <w:trHeight w:val="720" w:hRule="atLeast"/>
          <w:jc w:val="center"/>
        </w:trPr>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设备型号</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单价（不含税）/元</w:t>
            </w:r>
          </w:p>
        </w:tc>
        <w:tc>
          <w:tcPr>
            <w:tcW w:w="1538"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总价（不含税）/元</w:t>
            </w:r>
          </w:p>
        </w:tc>
      </w:tr>
      <w:tr>
        <w:tblPrEx>
          <w:tblLayout w:type="fixed"/>
          <w:tblCellMar>
            <w:top w:w="0" w:type="dxa"/>
            <w:left w:w="108" w:type="dxa"/>
            <w:bottom w:w="0" w:type="dxa"/>
            <w:right w:w="108" w:type="dxa"/>
          </w:tblCellMar>
        </w:tblPrEx>
        <w:trPr>
          <w:trHeight w:val="586" w:hRule="atLeast"/>
          <w:jc w:val="center"/>
        </w:trPr>
        <w:tc>
          <w:tcPr>
            <w:tcW w:w="24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香薰精油（普通香味）</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00ML/</w:t>
            </w:r>
            <w:r>
              <w:rPr>
                <w:rFonts w:hint="eastAsia" w:ascii="宋体" w:hAnsi="宋体" w:cs="宋体"/>
                <w:color w:val="000000"/>
                <w:kern w:val="0"/>
                <w:sz w:val="24"/>
              </w:rPr>
              <w:t>瓶</w:t>
            </w: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r>
              <w:rPr>
                <w:rFonts w:ascii="宋体" w:hAnsi="宋体" w:cs="宋体"/>
                <w:color w:val="000000"/>
                <w:kern w:val="0"/>
                <w:sz w:val="24"/>
              </w:rPr>
              <w:t>6</w:t>
            </w:r>
            <w:r>
              <w:rPr>
                <w:rFonts w:hint="eastAsia" w:ascii="宋体" w:hAnsi="宋体" w:cs="宋体"/>
                <w:color w:val="000000"/>
                <w:kern w:val="0"/>
                <w:sz w:val="24"/>
              </w:rPr>
              <w:t>瓶</w:t>
            </w:r>
          </w:p>
        </w:tc>
        <w:tc>
          <w:tcPr>
            <w:tcW w:w="1580" w:type="dxa"/>
            <w:tcBorders>
              <w:top w:val="nil"/>
              <w:left w:val="nil"/>
              <w:bottom w:val="single" w:color="auto" w:sz="4" w:space="0"/>
              <w:right w:val="single" w:color="auto" w:sz="4" w:space="0"/>
            </w:tcBorders>
          </w:tcPr>
          <w:p>
            <w:pPr>
              <w:widowControl/>
              <w:jc w:val="center"/>
              <w:rPr>
                <w:rFonts w:ascii="宋体" w:hAnsi="宋体" w:cs="宋体"/>
                <w:color w:val="000000"/>
                <w:kern w:val="0"/>
                <w:sz w:val="24"/>
              </w:rPr>
            </w:pPr>
          </w:p>
        </w:tc>
        <w:tc>
          <w:tcPr>
            <w:tcW w:w="1538" w:type="dxa"/>
            <w:tcBorders>
              <w:top w:val="nil"/>
              <w:left w:val="nil"/>
              <w:bottom w:val="single" w:color="auto" w:sz="4" w:space="0"/>
              <w:right w:val="single" w:color="auto" w:sz="4" w:space="0"/>
            </w:tcBorders>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735" w:hRule="atLeast"/>
          <w:jc w:val="center"/>
        </w:trPr>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香薰精油（咖啡味）</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50ML/</w:t>
            </w:r>
            <w:r>
              <w:rPr>
                <w:rFonts w:hint="eastAsia" w:ascii="宋体" w:hAnsi="宋体" w:cs="宋体"/>
                <w:color w:val="000000"/>
                <w:kern w:val="0"/>
                <w:sz w:val="24"/>
              </w:rPr>
              <w:t>瓶</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r>
              <w:rPr>
                <w:rFonts w:hint="eastAsia" w:ascii="宋体" w:hAnsi="宋体" w:cs="宋体"/>
                <w:color w:val="000000"/>
                <w:kern w:val="0"/>
                <w:sz w:val="24"/>
              </w:rPr>
              <w:t>瓶</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4"/>
              </w:rPr>
            </w:pPr>
          </w:p>
        </w:tc>
        <w:tc>
          <w:tcPr>
            <w:tcW w:w="1538"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55" w:hRule="atLeast"/>
          <w:jc w:val="center"/>
        </w:trPr>
        <w:tc>
          <w:tcPr>
            <w:tcW w:w="2467"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000ML</w:t>
            </w:r>
          </w:p>
        </w:tc>
        <w:tc>
          <w:tcPr>
            <w:tcW w:w="1602"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2台</w:t>
            </w:r>
          </w:p>
        </w:tc>
        <w:tc>
          <w:tcPr>
            <w:tcW w:w="1580" w:type="dxa"/>
            <w:tcBorders>
              <w:top w:val="single" w:color="auto" w:sz="4" w:space="0"/>
              <w:left w:val="nil"/>
              <w:bottom w:val="nil"/>
              <w:right w:val="single" w:color="auto" w:sz="4" w:space="0"/>
            </w:tcBorders>
          </w:tcPr>
          <w:p>
            <w:pPr>
              <w:widowControl/>
              <w:jc w:val="center"/>
              <w:rPr>
                <w:rFonts w:ascii="宋体" w:hAnsi="宋体" w:cs="宋体"/>
                <w:color w:val="000000"/>
                <w:kern w:val="0"/>
                <w:sz w:val="24"/>
              </w:rPr>
            </w:pPr>
          </w:p>
        </w:tc>
        <w:tc>
          <w:tcPr>
            <w:tcW w:w="1538"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r>
        <w:tblPrEx>
          <w:tblLayout w:type="fixed"/>
          <w:tblCellMar>
            <w:top w:w="0" w:type="dxa"/>
            <w:left w:w="108" w:type="dxa"/>
            <w:bottom w:w="0" w:type="dxa"/>
            <w:right w:w="108" w:type="dxa"/>
          </w:tblCellMar>
        </w:tblPrEx>
        <w:trPr>
          <w:trHeight w:val="708" w:hRule="atLeast"/>
          <w:jc w:val="center"/>
        </w:trPr>
        <w:tc>
          <w:tcPr>
            <w:tcW w:w="2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香氛系统</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500ML</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台</w:t>
            </w:r>
          </w:p>
        </w:tc>
        <w:tc>
          <w:tcPr>
            <w:tcW w:w="1580"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4"/>
              </w:rPr>
            </w:pPr>
          </w:p>
        </w:tc>
        <w:tc>
          <w:tcPr>
            <w:tcW w:w="15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免费赠送</w:t>
            </w: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1761E"/>
    <w:rsid w:val="00094B80"/>
    <w:rsid w:val="00110BC5"/>
    <w:rsid w:val="001A0F9D"/>
    <w:rsid w:val="001B30DB"/>
    <w:rsid w:val="001D00CD"/>
    <w:rsid w:val="001D3ABB"/>
    <w:rsid w:val="001F70DA"/>
    <w:rsid w:val="002317A3"/>
    <w:rsid w:val="00347A32"/>
    <w:rsid w:val="00381729"/>
    <w:rsid w:val="003846F6"/>
    <w:rsid w:val="003E2D11"/>
    <w:rsid w:val="00433235"/>
    <w:rsid w:val="00455DB0"/>
    <w:rsid w:val="004A3D35"/>
    <w:rsid w:val="00527D3E"/>
    <w:rsid w:val="005619BF"/>
    <w:rsid w:val="00580F6B"/>
    <w:rsid w:val="0059344F"/>
    <w:rsid w:val="005D74AB"/>
    <w:rsid w:val="005F695E"/>
    <w:rsid w:val="00630F6A"/>
    <w:rsid w:val="006D16CA"/>
    <w:rsid w:val="006D385A"/>
    <w:rsid w:val="006E605F"/>
    <w:rsid w:val="00792E85"/>
    <w:rsid w:val="00797197"/>
    <w:rsid w:val="007A122E"/>
    <w:rsid w:val="007C6001"/>
    <w:rsid w:val="007F6FDF"/>
    <w:rsid w:val="008063AD"/>
    <w:rsid w:val="0082456E"/>
    <w:rsid w:val="00871074"/>
    <w:rsid w:val="008B171F"/>
    <w:rsid w:val="009615FB"/>
    <w:rsid w:val="00994965"/>
    <w:rsid w:val="009A63C8"/>
    <w:rsid w:val="009B00DA"/>
    <w:rsid w:val="009C084A"/>
    <w:rsid w:val="00A13ED1"/>
    <w:rsid w:val="00A75AD4"/>
    <w:rsid w:val="00A82597"/>
    <w:rsid w:val="00B54735"/>
    <w:rsid w:val="00B701C0"/>
    <w:rsid w:val="00B75C39"/>
    <w:rsid w:val="00B94873"/>
    <w:rsid w:val="00BA14B0"/>
    <w:rsid w:val="00BD5C20"/>
    <w:rsid w:val="00C30923"/>
    <w:rsid w:val="00C3221A"/>
    <w:rsid w:val="00CF6D7B"/>
    <w:rsid w:val="00D63796"/>
    <w:rsid w:val="00D770CB"/>
    <w:rsid w:val="00D90718"/>
    <w:rsid w:val="00DD2DDB"/>
    <w:rsid w:val="00DF14FE"/>
    <w:rsid w:val="00E312D3"/>
    <w:rsid w:val="00F3178F"/>
    <w:rsid w:val="00F7121A"/>
    <w:rsid w:val="00FD4A0B"/>
    <w:rsid w:val="00FD7924"/>
    <w:rsid w:val="07B63546"/>
    <w:rsid w:val="0CB16337"/>
    <w:rsid w:val="0D093610"/>
    <w:rsid w:val="113E4D46"/>
    <w:rsid w:val="122C3CE3"/>
    <w:rsid w:val="1514228F"/>
    <w:rsid w:val="17EC7CEA"/>
    <w:rsid w:val="1A647CD4"/>
    <w:rsid w:val="1C196F4A"/>
    <w:rsid w:val="20BC606A"/>
    <w:rsid w:val="2A7679C8"/>
    <w:rsid w:val="2ABD7C9D"/>
    <w:rsid w:val="2DB3043F"/>
    <w:rsid w:val="2DFD1F35"/>
    <w:rsid w:val="2E800F2C"/>
    <w:rsid w:val="38CE7C1E"/>
    <w:rsid w:val="38E97072"/>
    <w:rsid w:val="3A822364"/>
    <w:rsid w:val="3AD670EE"/>
    <w:rsid w:val="3CF753F7"/>
    <w:rsid w:val="41A501D7"/>
    <w:rsid w:val="424B4AF8"/>
    <w:rsid w:val="43D54B50"/>
    <w:rsid w:val="44085948"/>
    <w:rsid w:val="50B35F32"/>
    <w:rsid w:val="52DC071C"/>
    <w:rsid w:val="5891117A"/>
    <w:rsid w:val="5AD32E1E"/>
    <w:rsid w:val="5C0E298F"/>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15"/>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character" w:customStyle="1" w:styleId="15">
    <w:name w:val="标题 字符"/>
    <w:basedOn w:val="13"/>
    <w:link w:val="2"/>
    <w:uiPriority w:val="0"/>
    <w:rPr>
      <w:rFonts w:ascii="Arial" w:hAnsi="Arial" w:eastAsia="黑体"/>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1838</Words>
  <Characters>10478</Characters>
  <Lines>87</Lines>
  <Paragraphs>24</Paragraphs>
  <TotalTime>383</TotalTime>
  <ScaleCrop>false</ScaleCrop>
  <LinksUpToDate>false</LinksUpToDate>
  <CharactersWithSpaces>12292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2021-07-08T08:03:00Z</cp:lastPrinted>
  <dcterms:modified xsi:type="dcterms:W3CDTF">2022-06-07T00:57:02Z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