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eastAsia="仿宋_GB2312"/>
          <w:b/>
          <w:color w:val="000000" w:themeColor="text1"/>
          <w:sz w:val="28"/>
          <w:szCs w:val="28"/>
          <w14:textFill>
            <w14:solidFill>
              <w14:schemeClr w14:val="tx1"/>
            </w14:solidFill>
          </w14:textFill>
        </w:rPr>
      </w:pPr>
    </w:p>
    <w:p>
      <w:pPr>
        <w:spacing w:line="560" w:lineRule="exact"/>
        <w:jc w:val="center"/>
        <w:rPr>
          <w:rFonts w:eastAsia="仿宋_GB2312"/>
          <w:b/>
          <w:color w:val="000000" w:themeColor="text1"/>
          <w:sz w:val="28"/>
          <w:szCs w:val="28"/>
          <w14:textFill>
            <w14:solidFill>
              <w14:schemeClr w14:val="tx1"/>
            </w14:solidFill>
          </w14:textFill>
        </w:rPr>
      </w:pPr>
    </w:p>
    <w:p>
      <w:pPr>
        <w:spacing w:line="560" w:lineRule="exact"/>
        <w:jc w:val="center"/>
        <w:rPr>
          <w:rFonts w:eastAsia="方正小标宋_GBK"/>
          <w:color w:val="000000" w:themeColor="text1"/>
          <w:sz w:val="44"/>
          <w:szCs w:val="44"/>
          <w14:textFill>
            <w14:solidFill>
              <w14:schemeClr w14:val="tx1"/>
            </w14:solidFill>
          </w14:textFill>
        </w:rPr>
      </w:pPr>
    </w:p>
    <w:p>
      <w:pPr>
        <w:spacing w:line="560" w:lineRule="exact"/>
        <w:jc w:val="center"/>
        <w:rPr>
          <w:rFonts w:eastAsia="方正小标宋_GBK"/>
          <w:color w:val="000000" w:themeColor="text1"/>
          <w:sz w:val="44"/>
          <w:szCs w:val="44"/>
          <w14:textFill>
            <w14:solidFill>
              <w14:schemeClr w14:val="tx1"/>
            </w14:solidFill>
          </w14:textFill>
        </w:rPr>
      </w:pPr>
      <w:r>
        <w:rPr>
          <w:rFonts w:hint="eastAsia" w:eastAsia="方正小标宋_GBK"/>
          <w:color w:val="000000" w:themeColor="text1"/>
          <w:sz w:val="44"/>
          <w:szCs w:val="44"/>
          <w14:textFill>
            <w14:solidFill>
              <w14:schemeClr w14:val="tx1"/>
            </w14:solidFill>
          </w14:textFill>
        </w:rPr>
        <w:t>重庆空港航空地面服务有限公司</w:t>
      </w:r>
    </w:p>
    <w:p>
      <w:pPr>
        <w:keepNext w:val="0"/>
        <w:keepLines w:val="0"/>
        <w:pageBreakBefore w:val="0"/>
        <w:widowControl/>
        <w:kinsoku/>
        <w:wordWrap/>
        <w:overflowPunct/>
        <w:topLinePunct w:val="0"/>
        <w:autoSpaceDE/>
        <w:autoSpaceDN/>
        <w:bidi w:val="0"/>
        <w:adjustRightInd w:val="0"/>
        <w:snapToGrid w:val="0"/>
        <w:spacing w:after="0" w:line="560" w:lineRule="exact"/>
        <w:jc w:val="center"/>
        <w:textAlignment w:val="auto"/>
        <w:rPr>
          <w:rFonts w:eastAsia="方正小标宋_GBK"/>
          <w:color w:val="000000" w:themeColor="text1"/>
          <w:sz w:val="44"/>
          <w:szCs w:val="44"/>
          <w14:textFill>
            <w14:solidFill>
              <w14:schemeClr w14:val="tx1"/>
            </w14:solidFill>
          </w14:textFill>
        </w:rPr>
      </w:pPr>
      <w:r>
        <w:rPr>
          <w:rFonts w:hint="default" w:ascii="Times New Roman" w:hAnsi="Times New Roman" w:eastAsia="方正小标宋_GBK" w:cs="Times New Roman"/>
          <w:b w:val="0"/>
          <w:bCs/>
          <w:color w:val="auto"/>
          <w:sz w:val="44"/>
          <w:szCs w:val="44"/>
          <w:shd w:val="clear" w:color="auto" w:fill="auto"/>
          <w:lang w:val="en-US" w:eastAsia="zh-CN"/>
        </w:rPr>
        <w:t>国际货站业务增补驾驶员</w:t>
      </w:r>
      <w:r>
        <w:rPr>
          <w:rFonts w:hint="eastAsia" w:eastAsia="方正小标宋_GBK"/>
          <w:color w:val="000000" w:themeColor="text1"/>
          <w:sz w:val="44"/>
          <w:szCs w:val="44"/>
          <w14:textFill>
            <w14:solidFill>
              <w14:schemeClr w14:val="tx1"/>
            </w14:solidFill>
          </w14:textFill>
        </w:rPr>
        <w:t>外包</w:t>
      </w:r>
      <w:r>
        <w:rPr>
          <w:rFonts w:eastAsia="方正小标宋_GBK"/>
          <w:color w:val="000000" w:themeColor="text1"/>
          <w:sz w:val="44"/>
          <w:szCs w:val="44"/>
          <w14:textFill>
            <w14:solidFill>
              <w14:schemeClr w14:val="tx1"/>
            </w14:solidFill>
          </w14:textFill>
        </w:rPr>
        <w:t>项目</w:t>
      </w:r>
    </w:p>
    <w:p>
      <w:pPr>
        <w:spacing w:line="560" w:lineRule="exact"/>
        <w:ind w:right="-313" w:rightChars="-149"/>
        <w:jc w:val="center"/>
        <w:rPr>
          <w:rFonts w:eastAsia="方正小标宋_GBK"/>
          <w:color w:val="000000" w:themeColor="text1"/>
          <w:sz w:val="44"/>
          <w:szCs w:val="44"/>
          <w14:textFill>
            <w14:solidFill>
              <w14:schemeClr w14:val="tx1"/>
            </w14:solidFill>
          </w14:textFill>
        </w:rPr>
      </w:pPr>
      <w:r>
        <w:rPr>
          <w:rFonts w:eastAsia="方正小标宋_GBK"/>
          <w:color w:val="000000" w:themeColor="text1"/>
          <w:sz w:val="44"/>
          <w:szCs w:val="44"/>
          <w14:textFill>
            <w14:solidFill>
              <w14:schemeClr w14:val="tx1"/>
            </w14:solidFill>
          </w14:textFill>
        </w:rPr>
        <w:t>比选</w:t>
      </w:r>
      <w:r>
        <w:rPr>
          <w:rFonts w:hint="eastAsia" w:eastAsia="方正小标宋_GBK"/>
          <w:color w:val="000000" w:themeColor="text1"/>
          <w:sz w:val="44"/>
          <w:szCs w:val="44"/>
          <w14:textFill>
            <w14:solidFill>
              <w14:schemeClr w14:val="tx1"/>
            </w14:solidFill>
          </w14:textFill>
        </w:rPr>
        <w:t>采购</w:t>
      </w:r>
      <w:r>
        <w:rPr>
          <w:rFonts w:eastAsia="方正小标宋_GBK"/>
          <w:color w:val="000000" w:themeColor="text1"/>
          <w:sz w:val="44"/>
          <w:szCs w:val="44"/>
          <w14:textFill>
            <w14:solidFill>
              <w14:schemeClr w14:val="tx1"/>
            </w14:solidFill>
          </w14:textFill>
        </w:rPr>
        <w:t>文件</w:t>
      </w:r>
    </w:p>
    <w:p>
      <w:pPr>
        <w:spacing w:line="560" w:lineRule="exact"/>
        <w:jc w:val="center"/>
        <w:rPr>
          <w:rFonts w:eastAsia="方正小标宋_GBK"/>
          <w:color w:val="000000" w:themeColor="text1"/>
          <w:sz w:val="44"/>
          <w:szCs w:val="44"/>
          <w14:textFill>
            <w14:solidFill>
              <w14:schemeClr w14:val="tx1"/>
            </w14:solidFill>
          </w14:textFill>
        </w:rPr>
      </w:pPr>
    </w:p>
    <w:p>
      <w:pPr>
        <w:spacing w:line="560" w:lineRule="exact"/>
        <w:jc w:val="center"/>
        <w:rPr>
          <w:rFonts w:eastAsia="仿宋"/>
          <w:b/>
          <w:color w:val="000000" w:themeColor="text1"/>
          <w:sz w:val="28"/>
          <w:szCs w:val="28"/>
          <w14:textFill>
            <w14:solidFill>
              <w14:schemeClr w14:val="tx1"/>
            </w14:solidFill>
          </w14:textFill>
        </w:rPr>
      </w:pPr>
    </w:p>
    <w:p>
      <w:pPr>
        <w:spacing w:line="560" w:lineRule="exact"/>
        <w:jc w:val="center"/>
        <w:rPr>
          <w:rFonts w:eastAsia="方正仿宋_GBK"/>
          <w:color w:val="000000" w:themeColor="text1"/>
          <w:sz w:val="32"/>
          <w:szCs w:val="32"/>
          <w14:textFill>
            <w14:solidFill>
              <w14:schemeClr w14:val="tx1"/>
            </w14:solidFill>
          </w14:textFill>
        </w:rPr>
      </w:pPr>
    </w:p>
    <w:p>
      <w:pPr>
        <w:spacing w:line="560" w:lineRule="exact"/>
        <w:jc w:val="center"/>
        <w:rPr>
          <w:rFonts w:hint="eastAsia" w:eastAsia="方正仿宋_GBK"/>
          <w:b/>
          <w:color w:val="000000" w:themeColor="text1"/>
          <w:sz w:val="32"/>
          <w:szCs w:val="32"/>
          <w:lang w:val="en-US" w:eastAsia="zh-CN"/>
          <w14:textFill>
            <w14:solidFill>
              <w14:schemeClr w14:val="tx1"/>
            </w14:solidFill>
          </w14:textFill>
        </w:rPr>
      </w:pPr>
      <w:r>
        <w:rPr>
          <w:rFonts w:eastAsia="方正仿宋_GBK"/>
          <w:color w:val="000000" w:themeColor="text1"/>
          <w:sz w:val="32"/>
          <w:szCs w:val="32"/>
          <w14:textFill>
            <w14:solidFill>
              <w14:schemeClr w14:val="tx1"/>
            </w14:solidFill>
          </w14:textFill>
        </w:rPr>
        <w:t>编号：</w:t>
      </w:r>
      <w:r>
        <w:rPr>
          <w:rFonts w:hint="eastAsia" w:eastAsia="方正仿宋_GBK"/>
          <w:color w:val="000000" w:themeColor="text1"/>
          <w:sz w:val="32"/>
          <w:szCs w:val="32"/>
          <w14:textFill>
            <w14:solidFill>
              <w14:schemeClr w14:val="tx1"/>
            </w14:solidFill>
          </w14:textFill>
        </w:rPr>
        <w:t>WB2</w:t>
      </w:r>
      <w:r>
        <w:rPr>
          <w:rFonts w:eastAsia="方正仿宋_GBK"/>
          <w:color w:val="000000" w:themeColor="text1"/>
          <w:sz w:val="32"/>
          <w:szCs w:val="32"/>
          <w14:textFill>
            <w14:solidFill>
              <w14:schemeClr w14:val="tx1"/>
            </w14:solidFill>
          </w14:textFill>
        </w:rPr>
        <w:t>2</w:t>
      </w:r>
      <w:r>
        <w:rPr>
          <w:rFonts w:hint="eastAsia" w:eastAsia="方正仿宋_GBK"/>
          <w:color w:val="000000" w:themeColor="text1"/>
          <w:sz w:val="32"/>
          <w:szCs w:val="32"/>
          <w14:textFill>
            <w14:solidFill>
              <w14:schemeClr w14:val="tx1"/>
            </w14:solidFill>
          </w14:textFill>
        </w:rPr>
        <w:t>00</w:t>
      </w:r>
      <w:r>
        <w:rPr>
          <w:rFonts w:hint="eastAsia" w:eastAsia="方正仿宋_GBK"/>
          <w:color w:val="000000" w:themeColor="text1"/>
          <w:sz w:val="32"/>
          <w:szCs w:val="32"/>
          <w:lang w:val="en-US" w:eastAsia="zh-CN"/>
          <w14:textFill>
            <w14:solidFill>
              <w14:schemeClr w14:val="tx1"/>
            </w14:solidFill>
          </w14:textFill>
        </w:rPr>
        <w:t>2</w:t>
      </w:r>
    </w:p>
    <w:p>
      <w:pPr>
        <w:spacing w:line="560" w:lineRule="exact"/>
        <w:rPr>
          <w:rFonts w:eastAsia="仿宋"/>
          <w:b/>
          <w:color w:val="000000" w:themeColor="text1"/>
          <w:sz w:val="32"/>
          <w:szCs w:val="32"/>
          <w14:textFill>
            <w14:solidFill>
              <w14:schemeClr w14:val="tx1"/>
            </w14:solidFill>
          </w14:textFill>
        </w:rPr>
      </w:pPr>
    </w:p>
    <w:p>
      <w:pPr>
        <w:spacing w:line="560" w:lineRule="exact"/>
        <w:jc w:val="center"/>
        <w:rPr>
          <w:rFonts w:eastAsia="仿宋"/>
          <w:b/>
          <w:color w:val="000000" w:themeColor="text1"/>
          <w:sz w:val="32"/>
          <w:szCs w:val="32"/>
          <w14:textFill>
            <w14:solidFill>
              <w14:schemeClr w14:val="tx1"/>
            </w14:solidFill>
          </w14:textFill>
        </w:rPr>
      </w:pPr>
    </w:p>
    <w:p>
      <w:pPr>
        <w:spacing w:line="560" w:lineRule="exact"/>
        <w:jc w:val="center"/>
        <w:rPr>
          <w:rFonts w:eastAsia="仿宋"/>
          <w:b/>
          <w:color w:val="000000" w:themeColor="text1"/>
          <w:sz w:val="32"/>
          <w:szCs w:val="32"/>
          <w14:textFill>
            <w14:solidFill>
              <w14:schemeClr w14:val="tx1"/>
            </w14:solidFill>
          </w14:textFill>
        </w:rPr>
      </w:pPr>
    </w:p>
    <w:p>
      <w:pPr>
        <w:pStyle w:val="15"/>
        <w:spacing w:line="560" w:lineRule="exact"/>
        <w:outlineLvl w:val="9"/>
        <w:rPr>
          <w:rFonts w:ascii="Times New Roman" w:hAnsi="Times New Roman" w:eastAsia="仿宋"/>
          <w:color w:val="000000" w:themeColor="text1"/>
          <w14:textFill>
            <w14:solidFill>
              <w14:schemeClr w14:val="tx1"/>
            </w14:solidFill>
          </w14:textFill>
        </w:rPr>
      </w:pPr>
    </w:p>
    <w:p>
      <w:pPr>
        <w:spacing w:line="560" w:lineRule="exact"/>
        <w:rPr>
          <w:rFonts w:eastAsia="仿宋"/>
          <w:b/>
          <w:color w:val="000000" w:themeColor="text1"/>
          <w:sz w:val="32"/>
          <w:szCs w:val="32"/>
          <w14:textFill>
            <w14:solidFill>
              <w14:schemeClr w14:val="tx1"/>
            </w14:solidFill>
          </w14:textFill>
        </w:rPr>
      </w:pPr>
    </w:p>
    <w:p>
      <w:pPr>
        <w:pStyle w:val="15"/>
        <w:spacing w:line="560" w:lineRule="exact"/>
        <w:outlineLvl w:val="9"/>
        <w:rPr>
          <w:rFonts w:ascii="Times New Roman" w:hAnsi="Times New Roman" w:eastAsia="仿宋"/>
          <w:color w:val="000000" w:themeColor="text1"/>
          <w14:textFill>
            <w14:solidFill>
              <w14:schemeClr w14:val="tx1"/>
            </w14:solidFill>
          </w14:textFill>
        </w:rPr>
      </w:pPr>
    </w:p>
    <w:p>
      <w:pPr>
        <w:spacing w:line="560" w:lineRule="exact"/>
        <w:rPr>
          <w:rFonts w:eastAsia="仿宋"/>
          <w:b/>
          <w:color w:val="000000" w:themeColor="text1"/>
          <w:sz w:val="32"/>
          <w:szCs w:val="32"/>
          <w14:textFill>
            <w14:solidFill>
              <w14:schemeClr w14:val="tx1"/>
            </w14:solidFill>
          </w14:textFill>
        </w:rPr>
      </w:pPr>
    </w:p>
    <w:p>
      <w:pPr>
        <w:pStyle w:val="15"/>
        <w:spacing w:line="560" w:lineRule="exact"/>
        <w:outlineLvl w:val="9"/>
      </w:pPr>
    </w:p>
    <w:p>
      <w:pPr>
        <w:spacing w:line="560" w:lineRule="exact"/>
        <w:jc w:val="center"/>
        <w:rPr>
          <w:rFonts w:eastAsia="方正仿宋_GBK"/>
          <w:color w:val="000000" w:themeColor="text1"/>
          <w:sz w:val="32"/>
          <w:szCs w:val="32"/>
          <w14:textFill>
            <w14:solidFill>
              <w14:schemeClr w14:val="tx1"/>
            </w14:solidFill>
          </w14:textFill>
        </w:rPr>
      </w:pPr>
      <w:r>
        <w:rPr>
          <w:rFonts w:hint="eastAsia" w:eastAsia="方正仿宋_GBK"/>
          <w:color w:val="000000" w:themeColor="text1"/>
          <w:sz w:val="32"/>
          <w:szCs w:val="32"/>
          <w14:textFill>
            <w14:solidFill>
              <w14:schemeClr w14:val="tx1"/>
            </w14:solidFill>
          </w14:textFill>
        </w:rPr>
        <w:t>重庆空港航空地面服务</w:t>
      </w:r>
      <w:r>
        <w:rPr>
          <w:rFonts w:eastAsia="方正仿宋_GBK"/>
          <w:color w:val="000000" w:themeColor="text1"/>
          <w:sz w:val="32"/>
          <w:szCs w:val="32"/>
          <w14:textFill>
            <w14:solidFill>
              <w14:schemeClr w14:val="tx1"/>
            </w14:solidFill>
          </w14:textFill>
        </w:rPr>
        <w:t>有限公司</w:t>
      </w:r>
    </w:p>
    <w:p>
      <w:pPr>
        <w:spacing w:line="560" w:lineRule="exact"/>
        <w:ind w:firstLine="3200" w:firstLineChars="1000"/>
        <w:rPr>
          <w:rFonts w:eastAsia="方正仿宋_GBK"/>
          <w:color w:val="000000" w:themeColor="text1"/>
          <w:sz w:val="32"/>
          <w:szCs w:val="32"/>
          <w14:textFill>
            <w14:solidFill>
              <w14:schemeClr w14:val="tx1"/>
            </w14:solidFill>
          </w14:textFill>
        </w:rPr>
      </w:pPr>
      <w:r>
        <w:rPr>
          <w:rFonts w:eastAsia="方正仿宋_GBK"/>
          <w:color w:val="000000" w:themeColor="text1"/>
          <w:sz w:val="32"/>
          <w:szCs w:val="32"/>
          <w14:textFill>
            <w14:solidFill>
              <w14:schemeClr w14:val="tx1"/>
            </w14:solidFill>
          </w14:textFill>
        </w:rPr>
        <w:t>202</w:t>
      </w:r>
      <w:r>
        <w:rPr>
          <w:rFonts w:hint="eastAsia" w:eastAsia="方正仿宋_GBK"/>
          <w:color w:val="000000" w:themeColor="text1"/>
          <w:sz w:val="32"/>
          <w:szCs w:val="32"/>
          <w14:textFill>
            <w14:solidFill>
              <w14:schemeClr w14:val="tx1"/>
            </w14:solidFill>
          </w14:textFill>
        </w:rPr>
        <w:t>2</w:t>
      </w:r>
      <w:r>
        <w:rPr>
          <w:rFonts w:eastAsia="方正仿宋_GBK"/>
          <w:color w:val="000000" w:themeColor="text1"/>
          <w:sz w:val="32"/>
          <w:szCs w:val="32"/>
          <w14:textFill>
            <w14:solidFill>
              <w14:schemeClr w14:val="tx1"/>
            </w14:solidFill>
          </w14:textFill>
        </w:rPr>
        <w:t>年</w:t>
      </w:r>
      <w:r>
        <w:rPr>
          <w:rFonts w:hint="eastAsia" w:eastAsia="方正仿宋_GBK"/>
          <w:color w:val="000000" w:themeColor="text1"/>
          <w:sz w:val="32"/>
          <w:szCs w:val="32"/>
          <w:lang w:val="en-US" w:eastAsia="zh-CN"/>
          <w14:textFill>
            <w14:solidFill>
              <w14:schemeClr w14:val="tx1"/>
            </w14:solidFill>
          </w14:textFill>
        </w:rPr>
        <w:t>5</w:t>
      </w:r>
      <w:r>
        <w:rPr>
          <w:rFonts w:eastAsia="方正仿宋_GBK"/>
          <w:color w:val="000000" w:themeColor="text1"/>
          <w:sz w:val="32"/>
          <w:szCs w:val="32"/>
          <w14:textFill>
            <w14:solidFill>
              <w14:schemeClr w14:val="tx1"/>
            </w14:solidFill>
          </w14:textFill>
        </w:rPr>
        <w:t>月</w:t>
      </w:r>
    </w:p>
    <w:p>
      <w:pPr>
        <w:pStyle w:val="6"/>
        <w:spacing w:line="560" w:lineRule="exact"/>
        <w:rPr>
          <w:color w:val="000000" w:themeColor="text1"/>
          <w:sz w:val="32"/>
          <w:szCs w:val="32"/>
          <w14:textFill>
            <w14:solidFill>
              <w14:schemeClr w14:val="tx1"/>
            </w14:solidFill>
          </w14:textFill>
        </w:rPr>
      </w:pPr>
    </w:p>
    <w:p>
      <w:pPr>
        <w:spacing w:line="560" w:lineRule="exact"/>
        <w:rPr>
          <w:rFonts w:asciiTheme="majorEastAsia" w:hAnsiTheme="majorEastAsia" w:eastAsiaTheme="majorEastAsia" w:cstheme="majorEastAsia"/>
          <w:color w:val="000000" w:themeColor="text1"/>
          <w:sz w:val="32"/>
          <w:szCs w:val="32"/>
          <w14:textFill>
            <w14:solidFill>
              <w14:schemeClr w14:val="tx1"/>
            </w14:solidFill>
          </w14:textFill>
        </w:rPr>
      </w:pPr>
    </w:p>
    <w:p>
      <w:pPr>
        <w:pStyle w:val="15"/>
        <w:outlineLvl w:val="9"/>
      </w:pPr>
    </w:p>
    <w:p>
      <w:pPr>
        <w:spacing w:line="560" w:lineRule="exact"/>
        <w:jc w:val="center"/>
        <w:rPr>
          <w:rFonts w:ascii="方正小标宋_GBK" w:hAnsi="方正小标宋_GBK" w:eastAsia="方正小标宋_GBK" w:cs="方正小标宋_GBK"/>
          <w:color w:val="000000" w:themeColor="text1"/>
          <w:sz w:val="32"/>
          <w:szCs w:val="32"/>
          <w14:textFill>
            <w14:solidFill>
              <w14:schemeClr w14:val="tx1"/>
            </w14:solidFill>
          </w14:textFill>
        </w:rPr>
      </w:pPr>
      <w:r>
        <w:rPr>
          <w:rFonts w:hint="eastAsia" w:ascii="方正小标宋_GBK" w:hAnsi="方正小标宋_GBK" w:eastAsia="方正小标宋_GBK" w:cs="方正小标宋_GBK"/>
          <w:color w:val="000000" w:themeColor="text1"/>
          <w:sz w:val="32"/>
          <w:szCs w:val="32"/>
          <w14:textFill>
            <w14:solidFill>
              <w14:schemeClr w14:val="tx1"/>
            </w14:solidFill>
          </w14:textFill>
        </w:rPr>
        <w:t>重庆空港航空地面服务有限公司</w:t>
      </w:r>
    </w:p>
    <w:p>
      <w:pPr>
        <w:spacing w:line="560" w:lineRule="exact"/>
        <w:jc w:val="center"/>
        <w:rPr>
          <w:rFonts w:ascii="方正小标宋_GBK" w:hAnsi="方正小标宋_GBK" w:eastAsia="方正小标宋_GBK" w:cs="方正小标宋_GBK"/>
          <w:color w:val="000000" w:themeColor="text1"/>
          <w:sz w:val="32"/>
          <w:szCs w:val="32"/>
          <w14:textFill>
            <w14:solidFill>
              <w14:schemeClr w14:val="tx1"/>
            </w14:solidFill>
          </w14:textFill>
        </w:rPr>
      </w:pPr>
      <w:r>
        <w:rPr>
          <w:rFonts w:hint="default" w:ascii="方正小标宋_GBK" w:hAnsi="方正小标宋_GBK" w:eastAsia="方正小标宋_GBK" w:cs="方正小标宋_GBK"/>
          <w:color w:val="000000" w:themeColor="text1"/>
          <w:sz w:val="32"/>
          <w:szCs w:val="32"/>
          <w:lang w:val="en-US" w:eastAsia="zh-CN"/>
          <w14:textFill>
            <w14:solidFill>
              <w14:schemeClr w14:val="tx1"/>
            </w14:solidFill>
          </w14:textFill>
        </w:rPr>
        <w:t>国际货站业务增补驾驶员</w:t>
      </w:r>
      <w:r>
        <w:rPr>
          <w:rFonts w:hint="eastAsia" w:ascii="方正小标宋_GBK" w:hAnsi="方正小标宋_GBK" w:eastAsia="方正小标宋_GBK" w:cs="方正小标宋_GBK"/>
          <w:color w:val="000000" w:themeColor="text1"/>
          <w:sz w:val="32"/>
          <w:szCs w:val="32"/>
          <w14:textFill>
            <w14:solidFill>
              <w14:schemeClr w14:val="tx1"/>
            </w14:solidFill>
          </w14:textFill>
        </w:rPr>
        <w:t>外包项目比选采购文件</w:t>
      </w:r>
    </w:p>
    <w:p>
      <w:pPr>
        <w:widowControl/>
        <w:spacing w:line="560" w:lineRule="exact"/>
        <w:ind w:firstLine="560" w:firstLineChars="200"/>
        <w:jc w:val="left"/>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重庆空港航空地面服务有限公司拟决定于近期实施</w:t>
      </w:r>
      <w:r>
        <w:rPr>
          <w:rFonts w:hint="eastAsia" w:ascii="仿宋_GB2312" w:hAnsi="仿宋_GB2312" w:eastAsia="仿宋_GB2312" w:cs="仿宋_GB2312"/>
          <w:color w:val="000000" w:themeColor="text1"/>
          <w:sz w:val="28"/>
          <w:szCs w:val="28"/>
          <w:lang w:eastAsia="zh-CN"/>
          <w14:textFill>
            <w14:solidFill>
              <w14:schemeClr w14:val="tx1"/>
            </w14:solidFill>
          </w14:textFill>
        </w:rPr>
        <w:t>国际货站业务增补驾驶员</w:t>
      </w:r>
      <w:r>
        <w:rPr>
          <w:rFonts w:hint="eastAsia" w:ascii="仿宋_GB2312" w:hAnsi="仿宋_GB2312" w:eastAsia="仿宋_GB2312" w:cs="仿宋_GB2312"/>
          <w:color w:val="000000" w:themeColor="text1"/>
          <w:sz w:val="28"/>
          <w:szCs w:val="28"/>
          <w14:textFill>
            <w14:solidFill>
              <w14:schemeClr w14:val="tx1"/>
            </w14:solidFill>
          </w14:textFill>
        </w:rPr>
        <w:t>外包项目，现邀请符合相应条件的机构参与本次项目的比选。</w:t>
      </w:r>
    </w:p>
    <w:p>
      <w:pPr>
        <w:widowControl/>
        <w:spacing w:line="560" w:lineRule="exact"/>
        <w:ind w:firstLine="560" w:firstLineChars="200"/>
        <w:jc w:val="left"/>
        <w:rPr>
          <w:rFonts w:ascii="黑体" w:hAnsi="黑体" w:eastAsia="黑体" w:cs="黑体"/>
          <w:color w:val="000000" w:themeColor="text1"/>
          <w:kern w:val="0"/>
          <w:sz w:val="28"/>
          <w:szCs w:val="28"/>
          <w14:textFill>
            <w14:solidFill>
              <w14:schemeClr w14:val="tx1"/>
            </w14:solidFill>
          </w14:textFill>
        </w:rPr>
      </w:pPr>
      <w:bookmarkStart w:id="0" w:name="_Toc9666"/>
      <w:r>
        <w:rPr>
          <w:rFonts w:hint="eastAsia" w:ascii="黑体" w:hAnsi="黑体" w:eastAsia="黑体" w:cs="黑体"/>
          <w:color w:val="000000" w:themeColor="text1"/>
          <w:kern w:val="0"/>
          <w:sz w:val="28"/>
          <w:szCs w:val="28"/>
          <w14:textFill>
            <w14:solidFill>
              <w14:schemeClr w14:val="tx1"/>
            </w14:solidFill>
          </w14:textFill>
        </w:rPr>
        <w:t>1.项目实施内容及要求</w:t>
      </w:r>
    </w:p>
    <w:p>
      <w:pPr>
        <w:snapToGrid w:val="0"/>
        <w:spacing w:line="560" w:lineRule="exact"/>
        <w:ind w:firstLine="562" w:firstLineChars="200"/>
        <w:rPr>
          <w:rStyle w:val="26"/>
          <w:rFonts w:ascii="仿宋_GB2312" w:hAnsi="仿宋_GB2312" w:eastAsia="仿宋_GB2312" w:cs="仿宋_GB2312"/>
          <w:b/>
          <w:bCs/>
          <w:color w:val="000000" w:themeColor="text1"/>
          <w:sz w:val="28"/>
          <w:szCs w:val="28"/>
          <w14:textFill>
            <w14:solidFill>
              <w14:schemeClr w14:val="tx1"/>
            </w14:solidFill>
          </w14:textFill>
        </w:rPr>
      </w:pPr>
      <w:r>
        <w:rPr>
          <w:rStyle w:val="26"/>
          <w:rFonts w:hint="eastAsia" w:ascii="仿宋_GB2312" w:hAnsi="仿宋_GB2312" w:eastAsia="仿宋_GB2312" w:cs="仿宋_GB2312"/>
          <w:b/>
          <w:bCs/>
          <w:color w:val="000000" w:themeColor="text1"/>
          <w:sz w:val="28"/>
          <w:szCs w:val="28"/>
          <w14:textFill>
            <w14:solidFill>
              <w14:schemeClr w14:val="tx1"/>
            </w14:solidFill>
          </w14:textFill>
        </w:rPr>
        <w:t>1.1 比选响应人资格要求</w:t>
      </w:r>
    </w:p>
    <w:p>
      <w:pPr>
        <w:spacing w:line="560" w:lineRule="exact"/>
        <w:ind w:firstLine="562" w:firstLineChars="200"/>
        <w:rPr>
          <w:rFonts w:hint="default" w:ascii="Times New Roman" w:hAnsi="Times New Roman" w:eastAsia="仿宋_GB2312" w:cs="Times New Roman"/>
          <w:sz w:val="28"/>
          <w:szCs w:val="28"/>
          <w:lang w:val="en-US" w:eastAsia="zh-CN"/>
        </w:rPr>
      </w:pPr>
      <w:r>
        <w:rPr>
          <w:rFonts w:hint="eastAsia" w:ascii="Times New Roman" w:hAnsi="Times New Roman" w:eastAsia="仿宋_GB2312" w:cs="Times New Roman"/>
          <w:b/>
          <w:bCs/>
          <w:sz w:val="28"/>
          <w:szCs w:val="28"/>
          <w:lang w:val="en-US" w:eastAsia="zh-CN"/>
        </w:rPr>
        <w:t>1.1.1供应商的资格</w:t>
      </w:r>
      <w:r>
        <w:rPr>
          <w:rFonts w:hint="default" w:ascii="Times New Roman" w:hAnsi="Times New Roman" w:eastAsia="仿宋_GB2312" w:cs="Times New Roman"/>
          <w:b/>
          <w:bCs/>
          <w:sz w:val="28"/>
          <w:szCs w:val="28"/>
          <w:lang w:val="en-US" w:eastAsia="zh-CN"/>
        </w:rPr>
        <w:t>要求</w:t>
      </w:r>
      <w:r>
        <w:rPr>
          <w:rFonts w:hint="eastAsia" w:ascii="Times New Roman" w:hAnsi="Times New Roman" w:eastAsia="仿宋_GB2312" w:cs="Times New Roman"/>
          <w:b/>
          <w:bCs/>
          <w:sz w:val="28"/>
          <w:szCs w:val="28"/>
          <w:lang w:val="en-US" w:eastAsia="zh-CN"/>
        </w:rPr>
        <w:t>（提供营业执照复印件加盖鲜章）</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营业执照须为在中华人民共和国境内注册，具有独立承担民事责任能力的法人资格。</w:t>
      </w:r>
    </w:p>
    <w:p>
      <w:pPr>
        <w:spacing w:line="560" w:lineRule="exact"/>
        <w:ind w:firstLine="562" w:firstLineChars="200"/>
        <w:rPr>
          <w:rFonts w:hint="eastAsia" w:ascii="Times New Roman" w:hAnsi="Times New Roman" w:eastAsia="仿宋_GB2312" w:cs="Times New Roman"/>
          <w:b/>
          <w:bCs/>
          <w:sz w:val="28"/>
          <w:szCs w:val="28"/>
          <w:lang w:val="en-US" w:eastAsia="zh-CN"/>
        </w:rPr>
      </w:pPr>
      <w:r>
        <w:rPr>
          <w:rFonts w:hint="eastAsia" w:ascii="Times New Roman" w:hAnsi="Times New Roman" w:eastAsia="仿宋_GB2312" w:cs="Times New Roman"/>
          <w:b/>
          <w:bCs/>
          <w:sz w:val="28"/>
          <w:szCs w:val="28"/>
          <w:lang w:val="en-US" w:eastAsia="zh-CN"/>
        </w:rPr>
        <w:t>1.1.2项目内</w:t>
      </w:r>
      <w:r>
        <w:rPr>
          <w:rFonts w:hint="default" w:ascii="Times New Roman" w:hAnsi="Times New Roman" w:eastAsia="仿宋_GB2312" w:cs="Times New Roman"/>
          <w:b/>
          <w:bCs/>
          <w:sz w:val="28"/>
          <w:szCs w:val="28"/>
          <w:lang w:val="en-US" w:eastAsia="zh-CN"/>
        </w:rPr>
        <w:t>对驾驶员的要求</w:t>
      </w:r>
      <w:r>
        <w:rPr>
          <w:rFonts w:hint="eastAsia" w:ascii="Times New Roman" w:hAnsi="Times New Roman" w:eastAsia="仿宋_GB2312" w:cs="Times New Roman"/>
          <w:b/>
          <w:bCs/>
          <w:sz w:val="28"/>
          <w:szCs w:val="28"/>
          <w:lang w:val="en-US" w:eastAsia="zh-CN"/>
        </w:rPr>
        <w:t>（提供承诺声明：入驻该项目的驾驶员满足以下要求）</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eastAsia" w:ascii="Times New Roman" w:hAnsi="Times New Roman" w:eastAsia="仿宋_GB2312" w:cs="Times New Roman"/>
          <w:sz w:val="28"/>
          <w:szCs w:val="28"/>
          <w:lang w:val="en-US" w:eastAsia="zh-CN"/>
        </w:rPr>
        <w:t>（1）</w:t>
      </w:r>
      <w:r>
        <w:rPr>
          <w:rFonts w:hint="default" w:ascii="Times New Roman" w:hAnsi="Times New Roman" w:eastAsia="仿宋_GB2312" w:cs="Times New Roman"/>
          <w:sz w:val="28"/>
          <w:szCs w:val="28"/>
          <w:lang w:val="en-US" w:eastAsia="zh-CN"/>
        </w:rPr>
        <w:t>叉车驾驶员/操作员需持有叉车操作证及C1（含）以上资质驾照；</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eastAsia" w:ascii="Times New Roman" w:hAnsi="Times New Roman" w:eastAsia="仿宋_GB2312" w:cs="Times New Roman"/>
          <w:sz w:val="28"/>
          <w:szCs w:val="28"/>
          <w:lang w:val="en-US" w:eastAsia="zh-CN"/>
        </w:rPr>
        <w:t>（2）</w:t>
      </w:r>
      <w:r>
        <w:rPr>
          <w:rFonts w:hint="default" w:ascii="Times New Roman" w:hAnsi="Times New Roman" w:eastAsia="仿宋_GB2312" w:cs="Times New Roman"/>
          <w:sz w:val="28"/>
          <w:szCs w:val="28"/>
          <w:lang w:val="en-US" w:eastAsia="zh-CN"/>
        </w:rPr>
        <w:t>牵引车驾驶员应持有B2（含）以上资质驾照。</w:t>
      </w:r>
    </w:p>
    <w:p>
      <w:pPr>
        <w:spacing w:line="560" w:lineRule="exact"/>
        <w:ind w:firstLine="562" w:firstLineChars="200"/>
        <w:rPr>
          <w:rFonts w:hint="eastAsia" w:ascii="仿宋_GB2312" w:hAnsi="仿宋_GB2312" w:eastAsia="仿宋_GB2312" w:cs="仿宋_GB2312"/>
          <w:b/>
          <w:bCs/>
          <w:color w:val="000000" w:themeColor="text1"/>
          <w:sz w:val="28"/>
          <w:szCs w:val="28"/>
          <w:lang w:val="en-US" w:eastAsia="zh-CN"/>
          <w14:textFill>
            <w14:solidFill>
              <w14:schemeClr w14:val="tx1"/>
            </w14:solidFill>
          </w14:textFill>
        </w:rPr>
      </w:pPr>
      <w:r>
        <w:rPr>
          <w:rFonts w:hint="eastAsia" w:ascii="Times New Roman" w:hAnsi="Times New Roman" w:eastAsia="仿宋_GB2312" w:cs="Times New Roman"/>
          <w:b/>
          <w:bCs/>
          <w:sz w:val="28"/>
          <w:szCs w:val="28"/>
          <w:lang w:val="en-US" w:eastAsia="zh-CN"/>
        </w:rPr>
        <w:t>1.1.3</w:t>
      </w:r>
      <w:r>
        <w:rPr>
          <w:rFonts w:hint="default" w:ascii="Times New Roman" w:hAnsi="Times New Roman" w:eastAsia="仿宋_GB2312" w:cs="Times New Roman"/>
          <w:b/>
          <w:bCs/>
          <w:sz w:val="28"/>
          <w:szCs w:val="28"/>
          <w:lang w:val="en-US" w:eastAsia="zh-CN"/>
        </w:rPr>
        <w:t>其他要求</w:t>
      </w:r>
      <w:r>
        <w:rPr>
          <w:rFonts w:hint="eastAsia" w:ascii="Times New Roman" w:hAnsi="Times New Roman" w:eastAsia="仿宋_GB2312" w:cs="Times New Roman"/>
          <w:b/>
          <w:bCs/>
          <w:sz w:val="28"/>
          <w:szCs w:val="28"/>
          <w:lang w:val="en-US" w:eastAsia="zh-CN"/>
        </w:rPr>
        <w:t xml:space="preserve"> [</w:t>
      </w:r>
      <w:r>
        <w:rPr>
          <w:rStyle w:val="26"/>
          <w:rFonts w:hint="eastAsia" w:ascii="仿宋_GB2312" w:hAnsi="仿宋_GB2312" w:eastAsia="仿宋_GB2312" w:cs="仿宋_GB2312"/>
          <w:b/>
          <w:bCs/>
          <w:color w:val="000000" w:themeColor="text1"/>
          <w:sz w:val="28"/>
          <w:szCs w:val="28"/>
          <w14:textFill>
            <w14:solidFill>
              <w14:schemeClr w14:val="tx1"/>
            </w14:solidFill>
          </w14:textFill>
        </w:rPr>
        <w:t>（1）需提供合同业绩的非涉密部分的复印件；（2）-（7）需</w:t>
      </w:r>
      <w:r>
        <w:rPr>
          <w:rStyle w:val="26"/>
          <w:rFonts w:hint="eastAsia" w:ascii="仿宋_GB2312" w:hAnsi="仿宋_GB2312" w:eastAsia="仿宋_GB2312" w:cs="仿宋_GB2312"/>
          <w:b/>
          <w:bCs/>
          <w:color w:val="000000" w:themeColor="text1"/>
          <w:sz w:val="28"/>
          <w:szCs w:val="28"/>
          <w:lang w:eastAsia="zh-CN"/>
          <w14:textFill>
            <w14:solidFill>
              <w14:schemeClr w14:val="tx1"/>
            </w14:solidFill>
          </w14:textFill>
        </w:rPr>
        <w:t>合并</w:t>
      </w:r>
      <w:r>
        <w:rPr>
          <w:rStyle w:val="26"/>
          <w:rFonts w:hint="eastAsia" w:ascii="仿宋_GB2312" w:hAnsi="仿宋_GB2312" w:eastAsia="仿宋_GB2312" w:cs="仿宋_GB2312"/>
          <w:b/>
          <w:bCs/>
          <w:color w:val="000000" w:themeColor="text1"/>
          <w:sz w:val="28"/>
          <w:szCs w:val="28"/>
          <w14:textFill>
            <w14:solidFill>
              <w14:schemeClr w14:val="tx1"/>
            </w14:solidFill>
          </w14:textFill>
        </w:rPr>
        <w:t>提供</w:t>
      </w:r>
      <w:r>
        <w:rPr>
          <w:rStyle w:val="26"/>
          <w:rFonts w:hint="eastAsia" w:ascii="仿宋_GB2312" w:hAnsi="仿宋_GB2312" w:eastAsia="仿宋_GB2312" w:cs="仿宋_GB2312"/>
          <w:b/>
          <w:bCs/>
          <w:color w:val="000000" w:themeColor="text1"/>
          <w:sz w:val="28"/>
          <w:szCs w:val="28"/>
          <w:lang w:eastAsia="zh-CN"/>
          <w14:textFill>
            <w14:solidFill>
              <w14:schemeClr w14:val="tx1"/>
            </w14:solidFill>
          </w14:textFill>
        </w:rPr>
        <w:t>一份</w:t>
      </w:r>
      <w:r>
        <w:rPr>
          <w:rStyle w:val="26"/>
          <w:rFonts w:hint="eastAsia" w:ascii="仿宋_GB2312" w:hAnsi="仿宋_GB2312" w:eastAsia="仿宋_GB2312" w:cs="仿宋_GB2312"/>
          <w:b/>
          <w:bCs/>
          <w:color w:val="000000" w:themeColor="text1"/>
          <w:sz w:val="28"/>
          <w:szCs w:val="28"/>
          <w14:textFill>
            <w14:solidFill>
              <w14:schemeClr w14:val="tx1"/>
            </w14:solidFill>
          </w14:textFill>
        </w:rPr>
        <w:t>承诺声明，格式自拟。</w:t>
      </w:r>
      <w:r>
        <w:rPr>
          <w:rStyle w:val="26"/>
          <w:rFonts w:hint="eastAsia" w:ascii="仿宋_GB2312" w:hAnsi="仿宋_GB2312" w:eastAsia="仿宋_GB2312" w:cs="仿宋_GB2312"/>
          <w:b/>
          <w:bCs/>
          <w:color w:val="000000" w:themeColor="text1"/>
          <w:sz w:val="28"/>
          <w:szCs w:val="28"/>
          <w:lang w:val="en-US" w:eastAsia="zh-CN"/>
          <w14:textFill>
            <w14:solidFill>
              <w14:schemeClr w14:val="tx1"/>
            </w14:solidFill>
          </w14:textFill>
        </w:rPr>
        <w:t>]</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eastAsia" w:ascii="Times New Roman" w:hAnsi="Times New Roman" w:eastAsia="仿宋_GB2312" w:cs="Times New Roman"/>
          <w:sz w:val="28"/>
          <w:szCs w:val="28"/>
          <w:lang w:val="en-US" w:eastAsia="zh-CN"/>
        </w:rPr>
        <w:t>（1）</w:t>
      </w:r>
      <w:r>
        <w:rPr>
          <w:rFonts w:hint="default" w:ascii="Times New Roman" w:hAnsi="Times New Roman" w:eastAsia="仿宋_GB2312" w:cs="Times New Roman"/>
          <w:sz w:val="28"/>
          <w:szCs w:val="28"/>
          <w:lang w:val="en-US" w:eastAsia="zh-CN"/>
        </w:rPr>
        <w:t>为确保承接方有足够的规模及能力保障现场生产，根据目前机场业务量初步核算，需要承接方具有同等级机场（4F级）货物运输、装卸服务或</w:t>
      </w:r>
      <w:r>
        <w:rPr>
          <w:rFonts w:hint="eastAsia" w:ascii="Times New Roman" w:hAnsi="Times New Roman" w:eastAsia="仿宋_GB2312" w:cs="Times New Roman"/>
          <w:sz w:val="28"/>
          <w:szCs w:val="28"/>
          <w:lang w:val="en-US" w:eastAsia="zh-CN"/>
        </w:rPr>
        <w:t>驾驶</w:t>
      </w:r>
      <w:r>
        <w:rPr>
          <w:rFonts w:hint="default" w:ascii="Times New Roman" w:hAnsi="Times New Roman" w:eastAsia="仿宋_GB2312" w:cs="Times New Roman"/>
          <w:sz w:val="28"/>
          <w:szCs w:val="28"/>
          <w:lang w:val="en-US" w:eastAsia="zh-CN"/>
        </w:rPr>
        <w:t>服务等外包业务的操作业绩；</w:t>
      </w:r>
    </w:p>
    <w:p>
      <w:pPr>
        <w:spacing w:line="560" w:lineRule="exact"/>
        <w:ind w:firstLine="560" w:firstLineChars="200"/>
        <w:rPr>
          <w:rFonts w:hint="default" w:ascii="Times New Roman" w:hAnsi="Times New Roman" w:eastAsia="仿宋_GB2312" w:cs="Times New Roman"/>
          <w:sz w:val="28"/>
          <w:szCs w:val="28"/>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2）</w:t>
      </w:r>
      <w:r>
        <w:rPr>
          <w:rFonts w:hint="default" w:ascii="Times New Roman" w:hAnsi="Times New Roman" w:eastAsia="仿宋_GB2312" w:cs="Times New Roman"/>
          <w:sz w:val="28"/>
          <w:szCs w:val="28"/>
        </w:rPr>
        <w:t>201</w:t>
      </w:r>
      <w:r>
        <w:rPr>
          <w:rFonts w:hint="default" w:ascii="Times New Roman" w:hAnsi="Times New Roman" w:eastAsia="仿宋_GB2312" w:cs="Times New Roman"/>
          <w:sz w:val="28"/>
          <w:szCs w:val="28"/>
          <w:lang w:val="en-US" w:eastAsia="zh-CN"/>
        </w:rPr>
        <w:t>8</w:t>
      </w:r>
      <w:r>
        <w:rPr>
          <w:rFonts w:hint="default" w:ascii="Times New Roman" w:hAnsi="Times New Roman" w:eastAsia="仿宋_GB2312" w:cs="Times New Roman"/>
          <w:sz w:val="28"/>
          <w:szCs w:val="28"/>
        </w:rPr>
        <w:t>年1月以来，在经营活动中没有重大违法记录；</w:t>
      </w:r>
    </w:p>
    <w:p>
      <w:pPr>
        <w:spacing w:line="560" w:lineRule="exact"/>
        <w:ind w:firstLine="560" w:firstLineChars="200"/>
        <w:rPr>
          <w:rFonts w:hint="default" w:ascii="Times New Roman" w:hAnsi="Times New Roman" w:eastAsia="仿宋_GB2312" w:cs="Times New Roman"/>
          <w:sz w:val="28"/>
          <w:szCs w:val="28"/>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3）</w:t>
      </w:r>
      <w:r>
        <w:rPr>
          <w:rFonts w:hint="default" w:ascii="Times New Roman" w:hAnsi="Times New Roman" w:eastAsia="仿宋_GB2312" w:cs="Times New Roman"/>
          <w:sz w:val="28"/>
          <w:szCs w:val="28"/>
        </w:rPr>
        <w:t>履约情况良好，无因违约或不恰当履约引起的合同中止、纠纷、争议、仲裁和诉讼记录；</w:t>
      </w:r>
    </w:p>
    <w:p>
      <w:pPr>
        <w:spacing w:line="560" w:lineRule="exact"/>
        <w:ind w:firstLine="560" w:firstLineChars="200"/>
        <w:rPr>
          <w:rFonts w:hint="default" w:ascii="Times New Roman" w:hAnsi="Times New Roman" w:eastAsia="仿宋_GB2312" w:cs="Times New Roman"/>
          <w:sz w:val="28"/>
          <w:szCs w:val="28"/>
          <w:lang w:eastAsia="zh-CN"/>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4）</w:t>
      </w:r>
      <w:r>
        <w:rPr>
          <w:rFonts w:hint="default" w:ascii="Times New Roman" w:hAnsi="Times New Roman" w:eastAsia="仿宋_GB2312" w:cs="Times New Roman"/>
          <w:sz w:val="28"/>
          <w:szCs w:val="28"/>
        </w:rPr>
        <w:t>未发生过责任事故，未拖欠员工工资，未发生过员工集体罢工、上访或影响客户单位正常生产经营的事件</w:t>
      </w:r>
      <w:r>
        <w:rPr>
          <w:rFonts w:hint="default" w:ascii="Times New Roman" w:hAnsi="Times New Roman" w:eastAsia="仿宋_GB2312" w:cs="Times New Roman"/>
          <w:sz w:val="28"/>
          <w:szCs w:val="28"/>
          <w:lang w:eastAsia="zh-CN"/>
        </w:rPr>
        <w:t>；</w:t>
      </w:r>
    </w:p>
    <w:p>
      <w:pPr>
        <w:spacing w:line="560" w:lineRule="exact"/>
        <w:ind w:firstLine="560" w:firstLineChars="200"/>
        <w:rPr>
          <w:rFonts w:hint="default" w:ascii="Times New Roman" w:hAnsi="Times New Roman" w:eastAsia="仿宋_GB2312" w:cs="Times New Roman"/>
          <w:sz w:val="28"/>
          <w:szCs w:val="28"/>
          <w:lang w:eastAsia="zh-CN"/>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5）</w:t>
      </w:r>
      <w:r>
        <w:rPr>
          <w:rFonts w:hint="default" w:ascii="Times New Roman" w:hAnsi="Times New Roman" w:eastAsia="仿宋_GB2312" w:cs="Times New Roman"/>
          <w:sz w:val="28"/>
          <w:szCs w:val="28"/>
        </w:rPr>
        <w:t>没有进入</w:t>
      </w:r>
      <w:r>
        <w:rPr>
          <w:rFonts w:hint="default" w:ascii="Times New Roman" w:hAnsi="Times New Roman" w:eastAsia="仿宋_GB2312" w:cs="Times New Roman"/>
          <w:sz w:val="28"/>
          <w:szCs w:val="28"/>
          <w:lang w:eastAsia="zh-CN"/>
        </w:rPr>
        <w:t>发包人集团内</w:t>
      </w:r>
      <w:r>
        <w:rPr>
          <w:rFonts w:hint="default" w:ascii="Times New Roman" w:hAnsi="Times New Roman" w:eastAsia="仿宋_GB2312" w:cs="Times New Roman"/>
          <w:sz w:val="28"/>
          <w:szCs w:val="28"/>
        </w:rPr>
        <w:t>黑名单库</w:t>
      </w:r>
      <w:r>
        <w:rPr>
          <w:rFonts w:hint="default" w:ascii="Times New Roman" w:hAnsi="Times New Roman" w:eastAsia="仿宋_GB2312" w:cs="Times New Roman"/>
          <w:sz w:val="28"/>
          <w:szCs w:val="28"/>
          <w:lang w:eastAsia="zh-CN"/>
        </w:rPr>
        <w:t>；</w:t>
      </w:r>
    </w:p>
    <w:p>
      <w:pPr>
        <w:spacing w:line="560" w:lineRule="exact"/>
        <w:ind w:firstLine="560" w:firstLineChars="200"/>
        <w:rPr>
          <w:rFonts w:hint="default" w:ascii="Times New Roman" w:hAnsi="Times New Roman" w:eastAsia="仿宋_GB2312" w:cs="Times New Roman"/>
          <w:sz w:val="28"/>
          <w:szCs w:val="28"/>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6）</w:t>
      </w:r>
      <w:r>
        <w:rPr>
          <w:rFonts w:hint="default" w:ascii="Times New Roman" w:hAnsi="Times New Roman" w:eastAsia="仿宋_GB2312" w:cs="Times New Roman"/>
          <w:sz w:val="28"/>
          <w:szCs w:val="28"/>
        </w:rPr>
        <w:t>未被</w:t>
      </w:r>
      <w:r>
        <w:rPr>
          <w:rFonts w:hint="default" w:ascii="Times New Roman" w:hAnsi="Times New Roman" w:eastAsia="仿宋_GB2312" w:cs="Times New Roman"/>
          <w:sz w:val="28"/>
          <w:szCs w:val="28"/>
          <w:lang w:eastAsia="zh-CN"/>
        </w:rPr>
        <w:t>人民法院列入失信被执行人名单且在被执行期内；</w:t>
      </w:r>
    </w:p>
    <w:p>
      <w:pPr>
        <w:spacing w:line="560" w:lineRule="exact"/>
        <w:ind w:firstLine="560" w:firstLineChars="200"/>
        <w:rPr>
          <w:rFonts w:hint="default" w:ascii="Times New Roman" w:hAnsi="Times New Roman" w:eastAsia="仿宋_GB2312" w:cs="Times New Roman"/>
          <w:sz w:val="28"/>
          <w:szCs w:val="28"/>
        </w:rPr>
      </w:pPr>
      <w:r>
        <w:rPr>
          <w:rFonts w:hint="eastAsia" w:ascii="Times New Roman" w:hAnsi="Times New Roman" w:eastAsia="仿宋_GB2312" w:cs="Times New Roman"/>
          <w:sz w:val="28"/>
          <w:szCs w:val="28"/>
          <w:lang w:eastAsia="zh-CN"/>
        </w:rPr>
        <w:t>（</w:t>
      </w:r>
      <w:r>
        <w:rPr>
          <w:rFonts w:hint="eastAsia" w:ascii="Times New Roman" w:hAnsi="Times New Roman" w:eastAsia="仿宋_GB2312" w:cs="Times New Roman"/>
          <w:sz w:val="28"/>
          <w:szCs w:val="28"/>
          <w:lang w:val="en-US" w:eastAsia="zh-CN"/>
        </w:rPr>
        <w:t>7）</w:t>
      </w:r>
      <w:r>
        <w:rPr>
          <w:rFonts w:hint="default" w:ascii="Times New Roman" w:hAnsi="Times New Roman" w:eastAsia="仿宋_GB2312" w:cs="Times New Roman"/>
          <w:sz w:val="28"/>
          <w:szCs w:val="28"/>
        </w:rPr>
        <w:t>本项目不接受联合体，不允许转包、分包。</w:t>
      </w:r>
    </w:p>
    <w:p>
      <w:pPr>
        <w:widowControl/>
        <w:spacing w:line="560" w:lineRule="exact"/>
        <w:ind w:firstLine="562" w:firstLineChars="200"/>
        <w:jc w:val="left"/>
        <w:rPr>
          <w:rFonts w:ascii="仿宋_GB2312" w:hAnsi="仿宋_GB2312" w:eastAsia="仿宋_GB2312" w:cs="仿宋_GB2312"/>
          <w:b/>
          <w:bCs/>
          <w:color w:val="000000" w:themeColor="text1"/>
          <w:kern w:val="0"/>
          <w:sz w:val="28"/>
          <w:szCs w:val="28"/>
          <w14:textFill>
            <w14:solidFill>
              <w14:schemeClr w14:val="tx1"/>
            </w14:solidFill>
          </w14:textFill>
        </w:rPr>
      </w:pPr>
      <w:r>
        <w:rPr>
          <w:rFonts w:hint="eastAsia" w:ascii="仿宋_GB2312" w:hAnsi="仿宋_GB2312" w:eastAsia="仿宋_GB2312" w:cs="仿宋_GB2312"/>
          <w:b/>
          <w:bCs/>
          <w:color w:val="000000" w:themeColor="text1"/>
          <w:kern w:val="0"/>
          <w:sz w:val="28"/>
          <w:szCs w:val="28"/>
          <w14:textFill>
            <w14:solidFill>
              <w14:schemeClr w14:val="tx1"/>
            </w14:solidFill>
          </w14:textFill>
        </w:rPr>
        <w:t>1.2  项目概况及项目要求</w:t>
      </w:r>
    </w:p>
    <w:p>
      <w:pPr>
        <w:widowControl/>
        <w:spacing w:line="560" w:lineRule="exact"/>
        <w:ind w:firstLine="562" w:firstLineChars="200"/>
        <w:jc w:val="left"/>
        <w:rPr>
          <w:rFonts w:ascii="仿宋_GB2312" w:hAnsi="仿宋_GB2312" w:eastAsia="仿宋_GB2312" w:cs="仿宋_GB2312"/>
          <w:b/>
          <w:bCs/>
          <w:color w:val="000000" w:themeColor="text1"/>
          <w:kern w:val="0"/>
          <w:sz w:val="28"/>
          <w:szCs w:val="28"/>
          <w14:textFill>
            <w14:solidFill>
              <w14:schemeClr w14:val="tx1"/>
            </w14:solidFill>
          </w14:textFill>
        </w:rPr>
      </w:pPr>
      <w:r>
        <w:rPr>
          <w:rFonts w:hint="eastAsia" w:ascii="仿宋_GB2312" w:hAnsi="仿宋_GB2312" w:eastAsia="仿宋_GB2312" w:cs="仿宋_GB2312"/>
          <w:b/>
          <w:bCs/>
          <w:color w:val="000000" w:themeColor="text1"/>
          <w:kern w:val="0"/>
          <w:sz w:val="28"/>
          <w:szCs w:val="28"/>
          <w14:textFill>
            <w14:solidFill>
              <w14:schemeClr w14:val="tx1"/>
            </w14:solidFill>
          </w14:textFill>
        </w:rPr>
        <w:t>1.2.1项目概况：</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受新冠疫情影响，根据重庆市防疫要求以及机场防控办具体指导意见</w:t>
      </w:r>
      <w:r>
        <w:rPr>
          <w:rFonts w:hint="default" w:ascii="Times New Roman" w:hAnsi="Times New Roman" w:eastAsia="仿宋_GB2312" w:cs="Times New Roman"/>
          <w:sz w:val="28"/>
          <w:szCs w:val="28"/>
          <w:lang w:eastAsia="zh-CN"/>
        </w:rPr>
        <w:t>，</w:t>
      </w:r>
      <w:r>
        <w:rPr>
          <w:rFonts w:hint="default" w:ascii="Times New Roman" w:hAnsi="Times New Roman" w:eastAsia="仿宋_GB2312" w:cs="Times New Roman"/>
          <w:sz w:val="28"/>
          <w:szCs w:val="28"/>
          <w:lang w:val="en-US" w:eastAsia="zh-CN"/>
        </w:rPr>
        <w:t>站坪部</w:t>
      </w:r>
      <w:r>
        <w:rPr>
          <w:rFonts w:hint="default" w:ascii="Times New Roman" w:hAnsi="Times New Roman" w:eastAsia="仿宋_GB2312" w:cs="Times New Roman"/>
          <w:sz w:val="28"/>
          <w:szCs w:val="28"/>
          <w:lang w:val="en-US" w:eastAsia="zh-Hans"/>
        </w:rPr>
        <w:t>根据现场保障的相关情况</w:t>
      </w:r>
      <w:r>
        <w:rPr>
          <w:rFonts w:hint="default" w:ascii="Times New Roman" w:hAnsi="Times New Roman" w:eastAsia="仿宋_GB2312" w:cs="Times New Roman"/>
          <w:sz w:val="28"/>
          <w:szCs w:val="28"/>
          <w:lang w:eastAsia="zh-Hans"/>
        </w:rPr>
        <w:t>，</w:t>
      </w:r>
      <w:r>
        <w:rPr>
          <w:rFonts w:hint="default" w:ascii="Times New Roman" w:hAnsi="Times New Roman" w:eastAsia="仿宋_GB2312" w:cs="Times New Roman"/>
          <w:sz w:val="28"/>
          <w:szCs w:val="28"/>
          <w:lang w:val="en-US" w:eastAsia="zh-CN"/>
        </w:rPr>
        <w:t>按</w:t>
      </w:r>
      <w:r>
        <w:rPr>
          <w:rFonts w:hint="default" w:ascii="Times New Roman" w:hAnsi="Times New Roman" w:eastAsia="仿宋_GB2312" w:cs="Times New Roman"/>
          <w:sz w:val="28"/>
          <w:szCs w:val="28"/>
          <w:lang w:val="en-US" w:eastAsia="zh-Hans"/>
        </w:rPr>
        <w:t>上级要求</w:t>
      </w:r>
      <w:r>
        <w:rPr>
          <w:rFonts w:hint="default" w:ascii="Times New Roman" w:hAnsi="Times New Roman" w:eastAsia="仿宋_GB2312" w:cs="Times New Roman"/>
          <w:sz w:val="28"/>
          <w:szCs w:val="28"/>
          <w:lang w:val="en-US" w:eastAsia="zh-CN"/>
        </w:rPr>
        <w:t>，将参与到国际（地区）客货机航班保障的驾驶人员统一纳入了闭环管理中，由于现场保障驾驶人员数量不足，故从国际货运部抽调10名驾驶员。</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eastAsia" w:ascii="Times New Roman" w:hAnsi="Times New Roman" w:eastAsia="仿宋_GB2312" w:cs="Times New Roman"/>
          <w:sz w:val="28"/>
          <w:szCs w:val="28"/>
          <w:lang w:val="en-US" w:eastAsia="zh-CN"/>
        </w:rPr>
        <w:t>同时</w:t>
      </w:r>
      <w:r>
        <w:rPr>
          <w:rFonts w:hint="default" w:ascii="Times New Roman" w:hAnsi="Times New Roman" w:eastAsia="仿宋_GB2312" w:cs="Times New Roman"/>
          <w:sz w:val="28"/>
          <w:szCs w:val="28"/>
          <w:lang w:val="en-US" w:eastAsia="zh-CN"/>
        </w:rPr>
        <w:t>考虑到</w:t>
      </w:r>
      <w:r>
        <w:rPr>
          <w:rFonts w:hint="eastAsia" w:ascii="Times New Roman" w:hAnsi="Times New Roman" w:eastAsia="仿宋_GB2312" w:cs="Times New Roman"/>
          <w:sz w:val="28"/>
          <w:szCs w:val="28"/>
          <w:lang w:val="en-US" w:eastAsia="zh-CN"/>
        </w:rPr>
        <w:t>在</w:t>
      </w:r>
      <w:r>
        <w:rPr>
          <w:rFonts w:hint="default" w:ascii="Times New Roman" w:hAnsi="Times New Roman" w:eastAsia="仿宋_GB2312" w:cs="Times New Roman"/>
          <w:sz w:val="28"/>
          <w:szCs w:val="28"/>
          <w:lang w:val="en-US" w:eastAsia="zh-CN"/>
        </w:rPr>
        <w:t>2022年1月</w:t>
      </w:r>
      <w:r>
        <w:rPr>
          <w:rFonts w:hint="eastAsia" w:ascii="Times New Roman" w:hAnsi="Times New Roman" w:eastAsia="仿宋_GB2312" w:cs="Times New Roman"/>
          <w:sz w:val="28"/>
          <w:szCs w:val="28"/>
          <w:lang w:val="en-US" w:eastAsia="zh-CN"/>
        </w:rPr>
        <w:t>底，根据集团公司转场会议精神统一安排，国际货运部出港业务整体搬迁至二期国际货站。搬迁后，二期国际货站较原货站保障</w:t>
      </w:r>
      <w:r>
        <w:rPr>
          <w:rFonts w:hint="default" w:ascii="Times New Roman" w:hAnsi="Times New Roman" w:eastAsia="仿宋_GB2312" w:cs="Times New Roman"/>
          <w:sz w:val="28"/>
          <w:szCs w:val="28"/>
          <w:lang w:val="en-US" w:eastAsia="zh-CN"/>
        </w:rPr>
        <w:t>面积</w:t>
      </w:r>
      <w:r>
        <w:rPr>
          <w:rFonts w:hint="eastAsia" w:ascii="Times New Roman" w:hAnsi="Times New Roman" w:eastAsia="仿宋_GB2312" w:cs="Times New Roman"/>
          <w:sz w:val="28"/>
          <w:szCs w:val="28"/>
          <w:lang w:val="en-US" w:eastAsia="zh-CN"/>
        </w:rPr>
        <w:t>增</w:t>
      </w:r>
      <w:r>
        <w:rPr>
          <w:rFonts w:hint="default" w:ascii="Times New Roman" w:hAnsi="Times New Roman" w:eastAsia="仿宋_GB2312" w:cs="Times New Roman"/>
          <w:sz w:val="28"/>
          <w:szCs w:val="28"/>
          <w:lang w:val="en-US" w:eastAsia="zh-CN"/>
        </w:rPr>
        <w:t>大</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lang w:val="en-US" w:eastAsia="zh-CN"/>
        </w:rPr>
        <w:t>因消防通道管理</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lang w:val="en-US" w:eastAsia="zh-CN"/>
        </w:rPr>
        <w:t>新库区内交通变为</w:t>
      </w:r>
      <w:r>
        <w:rPr>
          <w:rFonts w:hint="eastAsia" w:ascii="Times New Roman" w:hAnsi="Times New Roman" w:eastAsia="仿宋_GB2312" w:cs="Times New Roman"/>
          <w:sz w:val="28"/>
          <w:szCs w:val="28"/>
          <w:lang w:val="en-US" w:eastAsia="zh-CN"/>
        </w:rPr>
        <w:t>单向</w:t>
      </w:r>
      <w:r>
        <w:rPr>
          <w:rFonts w:hint="default" w:ascii="Times New Roman" w:hAnsi="Times New Roman" w:eastAsia="仿宋_GB2312" w:cs="Times New Roman"/>
          <w:sz w:val="28"/>
          <w:szCs w:val="28"/>
          <w:lang w:val="en-US" w:eastAsia="zh-CN"/>
        </w:rPr>
        <w:t>循环</w:t>
      </w:r>
      <w:r>
        <w:rPr>
          <w:rFonts w:hint="eastAsia" w:ascii="Times New Roman" w:hAnsi="Times New Roman" w:eastAsia="仿宋_GB2312" w:cs="Times New Roman"/>
          <w:sz w:val="28"/>
          <w:szCs w:val="28"/>
          <w:lang w:val="en-US" w:eastAsia="zh-CN"/>
        </w:rPr>
        <w:t>，路线距离</w:t>
      </w:r>
      <w:r>
        <w:rPr>
          <w:rFonts w:hint="default" w:ascii="Times New Roman" w:hAnsi="Times New Roman" w:eastAsia="仿宋_GB2312" w:cs="Times New Roman"/>
          <w:sz w:val="28"/>
          <w:szCs w:val="28"/>
          <w:lang w:val="en-US" w:eastAsia="zh-CN"/>
        </w:rPr>
        <w:t>是原货站的三倍</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lang w:val="en-US" w:eastAsia="zh-CN"/>
        </w:rPr>
        <w:t>转运板耗时</w:t>
      </w:r>
      <w:r>
        <w:rPr>
          <w:rFonts w:hint="eastAsia" w:ascii="Times New Roman" w:hAnsi="Times New Roman" w:eastAsia="仿宋_GB2312" w:cs="Times New Roman"/>
          <w:sz w:val="28"/>
          <w:szCs w:val="28"/>
          <w:lang w:val="en-US" w:eastAsia="zh-CN"/>
        </w:rPr>
        <w:t>增加，并且</w:t>
      </w:r>
      <w:r>
        <w:rPr>
          <w:rFonts w:hint="default" w:ascii="Times New Roman" w:hAnsi="Times New Roman" w:eastAsia="仿宋_GB2312" w:cs="Times New Roman"/>
          <w:sz w:val="28"/>
          <w:szCs w:val="28"/>
          <w:lang w:val="en-US" w:eastAsia="zh-CN"/>
        </w:rPr>
        <w:t>出口货物查验工作需移库至查验区查验</w:t>
      </w:r>
      <w:r>
        <w:rPr>
          <w:rFonts w:hint="eastAsia" w:ascii="Times New Roman" w:hAnsi="Times New Roman" w:eastAsia="仿宋_GB2312" w:cs="Times New Roman"/>
          <w:sz w:val="28"/>
          <w:szCs w:val="28"/>
          <w:lang w:val="en-US" w:eastAsia="zh-CN"/>
        </w:rPr>
        <w:t>，故正式开展国际货站业务增补驾驶员外包项目时，拟在应急采购的</w:t>
      </w:r>
      <w:r>
        <w:rPr>
          <w:rFonts w:hint="default" w:ascii="Times New Roman" w:hAnsi="Times New Roman" w:eastAsia="仿宋_GB2312" w:cs="Times New Roman"/>
          <w:sz w:val="28"/>
          <w:szCs w:val="28"/>
          <w:lang w:val="en-US" w:eastAsia="zh-CN"/>
        </w:rPr>
        <w:t>基础上</w:t>
      </w:r>
      <w:r>
        <w:rPr>
          <w:rFonts w:hint="eastAsia" w:ascii="Times New Roman" w:hAnsi="Times New Roman" w:eastAsia="仿宋_GB2312" w:cs="Times New Roman"/>
          <w:sz w:val="28"/>
          <w:szCs w:val="28"/>
          <w:lang w:val="en-US" w:eastAsia="zh-CN"/>
        </w:rPr>
        <w:t>新增转运岗1个点位和查验岗1个点位</w:t>
      </w:r>
      <w:r>
        <w:rPr>
          <w:rFonts w:hint="default" w:ascii="Times New Roman" w:hAnsi="Times New Roman" w:eastAsia="仿宋_GB2312" w:cs="Times New Roman"/>
          <w:sz w:val="28"/>
          <w:szCs w:val="28"/>
          <w:lang w:val="en-US" w:eastAsia="zh-CN"/>
        </w:rPr>
        <w:t>，</w:t>
      </w:r>
      <w:r>
        <w:rPr>
          <w:rFonts w:hint="eastAsia" w:ascii="Times New Roman" w:hAnsi="Times New Roman" w:eastAsia="仿宋_GB2312" w:cs="Times New Roman"/>
          <w:sz w:val="28"/>
          <w:szCs w:val="28"/>
          <w:lang w:val="en-US" w:eastAsia="zh-CN"/>
        </w:rPr>
        <w:t>以确保现场保障顺畅，</w:t>
      </w:r>
      <w:r>
        <w:rPr>
          <w:rFonts w:hint="default" w:ascii="Times New Roman" w:hAnsi="Times New Roman" w:eastAsia="仿宋_GB2312" w:cs="Times New Roman"/>
          <w:sz w:val="28"/>
          <w:szCs w:val="28"/>
          <w:lang w:val="en-US" w:eastAsia="zh-CN"/>
        </w:rPr>
        <w:t>后期</w:t>
      </w:r>
      <w:r>
        <w:rPr>
          <w:rFonts w:hint="eastAsia" w:ascii="Times New Roman" w:hAnsi="Times New Roman" w:eastAsia="仿宋_GB2312" w:cs="Times New Roman"/>
          <w:sz w:val="28"/>
          <w:szCs w:val="28"/>
          <w:lang w:val="en-US" w:eastAsia="zh-CN"/>
        </w:rPr>
        <w:t>具体采购</w:t>
      </w:r>
      <w:r>
        <w:rPr>
          <w:rFonts w:hint="default" w:ascii="Times New Roman" w:hAnsi="Times New Roman" w:eastAsia="仿宋_GB2312" w:cs="Times New Roman"/>
          <w:sz w:val="28"/>
          <w:szCs w:val="28"/>
          <w:lang w:val="en-US" w:eastAsia="zh-CN"/>
        </w:rPr>
        <w:t>数量根据现场实际保障情况进行调整。</w:t>
      </w:r>
    </w:p>
    <w:p>
      <w:pPr>
        <w:spacing w:line="560" w:lineRule="exact"/>
        <w:ind w:firstLine="562" w:firstLineChars="200"/>
        <w:rPr>
          <w:rStyle w:val="26"/>
          <w:rFonts w:ascii="仿宋_GB2312" w:hAnsi="仿宋_GB2312" w:eastAsia="仿宋_GB2312" w:cs="仿宋_GB2312"/>
          <w:b/>
          <w:bCs/>
          <w:color w:val="000000" w:themeColor="text1"/>
          <w:sz w:val="28"/>
          <w:szCs w:val="28"/>
          <w14:textFill>
            <w14:solidFill>
              <w14:schemeClr w14:val="tx1"/>
            </w14:solidFill>
          </w14:textFill>
        </w:rPr>
      </w:pPr>
      <w:r>
        <w:rPr>
          <w:rStyle w:val="26"/>
          <w:rFonts w:hint="eastAsia" w:ascii="仿宋_GB2312" w:hAnsi="仿宋_GB2312" w:eastAsia="仿宋_GB2312" w:cs="仿宋_GB2312"/>
          <w:b/>
          <w:bCs/>
          <w:color w:val="000000" w:themeColor="text1"/>
          <w:sz w:val="28"/>
          <w:szCs w:val="28"/>
          <w14:textFill>
            <w14:solidFill>
              <w14:schemeClr w14:val="tx1"/>
            </w14:solidFill>
          </w14:textFill>
        </w:rPr>
        <w:t>1.2.2服务范围：</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重庆江北国际机场国际货运库区牵引车、叉车（含电动前移式叉车）等车辆驾驶业务。</w:t>
      </w:r>
    </w:p>
    <w:p>
      <w:pPr>
        <w:spacing w:line="560" w:lineRule="exact"/>
        <w:ind w:firstLine="562" w:firstLineChars="200"/>
        <w:rPr>
          <w:rStyle w:val="26"/>
          <w:rFonts w:ascii="仿宋_GB2312" w:hAnsi="仿宋_GB2312" w:eastAsia="仿宋_GB2312" w:cs="仿宋_GB2312"/>
          <w:b/>
          <w:bCs/>
          <w:color w:val="000000" w:themeColor="text1"/>
          <w:sz w:val="28"/>
          <w:szCs w:val="28"/>
          <w14:textFill>
            <w14:solidFill>
              <w14:schemeClr w14:val="tx1"/>
            </w14:solidFill>
          </w14:textFill>
        </w:rPr>
      </w:pPr>
      <w:r>
        <w:rPr>
          <w:rStyle w:val="26"/>
          <w:rFonts w:hint="eastAsia" w:ascii="仿宋_GB2312" w:hAnsi="仿宋_GB2312" w:eastAsia="仿宋_GB2312" w:cs="仿宋_GB2312"/>
          <w:b/>
          <w:bCs/>
          <w:color w:val="000000" w:themeColor="text1"/>
          <w:sz w:val="28"/>
          <w:szCs w:val="28"/>
          <w14:textFill>
            <w14:solidFill>
              <w14:schemeClr w14:val="tx1"/>
            </w14:solidFill>
          </w14:textFill>
        </w:rPr>
        <w:t>1.2.3岗位配置</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Hans"/>
        </w:rPr>
        <w:t>本项目</w:t>
      </w:r>
      <w:r>
        <w:rPr>
          <w:rFonts w:hint="default" w:ascii="Times New Roman" w:hAnsi="Times New Roman" w:eastAsia="仿宋_GB2312" w:cs="Times New Roman"/>
          <w:sz w:val="28"/>
          <w:szCs w:val="28"/>
          <w:lang w:val="en-US" w:eastAsia="zh-CN"/>
        </w:rPr>
        <w:t>拟</w:t>
      </w:r>
      <w:r>
        <w:rPr>
          <w:rFonts w:hint="default" w:ascii="Times New Roman" w:hAnsi="Times New Roman" w:eastAsia="仿宋_GB2312" w:cs="Times New Roman"/>
          <w:sz w:val="28"/>
          <w:szCs w:val="28"/>
          <w:lang w:val="en-US" w:eastAsia="zh-Hans"/>
        </w:rPr>
        <w:t>采购国际货站驾驶员</w:t>
      </w:r>
      <w:r>
        <w:rPr>
          <w:rFonts w:hint="eastAsia" w:ascii="Times New Roman" w:hAnsi="Times New Roman" w:eastAsia="仿宋_GB2312" w:cs="Times New Roman"/>
          <w:sz w:val="28"/>
          <w:szCs w:val="28"/>
          <w:lang w:val="en-US" w:eastAsia="zh-CN"/>
        </w:rPr>
        <w:t>以下岗位</w:t>
      </w:r>
      <w:r>
        <w:rPr>
          <w:rFonts w:hint="default" w:ascii="Times New Roman" w:hAnsi="Times New Roman" w:eastAsia="仿宋_GB2312" w:cs="Times New Roman"/>
          <w:sz w:val="28"/>
          <w:szCs w:val="28"/>
          <w:lang w:val="en-US" w:eastAsia="zh-CN"/>
        </w:rPr>
        <w:t>：复重岗2个点位、集控岗1个点位、收货岗2个点位</w:t>
      </w:r>
      <w:r>
        <w:rPr>
          <w:rFonts w:hint="eastAsia"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lang w:val="en-US" w:eastAsia="zh-CN"/>
        </w:rPr>
        <w:t>转运岗1个点位、查验岗1个点位。后期采购</w:t>
      </w:r>
      <w:r>
        <w:rPr>
          <w:rFonts w:hint="eastAsia" w:ascii="Times New Roman" w:hAnsi="Times New Roman" w:eastAsia="仿宋_GB2312" w:cs="Times New Roman"/>
          <w:sz w:val="28"/>
          <w:szCs w:val="28"/>
          <w:lang w:val="en-US" w:eastAsia="zh-CN"/>
        </w:rPr>
        <w:t>数量</w:t>
      </w:r>
      <w:r>
        <w:rPr>
          <w:rFonts w:hint="default" w:ascii="Times New Roman" w:hAnsi="Times New Roman" w:eastAsia="仿宋_GB2312" w:cs="Times New Roman"/>
          <w:sz w:val="28"/>
          <w:szCs w:val="28"/>
          <w:lang w:val="en-US" w:eastAsia="zh-CN"/>
        </w:rPr>
        <w:t>将根据现场实际保障情况进行调整。</w:t>
      </w:r>
    </w:p>
    <w:p>
      <w:pPr>
        <w:spacing w:line="560" w:lineRule="exact"/>
        <w:ind w:firstLine="560" w:firstLineChars="200"/>
        <w:rPr>
          <w:rFonts w:hint="default" w:ascii="Times New Roman" w:hAnsi="Times New Roman" w:eastAsia="仿宋_GB2312" w:cs="Times New Roman"/>
          <w:sz w:val="28"/>
          <w:szCs w:val="28"/>
          <w:lang w:val="en-US" w:eastAsia="zh-CN"/>
        </w:rPr>
      </w:pPr>
      <w:r>
        <w:rPr>
          <w:rFonts w:hint="default" w:ascii="Times New Roman" w:hAnsi="Times New Roman" w:eastAsia="仿宋_GB2312" w:cs="Times New Roman"/>
          <w:sz w:val="28"/>
          <w:szCs w:val="28"/>
          <w:lang w:val="en-US" w:eastAsia="zh-CN"/>
        </w:rPr>
        <w:t>承包方需按照国家劳动用工有关法律法规和政府监管要求，自行配备</w:t>
      </w:r>
      <w:r>
        <w:rPr>
          <w:rFonts w:hint="default" w:ascii="Times New Roman" w:hAnsi="Times New Roman" w:eastAsia="仿宋_GB2312" w:cs="Times New Roman"/>
          <w:sz w:val="28"/>
          <w:szCs w:val="28"/>
          <w:lang w:val="en-US" w:eastAsia="zh-Hans"/>
        </w:rPr>
        <w:t>符合标准</w:t>
      </w:r>
      <w:r>
        <w:rPr>
          <w:rFonts w:hint="default" w:ascii="Times New Roman" w:hAnsi="Times New Roman" w:eastAsia="仿宋_GB2312" w:cs="Times New Roman"/>
          <w:sz w:val="28"/>
          <w:szCs w:val="28"/>
          <w:lang w:val="en-US" w:eastAsia="zh-CN"/>
        </w:rPr>
        <w:t>的人员，履行相应的岗位职责，确保工作区域现场24小时全覆盖。根据特殊保障需要，发包方有权要求承包方增加或减少相应的</w:t>
      </w:r>
      <w:r>
        <w:rPr>
          <w:rFonts w:hint="eastAsia" w:ascii="Times New Roman" w:hAnsi="Times New Roman" w:eastAsia="仿宋_GB2312" w:cs="Times New Roman"/>
          <w:sz w:val="28"/>
          <w:szCs w:val="28"/>
          <w:lang w:val="en-US" w:eastAsia="zh-CN"/>
        </w:rPr>
        <w:t>点位数量</w:t>
      </w:r>
      <w:r>
        <w:rPr>
          <w:rFonts w:hint="default" w:ascii="Times New Roman" w:hAnsi="Times New Roman" w:eastAsia="仿宋_GB2312" w:cs="Times New Roman"/>
          <w:sz w:val="28"/>
          <w:szCs w:val="28"/>
          <w:lang w:val="en-US" w:eastAsia="zh-CN"/>
        </w:rPr>
        <w:t>，</w:t>
      </w:r>
      <w:r>
        <w:rPr>
          <w:rFonts w:hint="default" w:ascii="Times New Roman" w:hAnsi="Times New Roman" w:eastAsia="仿宋_GB2312" w:cs="Times New Roman"/>
          <w:sz w:val="28"/>
          <w:szCs w:val="28"/>
          <w:lang w:val="en-US" w:eastAsia="zh-Hans"/>
        </w:rPr>
        <w:t>并按</w:t>
      </w:r>
      <w:r>
        <w:rPr>
          <w:rFonts w:hint="eastAsia" w:ascii="Times New Roman" w:hAnsi="Times New Roman" w:eastAsia="仿宋_GB2312" w:cs="Times New Roman"/>
          <w:sz w:val="28"/>
          <w:szCs w:val="28"/>
          <w:lang w:val="en-US" w:eastAsia="zh-CN"/>
        </w:rPr>
        <w:t>点</w:t>
      </w:r>
      <w:r>
        <w:rPr>
          <w:rFonts w:hint="default" w:ascii="Times New Roman" w:hAnsi="Times New Roman" w:eastAsia="仿宋_GB2312" w:cs="Times New Roman"/>
          <w:sz w:val="28"/>
          <w:szCs w:val="28"/>
          <w:lang w:val="en-US" w:eastAsia="zh-Hans"/>
        </w:rPr>
        <w:t>位单价</w:t>
      </w:r>
      <w:r>
        <w:rPr>
          <w:rFonts w:hint="eastAsia" w:ascii="Times New Roman" w:hAnsi="Times New Roman" w:eastAsia="仿宋_GB2312" w:cs="Times New Roman"/>
          <w:sz w:val="28"/>
          <w:szCs w:val="28"/>
          <w:lang w:val="en-US" w:eastAsia="zh-CN"/>
        </w:rPr>
        <w:t>成交</w:t>
      </w:r>
      <w:r>
        <w:rPr>
          <w:rFonts w:hint="default" w:ascii="Times New Roman" w:hAnsi="Times New Roman" w:eastAsia="仿宋_GB2312" w:cs="Times New Roman"/>
          <w:sz w:val="28"/>
          <w:szCs w:val="28"/>
          <w:lang w:val="en-US" w:eastAsia="zh-Hans"/>
        </w:rPr>
        <w:t>进行结算。</w:t>
      </w:r>
    </w:p>
    <w:p>
      <w:pPr>
        <w:spacing w:line="560" w:lineRule="exact"/>
        <w:ind w:firstLine="562" w:firstLineChars="200"/>
        <w:rPr>
          <w:rFonts w:hint="eastAsia" w:eastAsia="仿宋_GB2312"/>
          <w:b/>
          <w:bCs w:val="0"/>
          <w:sz w:val="28"/>
          <w:szCs w:val="28"/>
          <w:lang w:eastAsia="zh-Hans"/>
        </w:rPr>
      </w:pPr>
      <w:r>
        <w:rPr>
          <w:rFonts w:hint="eastAsia" w:eastAsia="仿宋_GB2312"/>
          <w:b/>
          <w:bCs w:val="0"/>
          <w:sz w:val="28"/>
          <w:szCs w:val="28"/>
          <w:lang w:eastAsia="zh-Hans"/>
        </w:rPr>
        <w:t>岗位职责及工作内容</w:t>
      </w:r>
      <w:r>
        <w:rPr>
          <w:rFonts w:hint="eastAsia" w:eastAsia="仿宋_GB2312"/>
          <w:b/>
          <w:bCs w:val="0"/>
          <w:sz w:val="28"/>
          <w:szCs w:val="28"/>
          <w:lang w:eastAsia="zh-CN"/>
        </w:rPr>
        <w:t>等项目要求</w:t>
      </w:r>
      <w:r>
        <w:rPr>
          <w:rFonts w:hint="eastAsia" w:eastAsia="仿宋_GB2312"/>
          <w:b/>
          <w:bCs w:val="0"/>
          <w:sz w:val="28"/>
          <w:szCs w:val="28"/>
          <w:lang w:eastAsia="zh-Hans"/>
        </w:rPr>
        <w:t>详见附件一。</w:t>
      </w:r>
    </w:p>
    <w:p>
      <w:pPr>
        <w:spacing w:line="560" w:lineRule="exact"/>
        <w:ind w:firstLine="562" w:firstLineChars="200"/>
        <w:rPr>
          <w:rStyle w:val="26"/>
          <w:rFonts w:ascii="仿宋_GB2312" w:hAnsi="仿宋_GB2312" w:eastAsia="仿宋_GB2312" w:cs="仿宋_GB2312"/>
          <w:b/>
          <w:bCs/>
          <w:color w:val="000000" w:themeColor="text1"/>
          <w:sz w:val="28"/>
          <w:szCs w:val="28"/>
          <w14:textFill>
            <w14:solidFill>
              <w14:schemeClr w14:val="tx1"/>
            </w14:solidFill>
          </w14:textFill>
        </w:rPr>
      </w:pPr>
      <w:r>
        <w:rPr>
          <w:rStyle w:val="26"/>
          <w:rFonts w:hint="eastAsia" w:ascii="仿宋_GB2312" w:hAnsi="仿宋_GB2312" w:eastAsia="仿宋_GB2312" w:cs="仿宋_GB2312"/>
          <w:b/>
          <w:bCs/>
          <w:color w:val="000000" w:themeColor="text1"/>
          <w:sz w:val="28"/>
          <w:szCs w:val="28"/>
          <w14:textFill>
            <w14:solidFill>
              <w14:schemeClr w14:val="tx1"/>
            </w14:solidFill>
          </w14:textFill>
        </w:rPr>
        <w:t>1.2.</w:t>
      </w:r>
      <w:r>
        <w:rPr>
          <w:rStyle w:val="26"/>
          <w:rFonts w:ascii="仿宋_GB2312" w:hAnsi="仿宋_GB2312" w:eastAsia="仿宋_GB2312" w:cs="仿宋_GB2312"/>
          <w:b/>
          <w:bCs/>
          <w:color w:val="000000" w:themeColor="text1"/>
          <w:sz w:val="28"/>
          <w:szCs w:val="28"/>
          <w14:textFill>
            <w14:solidFill>
              <w14:schemeClr w14:val="tx1"/>
            </w14:solidFill>
          </w14:textFill>
        </w:rPr>
        <w:t>4</w:t>
      </w:r>
      <w:r>
        <w:rPr>
          <w:rStyle w:val="26"/>
          <w:rFonts w:hint="eastAsia" w:ascii="仿宋_GB2312" w:hAnsi="仿宋_GB2312" w:eastAsia="仿宋_GB2312" w:cs="仿宋_GB2312"/>
          <w:b/>
          <w:bCs/>
          <w:color w:val="000000" w:themeColor="text1"/>
          <w:sz w:val="28"/>
          <w:szCs w:val="28"/>
          <w14:textFill>
            <w14:solidFill>
              <w14:schemeClr w14:val="tx1"/>
            </w14:solidFill>
          </w14:textFill>
        </w:rPr>
        <w:t>报价要求：</w:t>
      </w:r>
    </w:p>
    <w:p>
      <w:pPr>
        <w:widowControl/>
        <w:spacing w:line="560" w:lineRule="exact"/>
        <w:ind w:firstLine="548" w:firstLineChars="196"/>
        <w:jc w:val="left"/>
        <w:rPr>
          <w:rStyle w:val="26"/>
          <w:rFonts w:ascii="仿宋_GB2312" w:hAnsi="仿宋_GB2312" w:eastAsia="仿宋_GB2312" w:cs="仿宋_GB2312"/>
          <w:color w:val="000000" w:themeColor="text1"/>
          <w:sz w:val="28"/>
          <w:szCs w:val="28"/>
          <w14:textFill>
            <w14:solidFill>
              <w14:schemeClr w14:val="tx1"/>
            </w14:solidFill>
          </w14:textFill>
        </w:rPr>
      </w:pPr>
      <w:r>
        <w:rPr>
          <w:rStyle w:val="26"/>
          <w:rFonts w:hint="eastAsia" w:ascii="仿宋_GB2312" w:hAnsi="仿宋_GB2312" w:eastAsia="仿宋_GB2312" w:cs="仿宋_GB2312"/>
          <w:color w:val="000000" w:themeColor="text1"/>
          <w:sz w:val="28"/>
          <w:szCs w:val="28"/>
          <w14:textFill>
            <w14:solidFill>
              <w14:schemeClr w14:val="tx1"/>
            </w14:solidFill>
          </w14:textFill>
        </w:rPr>
        <w:t>本项目所涉及到的费用为人民币报价，报价包括完成项目要求的</w:t>
      </w:r>
      <w:r>
        <w:rPr>
          <w:rStyle w:val="26"/>
          <w:rFonts w:hint="eastAsia" w:ascii="仿宋_GB2312" w:hAnsi="仿宋_GB2312" w:eastAsia="仿宋_GB2312" w:cs="仿宋_GB2312"/>
          <w:color w:val="000000" w:themeColor="text1"/>
          <w:sz w:val="28"/>
          <w:szCs w:val="28"/>
          <w:lang w:eastAsia="zh-CN"/>
          <w14:textFill>
            <w14:solidFill>
              <w14:schemeClr w14:val="tx1"/>
            </w14:solidFill>
          </w14:textFill>
        </w:rPr>
        <w:t>人工</w:t>
      </w:r>
      <w:r>
        <w:rPr>
          <w:rStyle w:val="26"/>
          <w:rFonts w:hint="eastAsia" w:ascii="仿宋_GB2312" w:hAnsi="仿宋_GB2312" w:eastAsia="仿宋_GB2312" w:cs="仿宋_GB2312"/>
          <w:color w:val="000000" w:themeColor="text1"/>
          <w:sz w:val="28"/>
          <w:szCs w:val="28"/>
          <w14:textFill>
            <w14:solidFill>
              <w14:schemeClr w14:val="tx1"/>
            </w14:solidFill>
          </w14:textFill>
        </w:rPr>
        <w:t>费用、</w:t>
      </w:r>
      <w:r>
        <w:rPr>
          <w:rStyle w:val="26"/>
          <w:rFonts w:hint="eastAsia" w:ascii="仿宋_GB2312" w:hAnsi="仿宋_GB2312" w:eastAsia="仿宋_GB2312" w:cs="仿宋_GB2312"/>
          <w:color w:val="000000" w:themeColor="text1"/>
          <w:sz w:val="28"/>
          <w:szCs w:val="28"/>
          <w:lang w:eastAsia="zh-CN"/>
          <w14:textFill>
            <w14:solidFill>
              <w14:schemeClr w14:val="tx1"/>
            </w14:solidFill>
          </w14:textFill>
        </w:rPr>
        <w:t>管理费用</w:t>
      </w:r>
      <w:r>
        <w:rPr>
          <w:rStyle w:val="26"/>
          <w:rFonts w:hint="eastAsia" w:ascii="仿宋_GB2312" w:hAnsi="仿宋_GB2312" w:eastAsia="仿宋_GB2312" w:cs="仿宋_GB2312"/>
          <w:color w:val="000000" w:themeColor="text1"/>
          <w:sz w:val="28"/>
          <w:szCs w:val="28"/>
          <w14:textFill>
            <w14:solidFill>
              <w14:schemeClr w14:val="tx1"/>
            </w14:solidFill>
          </w14:textFill>
        </w:rPr>
        <w:t>和相关税费（除增值税外）等全部费用。因响应人自身原因造成漏报、少报皆由其自行承担责任，比选人不再补偿。报价超过最高限价，将取消比选响应人的比选资格。</w:t>
      </w:r>
    </w:p>
    <w:p>
      <w:pPr>
        <w:pStyle w:val="2"/>
        <w:ind w:firstLine="562" w:firstLineChars="200"/>
        <w:rPr>
          <w:rStyle w:val="26"/>
          <w:rFonts w:hint="eastAsia" w:ascii="仿宋_GB2312" w:hAnsi="仿宋_GB2312" w:eastAsia="仿宋_GB2312" w:cs="仿宋_GB2312"/>
          <w:b/>
          <w:bCs/>
          <w:color w:val="000000" w:themeColor="text1"/>
          <w:kern w:val="2"/>
          <w:sz w:val="28"/>
          <w:szCs w:val="28"/>
          <w:lang w:val="en-US" w:eastAsia="zh-CN" w:bidi="ar-SA"/>
          <w14:textFill>
            <w14:solidFill>
              <w14:schemeClr w14:val="tx1"/>
            </w14:solidFill>
          </w14:textFill>
        </w:rPr>
      </w:pPr>
      <w:r>
        <w:rPr>
          <w:rStyle w:val="26"/>
          <w:rFonts w:hint="eastAsia" w:ascii="仿宋_GB2312" w:hAnsi="仿宋_GB2312" w:eastAsia="仿宋_GB2312" w:cs="仿宋_GB2312"/>
          <w:b/>
          <w:bCs/>
          <w:color w:val="000000" w:themeColor="text1"/>
          <w:kern w:val="2"/>
          <w:sz w:val="28"/>
          <w:szCs w:val="28"/>
          <w:lang w:val="en-US" w:eastAsia="zh-CN" w:bidi="ar-SA"/>
          <w14:textFill>
            <w14:solidFill>
              <w14:schemeClr w14:val="tx1"/>
            </w14:solidFill>
          </w14:textFill>
        </w:rPr>
        <w:t>本项目</w:t>
      </w:r>
      <w:r>
        <w:rPr>
          <w:rStyle w:val="26"/>
          <w:rFonts w:hint="eastAsia" w:hAnsi="仿宋_GB2312" w:cs="仿宋_GB2312"/>
          <w:b/>
          <w:bCs/>
          <w:color w:val="000000" w:themeColor="text1"/>
          <w:kern w:val="2"/>
          <w:sz w:val="28"/>
          <w:szCs w:val="28"/>
          <w:lang w:val="en-US" w:eastAsia="zh-CN" w:bidi="ar-SA"/>
          <w14:textFill>
            <w14:solidFill>
              <w14:schemeClr w14:val="tx1"/>
            </w14:solidFill>
          </w14:textFill>
        </w:rPr>
        <w:t>每个点位每月的</w:t>
      </w:r>
      <w:r>
        <w:rPr>
          <w:rStyle w:val="26"/>
          <w:rFonts w:hint="eastAsia" w:ascii="仿宋_GB2312" w:hAnsi="仿宋_GB2312" w:eastAsia="仿宋_GB2312" w:cs="仿宋_GB2312"/>
          <w:b/>
          <w:bCs/>
          <w:color w:val="000000" w:themeColor="text1"/>
          <w:kern w:val="2"/>
          <w:sz w:val="28"/>
          <w:szCs w:val="28"/>
          <w:lang w:val="en-US" w:eastAsia="zh-CN" w:bidi="ar-SA"/>
          <w14:textFill>
            <w14:solidFill>
              <w14:schemeClr w14:val="tx1"/>
            </w14:solidFill>
          </w14:textFill>
        </w:rPr>
        <w:t>限价为</w:t>
      </w:r>
      <w:r>
        <w:rPr>
          <w:rStyle w:val="26"/>
          <w:rFonts w:hint="eastAsia" w:hAnsi="仿宋_GB2312" w:cs="仿宋_GB2312"/>
          <w:b/>
          <w:bCs/>
          <w:color w:val="000000" w:themeColor="text1"/>
          <w:kern w:val="2"/>
          <w:sz w:val="28"/>
          <w:szCs w:val="28"/>
          <w:lang w:val="en-US" w:eastAsia="zh-CN" w:bidi="ar-SA"/>
          <w14:textFill>
            <w14:solidFill>
              <w14:schemeClr w14:val="tx1"/>
            </w14:solidFill>
          </w14:textFill>
        </w:rPr>
        <w:t>人民币</w:t>
      </w:r>
      <w:r>
        <w:rPr>
          <w:rStyle w:val="26"/>
          <w:rFonts w:hint="eastAsia" w:hAnsi="仿宋_GB2312" w:cs="仿宋_GB2312"/>
          <w:b/>
          <w:bCs/>
          <w:color w:val="000000" w:themeColor="text1"/>
          <w:kern w:val="2"/>
          <w:sz w:val="28"/>
          <w:szCs w:val="28"/>
          <w:u w:val="single"/>
          <w:lang w:val="en-US" w:eastAsia="zh-CN" w:bidi="ar-SA"/>
          <w14:textFill>
            <w14:solidFill>
              <w14:schemeClr w14:val="tx1"/>
            </w14:solidFill>
          </w14:textFill>
        </w:rPr>
        <w:t>壹万肆仟肆佰元整（小写：¥14400.00</w:t>
      </w:r>
      <w:r>
        <w:rPr>
          <w:rStyle w:val="26"/>
          <w:rFonts w:hint="eastAsia" w:ascii="仿宋_GB2312" w:hAnsi="仿宋_GB2312" w:eastAsia="仿宋_GB2312" w:cs="仿宋_GB2312"/>
          <w:b/>
          <w:bCs/>
          <w:color w:val="000000" w:themeColor="text1"/>
          <w:kern w:val="2"/>
          <w:sz w:val="28"/>
          <w:szCs w:val="28"/>
          <w:u w:val="single"/>
          <w:lang w:val="en-US" w:eastAsia="zh-CN" w:bidi="ar-SA"/>
          <w14:textFill>
            <w14:solidFill>
              <w14:schemeClr w14:val="tx1"/>
            </w14:solidFill>
          </w14:textFill>
        </w:rPr>
        <w:t>元</w:t>
      </w:r>
      <w:r>
        <w:rPr>
          <w:rStyle w:val="26"/>
          <w:rFonts w:hint="eastAsia" w:hAnsi="仿宋_GB2312" w:cs="仿宋_GB2312"/>
          <w:b/>
          <w:bCs/>
          <w:color w:val="000000" w:themeColor="text1"/>
          <w:kern w:val="2"/>
          <w:sz w:val="28"/>
          <w:szCs w:val="28"/>
          <w:u w:val="single"/>
          <w:lang w:val="en-US" w:eastAsia="zh-CN" w:bidi="ar-SA"/>
          <w14:textFill>
            <w14:solidFill>
              <w14:schemeClr w14:val="tx1"/>
            </w14:solidFill>
          </w14:textFill>
        </w:rPr>
        <w:t>）</w:t>
      </w:r>
      <w:r>
        <w:rPr>
          <w:rStyle w:val="26"/>
          <w:rFonts w:hint="eastAsia" w:ascii="仿宋_GB2312" w:hAnsi="仿宋_GB2312" w:eastAsia="仿宋_GB2312" w:cs="仿宋_GB2312"/>
          <w:b/>
          <w:bCs/>
          <w:color w:val="000000" w:themeColor="text1"/>
          <w:kern w:val="2"/>
          <w:sz w:val="28"/>
          <w:szCs w:val="28"/>
          <w:lang w:val="en-US" w:eastAsia="zh-CN" w:bidi="ar-SA"/>
          <w14:textFill>
            <w14:solidFill>
              <w14:schemeClr w14:val="tx1"/>
            </w14:solidFill>
          </w14:textFill>
        </w:rPr>
        <w:t>。</w:t>
      </w:r>
    </w:p>
    <w:p>
      <w:pPr>
        <w:spacing w:line="560" w:lineRule="exact"/>
        <w:ind w:firstLine="562" w:firstLineChars="200"/>
        <w:rPr>
          <w:rStyle w:val="26"/>
          <w:rFonts w:hint="eastAsia" w:ascii="仿宋_GB2312" w:hAnsi="仿宋_GB2312" w:eastAsia="仿宋_GB2312" w:cs="仿宋_GB2312"/>
          <w:b/>
          <w:bCs/>
          <w:color w:val="000000" w:themeColor="text1"/>
          <w:sz w:val="28"/>
          <w:szCs w:val="28"/>
          <w14:textFill>
            <w14:solidFill>
              <w14:schemeClr w14:val="tx1"/>
            </w14:solidFill>
          </w14:textFill>
        </w:rPr>
      </w:pPr>
      <w:r>
        <w:rPr>
          <w:rStyle w:val="26"/>
          <w:rFonts w:hint="eastAsia" w:ascii="仿宋_GB2312" w:hAnsi="仿宋_GB2312" w:eastAsia="仿宋_GB2312" w:cs="仿宋_GB2312"/>
          <w:b/>
          <w:bCs/>
          <w:color w:val="000000" w:themeColor="text1"/>
          <w:sz w:val="28"/>
          <w:szCs w:val="28"/>
          <w14:textFill>
            <w14:solidFill>
              <w14:schemeClr w14:val="tx1"/>
            </w14:solidFill>
          </w14:textFill>
        </w:rPr>
        <w:t>1</w:t>
      </w:r>
      <w:r>
        <w:rPr>
          <w:rStyle w:val="26"/>
          <w:rFonts w:ascii="仿宋_GB2312" w:hAnsi="仿宋_GB2312" w:eastAsia="仿宋_GB2312" w:cs="仿宋_GB2312"/>
          <w:b/>
          <w:bCs/>
          <w:color w:val="000000" w:themeColor="text1"/>
          <w:sz w:val="28"/>
          <w:szCs w:val="28"/>
          <w14:textFill>
            <w14:solidFill>
              <w14:schemeClr w14:val="tx1"/>
            </w14:solidFill>
          </w14:textFill>
        </w:rPr>
        <w:t>.2.5</w:t>
      </w:r>
      <w:r>
        <w:rPr>
          <w:rStyle w:val="26"/>
          <w:rFonts w:hint="eastAsia" w:ascii="仿宋_GB2312" w:hAnsi="仿宋_GB2312" w:eastAsia="仿宋_GB2312" w:cs="仿宋_GB2312"/>
          <w:b/>
          <w:bCs/>
          <w:color w:val="000000" w:themeColor="text1"/>
          <w:sz w:val="28"/>
          <w:szCs w:val="28"/>
          <w14:textFill>
            <w14:solidFill>
              <w14:schemeClr w14:val="tx1"/>
            </w14:solidFill>
          </w14:textFill>
        </w:rPr>
        <w:t>合同主要条款</w:t>
      </w:r>
      <w:r>
        <w:rPr>
          <w:rStyle w:val="26"/>
          <w:rFonts w:ascii="仿宋_GB2312" w:hAnsi="仿宋_GB2312" w:eastAsia="仿宋_GB2312" w:cs="仿宋_GB2312"/>
          <w:b/>
          <w:bCs/>
          <w:color w:val="000000" w:themeColor="text1"/>
          <w:sz w:val="28"/>
          <w:szCs w:val="28"/>
          <w14:textFill>
            <w14:solidFill>
              <w14:schemeClr w14:val="tx1"/>
            </w14:solidFill>
          </w14:textFill>
        </w:rPr>
        <w:t>：详见附件三</w:t>
      </w:r>
    </w:p>
    <w:bookmarkEnd w:id="0"/>
    <w:p>
      <w:pPr>
        <w:widowControl/>
        <w:spacing w:line="560" w:lineRule="exact"/>
        <w:ind w:firstLine="560" w:firstLineChars="200"/>
        <w:jc w:val="left"/>
        <w:rPr>
          <w:rFonts w:ascii="黑体" w:hAnsi="黑体" w:eastAsia="黑体" w:cs="黑体"/>
          <w:color w:val="000000" w:themeColor="text1"/>
          <w:kern w:val="0"/>
          <w:sz w:val="28"/>
          <w:szCs w:val="28"/>
          <w14:textFill>
            <w14:solidFill>
              <w14:schemeClr w14:val="tx1"/>
            </w14:solidFill>
          </w14:textFill>
        </w:rPr>
      </w:pPr>
      <w:r>
        <w:rPr>
          <w:rFonts w:hint="eastAsia" w:ascii="黑体" w:hAnsi="黑体" w:eastAsia="黑体" w:cs="黑体"/>
          <w:color w:val="000000" w:themeColor="text1"/>
          <w:kern w:val="0"/>
          <w:sz w:val="28"/>
          <w:szCs w:val="28"/>
          <w14:textFill>
            <w14:solidFill>
              <w14:schemeClr w14:val="tx1"/>
            </w14:solidFill>
          </w14:textFill>
        </w:rPr>
        <w:t>二、成交标准</w:t>
      </w:r>
    </w:p>
    <w:p>
      <w:pPr>
        <w:spacing w:line="560" w:lineRule="exact"/>
        <w:ind w:firstLine="562" w:firstLineChars="200"/>
        <w:rPr>
          <w:rFonts w:ascii="仿宋_GB2312" w:hAnsi="仿宋_GB2312" w:eastAsia="仿宋_GB2312" w:cs="仿宋_GB2312"/>
          <w:b/>
          <w:color w:val="000000" w:themeColor="text1"/>
          <w:sz w:val="28"/>
          <w:szCs w:val="28"/>
          <w14:textFill>
            <w14:solidFill>
              <w14:schemeClr w14:val="tx1"/>
            </w14:solidFill>
          </w14:textFill>
        </w:rPr>
      </w:pPr>
      <w:r>
        <w:rPr>
          <w:rFonts w:hint="eastAsia" w:ascii="仿宋_GB2312" w:hAnsi="仿宋_GB2312" w:eastAsia="仿宋_GB2312" w:cs="仿宋_GB2312"/>
          <w:b/>
          <w:color w:val="000000" w:themeColor="text1"/>
          <w:sz w:val="28"/>
          <w:szCs w:val="28"/>
          <w14:textFill>
            <w14:solidFill>
              <w14:schemeClr w14:val="tx1"/>
            </w14:solidFill>
          </w14:textFill>
        </w:rPr>
        <w:t>成交人采用综合评分法，按综合得分从高到低的原则确定</w:t>
      </w:r>
      <w:r>
        <w:rPr>
          <w:rFonts w:ascii="仿宋_GB2312" w:hAnsi="仿宋_GB2312" w:eastAsia="仿宋_GB2312" w:cs="仿宋_GB2312"/>
          <w:b/>
          <w:color w:val="000000" w:themeColor="text1"/>
          <w:sz w:val="28"/>
          <w:szCs w:val="28"/>
          <w14:textFill>
            <w14:solidFill>
              <w14:schemeClr w14:val="tx1"/>
            </w14:solidFill>
          </w14:textFill>
        </w:rPr>
        <w:t>3</w:t>
      </w:r>
      <w:r>
        <w:rPr>
          <w:rFonts w:hint="eastAsia" w:ascii="仿宋_GB2312" w:hAnsi="仿宋_GB2312" w:eastAsia="仿宋_GB2312" w:cs="仿宋_GB2312"/>
          <w:b/>
          <w:color w:val="000000" w:themeColor="text1"/>
          <w:sz w:val="28"/>
          <w:szCs w:val="28"/>
          <w14:textFill>
            <w14:solidFill>
              <w14:schemeClr w14:val="tx1"/>
            </w14:solidFill>
          </w14:textFill>
        </w:rPr>
        <w:t>名成交候选人，综合得分第一名的推荐为成交人。</w:t>
      </w:r>
    </w:p>
    <w:p>
      <w:pPr>
        <w:spacing w:line="560" w:lineRule="exact"/>
        <w:ind w:firstLine="562" w:firstLineChars="200"/>
        <w:rPr>
          <w:rFonts w:ascii="仿宋_GB2312" w:hAnsi="仿宋_GB2312" w:eastAsia="仿宋_GB2312" w:cs="仿宋_GB2312"/>
          <w:b/>
          <w:color w:val="000000" w:themeColor="text1"/>
          <w:sz w:val="28"/>
          <w:szCs w:val="28"/>
          <w:u w:val="single"/>
          <w14:textFill>
            <w14:solidFill>
              <w14:schemeClr w14:val="tx1"/>
            </w14:solidFill>
          </w14:textFill>
        </w:rPr>
      </w:pPr>
      <w:r>
        <w:rPr>
          <w:rFonts w:hint="eastAsia" w:ascii="仿宋_GB2312" w:hAnsi="仿宋_GB2312" w:eastAsia="仿宋_GB2312" w:cs="仿宋_GB2312"/>
          <w:b/>
          <w:color w:val="000000" w:themeColor="text1"/>
          <w:sz w:val="28"/>
          <w:szCs w:val="28"/>
          <w14:textFill>
            <w14:solidFill>
              <w14:schemeClr w14:val="tx1"/>
            </w14:solidFill>
          </w14:textFill>
        </w:rPr>
        <w:t>评分标准详见附件二。</w:t>
      </w:r>
    </w:p>
    <w:p>
      <w:pPr>
        <w:spacing w:line="560" w:lineRule="exact"/>
        <w:ind w:firstLine="560" w:firstLineChars="200"/>
        <w:rPr>
          <w:rFonts w:ascii="仿宋_GB2312" w:hAnsi="仿宋_GB2312" w:eastAsia="仿宋_GB2312" w:cs="仿宋_GB2312"/>
          <w:bCs/>
          <w:color w:val="000000" w:themeColor="text1"/>
          <w:kern w:val="0"/>
          <w:sz w:val="28"/>
          <w:szCs w:val="28"/>
          <w14:textFill>
            <w14:solidFill>
              <w14:schemeClr w14:val="tx1"/>
            </w14:solidFill>
          </w14:textFill>
        </w:rPr>
      </w:pPr>
      <w:r>
        <w:rPr>
          <w:rFonts w:hint="eastAsia" w:ascii="仿宋_GB2312" w:hAnsi="仿宋_GB2312" w:eastAsia="仿宋_GB2312" w:cs="仿宋_GB2312"/>
          <w:bCs/>
          <w:color w:val="000000" w:themeColor="text1"/>
          <w:kern w:val="0"/>
          <w:sz w:val="28"/>
          <w:szCs w:val="28"/>
          <w14:textFill>
            <w14:solidFill>
              <w14:schemeClr w14:val="tx1"/>
            </w14:solidFill>
          </w14:textFill>
        </w:rPr>
        <w:t>具体</w:t>
      </w:r>
      <w:r>
        <w:rPr>
          <w:rFonts w:hint="eastAsia" w:ascii="仿宋_GB2312" w:hAnsi="仿宋_GB2312" w:eastAsia="仿宋_GB2312" w:cs="仿宋_GB2312"/>
          <w:bCs/>
          <w:color w:val="000000" w:themeColor="text1"/>
          <w:sz w:val="28"/>
          <w:szCs w:val="28"/>
          <w14:textFill>
            <w14:solidFill>
              <w14:schemeClr w14:val="tx1"/>
            </w14:solidFill>
          </w14:textFill>
        </w:rPr>
        <w:t>比选规则</w:t>
      </w:r>
      <w:r>
        <w:rPr>
          <w:rFonts w:hint="eastAsia" w:ascii="仿宋_GB2312" w:hAnsi="仿宋_GB2312" w:eastAsia="仿宋_GB2312" w:cs="仿宋_GB2312"/>
          <w:bCs/>
          <w:color w:val="000000" w:themeColor="text1"/>
          <w:kern w:val="0"/>
          <w:sz w:val="28"/>
          <w:szCs w:val="28"/>
          <w14:textFill>
            <w14:solidFill>
              <w14:schemeClr w14:val="tx1"/>
            </w14:solidFill>
          </w14:textFill>
        </w:rPr>
        <w:t>如下：</w:t>
      </w:r>
    </w:p>
    <w:p>
      <w:pPr>
        <w:spacing w:line="560" w:lineRule="exact"/>
        <w:ind w:firstLine="560" w:firstLineChars="200"/>
        <w:rPr>
          <w:rFonts w:ascii="仿宋_GB2312" w:hAnsi="仿宋_GB2312" w:eastAsia="仿宋_GB2312" w:cs="仿宋_GB2312"/>
          <w:color w:val="000000" w:themeColor="text1"/>
          <w:kern w:val="0"/>
          <w:sz w:val="28"/>
          <w:szCs w:val="28"/>
          <w14:textFill>
            <w14:solidFill>
              <w14:schemeClr w14:val="tx1"/>
            </w14:solidFill>
          </w14:textFill>
        </w:rPr>
      </w:pPr>
      <w:r>
        <w:rPr>
          <w:rFonts w:hint="eastAsia" w:ascii="仿宋_GB2312" w:hAnsi="仿宋_GB2312" w:eastAsia="仿宋_GB2312" w:cs="仿宋_GB2312"/>
          <w:color w:val="000000" w:themeColor="text1"/>
          <w:kern w:val="0"/>
          <w:sz w:val="28"/>
          <w:szCs w:val="28"/>
          <w14:textFill>
            <w14:solidFill>
              <w14:schemeClr w14:val="tx1"/>
            </w14:solidFill>
          </w14:textFill>
        </w:rPr>
        <w:t>2.1 递交比选响应文件截止时，比选响应文件少于</w:t>
      </w:r>
      <w:r>
        <w:rPr>
          <w:rFonts w:ascii="仿宋_GB2312" w:hAnsi="仿宋_GB2312" w:eastAsia="仿宋_GB2312" w:cs="仿宋_GB2312"/>
          <w:color w:val="000000" w:themeColor="text1"/>
          <w:kern w:val="0"/>
          <w:sz w:val="28"/>
          <w:szCs w:val="28"/>
          <w14:textFill>
            <w14:solidFill>
              <w14:schemeClr w14:val="tx1"/>
            </w14:solidFill>
          </w14:textFill>
        </w:rPr>
        <w:t>3</w:t>
      </w:r>
      <w:r>
        <w:rPr>
          <w:rFonts w:hint="eastAsia" w:ascii="仿宋_GB2312" w:hAnsi="仿宋_GB2312" w:eastAsia="仿宋_GB2312" w:cs="仿宋_GB2312"/>
          <w:color w:val="000000" w:themeColor="text1"/>
          <w:kern w:val="0"/>
          <w:sz w:val="28"/>
          <w:szCs w:val="28"/>
          <w14:textFill>
            <w14:solidFill>
              <w14:schemeClr w14:val="tx1"/>
            </w14:solidFill>
          </w14:textFill>
        </w:rPr>
        <w:t>个的，应停止比选活动，将递交的比选响应文件退还比选响应人，并重新组织比选。重新比选仍然不足</w:t>
      </w:r>
      <w:r>
        <w:rPr>
          <w:rFonts w:ascii="仿宋_GB2312" w:hAnsi="仿宋_GB2312" w:eastAsia="仿宋_GB2312" w:cs="仿宋_GB2312"/>
          <w:color w:val="000000" w:themeColor="text1"/>
          <w:kern w:val="0"/>
          <w:sz w:val="28"/>
          <w:szCs w:val="28"/>
          <w14:textFill>
            <w14:solidFill>
              <w14:schemeClr w14:val="tx1"/>
            </w14:solidFill>
          </w14:textFill>
        </w:rPr>
        <w:t>3</w:t>
      </w:r>
      <w:r>
        <w:rPr>
          <w:rFonts w:hint="eastAsia" w:ascii="仿宋_GB2312" w:hAnsi="仿宋_GB2312" w:eastAsia="仿宋_GB2312" w:cs="仿宋_GB2312"/>
          <w:color w:val="000000" w:themeColor="text1"/>
          <w:kern w:val="0"/>
          <w:sz w:val="28"/>
          <w:szCs w:val="28"/>
          <w14:textFill>
            <w14:solidFill>
              <w14:schemeClr w14:val="tx1"/>
            </w14:solidFill>
          </w14:textFill>
        </w:rPr>
        <w:t>个单位的，可以继续进行比选。</w:t>
      </w:r>
    </w:p>
    <w:p>
      <w:pPr>
        <w:spacing w:line="560" w:lineRule="exact"/>
        <w:ind w:firstLine="560" w:firstLineChars="200"/>
        <w:rPr>
          <w:rFonts w:ascii="仿宋_GB2312" w:hAnsi="仿宋_GB2312" w:eastAsia="仿宋_GB2312" w:cs="仿宋_GB2312"/>
          <w:color w:val="000000" w:themeColor="text1"/>
          <w:kern w:val="0"/>
          <w:sz w:val="28"/>
          <w:szCs w:val="28"/>
          <w14:textFill>
            <w14:solidFill>
              <w14:schemeClr w14:val="tx1"/>
            </w14:solidFill>
          </w14:textFill>
        </w:rPr>
      </w:pPr>
      <w:r>
        <w:rPr>
          <w:rFonts w:hint="eastAsia" w:ascii="仿宋_GB2312" w:hAnsi="仿宋_GB2312" w:eastAsia="仿宋_GB2312" w:cs="仿宋_GB2312"/>
          <w:color w:val="000000" w:themeColor="text1"/>
          <w:kern w:val="0"/>
          <w:sz w:val="28"/>
          <w:szCs w:val="28"/>
          <w14:textFill>
            <w14:solidFill>
              <w14:schemeClr w14:val="tx1"/>
            </w14:solidFill>
          </w14:textFill>
        </w:rPr>
        <w:t>2.2 经评审，有效比选响应人不足</w:t>
      </w:r>
      <w:r>
        <w:rPr>
          <w:rFonts w:ascii="仿宋_GB2312" w:hAnsi="仿宋_GB2312" w:eastAsia="仿宋_GB2312" w:cs="仿宋_GB2312"/>
          <w:color w:val="000000" w:themeColor="text1"/>
          <w:kern w:val="0"/>
          <w:sz w:val="28"/>
          <w:szCs w:val="28"/>
          <w14:textFill>
            <w14:solidFill>
              <w14:schemeClr w14:val="tx1"/>
            </w14:solidFill>
          </w14:textFill>
        </w:rPr>
        <w:t>3</w:t>
      </w:r>
      <w:r>
        <w:rPr>
          <w:rFonts w:hint="eastAsia" w:ascii="仿宋_GB2312" w:hAnsi="仿宋_GB2312" w:eastAsia="仿宋_GB2312" w:cs="仿宋_GB2312"/>
          <w:color w:val="000000" w:themeColor="text1"/>
          <w:kern w:val="0"/>
          <w:sz w:val="28"/>
          <w:szCs w:val="28"/>
          <w14:textFill>
            <w14:solidFill>
              <w14:schemeClr w14:val="tx1"/>
            </w14:solidFill>
          </w14:textFill>
        </w:rPr>
        <w:t xml:space="preserve">个的，评审委员会应当否决该项目的比选，但是有效比选响应人的经济、技术等指标仍然具有市场竞争力，能够满足比选文件要求的，评审委员会可以继续评审，按照综合评分高的原则确定成交候选人。 </w:t>
      </w:r>
    </w:p>
    <w:p>
      <w:pPr>
        <w:spacing w:line="560" w:lineRule="exact"/>
        <w:ind w:firstLine="560" w:firstLineChars="200"/>
        <w:rPr>
          <w:rFonts w:ascii="黑体" w:hAnsi="黑体" w:eastAsia="黑体" w:cs="黑体"/>
          <w:bCs/>
          <w:color w:val="000000" w:themeColor="text1"/>
          <w:sz w:val="28"/>
          <w:szCs w:val="28"/>
          <w14:textFill>
            <w14:solidFill>
              <w14:schemeClr w14:val="tx1"/>
            </w14:solidFill>
          </w14:textFill>
        </w:rPr>
      </w:pPr>
      <w:r>
        <w:rPr>
          <w:rFonts w:hint="eastAsia" w:ascii="黑体" w:hAnsi="黑体" w:eastAsia="黑体" w:cs="黑体"/>
          <w:bCs/>
          <w:color w:val="000000" w:themeColor="text1"/>
          <w:sz w:val="28"/>
          <w:szCs w:val="28"/>
          <w14:textFill>
            <w14:solidFill>
              <w14:schemeClr w14:val="tx1"/>
            </w14:solidFill>
          </w14:textFill>
        </w:rPr>
        <w:t>三、比选文件发放的时间及地点</w:t>
      </w:r>
    </w:p>
    <w:p>
      <w:pPr>
        <w:spacing w:line="560" w:lineRule="exact"/>
        <w:ind w:firstLine="560" w:firstLineChars="200"/>
        <w:rPr>
          <w:rFonts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比选采购文件及相关资料于202</w:t>
      </w:r>
      <w:r>
        <w:rPr>
          <w:rFonts w:ascii="仿宋_GB2312" w:hAnsi="仿宋_GB2312" w:eastAsia="仿宋_GB2312" w:cs="仿宋_GB2312"/>
          <w:bCs/>
          <w:color w:val="000000" w:themeColor="text1"/>
          <w:sz w:val="28"/>
          <w:szCs w:val="28"/>
          <w14:textFill>
            <w14:solidFill>
              <w14:schemeClr w14:val="tx1"/>
            </w14:solidFill>
          </w14:textFill>
        </w:rPr>
        <w:t>2</w:t>
      </w:r>
      <w:r>
        <w:rPr>
          <w:rFonts w:hint="eastAsia" w:ascii="仿宋_GB2312" w:hAnsi="仿宋_GB2312" w:eastAsia="仿宋_GB2312" w:cs="仿宋_GB2312"/>
          <w:bCs/>
          <w:color w:val="000000" w:themeColor="text1"/>
          <w:sz w:val="28"/>
          <w:szCs w:val="28"/>
          <w14:textFill>
            <w14:solidFill>
              <w14:schemeClr w14:val="tx1"/>
            </w14:solidFill>
          </w14:textFill>
        </w:rPr>
        <w:t>年</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w:t>
      </w:r>
      <w:r>
        <w:rPr>
          <w:rFonts w:hint="eastAsia" w:ascii="仿宋_GB2312" w:hAnsi="仿宋_GB2312" w:eastAsia="仿宋_GB2312" w:cs="仿宋_GB2312"/>
          <w:bCs/>
          <w:color w:val="000000" w:themeColor="text1"/>
          <w:sz w:val="28"/>
          <w:szCs w:val="28"/>
          <w14:textFill>
            <w14:solidFill>
              <w14:schemeClr w14:val="tx1"/>
            </w14:solidFill>
          </w14:textFill>
        </w:rPr>
        <w:t>月</w:t>
      </w:r>
      <w:r>
        <w:rPr>
          <w:rFonts w:ascii="仿宋_GB2312" w:hAnsi="仿宋_GB2312" w:eastAsia="仿宋_GB2312" w:cs="仿宋_GB2312"/>
          <w:bCs/>
          <w:color w:val="000000" w:themeColor="text1"/>
          <w:sz w:val="28"/>
          <w:szCs w:val="28"/>
          <w14:textFill>
            <w14:solidFill>
              <w14:schemeClr w14:val="tx1"/>
            </w14:solidFill>
          </w14:textFill>
        </w:rPr>
        <w:t>2</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6</w:t>
      </w:r>
      <w:r>
        <w:rPr>
          <w:rFonts w:hint="eastAsia" w:ascii="仿宋_GB2312" w:hAnsi="仿宋_GB2312" w:eastAsia="仿宋_GB2312" w:cs="仿宋_GB2312"/>
          <w:bCs/>
          <w:color w:val="000000" w:themeColor="text1"/>
          <w:sz w:val="28"/>
          <w:szCs w:val="28"/>
          <w14:textFill>
            <w14:solidFill>
              <w14:schemeClr w14:val="tx1"/>
            </w14:solidFill>
          </w14:textFill>
        </w:rPr>
        <w:t>日起在</w:t>
      </w:r>
      <w:r>
        <w:rPr>
          <w:rFonts w:hint="eastAsia" w:ascii="仿宋_GB2312" w:hAnsi="仿宋_GB2312" w:eastAsia="仿宋_GB2312" w:cs="仿宋_GB2312"/>
          <w:color w:val="000000" w:themeColor="text1"/>
          <w:sz w:val="28"/>
          <w:szCs w:val="28"/>
          <w14:textFill>
            <w14:solidFill>
              <w14:schemeClr w14:val="tx1"/>
            </w14:solidFill>
          </w14:textFill>
        </w:rPr>
        <w:t>重庆江北机场外网（https://www.cqa.cn/u/jichang）发布。</w:t>
      </w:r>
    </w:p>
    <w:p>
      <w:pPr>
        <w:spacing w:line="560" w:lineRule="exact"/>
        <w:ind w:firstLine="560" w:firstLineChars="200"/>
        <w:rPr>
          <w:rFonts w:ascii="黑体" w:hAnsi="黑体" w:eastAsia="黑体" w:cs="黑体"/>
          <w:bCs/>
          <w:color w:val="000000" w:themeColor="text1"/>
          <w:sz w:val="28"/>
          <w:szCs w:val="28"/>
          <w14:textFill>
            <w14:solidFill>
              <w14:schemeClr w14:val="tx1"/>
            </w14:solidFill>
          </w14:textFill>
        </w:rPr>
      </w:pPr>
      <w:r>
        <w:rPr>
          <w:rFonts w:hint="eastAsia" w:ascii="黑体" w:hAnsi="黑体" w:eastAsia="黑体" w:cs="黑体"/>
          <w:bCs/>
          <w:color w:val="000000" w:themeColor="text1"/>
          <w:sz w:val="28"/>
          <w:szCs w:val="28"/>
          <w14:textFill>
            <w14:solidFill>
              <w14:schemeClr w14:val="tx1"/>
            </w14:solidFill>
          </w14:textFill>
        </w:rPr>
        <w:t>四、比选响应保证金及履约保证金</w:t>
      </w:r>
    </w:p>
    <w:p>
      <w:pPr>
        <w:spacing w:line="560" w:lineRule="exact"/>
        <w:ind w:firstLine="560" w:firstLineChars="200"/>
        <w:rPr>
          <w:rFonts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比选响应保证金：无；</w:t>
      </w:r>
    </w:p>
    <w:p>
      <w:pPr>
        <w:spacing w:line="560" w:lineRule="exact"/>
        <w:ind w:firstLine="560" w:firstLineChars="200"/>
        <w:rPr>
          <w:rFonts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履约保证金：</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壹拾</w:t>
      </w:r>
      <w:r>
        <w:rPr>
          <w:rFonts w:hint="eastAsia" w:ascii="仿宋_GB2312" w:hAnsi="仿宋_GB2312" w:eastAsia="仿宋_GB2312" w:cs="仿宋_GB2312"/>
          <w:bCs/>
          <w:color w:val="000000" w:themeColor="text1"/>
          <w:sz w:val="28"/>
          <w:szCs w:val="28"/>
          <w14:textFill>
            <w14:solidFill>
              <w14:schemeClr w14:val="tx1"/>
            </w14:solidFill>
          </w14:textFill>
        </w:rPr>
        <w:t>万元整。（小写：¥</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w:t>
      </w:r>
      <w:r>
        <w:rPr>
          <w:rFonts w:ascii="仿宋_GB2312" w:hAnsi="仿宋_GB2312" w:eastAsia="仿宋_GB2312" w:cs="仿宋_GB2312"/>
          <w:bCs/>
          <w:color w:val="000000" w:themeColor="text1"/>
          <w:sz w:val="28"/>
          <w:szCs w:val="28"/>
          <w14:textFill>
            <w14:solidFill>
              <w14:schemeClr w14:val="tx1"/>
            </w14:solidFill>
          </w14:textFill>
        </w:rPr>
        <w:t>00000.00</w:t>
      </w:r>
      <w:r>
        <w:rPr>
          <w:rFonts w:hint="eastAsia" w:ascii="仿宋_GB2312" w:hAnsi="仿宋_GB2312" w:eastAsia="仿宋_GB2312" w:cs="仿宋_GB2312"/>
          <w:bCs/>
          <w:color w:val="000000" w:themeColor="text1"/>
          <w:sz w:val="28"/>
          <w:szCs w:val="28"/>
          <w14:textFill>
            <w14:solidFill>
              <w14:schemeClr w14:val="tx1"/>
            </w14:solidFill>
          </w14:textFill>
        </w:rPr>
        <w:t>）；</w:t>
      </w:r>
    </w:p>
    <w:p>
      <w:pPr>
        <w:spacing w:line="560" w:lineRule="exact"/>
        <w:ind w:firstLine="560" w:firstLineChars="200"/>
        <w:rPr>
          <w:rFonts w:ascii="仿宋_GB2312" w:hAnsi="仿宋_GB2312" w:eastAsia="仿宋_GB2312" w:cs="仿宋_GB2312"/>
          <w:color w:val="000000" w:themeColor="text1"/>
          <w:kern w:val="0"/>
          <w:sz w:val="28"/>
          <w:szCs w:val="28"/>
          <w14:textFill>
            <w14:solidFill>
              <w14:schemeClr w14:val="tx1"/>
            </w14:solidFill>
          </w14:textFill>
        </w:rPr>
      </w:pPr>
      <w:r>
        <w:rPr>
          <w:rFonts w:hint="eastAsia" w:ascii="仿宋_GB2312" w:hAnsi="仿宋_GB2312" w:eastAsia="仿宋_GB2312" w:cs="仿宋_GB2312"/>
          <w:color w:val="000000" w:themeColor="text1"/>
          <w:kern w:val="0"/>
          <w:sz w:val="28"/>
          <w:szCs w:val="28"/>
          <w14:textFill>
            <w14:solidFill>
              <w14:schemeClr w14:val="tx1"/>
            </w14:solidFill>
          </w14:textFill>
        </w:rPr>
        <w:t>成交人在收到成交通知书5个工作日内通过银行转账的方式提交到重庆空港航空地面服务有限公司指定账户，项目合同期满后，由成交人提出申请后40天内退还，但不计利息。</w:t>
      </w:r>
    </w:p>
    <w:p>
      <w:pPr>
        <w:numPr>
          <w:ilvl w:val="255"/>
          <w:numId w:val="0"/>
        </w:numPr>
        <w:spacing w:line="560" w:lineRule="exact"/>
        <w:ind w:firstLine="560" w:firstLineChars="200"/>
        <w:rPr>
          <w:rFonts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五、服务期</w:t>
      </w:r>
    </w:p>
    <w:p>
      <w:pPr>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自双方合同</w:t>
      </w:r>
      <w:r>
        <w:rPr>
          <w:rFonts w:hint="eastAsia" w:ascii="仿宋_GB2312" w:hAnsi="仿宋_GB2312" w:eastAsia="仿宋_GB2312" w:cs="仿宋_GB2312"/>
          <w:color w:val="000000" w:themeColor="text1"/>
          <w:sz w:val="28"/>
          <w:szCs w:val="28"/>
          <w:lang w:eastAsia="zh-CN"/>
          <w14:textFill>
            <w14:solidFill>
              <w14:schemeClr w14:val="tx1"/>
            </w14:solidFill>
          </w14:textFill>
        </w:rPr>
        <w:t>签订</w:t>
      </w:r>
      <w:r>
        <w:rPr>
          <w:rFonts w:hint="eastAsia" w:ascii="仿宋_GB2312" w:hAnsi="仿宋_GB2312" w:eastAsia="仿宋_GB2312" w:cs="仿宋_GB2312"/>
          <w:color w:val="000000" w:themeColor="text1"/>
          <w:sz w:val="28"/>
          <w:szCs w:val="28"/>
          <w14:textFill>
            <w14:solidFill>
              <w14:schemeClr w14:val="tx1"/>
            </w14:solidFill>
          </w14:textFill>
        </w:rPr>
        <w:t>之日起到2</w:t>
      </w:r>
      <w:r>
        <w:rPr>
          <w:rFonts w:ascii="仿宋_GB2312" w:hAnsi="仿宋_GB2312" w:eastAsia="仿宋_GB2312" w:cs="仿宋_GB2312"/>
          <w:color w:val="000000" w:themeColor="text1"/>
          <w:sz w:val="28"/>
          <w:szCs w:val="28"/>
          <w14:textFill>
            <w14:solidFill>
              <w14:schemeClr w14:val="tx1"/>
            </w14:solidFill>
          </w14:textFill>
        </w:rPr>
        <w:t>023</w:t>
      </w:r>
      <w:r>
        <w:rPr>
          <w:rFonts w:hint="eastAsia" w:ascii="仿宋_GB2312" w:hAnsi="仿宋_GB2312" w:eastAsia="仿宋_GB2312" w:cs="仿宋_GB2312"/>
          <w:color w:val="000000" w:themeColor="text1"/>
          <w:sz w:val="28"/>
          <w:szCs w:val="28"/>
          <w14:textFill>
            <w14:solidFill>
              <w14:schemeClr w14:val="tx1"/>
            </w14:solidFill>
          </w14:textFill>
        </w:rPr>
        <w:t>年</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7</w:t>
      </w:r>
      <w:r>
        <w:rPr>
          <w:rFonts w:hint="eastAsia" w:ascii="仿宋_GB2312" w:hAnsi="仿宋_GB2312" w:eastAsia="仿宋_GB2312" w:cs="仿宋_GB2312"/>
          <w:color w:val="000000" w:themeColor="text1"/>
          <w:sz w:val="28"/>
          <w:szCs w:val="28"/>
          <w14:textFill>
            <w14:solidFill>
              <w14:schemeClr w14:val="tx1"/>
            </w14:solidFill>
          </w14:textFill>
        </w:rPr>
        <w:t>月3</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w:t>
      </w:r>
      <w:r>
        <w:rPr>
          <w:rFonts w:hint="eastAsia" w:ascii="仿宋_GB2312" w:hAnsi="仿宋_GB2312" w:eastAsia="仿宋_GB2312" w:cs="仿宋_GB2312"/>
          <w:color w:val="000000" w:themeColor="text1"/>
          <w:sz w:val="28"/>
          <w:szCs w:val="28"/>
          <w14:textFill>
            <w14:solidFill>
              <w14:schemeClr w14:val="tx1"/>
            </w14:solidFill>
          </w14:textFill>
        </w:rPr>
        <w:t>日。</w:t>
      </w:r>
    </w:p>
    <w:p>
      <w:pPr>
        <w:spacing w:line="560" w:lineRule="exact"/>
        <w:ind w:firstLine="560" w:firstLineChars="200"/>
        <w:rPr>
          <w:rFonts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六、比选响应有效期</w:t>
      </w:r>
    </w:p>
    <w:p>
      <w:pPr>
        <w:spacing w:line="560" w:lineRule="exact"/>
        <w:ind w:firstLine="560" w:firstLineChars="200"/>
        <w:rPr>
          <w:rStyle w:val="26"/>
          <w:rFonts w:ascii="仿宋_GB2312" w:hAnsi="仿宋_GB2312" w:eastAsia="仿宋_GB2312" w:cs="仿宋_GB2312"/>
          <w:color w:val="000000" w:themeColor="text1"/>
          <w:sz w:val="28"/>
          <w:szCs w:val="28"/>
          <w14:textFill>
            <w14:solidFill>
              <w14:schemeClr w14:val="tx1"/>
            </w14:solidFill>
          </w14:textFill>
        </w:rPr>
      </w:pPr>
      <w:r>
        <w:rPr>
          <w:rStyle w:val="26"/>
          <w:rFonts w:hint="eastAsia" w:ascii="仿宋_GB2312" w:hAnsi="仿宋_GB2312" w:eastAsia="仿宋_GB2312" w:cs="仿宋_GB2312"/>
          <w:color w:val="000000" w:themeColor="text1"/>
          <w:sz w:val="28"/>
          <w:szCs w:val="28"/>
          <w14:textFill>
            <w14:solidFill>
              <w14:schemeClr w14:val="tx1"/>
            </w14:solidFill>
          </w14:textFill>
        </w:rPr>
        <w:t>90天（自比选响应人提交比选响应文件截止之日起计算）。</w:t>
      </w:r>
    </w:p>
    <w:p>
      <w:pPr>
        <w:spacing w:line="560" w:lineRule="exact"/>
        <w:ind w:firstLine="560" w:firstLineChars="200"/>
        <w:rPr>
          <w:rFonts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七、比选响应文件的编制和提交</w:t>
      </w:r>
    </w:p>
    <w:p>
      <w:pPr>
        <w:autoSpaceDE w:val="0"/>
        <w:autoSpaceDN w:val="0"/>
        <w:adjustRightInd w:val="0"/>
        <w:spacing w:line="560" w:lineRule="exact"/>
        <w:ind w:firstLine="630" w:firstLineChars="225"/>
        <w:rPr>
          <w:rFonts w:ascii="仿宋_GB2312" w:hAnsi="仿宋_GB2312" w:eastAsia="仿宋_GB2312" w:cs="仿宋_GB2312"/>
          <w:color w:val="000000" w:themeColor="text1"/>
          <w:sz w:val="28"/>
          <w:szCs w:val="28"/>
          <w:lang w:val="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 xml:space="preserve">.1 </w:t>
      </w:r>
      <w:r>
        <w:rPr>
          <w:rFonts w:hint="eastAsia" w:ascii="仿宋_GB2312" w:hAnsi="仿宋_GB2312" w:eastAsia="仿宋_GB2312" w:cs="仿宋_GB2312"/>
          <w:color w:val="000000" w:themeColor="text1"/>
          <w:sz w:val="28"/>
          <w:szCs w:val="28"/>
          <w14:textFill>
            <w14:solidFill>
              <w14:schemeClr w14:val="tx1"/>
            </w14:solidFill>
          </w14:textFill>
        </w:rPr>
        <w:t>比选响应人</w:t>
      </w:r>
      <w:r>
        <w:rPr>
          <w:rFonts w:hint="eastAsia" w:ascii="仿宋_GB2312" w:hAnsi="仿宋_GB2312" w:eastAsia="仿宋_GB2312" w:cs="仿宋_GB2312"/>
          <w:color w:val="000000" w:themeColor="text1"/>
          <w:sz w:val="28"/>
          <w:szCs w:val="28"/>
          <w:lang w:val="zh-CN"/>
          <w14:textFill>
            <w14:solidFill>
              <w14:schemeClr w14:val="tx1"/>
            </w14:solidFill>
          </w14:textFill>
        </w:rPr>
        <w:t>应当按照</w:t>
      </w:r>
      <w:r>
        <w:rPr>
          <w:rFonts w:hint="eastAsia" w:ascii="仿宋_GB2312" w:hAnsi="仿宋_GB2312" w:eastAsia="仿宋_GB2312" w:cs="仿宋_GB2312"/>
          <w:color w:val="000000" w:themeColor="text1"/>
          <w:sz w:val="28"/>
          <w:szCs w:val="28"/>
          <w14:textFill>
            <w14:solidFill>
              <w14:schemeClr w14:val="tx1"/>
            </w14:solidFill>
          </w14:textFill>
        </w:rPr>
        <w:t>比选</w:t>
      </w:r>
      <w:r>
        <w:rPr>
          <w:rFonts w:hint="eastAsia" w:ascii="仿宋_GB2312" w:hAnsi="仿宋_GB2312" w:eastAsia="仿宋_GB2312" w:cs="仿宋_GB2312"/>
          <w:color w:val="000000" w:themeColor="text1"/>
          <w:sz w:val="28"/>
          <w:szCs w:val="28"/>
          <w:lang w:val="zh-CN"/>
          <w14:textFill>
            <w14:solidFill>
              <w14:schemeClr w14:val="tx1"/>
            </w14:solidFill>
          </w14:textFill>
        </w:rPr>
        <w:t>采购文件的要求编制比选响应文件，比选响应文件应当对</w:t>
      </w:r>
      <w:r>
        <w:rPr>
          <w:rFonts w:hint="eastAsia" w:ascii="仿宋_GB2312" w:hAnsi="仿宋_GB2312" w:eastAsia="仿宋_GB2312" w:cs="仿宋_GB2312"/>
          <w:color w:val="000000" w:themeColor="text1"/>
          <w:sz w:val="28"/>
          <w:szCs w:val="28"/>
          <w14:textFill>
            <w14:solidFill>
              <w14:schemeClr w14:val="tx1"/>
            </w14:solidFill>
          </w14:textFill>
        </w:rPr>
        <w:t>比选</w:t>
      </w:r>
      <w:r>
        <w:rPr>
          <w:rFonts w:hint="eastAsia" w:ascii="仿宋_GB2312" w:hAnsi="仿宋_GB2312" w:eastAsia="仿宋_GB2312" w:cs="仿宋_GB2312"/>
          <w:color w:val="000000" w:themeColor="text1"/>
          <w:sz w:val="28"/>
          <w:szCs w:val="28"/>
          <w:lang w:val="zh-CN"/>
          <w14:textFill>
            <w14:solidFill>
              <w14:schemeClr w14:val="tx1"/>
            </w14:solidFill>
          </w14:textFill>
        </w:rPr>
        <w:t>采购文件提出的要求和条件作出实质性应答。</w:t>
      </w:r>
    </w:p>
    <w:p>
      <w:pPr>
        <w:autoSpaceDE w:val="0"/>
        <w:autoSpaceDN w:val="0"/>
        <w:adjustRightInd w:val="0"/>
        <w:spacing w:line="560" w:lineRule="exact"/>
        <w:ind w:firstLine="630" w:firstLineChars="225"/>
        <w:rPr>
          <w:rFonts w:ascii="仿宋_GB2312" w:hAnsi="仿宋_GB2312" w:eastAsia="仿宋_GB2312" w:cs="仿宋_GB2312"/>
          <w:color w:val="000000" w:themeColor="text1"/>
          <w:sz w:val="28"/>
          <w:szCs w:val="28"/>
          <w:lang w:val="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.2</w:t>
      </w:r>
      <w:r>
        <w:rPr>
          <w:rFonts w:hint="eastAsia" w:ascii="仿宋_GB2312" w:hAnsi="仿宋_GB2312" w:eastAsia="仿宋_GB2312" w:cs="仿宋_GB2312"/>
          <w:b/>
          <w:bCs/>
          <w:color w:val="000000" w:themeColor="text1"/>
          <w:sz w:val="28"/>
          <w:szCs w:val="28"/>
          <w:lang w:val="zh-CN"/>
          <w14:textFill>
            <w14:solidFill>
              <w14:schemeClr w14:val="tx1"/>
            </w14:solidFill>
          </w14:textFill>
        </w:rPr>
        <w:t xml:space="preserve"> 比选响应</w:t>
      </w:r>
      <w:r>
        <w:rPr>
          <w:rFonts w:hint="eastAsia" w:ascii="仿宋_GB2312" w:hAnsi="仿宋_GB2312" w:eastAsia="仿宋_GB2312" w:cs="仿宋_GB2312"/>
          <w:b/>
          <w:bCs/>
          <w:color w:val="000000" w:themeColor="text1"/>
          <w:sz w:val="28"/>
          <w:szCs w:val="28"/>
          <w14:textFill>
            <w14:solidFill>
              <w14:schemeClr w14:val="tx1"/>
            </w14:solidFill>
          </w14:textFill>
        </w:rPr>
        <w:t>人应按比选采购文件要求编制响应</w:t>
      </w:r>
      <w:r>
        <w:rPr>
          <w:rFonts w:hint="eastAsia" w:ascii="仿宋_GB2312" w:hAnsi="仿宋_GB2312" w:eastAsia="仿宋_GB2312" w:cs="仿宋_GB2312"/>
          <w:b/>
          <w:bCs/>
          <w:color w:val="000000" w:themeColor="text1"/>
          <w:sz w:val="28"/>
          <w:szCs w:val="28"/>
          <w:lang w:val="zh-CN"/>
          <w14:textFill>
            <w14:solidFill>
              <w14:schemeClr w14:val="tx1"/>
            </w14:solidFill>
          </w14:textFill>
        </w:rPr>
        <w:t>文件</w:t>
      </w:r>
      <w:r>
        <w:rPr>
          <w:rFonts w:hint="eastAsia" w:ascii="仿宋_GB2312" w:hAnsi="仿宋_GB2312" w:eastAsia="仿宋_GB2312" w:cs="仿宋_GB2312"/>
          <w:b/>
          <w:bCs/>
          <w:color w:val="000000" w:themeColor="text1"/>
          <w:sz w:val="28"/>
          <w:szCs w:val="28"/>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响应文件并</w:t>
      </w:r>
      <w:r>
        <w:rPr>
          <w:rFonts w:hint="eastAsia" w:ascii="仿宋_GB2312" w:hAnsi="仿宋_GB2312" w:eastAsia="仿宋_GB2312" w:cs="仿宋_GB2312"/>
          <w:color w:val="000000" w:themeColor="text1"/>
          <w:sz w:val="28"/>
          <w:szCs w:val="28"/>
          <w:lang w:val="zh-CN"/>
          <w14:textFill>
            <w14:solidFill>
              <w14:schemeClr w14:val="tx1"/>
            </w14:solidFill>
          </w14:textFill>
        </w:rPr>
        <w:t>用A4规格纸编制并装订成册（格式</w:t>
      </w:r>
      <w:r>
        <w:rPr>
          <w:rFonts w:hint="eastAsia" w:ascii="仿宋_GB2312" w:hAnsi="仿宋_GB2312" w:eastAsia="仿宋_GB2312" w:cs="仿宋_GB2312"/>
          <w:color w:val="000000" w:themeColor="text1"/>
          <w:sz w:val="28"/>
          <w:szCs w:val="28"/>
          <w14:textFill>
            <w14:solidFill>
              <w14:schemeClr w14:val="tx1"/>
            </w14:solidFill>
          </w14:textFill>
        </w:rPr>
        <w:t>附后</w:t>
      </w:r>
      <w:r>
        <w:rPr>
          <w:rFonts w:hint="eastAsia" w:ascii="仿宋_GB2312" w:hAnsi="仿宋_GB2312" w:eastAsia="仿宋_GB2312" w:cs="仿宋_GB2312"/>
          <w:color w:val="000000" w:themeColor="text1"/>
          <w:sz w:val="28"/>
          <w:szCs w:val="28"/>
          <w:lang w:val="zh-CN"/>
          <w14:textFill>
            <w14:solidFill>
              <w14:schemeClr w14:val="tx1"/>
            </w14:solidFill>
          </w14:textFill>
        </w:rPr>
        <w:t>），主要由以下几个部分组成：</w:t>
      </w:r>
    </w:p>
    <w:p>
      <w:pPr>
        <w:autoSpaceDE w:val="0"/>
        <w:autoSpaceDN w:val="0"/>
        <w:adjustRightInd w:val="0"/>
        <w:spacing w:line="560" w:lineRule="exact"/>
        <w:ind w:firstLine="630" w:firstLineChars="225"/>
        <w:rPr>
          <w:rFonts w:ascii="仿宋_GB2312" w:hAnsi="仿宋_GB2312" w:eastAsia="仿宋_GB2312" w:cs="仿宋_GB2312"/>
          <w:color w:val="000000" w:themeColor="text1"/>
          <w:sz w:val="28"/>
          <w:szCs w:val="28"/>
          <w:lang w:val="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.2.1 封面（每份响应文件分别密封，在封面注明项目名称）。</w:t>
      </w:r>
    </w:p>
    <w:p>
      <w:pPr>
        <w:autoSpaceDE w:val="0"/>
        <w:autoSpaceDN w:val="0"/>
        <w:adjustRightInd w:val="0"/>
        <w:spacing w:line="560" w:lineRule="exact"/>
        <w:ind w:firstLine="630" w:firstLineChars="225"/>
        <w:rPr>
          <w:rFonts w:ascii="仿宋_GB2312" w:hAnsi="仿宋_GB2312" w:eastAsia="仿宋_GB2312" w:cs="仿宋_GB2312"/>
          <w:color w:val="000000" w:themeColor="text1"/>
          <w:sz w:val="28"/>
          <w:szCs w:val="28"/>
          <w:lang w:val="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 xml:space="preserve">.2.2 </w:t>
      </w:r>
      <w:r>
        <w:rPr>
          <w:rFonts w:hint="eastAsia" w:ascii="仿宋_GB2312" w:hAnsi="仿宋_GB2312" w:eastAsia="仿宋_GB2312" w:cs="仿宋_GB2312"/>
          <w:color w:val="000000" w:themeColor="text1"/>
          <w:sz w:val="28"/>
          <w:szCs w:val="28"/>
          <w14:textFill>
            <w14:solidFill>
              <w14:schemeClr w14:val="tx1"/>
            </w14:solidFill>
          </w14:textFill>
        </w:rPr>
        <w:t>报价函</w:t>
      </w:r>
      <w:r>
        <w:rPr>
          <w:rFonts w:hint="eastAsia" w:ascii="仿宋_GB2312" w:hAnsi="仿宋_GB2312" w:eastAsia="仿宋_GB2312" w:cs="仿宋_GB2312"/>
          <w:color w:val="000000" w:themeColor="text1"/>
          <w:sz w:val="28"/>
          <w:szCs w:val="28"/>
          <w:lang w:val="zh-CN"/>
          <w14:textFill>
            <w14:solidFill>
              <w14:schemeClr w14:val="tx1"/>
            </w14:solidFill>
          </w14:textFill>
        </w:rPr>
        <w:t>。</w:t>
      </w:r>
    </w:p>
    <w:p>
      <w:pPr>
        <w:spacing w:line="560" w:lineRule="exact"/>
        <w:ind w:firstLine="560" w:firstLineChars="200"/>
        <w:rPr>
          <w:rStyle w:val="26"/>
          <w:rFonts w:ascii="仿宋_GB2312" w:hAnsi="仿宋_GB2312" w:eastAsia="仿宋_GB2312" w:cs="仿宋_GB2312"/>
          <w:color w:val="000000" w:themeColor="text1"/>
          <w:sz w:val="28"/>
          <w:szCs w:val="28"/>
          <w14:textFill>
            <w14:solidFill>
              <w14:schemeClr w14:val="tx1"/>
            </w14:solidFill>
          </w14:textFill>
        </w:rPr>
      </w:pPr>
      <w:r>
        <w:rPr>
          <w:rStyle w:val="26"/>
          <w:rFonts w:hint="eastAsia" w:ascii="仿宋_GB2312" w:hAnsi="仿宋_GB2312" w:eastAsia="仿宋_GB2312" w:cs="仿宋_GB2312"/>
          <w:color w:val="000000" w:themeColor="text1"/>
          <w:sz w:val="28"/>
          <w:szCs w:val="28"/>
          <w14:textFill>
            <w14:solidFill>
              <w14:schemeClr w14:val="tx1"/>
            </w14:solidFill>
          </w14:textFill>
        </w:rPr>
        <w:t>7</w:t>
      </w:r>
      <w:r>
        <w:rPr>
          <w:rStyle w:val="26"/>
          <w:rFonts w:hint="eastAsia" w:ascii="仿宋_GB2312" w:hAnsi="仿宋_GB2312" w:eastAsia="仿宋_GB2312" w:cs="仿宋_GB2312"/>
          <w:color w:val="000000" w:themeColor="text1"/>
          <w:sz w:val="28"/>
          <w:szCs w:val="28"/>
          <w:lang w:val="zh-CN"/>
          <w14:textFill>
            <w14:solidFill>
              <w14:schemeClr w14:val="tx1"/>
            </w14:solidFill>
          </w14:textFill>
        </w:rPr>
        <w:t>.2.</w:t>
      </w:r>
      <w:r>
        <w:rPr>
          <w:rStyle w:val="26"/>
          <w:rFonts w:hint="eastAsia" w:ascii="仿宋_GB2312" w:hAnsi="仿宋_GB2312" w:eastAsia="仿宋_GB2312" w:cs="仿宋_GB2312"/>
          <w:color w:val="000000" w:themeColor="text1"/>
          <w:sz w:val="28"/>
          <w:szCs w:val="28"/>
          <w14:textFill>
            <w14:solidFill>
              <w14:schemeClr w14:val="tx1"/>
            </w14:solidFill>
          </w14:textFill>
        </w:rPr>
        <w:t>3</w:t>
      </w:r>
      <w:r>
        <w:rPr>
          <w:rStyle w:val="26"/>
          <w:rFonts w:hint="eastAsia" w:ascii="仿宋_GB2312" w:hAnsi="仿宋_GB2312" w:eastAsia="仿宋_GB2312" w:cs="仿宋_GB2312"/>
          <w:color w:val="000000" w:themeColor="text1"/>
          <w:sz w:val="28"/>
          <w:szCs w:val="28"/>
          <w:lang w:val="zh-CN"/>
          <w14:textFill>
            <w14:solidFill>
              <w14:schemeClr w14:val="tx1"/>
            </w14:solidFill>
          </w14:textFill>
        </w:rPr>
        <w:t xml:space="preserve"> 技术部分。主要包括本文件约定的岗位职责和工作内容等其他要求进行响应、根据技术评分标准准备相关证明材料等</w:t>
      </w:r>
      <w:r>
        <w:rPr>
          <w:rStyle w:val="26"/>
          <w:rFonts w:hint="eastAsia" w:ascii="仿宋_GB2312" w:hAnsi="仿宋_GB2312" w:eastAsia="仿宋_GB2312" w:cs="仿宋_GB2312"/>
          <w:color w:val="000000" w:themeColor="text1"/>
          <w:sz w:val="28"/>
          <w:szCs w:val="28"/>
          <w14:textFill>
            <w14:solidFill>
              <w14:schemeClr w14:val="tx1"/>
            </w14:solidFill>
          </w14:textFill>
        </w:rPr>
        <w:t>。</w:t>
      </w:r>
    </w:p>
    <w:p>
      <w:pPr>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.2.</w:t>
      </w:r>
      <w:r>
        <w:rPr>
          <w:rFonts w:hint="eastAsia" w:ascii="仿宋_GB2312" w:hAnsi="仿宋_GB2312" w:eastAsia="仿宋_GB2312" w:cs="仿宋_GB2312"/>
          <w:color w:val="000000" w:themeColor="text1"/>
          <w:sz w:val="28"/>
          <w:szCs w:val="28"/>
          <w14:textFill>
            <w14:solidFill>
              <w14:schemeClr w14:val="tx1"/>
            </w14:solidFill>
          </w14:textFill>
        </w:rPr>
        <w:t xml:space="preserve">4 </w:t>
      </w:r>
      <w:r>
        <w:rPr>
          <w:rFonts w:hint="eastAsia" w:ascii="仿宋_GB2312" w:hAnsi="仿宋_GB2312" w:eastAsia="仿宋_GB2312" w:cs="仿宋_GB2312"/>
          <w:color w:val="000000" w:themeColor="text1"/>
          <w:sz w:val="28"/>
          <w:szCs w:val="28"/>
          <w:lang w:val="zh-CN"/>
          <w14:textFill>
            <w14:solidFill>
              <w14:schemeClr w14:val="tx1"/>
            </w14:solidFill>
          </w14:textFill>
        </w:rPr>
        <w:t>商务部分。主要包括</w:t>
      </w:r>
      <w:r>
        <w:rPr>
          <w:rFonts w:hint="eastAsia" w:ascii="仿宋_GB2312" w:hAnsi="仿宋_GB2312" w:eastAsia="仿宋_GB2312" w:cs="仿宋_GB2312"/>
          <w:color w:val="000000" w:themeColor="text1"/>
          <w:sz w:val="28"/>
          <w:szCs w:val="28"/>
          <w14:textFill>
            <w14:solidFill>
              <w14:schemeClr w14:val="tx1"/>
            </w14:solidFill>
          </w14:textFill>
        </w:rPr>
        <w:t>比选人响应人授权委托书（原件）、比选响应人资格要求证明文件、按商务评分标准准备的相关证明材料以及</w:t>
      </w:r>
      <w:r>
        <w:rPr>
          <w:rFonts w:hint="eastAsia" w:ascii="仿宋_GB2312" w:hAnsi="仿宋_GB2312" w:eastAsia="仿宋_GB2312" w:cs="仿宋_GB2312"/>
          <w:color w:val="000000" w:themeColor="text1"/>
          <w:sz w:val="28"/>
          <w:szCs w:val="28"/>
          <w:lang w:val="zh-CN"/>
          <w14:textFill>
            <w14:solidFill>
              <w14:schemeClr w14:val="tx1"/>
            </w14:solidFill>
          </w14:textFill>
        </w:rPr>
        <w:t>服务承诺等。</w:t>
      </w:r>
    </w:p>
    <w:p>
      <w:pPr>
        <w:adjustRightInd w:val="0"/>
        <w:snapToGrid w:val="0"/>
        <w:spacing w:line="560" w:lineRule="exact"/>
        <w:ind w:left="1" w:firstLine="560" w:firstLineChars="200"/>
        <w:jc w:val="left"/>
        <w:rPr>
          <w:rFonts w:ascii="仿宋_GB2312" w:hAnsi="仿宋_GB2312" w:eastAsia="仿宋_GB2312" w:cs="仿宋_GB2312"/>
          <w:color w:val="000000" w:themeColor="text1"/>
          <w:sz w:val="28"/>
          <w:szCs w:val="28"/>
          <w:lang w:val="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7</w:t>
      </w:r>
      <w:r>
        <w:rPr>
          <w:rFonts w:hint="eastAsia" w:ascii="仿宋_GB2312" w:hAnsi="仿宋_GB2312" w:eastAsia="仿宋_GB2312" w:cs="仿宋_GB2312"/>
          <w:color w:val="000000" w:themeColor="text1"/>
          <w:sz w:val="28"/>
          <w:szCs w:val="28"/>
          <w:lang w:val="zh-CN"/>
          <w14:textFill>
            <w14:solidFill>
              <w14:schemeClr w14:val="tx1"/>
            </w14:solidFill>
          </w14:textFill>
        </w:rPr>
        <w:t>.2.</w:t>
      </w:r>
      <w:r>
        <w:rPr>
          <w:rFonts w:hint="eastAsia" w:ascii="仿宋_GB2312" w:hAnsi="仿宋_GB2312" w:eastAsia="仿宋_GB2312" w:cs="仿宋_GB2312"/>
          <w:color w:val="000000" w:themeColor="text1"/>
          <w:sz w:val="28"/>
          <w:szCs w:val="28"/>
          <w14:textFill>
            <w14:solidFill>
              <w14:schemeClr w14:val="tx1"/>
            </w14:solidFill>
          </w14:textFill>
        </w:rPr>
        <w:t xml:space="preserve">5 </w:t>
      </w:r>
      <w:r>
        <w:rPr>
          <w:rFonts w:hint="eastAsia" w:ascii="仿宋_GB2312" w:hAnsi="仿宋_GB2312" w:eastAsia="仿宋_GB2312" w:cs="仿宋_GB2312"/>
          <w:color w:val="000000" w:themeColor="text1"/>
          <w:sz w:val="28"/>
          <w:szCs w:val="28"/>
          <w:lang w:val="zh-CN"/>
          <w14:textFill>
            <w14:solidFill>
              <w14:schemeClr w14:val="tx1"/>
            </w14:solidFill>
          </w14:textFill>
        </w:rPr>
        <w:t>比选响应文件合并装订成册，纸质文件一式</w:t>
      </w:r>
      <w:r>
        <w:rPr>
          <w:rFonts w:hint="eastAsia" w:ascii="仿宋_GB2312" w:hAnsi="仿宋_GB2312" w:eastAsia="仿宋_GB2312" w:cs="仿宋_GB2312"/>
          <w:color w:val="000000" w:themeColor="text1"/>
          <w:sz w:val="28"/>
          <w:szCs w:val="28"/>
          <w14:textFill>
            <w14:solidFill>
              <w14:schemeClr w14:val="tx1"/>
            </w14:solidFill>
          </w14:textFill>
        </w:rPr>
        <w:t>5</w:t>
      </w:r>
      <w:r>
        <w:rPr>
          <w:rFonts w:hint="eastAsia" w:ascii="仿宋_GB2312" w:hAnsi="仿宋_GB2312" w:eastAsia="仿宋_GB2312" w:cs="仿宋_GB2312"/>
          <w:color w:val="000000" w:themeColor="text1"/>
          <w:sz w:val="28"/>
          <w:szCs w:val="28"/>
          <w:lang w:val="zh-CN"/>
          <w14:textFill>
            <w14:solidFill>
              <w14:schemeClr w14:val="tx1"/>
            </w14:solidFill>
          </w14:textFill>
        </w:rPr>
        <w:t>份，其中正本1份，副本</w:t>
      </w:r>
      <w:r>
        <w:rPr>
          <w:rFonts w:hint="eastAsia" w:ascii="仿宋_GB2312" w:hAnsi="仿宋_GB2312" w:eastAsia="仿宋_GB2312" w:cs="仿宋_GB2312"/>
          <w:color w:val="000000" w:themeColor="text1"/>
          <w:sz w:val="28"/>
          <w:szCs w:val="28"/>
          <w14:textFill>
            <w14:solidFill>
              <w14:schemeClr w14:val="tx1"/>
            </w14:solidFill>
          </w14:textFill>
        </w:rPr>
        <w:t>4</w:t>
      </w:r>
      <w:r>
        <w:rPr>
          <w:rFonts w:hint="eastAsia" w:ascii="仿宋_GB2312" w:hAnsi="仿宋_GB2312" w:eastAsia="仿宋_GB2312" w:cs="仿宋_GB2312"/>
          <w:color w:val="000000" w:themeColor="text1"/>
          <w:sz w:val="28"/>
          <w:szCs w:val="28"/>
          <w:lang w:val="zh-CN"/>
          <w14:textFill>
            <w14:solidFill>
              <w14:schemeClr w14:val="tx1"/>
            </w14:solidFill>
          </w14:textFill>
        </w:rPr>
        <w:t>份。</w:t>
      </w:r>
    </w:p>
    <w:p>
      <w:pPr>
        <w:adjustRightInd w:val="0"/>
        <w:snapToGrid w:val="0"/>
        <w:spacing w:line="560" w:lineRule="exact"/>
        <w:ind w:left="1" w:firstLine="560" w:firstLineChars="200"/>
        <w:jc w:val="left"/>
        <w:rPr>
          <w:rFonts w:ascii="仿宋_GB2312" w:hAnsi="仿宋_GB2312" w:eastAsia="仿宋_GB2312" w:cs="仿宋_GB2312"/>
        </w:rPr>
      </w:pPr>
      <w:r>
        <w:rPr>
          <w:rFonts w:hint="eastAsia" w:ascii="仿宋_GB2312" w:hAnsi="仿宋_GB2312" w:eastAsia="仿宋_GB2312" w:cs="仿宋_GB2312"/>
          <w:color w:val="000000" w:themeColor="text1"/>
          <w:sz w:val="28"/>
          <w:szCs w:val="28"/>
          <w14:textFill>
            <w14:solidFill>
              <w14:schemeClr w14:val="tx1"/>
            </w14:solidFill>
          </w14:textFill>
        </w:rPr>
        <w:t>7.2.6比选响应文件一经启封，比选响应人不得查阅、取回。</w:t>
      </w:r>
    </w:p>
    <w:p>
      <w:pPr>
        <w:autoSpaceDE w:val="0"/>
        <w:autoSpaceDN w:val="0"/>
        <w:adjustRightInd w:val="0"/>
        <w:spacing w:line="560" w:lineRule="exact"/>
        <w:ind w:firstLine="548" w:firstLineChars="196"/>
        <w:rPr>
          <w:rFonts w:ascii="黑体" w:hAnsi="黑体" w:eastAsia="黑体" w:cs="黑体"/>
          <w:bCs/>
          <w:color w:val="000000" w:themeColor="text1"/>
          <w:sz w:val="28"/>
          <w:szCs w:val="28"/>
          <w14:textFill>
            <w14:solidFill>
              <w14:schemeClr w14:val="tx1"/>
            </w14:solidFill>
          </w14:textFill>
        </w:rPr>
      </w:pPr>
      <w:r>
        <w:rPr>
          <w:rFonts w:hint="eastAsia" w:ascii="黑体" w:hAnsi="黑体" w:eastAsia="黑体" w:cs="黑体"/>
          <w:bCs/>
          <w:color w:val="000000" w:themeColor="text1"/>
          <w:sz w:val="28"/>
          <w:szCs w:val="28"/>
          <w14:textFill>
            <w14:solidFill>
              <w14:schemeClr w14:val="tx1"/>
            </w14:solidFill>
          </w14:textFill>
        </w:rPr>
        <w:t>八</w:t>
      </w:r>
      <w:r>
        <w:rPr>
          <w:rFonts w:hint="eastAsia" w:ascii="黑体" w:hAnsi="黑体" w:eastAsia="黑体" w:cs="黑体"/>
          <w:bCs/>
          <w:color w:val="000000" w:themeColor="text1"/>
          <w:sz w:val="28"/>
          <w:szCs w:val="28"/>
          <w:lang w:val="zh-CN"/>
          <w14:textFill>
            <w14:solidFill>
              <w14:schemeClr w14:val="tx1"/>
            </w14:solidFill>
          </w14:textFill>
        </w:rPr>
        <w:t>、比选响应文件作废条款</w:t>
      </w:r>
    </w:p>
    <w:p>
      <w:pPr>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w:t>
      </w:r>
      <w:r>
        <w:rPr>
          <w:rFonts w:hint="eastAsia" w:ascii="仿宋_GB2312" w:hAnsi="仿宋_GB2312" w:eastAsia="仿宋_GB2312" w:cs="仿宋_GB2312"/>
          <w:color w:val="000000" w:themeColor="text1"/>
          <w:spacing w:val="-8"/>
          <w:sz w:val="28"/>
          <w:szCs w:val="28"/>
          <w14:textFill>
            <w14:solidFill>
              <w14:schemeClr w14:val="tx1"/>
            </w14:solidFill>
          </w14:textFill>
        </w:rPr>
        <w:t>比选响应人</w:t>
      </w:r>
      <w:r>
        <w:rPr>
          <w:rFonts w:hint="eastAsia" w:ascii="仿宋_GB2312" w:hAnsi="仿宋_GB2312" w:eastAsia="仿宋_GB2312" w:cs="仿宋_GB2312"/>
          <w:color w:val="000000" w:themeColor="text1"/>
          <w:sz w:val="28"/>
          <w:szCs w:val="28"/>
          <w14:textFill>
            <w14:solidFill>
              <w14:schemeClr w14:val="tx1"/>
            </w14:solidFill>
          </w14:textFill>
        </w:rPr>
        <w:t>未按要求密封或未准时递交的</w:t>
      </w:r>
      <w:r>
        <w:rPr>
          <w:rFonts w:hint="eastAsia" w:ascii="仿宋_GB2312" w:hAnsi="仿宋_GB2312" w:eastAsia="仿宋_GB2312" w:cs="仿宋_GB2312"/>
          <w:color w:val="000000" w:themeColor="text1"/>
          <w:spacing w:val="-8"/>
          <w:sz w:val="28"/>
          <w:szCs w:val="28"/>
          <w14:textFill>
            <w14:solidFill>
              <w14:schemeClr w14:val="tx1"/>
            </w14:solidFill>
          </w14:textFill>
        </w:rPr>
        <w:t>比选响应文件</w:t>
      </w:r>
      <w:r>
        <w:rPr>
          <w:rFonts w:hint="eastAsia" w:ascii="仿宋_GB2312" w:hAnsi="仿宋_GB2312" w:eastAsia="仿宋_GB2312" w:cs="仿宋_GB2312"/>
          <w:color w:val="000000" w:themeColor="text1"/>
          <w:sz w:val="28"/>
          <w:szCs w:val="28"/>
          <w14:textFill>
            <w14:solidFill>
              <w14:schemeClr w14:val="tx1"/>
            </w14:solidFill>
          </w14:textFill>
        </w:rPr>
        <w:t>；</w:t>
      </w:r>
    </w:p>
    <w:p>
      <w:pPr>
        <w:widowControl/>
        <w:adjustRightInd w:val="0"/>
        <w:snapToGrid w:val="0"/>
        <w:spacing w:line="560" w:lineRule="exact"/>
        <w:ind w:firstLine="560" w:firstLineChars="200"/>
        <w:jc w:val="left"/>
        <w:textAlignment w:val="bottom"/>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8.1.1比选响应文件必须在2022年</w:t>
      </w:r>
      <w:r>
        <w:rPr>
          <w:rFonts w:ascii="仿宋_GB2312" w:hAnsi="仿宋_GB2312" w:eastAsia="仿宋_GB2312" w:cs="仿宋_GB2312"/>
          <w:color w:val="000000" w:themeColor="text1"/>
          <w:sz w:val="28"/>
          <w:szCs w:val="28"/>
          <w14:textFill>
            <w14:solidFill>
              <w14:schemeClr w14:val="tx1"/>
            </w14:solidFill>
          </w14:textFill>
        </w:rPr>
        <w:t>5</w:t>
      </w:r>
      <w:r>
        <w:rPr>
          <w:rFonts w:hint="eastAsia" w:ascii="仿宋_GB2312" w:hAnsi="仿宋_GB2312" w:eastAsia="仿宋_GB2312" w:cs="仿宋_GB2312"/>
          <w:color w:val="000000" w:themeColor="text1"/>
          <w:sz w:val="28"/>
          <w:szCs w:val="28"/>
          <w14:textFill>
            <w14:solidFill>
              <w14:schemeClr w14:val="tx1"/>
            </w14:solidFill>
          </w14:textFill>
        </w:rPr>
        <w:t>月</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30</w:t>
      </w:r>
      <w:r>
        <w:rPr>
          <w:rFonts w:hint="eastAsia" w:ascii="仿宋_GB2312" w:hAnsi="仿宋_GB2312" w:eastAsia="仿宋_GB2312" w:cs="仿宋_GB2312"/>
          <w:color w:val="000000" w:themeColor="text1"/>
          <w:sz w:val="28"/>
          <w:szCs w:val="28"/>
          <w14:textFill>
            <w14:solidFill>
              <w14:schemeClr w14:val="tx1"/>
            </w14:solidFill>
          </w14:textFill>
        </w:rPr>
        <w:t>日 14:00-14:30时前送到重庆空港航空地面服务有限公司110房间，过期不予受理；</w:t>
      </w:r>
    </w:p>
    <w:p>
      <w:pPr>
        <w:autoSpaceDE w:val="0"/>
        <w:autoSpaceDN w:val="0"/>
        <w:adjustRightInd w:val="0"/>
        <w:snapToGrid w:val="0"/>
        <w:spacing w:line="560" w:lineRule="exact"/>
        <w:ind w:firstLine="551" w:firstLineChars="197"/>
        <w:textAlignment w:val="bottom"/>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kern w:val="0"/>
          <w:sz w:val="28"/>
          <w:szCs w:val="28"/>
          <w14:textFill>
            <w14:solidFill>
              <w14:schemeClr w14:val="tx1"/>
            </w14:solidFill>
          </w14:textFill>
        </w:rPr>
        <w:t>8.1.2封面上须注明“项目名称”，</w:t>
      </w:r>
      <w:r>
        <w:rPr>
          <w:rFonts w:hint="eastAsia" w:ascii="仿宋_GB2312" w:hAnsi="仿宋_GB2312" w:eastAsia="仿宋_GB2312" w:cs="仿宋_GB2312"/>
          <w:color w:val="000000" w:themeColor="text1"/>
          <w:sz w:val="28"/>
          <w:szCs w:val="28"/>
          <w:lang w:val="zh-CN"/>
          <w14:textFill>
            <w14:solidFill>
              <w14:schemeClr w14:val="tx1"/>
            </w14:solidFill>
          </w14:textFill>
        </w:rPr>
        <w:t>比选响应文件</w:t>
      </w:r>
      <w:r>
        <w:rPr>
          <w:rFonts w:hint="eastAsia" w:ascii="仿宋_GB2312" w:hAnsi="仿宋_GB2312" w:eastAsia="仿宋_GB2312" w:cs="仿宋_GB2312"/>
          <w:color w:val="000000" w:themeColor="text1"/>
          <w:kern w:val="0"/>
          <w:sz w:val="28"/>
          <w:szCs w:val="28"/>
          <w14:textFill>
            <w14:solidFill>
              <w14:schemeClr w14:val="tx1"/>
            </w14:solidFill>
          </w14:textFill>
        </w:rPr>
        <w:t>清单未按要求盖章或签字及</w:t>
      </w:r>
      <w:r>
        <w:rPr>
          <w:rFonts w:hint="eastAsia" w:ascii="仿宋_GB2312" w:hAnsi="仿宋_GB2312" w:eastAsia="仿宋_GB2312" w:cs="仿宋_GB2312"/>
          <w:color w:val="000000" w:themeColor="text1"/>
          <w:sz w:val="28"/>
          <w:szCs w:val="28"/>
          <w:lang w:val="zh-CN"/>
          <w14:textFill>
            <w14:solidFill>
              <w14:schemeClr w14:val="tx1"/>
            </w14:solidFill>
          </w14:textFill>
        </w:rPr>
        <w:t>比选响应文件</w:t>
      </w:r>
      <w:r>
        <w:rPr>
          <w:rFonts w:hint="eastAsia" w:ascii="仿宋_GB2312" w:hAnsi="仿宋_GB2312" w:eastAsia="仿宋_GB2312" w:cs="仿宋_GB2312"/>
          <w:color w:val="000000" w:themeColor="text1"/>
          <w:spacing w:val="-8"/>
          <w:sz w:val="28"/>
          <w:szCs w:val="28"/>
          <w14:textFill>
            <w14:solidFill>
              <w14:schemeClr w14:val="tx1"/>
            </w14:solidFill>
          </w14:textFill>
        </w:rPr>
        <w:t>外包装上密封处未加盖比选响应人公章。</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8.1.3比选响应文件散装或者活页装订的；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8.1.4资质不符合比选文件要求的；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8.1.5有串通比选或弄虚作假或有其他违法行为的；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8.1.6比选响应文件无有效授权书的；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8.1.7比选有效期不足的；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8.1.8未按规定的格式填写，内容不全或关键字迹模糊、无法辨认的；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8.1.9评审委员会审查发现比选响应文件未能对比选文件提出的所有实质性要求和条件作出响应的。</w:t>
      </w:r>
    </w:p>
    <w:p>
      <w:pPr>
        <w:autoSpaceDE w:val="0"/>
        <w:autoSpaceDN w:val="0"/>
        <w:adjustRightInd w:val="0"/>
        <w:spacing w:line="560" w:lineRule="exact"/>
        <w:ind w:firstLine="560" w:firstLineChars="200"/>
        <w:rPr>
          <w:rFonts w:ascii="黑体" w:hAnsi="黑体" w:eastAsia="黑体" w:cs="黑体"/>
          <w:color w:val="000000" w:themeColor="text1"/>
          <w:sz w:val="28"/>
          <w:szCs w:val="28"/>
          <w:lang w:val="zh-CN"/>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九</w:t>
      </w:r>
      <w:r>
        <w:rPr>
          <w:rFonts w:hint="eastAsia" w:ascii="黑体" w:hAnsi="黑体" w:eastAsia="黑体" w:cs="黑体"/>
          <w:color w:val="000000" w:themeColor="text1"/>
          <w:sz w:val="28"/>
          <w:szCs w:val="28"/>
          <w:lang w:val="zh-CN"/>
          <w14:textFill>
            <w14:solidFill>
              <w14:schemeClr w14:val="tx1"/>
            </w14:solidFill>
          </w14:textFill>
        </w:rPr>
        <w:t>、异议</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9.1 比选响应人或其他利害关系人认为采购活动不符合法律、行政等规定的，应当在采购结果公示期之内以书面形式向采购人提出异议（以采购人收到书面异议之日为准）。异议书应同时提交至重庆空港航空地面服务有限公司党群工作部（地址：重庆空港航空地面服务有限公司办公楼；电话：023-67153808）和重庆空港航空地面服务有限公司资产设备部（地址：重庆空港航空地面服务有限公司办公楼；电话：023-67156351）。</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9.2 异议提出人向采购人提起异议时，应当提交异议书。异议书应当包括下列内容：</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（一）异议提出人的名称、地址及有效联系方式。</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（二）异议事项的基本事实。</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（三）异议请求及主张。</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（四）有效线索和相关证据、证明材料。</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异议提出人是法人的，异议函必须由其法定代表人或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9.3 异议提出人对异议事项提出的请求和主张，有责任提供证据；只有自己陈述而不能提出其他相关证据的，对其请求和主张不予支持。</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9.4 异议提出人不得虚假异议、恶意异议，不得以异议为名排挤竞争对手，阻碍采购活动的正常进行。若出现该情况，视为无效异议，不再受理。</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（一）招标投标法第二十二条规定的招标投标保密信息。</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（二）应当保密的采购响应文件（但采购人提起异议时，采购响应文件不作为非法证据）。</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（三）招标投标法第四十四条规定保密的投标文件评审和比较情况、中标候选人推荐情况和评标有关的其他情况。</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（四）其他依法应当保密的信息和资料。</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9.6 有下列情形之一的异议，不予受理：</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（一）异议事项不具体，且未提供有效线索、相关证据和证明材料，难以查证。</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（二）未署异议提出人真实姓名、签字和有效联系方式。</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（三）未经法定代表人或授权的委托代理人签字并加盖公章，或未经主要负责人或异议提出人本人签字。</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（四）不在结果公示期内的。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（五）已对异议事项做出答复的。</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注：对比选文件内容的异议应在比选文件规定的质疑期内提出；对比选唱价环节的异议应在比选唱价环节提出。</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9.7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560" w:lineRule="exact"/>
        <w:ind w:firstLine="560" w:firstLineChars="200"/>
        <w:rPr>
          <w:rFonts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十、监督部门</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重庆空港航空地面服务有限公司党群工作部</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电话：023-67153808</w:t>
      </w:r>
    </w:p>
    <w:p>
      <w:pPr>
        <w:autoSpaceDE w:val="0"/>
        <w:autoSpaceDN w:val="0"/>
        <w:adjustRightInd w:val="0"/>
        <w:spacing w:line="560" w:lineRule="exact"/>
        <w:ind w:firstLine="560" w:firstLineChars="200"/>
        <w:rPr>
          <w:rFonts w:ascii="黑体" w:hAnsi="黑体" w:eastAsia="黑体" w:cs="黑体"/>
          <w:color w:val="000000" w:themeColor="text1"/>
          <w:sz w:val="28"/>
          <w:szCs w:val="28"/>
          <w14:textFill>
            <w14:solidFill>
              <w14:schemeClr w14:val="tx1"/>
            </w14:solidFill>
          </w14:textFill>
        </w:rPr>
      </w:pPr>
      <w:r>
        <w:rPr>
          <w:rFonts w:hint="eastAsia" w:ascii="黑体" w:hAnsi="黑体" w:eastAsia="黑体" w:cs="黑体"/>
          <w:color w:val="000000" w:themeColor="text1"/>
          <w:sz w:val="28"/>
          <w:szCs w:val="28"/>
          <w14:textFill>
            <w14:solidFill>
              <w14:schemeClr w14:val="tx1"/>
            </w14:solidFill>
          </w14:textFill>
        </w:rPr>
        <w:t>十一、比选时间、地点、结果通知及合同签订</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 xml:space="preserve">11.1 </w:t>
      </w:r>
      <w:r>
        <w:rPr>
          <w:rFonts w:hint="eastAsia" w:ascii="仿宋_GB2312" w:hAnsi="仿宋_GB2312" w:eastAsia="仿宋_GB2312" w:cs="仿宋_GB2312"/>
          <w:color w:val="000000" w:themeColor="text1"/>
          <w:sz w:val="28"/>
          <w:szCs w:val="28"/>
          <w:lang w:val="zh-CN"/>
          <w14:textFill>
            <w14:solidFill>
              <w14:schemeClr w14:val="tx1"/>
            </w14:solidFill>
          </w14:textFill>
        </w:rPr>
        <w:t>比选响应文件</w:t>
      </w:r>
      <w:r>
        <w:rPr>
          <w:rFonts w:hint="eastAsia" w:ascii="仿宋_GB2312" w:hAnsi="仿宋_GB2312" w:eastAsia="仿宋_GB2312" w:cs="仿宋_GB2312"/>
          <w:color w:val="000000" w:themeColor="text1"/>
          <w:sz w:val="28"/>
          <w:szCs w:val="28"/>
          <w14:textFill>
            <w14:solidFill>
              <w14:schemeClr w14:val="tx1"/>
            </w14:solidFill>
          </w14:textFill>
        </w:rPr>
        <w:t>必须在2022年</w:t>
      </w:r>
      <w:r>
        <w:rPr>
          <w:rFonts w:ascii="仿宋_GB2312" w:hAnsi="仿宋_GB2312" w:eastAsia="仿宋_GB2312" w:cs="仿宋_GB2312"/>
          <w:color w:val="000000" w:themeColor="text1"/>
          <w:sz w:val="28"/>
          <w:szCs w:val="28"/>
          <w14:textFill>
            <w14:solidFill>
              <w14:schemeClr w14:val="tx1"/>
            </w14:solidFill>
          </w14:textFill>
        </w:rPr>
        <w:t>5</w:t>
      </w:r>
      <w:r>
        <w:rPr>
          <w:rFonts w:hint="eastAsia" w:ascii="仿宋_GB2312" w:hAnsi="仿宋_GB2312" w:eastAsia="仿宋_GB2312" w:cs="仿宋_GB2312"/>
          <w:color w:val="000000" w:themeColor="text1"/>
          <w:sz w:val="28"/>
          <w:szCs w:val="28"/>
          <w14:textFill>
            <w14:solidFill>
              <w14:schemeClr w14:val="tx1"/>
            </w14:solidFill>
          </w14:textFill>
        </w:rPr>
        <w:t>月</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30</w:t>
      </w:r>
      <w:r>
        <w:rPr>
          <w:rFonts w:hint="eastAsia" w:ascii="仿宋_GB2312" w:hAnsi="仿宋_GB2312" w:eastAsia="仿宋_GB2312" w:cs="仿宋_GB2312"/>
          <w:color w:val="000000" w:themeColor="text1"/>
          <w:sz w:val="28"/>
          <w:szCs w:val="28"/>
          <w14:textFill>
            <w14:solidFill>
              <w14:schemeClr w14:val="tx1"/>
            </w14:solidFill>
          </w14:textFill>
        </w:rPr>
        <w:t>日14:00至14：30时送到重庆空港航空地面服务有限公司110房间，过期不予受理。</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11.2 2022年</w:t>
      </w:r>
      <w:r>
        <w:rPr>
          <w:rFonts w:ascii="仿宋_GB2312" w:hAnsi="仿宋_GB2312" w:eastAsia="仿宋_GB2312" w:cs="仿宋_GB2312"/>
          <w:color w:val="000000" w:themeColor="text1"/>
          <w:sz w:val="28"/>
          <w:szCs w:val="28"/>
          <w14:textFill>
            <w14:solidFill>
              <w14:schemeClr w14:val="tx1"/>
            </w14:solidFill>
          </w14:textFill>
        </w:rPr>
        <w:t>5</w:t>
      </w:r>
      <w:r>
        <w:rPr>
          <w:rFonts w:hint="eastAsia" w:ascii="仿宋_GB2312" w:hAnsi="仿宋_GB2312" w:eastAsia="仿宋_GB2312" w:cs="仿宋_GB2312"/>
          <w:color w:val="000000" w:themeColor="text1"/>
          <w:sz w:val="28"/>
          <w:szCs w:val="28"/>
          <w14:textFill>
            <w14:solidFill>
              <w14:schemeClr w14:val="tx1"/>
            </w14:solidFill>
          </w14:textFill>
        </w:rPr>
        <w:t>月</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30</w:t>
      </w:r>
      <w:bookmarkStart w:id="2" w:name="_GoBack"/>
      <w:bookmarkEnd w:id="2"/>
      <w:r>
        <w:rPr>
          <w:rFonts w:hint="eastAsia" w:ascii="仿宋_GB2312" w:hAnsi="仿宋_GB2312" w:eastAsia="仿宋_GB2312" w:cs="仿宋_GB2312"/>
          <w:color w:val="000000" w:themeColor="text1"/>
          <w:sz w:val="28"/>
          <w:szCs w:val="28"/>
          <w14:textFill>
            <w14:solidFill>
              <w14:schemeClr w14:val="tx1"/>
            </w14:solidFill>
          </w14:textFill>
        </w:rPr>
        <w:t>日14:30时在重庆空港航空地面服务有限公司   会议室对本项目进行比选，各比选响应人须参加。（会议室以当天通知为准）</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11.3 各潜在比选响应人如有疑问，请将加盖公章的书面质疑函(WORD版、PDF版)至少于比选开始前</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w:t>
      </w:r>
      <w:r>
        <w:rPr>
          <w:rFonts w:hint="eastAsia" w:ascii="仿宋_GB2312" w:hAnsi="仿宋_GB2312" w:eastAsia="仿宋_GB2312" w:cs="仿宋_GB2312"/>
          <w:color w:val="000000" w:themeColor="text1"/>
          <w:sz w:val="28"/>
          <w:szCs w:val="28"/>
          <w14:textFill>
            <w14:solidFill>
              <w14:schemeClr w14:val="tx1"/>
            </w14:solidFill>
          </w14:textFill>
        </w:rPr>
        <w:t>个工作日通过邮件的形式发送至以下邮箱：zhengyu@cqa.cn</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11.4  参加比选唱价会议的比选响应人的被授权人应当随身携带本人身份证（原件）和授权委托书（原件），以备核验其合法身份。</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比选响应人若未派被授权人出席比选唱价会议，视为该比选响应人默认比选唱价结果。</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11.5 比选响应人一经递交比选响应文件，不得查阅、取回递交的响应文件。</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11.6 比选结果通知：待结果确定后将在重庆机场集团有限公司官网发布拟成交结果公示。待结果经比选人内部决策程序确定后会及时通知，原则上只通知被选中的比选响应人，对未被选中的比选响应人不通知、不解释。</w:t>
      </w:r>
    </w:p>
    <w:p>
      <w:pPr>
        <w:autoSpaceDE w:val="0"/>
        <w:autoSpaceDN w:val="0"/>
        <w:adjustRightInd w:val="0"/>
        <w:spacing w:line="560" w:lineRule="exact"/>
        <w:ind w:firstLine="560" w:firstLineChars="200"/>
        <w:rPr>
          <w:rFonts w:ascii="仿宋_GB2312" w:hAnsi="仿宋_GB2312" w:eastAsia="仿宋_GB2312" w:cs="仿宋_GB2312"/>
        </w:rPr>
      </w:pPr>
      <w:r>
        <w:rPr>
          <w:rFonts w:hint="eastAsia" w:ascii="仿宋_GB2312" w:hAnsi="仿宋_GB2312" w:eastAsia="仿宋_GB2312" w:cs="仿宋_GB2312"/>
          <w:color w:val="000000" w:themeColor="text1"/>
          <w:sz w:val="28"/>
          <w:szCs w:val="28"/>
          <w14:textFill>
            <w14:solidFill>
              <w14:schemeClr w14:val="tx1"/>
            </w14:solidFill>
          </w14:textFill>
        </w:rPr>
        <w:t>11.7 合同签订：比选响应人接到成交通知后，应在20天内按比选采购文件和比选响应文件与重庆空港航空地面服务有限公司签订书面合同。</w:t>
      </w:r>
    </w:p>
    <w:p>
      <w:pPr>
        <w:snapToGrid w:val="0"/>
        <w:spacing w:line="560" w:lineRule="exact"/>
        <w:ind w:firstLine="548" w:firstLineChars="196"/>
        <w:rPr>
          <w:rFonts w:ascii="黑体" w:hAnsi="黑体" w:eastAsia="黑体" w:cs="黑体"/>
          <w:bCs/>
          <w:sz w:val="28"/>
          <w:szCs w:val="28"/>
        </w:rPr>
      </w:pPr>
      <w:r>
        <w:rPr>
          <w:rFonts w:hint="eastAsia" w:ascii="黑体" w:hAnsi="黑体" w:eastAsia="黑体" w:cs="黑体"/>
          <w:bCs/>
          <w:color w:val="000000"/>
          <w:sz w:val="28"/>
          <w:szCs w:val="28"/>
        </w:rPr>
        <w:t>十二、</w:t>
      </w:r>
      <w:r>
        <w:rPr>
          <w:rFonts w:hint="eastAsia" w:ascii="黑体" w:hAnsi="黑体" w:eastAsia="黑体" w:cs="黑体"/>
          <w:bCs/>
          <w:sz w:val="28"/>
          <w:szCs w:val="28"/>
        </w:rPr>
        <w:t>联系方式</w:t>
      </w:r>
    </w:p>
    <w:p>
      <w:pPr>
        <w:snapToGrid w:val="0"/>
        <w:spacing w:line="560" w:lineRule="exact"/>
        <w:ind w:firstLine="548" w:firstLineChars="196"/>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业主：重庆空港航空地面服务有限公司</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联系人：郑老师</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电话：023-67156351</w:t>
      </w:r>
    </w:p>
    <w:p>
      <w:pPr>
        <w:autoSpaceDE w:val="0"/>
        <w:autoSpaceDN w:val="0"/>
        <w:adjustRightInd w:val="0"/>
        <w:spacing w:line="560" w:lineRule="exact"/>
        <w:ind w:firstLine="560" w:firstLineChars="200"/>
        <w:rPr>
          <w:rFonts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传真：023-67153291</w:t>
      </w:r>
    </w:p>
    <w:p>
      <w:pPr>
        <w:autoSpaceDE w:val="0"/>
        <w:autoSpaceDN w:val="0"/>
        <w:adjustRightInd w:val="0"/>
        <w:spacing w:line="560" w:lineRule="exact"/>
        <w:ind w:firstLine="560" w:firstLineChars="200"/>
        <w:rPr>
          <w:rFonts w:hint="eastAsia" w:ascii="仿宋_GB2312" w:hAnsi="仿宋_GB2312" w:eastAsia="仿宋_GB2312" w:cs="仿宋_GB2312"/>
          <w:color w:val="000000" w:themeColor="text1"/>
          <w:sz w:val="28"/>
          <w:szCs w:val="28"/>
          <w14:textFill>
            <w14:solidFill>
              <w14:schemeClr w14:val="tx1"/>
            </w14:solidFill>
          </w14:textFill>
        </w:rPr>
        <w:sectPr>
          <w:headerReference r:id="rId3" w:type="default"/>
          <w:footerReference r:id="rId4" w:type="default"/>
          <w:pgSz w:w="11906" w:h="16838"/>
          <w:pgMar w:top="1560" w:right="1800" w:bottom="1440" w:left="1800" w:header="851" w:footer="992" w:gutter="0"/>
          <w:cols w:space="425" w:num="1"/>
          <w:docGrid w:type="lines" w:linePitch="312" w:charSpace="0"/>
        </w:sectPr>
      </w:pPr>
      <w:r>
        <w:rPr>
          <w:rFonts w:hint="eastAsia" w:ascii="仿宋_GB2312" w:hAnsi="仿宋_GB2312" w:eastAsia="仿宋_GB2312" w:cs="仿宋_GB2312"/>
          <w:color w:val="000000" w:themeColor="text1"/>
          <w:sz w:val="28"/>
          <w:szCs w:val="28"/>
          <w14:textFill>
            <w14:solidFill>
              <w14:schemeClr w14:val="tx1"/>
            </w14:solidFill>
          </w14:textFill>
        </w:rPr>
        <w:t>邮编：401120</w:t>
      </w:r>
      <w:bookmarkStart w:id="1" w:name="_Toc7485"/>
    </w:p>
    <w:p>
      <w:pPr>
        <w:pStyle w:val="15"/>
        <w:ind w:firstLine="281" w:firstLineChars="100"/>
        <w:jc w:val="both"/>
        <w:outlineLvl w:val="9"/>
        <w:rPr>
          <w:rStyle w:val="26"/>
          <w:sz w:val="28"/>
          <w:szCs w:val="28"/>
        </w:rPr>
      </w:pPr>
      <w:r>
        <w:rPr>
          <w:rFonts w:hint="eastAsia"/>
          <w:sz w:val="28"/>
          <w:szCs w:val="28"/>
        </w:rPr>
        <w:t>附件一：</w:t>
      </w:r>
      <w:r>
        <w:rPr>
          <w:rStyle w:val="26"/>
          <w:rFonts w:hint="eastAsia" w:ascii="仿宋_GB2312" w:hAnsi="仿宋_GB2312" w:eastAsia="仿宋_GB2312" w:cs="仿宋_GB2312"/>
          <w:color w:val="000000" w:themeColor="text1"/>
          <w:sz w:val="28"/>
          <w:szCs w:val="28"/>
          <w14:textFill>
            <w14:solidFill>
              <w14:schemeClr w14:val="tx1"/>
            </w14:solidFill>
          </w14:textFill>
        </w:rPr>
        <w:t>岗位职责及工作内容</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（一）工作内容</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1、负责协助完成货邮收运、</w:t>
      </w: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查验</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等工作；</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2、负责完成货库范围内的托架、托板等设备的整理、摆放工作；</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3、负责完成出港库房、出港待装区、进港库房、进港待装区之间托架、拖板的转运工作；</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4、负责完成货物复磅工作；</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5</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、负责正确、安全地驾驶、使用、保养、维护、修理甲方提供的车辆、设备等，确保其正常运行；</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6</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w:t>
      </w: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完成</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因航班、货主服务保障及货站区域正常运行需要而临时交办的其他工作；</w:t>
      </w:r>
    </w:p>
    <w:p>
      <w:pPr>
        <w:keepNext w:val="0"/>
        <w:keepLines w:val="0"/>
        <w:pageBreakBefore w:val="0"/>
        <w:kinsoku/>
        <w:wordWrap/>
        <w:overflowPunct/>
        <w:topLinePunct w:val="0"/>
        <w:autoSpaceDE/>
        <w:autoSpaceDN/>
        <w:bidi w:val="0"/>
        <w:adjustRightInd/>
        <w:snapToGrid/>
        <w:spacing w:after="0" w:line="560" w:lineRule="exact"/>
        <w:ind w:firstLine="560" w:firstLineChars="200"/>
        <w:jc w:val="both"/>
        <w:textAlignment w:val="auto"/>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7</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w:t>
      </w: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完成</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领导及监管队室交办的其他与项目保障相关的工作事项。</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（二）作业要求</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1、运行速度：车辆按规定道路行驶，在货库内及待装区行驶时车速不得超过20公里/小时,叉车在叉货物过程中，行驶速度不超过5公里/小时，在转运货物时行驶速度不能超过20公里/小时</w:t>
      </w: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2、叉车作业标准：①严禁叉取重量在额定重量以上的货物；②禁止在叉车运行中启动钥匙开关，禁止突然起动、制动或转向；③严禁用货叉尖挤推货物、提升货物或推拉货物，④叉取货物时与地面保持15-20厘米</w:t>
      </w: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3、</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严格按照疫情防控要求做好个人疫情防控工作；</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4、</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严格按照相关疫情防控要求做好保障过程中的疫情防控监管工作；</w:t>
      </w:r>
    </w:p>
    <w:p>
      <w:pPr>
        <w:pStyle w:val="2"/>
        <w:keepNext w:val="0"/>
        <w:keepLines w:val="0"/>
        <w:pageBreakBefore w:val="0"/>
        <w:widowControl/>
        <w:kinsoku/>
        <w:wordWrap/>
        <w:overflowPunct/>
        <w:topLinePunct w:val="0"/>
        <w:autoSpaceDE/>
        <w:autoSpaceDN/>
        <w:bidi w:val="0"/>
        <w:adjustRightInd/>
        <w:snapToGrid/>
        <w:spacing w:after="0" w:line="560" w:lineRule="exact"/>
        <w:ind w:firstLine="560" w:firstLineChars="200"/>
        <w:textAlignment w:val="auto"/>
        <w:outlineLvl w:val="2"/>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pPr>
      <w:r>
        <w:rPr>
          <w:rFonts w:hint="eastAsia"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5</w:t>
      </w:r>
      <w:r>
        <w:rPr>
          <w:rFonts w:hint="default" w:ascii="仿宋_GB2312" w:hAnsi="仿宋_GB2312" w:eastAsia="仿宋_GB2312" w:cs="仿宋_GB2312"/>
          <w:b w:val="0"/>
          <w:color w:val="000000" w:themeColor="text1"/>
          <w:kern w:val="2"/>
          <w:sz w:val="28"/>
          <w:szCs w:val="28"/>
          <w:lang w:val="en-US" w:eastAsia="zh-CN" w:bidi="ar-SA"/>
          <w14:textFill>
            <w14:solidFill>
              <w14:schemeClr w14:val="tx1"/>
            </w14:solidFill>
          </w14:textFill>
        </w:rPr>
        <w:t>、双方随今后运行情况及货邮保障实际对基本职责与工作内容进行调整。</w:t>
      </w:r>
    </w:p>
    <w:p>
      <w:r>
        <w:rPr>
          <w:rFonts w:hint="eastAsia"/>
        </w:rPr>
        <w:br w:type="page"/>
      </w:r>
    </w:p>
    <w:p>
      <w:pPr>
        <w:pStyle w:val="15"/>
        <w:jc w:val="both"/>
        <w:outlineLvl w:val="9"/>
      </w:pPr>
      <w:r>
        <w:rPr>
          <w:rFonts w:hint="eastAsia"/>
        </w:rPr>
        <w:t>附件二：比选办法（综合评分法）</w:t>
      </w:r>
    </w:p>
    <w:p>
      <w:pPr>
        <w:pStyle w:val="15"/>
        <w:spacing w:line="560" w:lineRule="exact"/>
        <w:jc w:val="both"/>
        <w:outlineLvl w:val="9"/>
        <w:rPr>
          <w:rFonts w:ascii="Times New Roman" w:hAnsi="Times New Roman" w:eastAsia="方正仿宋_GBK"/>
          <w:color w:val="000000" w:themeColor="text1"/>
          <w:sz w:val="28"/>
          <w:szCs w:val="28"/>
          <w14:textFill>
            <w14:solidFill>
              <w14:schemeClr w14:val="tx1"/>
            </w14:solidFill>
          </w14:textFill>
        </w:rPr>
      </w:pPr>
      <w:r>
        <w:rPr>
          <w:rFonts w:hint="eastAsia" w:ascii="Times New Roman" w:hAnsi="Times New Roman" w:eastAsia="方正小标宋_GBK"/>
          <w:color w:val="000000" w:themeColor="text1"/>
          <w:sz w:val="36"/>
          <w:szCs w:val="36"/>
          <w14:textFill>
            <w14:solidFill>
              <w14:schemeClr w14:val="tx1"/>
            </w14:solidFill>
          </w14:textFill>
        </w:rPr>
        <w:t xml:space="preserve">   </w:t>
      </w:r>
      <w:r>
        <w:rPr>
          <w:rFonts w:ascii="Times New Roman" w:hAnsi="Times New Roman" w:eastAsia="方正仿宋_GBK"/>
          <w:color w:val="000000" w:themeColor="text1"/>
          <w:sz w:val="28"/>
          <w:szCs w:val="28"/>
          <w14:textFill>
            <w14:solidFill>
              <w14:schemeClr w14:val="tx1"/>
            </w14:solidFill>
          </w14:textFill>
        </w:rPr>
        <w:t>本次比选采取综合评分法。在经过初步审查后对符合本文件基本要求的比选响应人进行详细评审，总得分为经济、技术、商务三种</w:t>
      </w:r>
      <w:r>
        <w:rPr>
          <w:rFonts w:hint="eastAsia" w:eastAsia="方正仿宋_GBK"/>
          <w:color w:val="000000" w:themeColor="text1"/>
          <w:sz w:val="28"/>
          <w:szCs w:val="28"/>
          <w14:textFill>
            <w14:solidFill>
              <w14:schemeClr w14:val="tx1"/>
            </w14:solidFill>
          </w14:textFill>
        </w:rPr>
        <w:t>，</w:t>
      </w:r>
      <w:r>
        <w:rPr>
          <w:rFonts w:ascii="Times New Roman" w:hAnsi="Times New Roman" w:eastAsia="方正仿宋_GBK"/>
          <w:color w:val="000000" w:themeColor="text1"/>
          <w:sz w:val="28"/>
          <w:szCs w:val="28"/>
          <w14:textFill>
            <w14:solidFill>
              <w14:schemeClr w14:val="tx1"/>
            </w14:solidFill>
          </w14:textFill>
        </w:rPr>
        <w:t>评定因素分别按照相应分值计算分项得分后相加，满分为100分。</w:t>
      </w:r>
    </w:p>
    <w:p>
      <w:pPr>
        <w:pStyle w:val="15"/>
        <w:spacing w:line="560" w:lineRule="exact"/>
        <w:ind w:firstLine="562" w:firstLineChars="200"/>
        <w:jc w:val="left"/>
        <w:outlineLvl w:val="9"/>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方正仿宋_GBK"/>
          <w:color w:val="000000" w:themeColor="text1"/>
          <w:sz w:val="28"/>
          <w:szCs w:val="28"/>
          <w14:textFill>
            <w14:solidFill>
              <w14:schemeClr w14:val="tx1"/>
            </w14:solidFill>
          </w14:textFill>
        </w:rPr>
        <w:t>本次比选评审包括对比选响应文件进行评审，以及对比选响应人现场述标进行评审两部分。</w:t>
      </w:r>
      <w:bookmarkEnd w:id="1"/>
    </w:p>
    <w:tbl>
      <w:tblPr>
        <w:tblStyle w:val="16"/>
        <w:tblW w:w="10299" w:type="dxa"/>
        <w:tblInd w:w="-5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35"/>
        <w:gridCol w:w="1759"/>
        <w:gridCol w:w="1350"/>
        <w:gridCol w:w="60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35" w:type="dxa"/>
            <w:vAlign w:val="center"/>
          </w:tcPr>
          <w:p>
            <w:pPr>
              <w:spacing w:line="500" w:lineRule="exact"/>
              <w:rPr>
                <w:rFonts w:eastAsia="方正仿宋_GBK"/>
                <w:b/>
                <w:color w:val="000000"/>
                <w:kern w:val="0"/>
                <w:sz w:val="28"/>
                <w:szCs w:val="28"/>
              </w:rPr>
            </w:pPr>
            <w:r>
              <w:rPr>
                <w:rFonts w:eastAsia="方正仿宋_GBK"/>
                <w:b/>
                <w:color w:val="000000"/>
                <w:kern w:val="0"/>
                <w:sz w:val="28"/>
                <w:szCs w:val="28"/>
              </w:rPr>
              <w:t>条款号</w:t>
            </w:r>
          </w:p>
        </w:tc>
        <w:tc>
          <w:tcPr>
            <w:tcW w:w="1759" w:type="dxa"/>
            <w:vAlign w:val="center"/>
          </w:tcPr>
          <w:p>
            <w:pPr>
              <w:tabs>
                <w:tab w:val="left" w:pos="1875"/>
              </w:tabs>
              <w:spacing w:line="500" w:lineRule="exact"/>
              <w:jc w:val="center"/>
              <w:rPr>
                <w:rFonts w:eastAsia="方正仿宋_GBK"/>
                <w:b/>
                <w:color w:val="000000"/>
                <w:kern w:val="0"/>
                <w:sz w:val="28"/>
                <w:szCs w:val="28"/>
              </w:rPr>
            </w:pPr>
            <w:r>
              <w:rPr>
                <w:rFonts w:eastAsia="方正仿宋_GBK"/>
                <w:b/>
                <w:color w:val="000000"/>
                <w:kern w:val="0"/>
                <w:sz w:val="28"/>
                <w:szCs w:val="28"/>
              </w:rPr>
              <w:t>条款内容</w:t>
            </w:r>
          </w:p>
        </w:tc>
        <w:tc>
          <w:tcPr>
            <w:tcW w:w="7405" w:type="dxa"/>
            <w:gridSpan w:val="2"/>
            <w:vAlign w:val="center"/>
          </w:tcPr>
          <w:p>
            <w:pPr>
              <w:tabs>
                <w:tab w:val="left" w:pos="1875"/>
              </w:tabs>
              <w:spacing w:line="500" w:lineRule="exact"/>
              <w:jc w:val="center"/>
              <w:rPr>
                <w:rFonts w:eastAsia="方正仿宋_GBK"/>
                <w:b/>
                <w:color w:val="000000"/>
                <w:kern w:val="0"/>
                <w:sz w:val="28"/>
                <w:szCs w:val="28"/>
              </w:rPr>
            </w:pPr>
            <w:r>
              <w:rPr>
                <w:rFonts w:eastAsia="方正仿宋_GBK"/>
                <w:b/>
                <w:color w:val="000000"/>
                <w:kern w:val="0"/>
                <w:sz w:val="28"/>
                <w:szCs w:val="28"/>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35" w:type="dxa"/>
            <w:vAlign w:val="center"/>
          </w:tcPr>
          <w:p>
            <w:pPr>
              <w:spacing w:line="500" w:lineRule="exact"/>
              <w:jc w:val="center"/>
              <w:rPr>
                <w:rFonts w:eastAsia="方正仿宋_GBK"/>
                <w:color w:val="000000"/>
                <w:sz w:val="28"/>
                <w:szCs w:val="28"/>
              </w:rPr>
            </w:pPr>
            <w:r>
              <w:rPr>
                <w:rFonts w:eastAsia="方正仿宋_GBK"/>
                <w:color w:val="000000"/>
                <w:sz w:val="28"/>
                <w:szCs w:val="28"/>
              </w:rPr>
              <w:t>1</w:t>
            </w:r>
          </w:p>
        </w:tc>
        <w:tc>
          <w:tcPr>
            <w:tcW w:w="1759" w:type="dxa"/>
            <w:tcBorders>
              <w:bottom w:val="single" w:color="auto" w:sz="4" w:space="0"/>
            </w:tcBorders>
            <w:vAlign w:val="center"/>
          </w:tcPr>
          <w:p>
            <w:pPr>
              <w:snapToGrid w:val="0"/>
              <w:spacing w:line="500" w:lineRule="exact"/>
              <w:jc w:val="center"/>
              <w:rPr>
                <w:rFonts w:eastAsia="方正仿宋_GBK"/>
                <w:color w:val="000000"/>
                <w:kern w:val="0"/>
                <w:sz w:val="28"/>
                <w:szCs w:val="28"/>
              </w:rPr>
            </w:pPr>
            <w:r>
              <w:rPr>
                <w:rFonts w:eastAsia="方正仿宋_GBK"/>
                <w:color w:val="000000"/>
                <w:kern w:val="0"/>
                <w:sz w:val="28"/>
                <w:szCs w:val="28"/>
              </w:rPr>
              <w:t>分值构成</w:t>
            </w:r>
          </w:p>
          <w:p>
            <w:pPr>
              <w:snapToGrid w:val="0"/>
              <w:spacing w:line="500" w:lineRule="exact"/>
              <w:jc w:val="center"/>
              <w:rPr>
                <w:rFonts w:eastAsia="方正仿宋_GBK"/>
                <w:color w:val="000000"/>
                <w:kern w:val="0"/>
                <w:sz w:val="28"/>
                <w:szCs w:val="28"/>
              </w:rPr>
            </w:pPr>
            <w:r>
              <w:rPr>
                <w:rFonts w:eastAsia="方正仿宋_GBK"/>
                <w:color w:val="000000"/>
                <w:kern w:val="0"/>
                <w:sz w:val="28"/>
                <w:szCs w:val="28"/>
              </w:rPr>
              <w:t>（总分100分）</w:t>
            </w:r>
          </w:p>
        </w:tc>
        <w:tc>
          <w:tcPr>
            <w:tcW w:w="7405" w:type="dxa"/>
            <w:gridSpan w:val="2"/>
            <w:tcBorders>
              <w:bottom w:val="single" w:color="auto" w:sz="4" w:space="0"/>
            </w:tcBorders>
            <w:vAlign w:val="center"/>
          </w:tcPr>
          <w:p>
            <w:pPr>
              <w:spacing w:line="500" w:lineRule="exact"/>
              <w:ind w:firstLine="240" w:firstLineChars="100"/>
              <w:rPr>
                <w:rFonts w:eastAsia="方正仿宋_GBK"/>
                <w:color w:val="000000"/>
                <w:sz w:val="24"/>
              </w:rPr>
            </w:pPr>
            <w:r>
              <w:rPr>
                <w:rFonts w:eastAsia="方正仿宋_GBK"/>
                <w:color w:val="000000"/>
                <w:sz w:val="24"/>
              </w:rPr>
              <w:t>总分=经济部分得分+技术部分得分+商务部分得分</w:t>
            </w:r>
          </w:p>
          <w:p>
            <w:pPr>
              <w:spacing w:line="500" w:lineRule="exact"/>
              <w:ind w:firstLine="240" w:firstLineChars="100"/>
              <w:rPr>
                <w:rFonts w:eastAsia="方正仿宋_GBK"/>
                <w:color w:val="000000"/>
                <w:szCs w:val="21"/>
              </w:rPr>
            </w:pPr>
            <w:r>
              <w:rPr>
                <w:rFonts w:eastAsia="方正仿宋_GBK"/>
                <w:color w:val="000000"/>
                <w:sz w:val="24"/>
              </w:rPr>
              <w:t>经济部分：</w:t>
            </w:r>
            <w:r>
              <w:rPr>
                <w:rFonts w:hint="eastAsia" w:eastAsia="方正仿宋_GBK"/>
                <w:color w:val="000000"/>
                <w:sz w:val="24"/>
                <w:lang w:val="en-US" w:eastAsia="zh-CN"/>
              </w:rPr>
              <w:t>65</w:t>
            </w:r>
            <w:r>
              <w:rPr>
                <w:rFonts w:eastAsia="方正仿宋_GBK"/>
                <w:color w:val="000000"/>
                <w:sz w:val="24"/>
              </w:rPr>
              <w:t>分；技术部分：</w:t>
            </w:r>
            <w:r>
              <w:rPr>
                <w:rFonts w:hint="eastAsia" w:eastAsia="方正仿宋_GBK"/>
                <w:color w:val="000000"/>
                <w:sz w:val="24"/>
                <w:lang w:val="en-US" w:eastAsia="zh-CN"/>
              </w:rPr>
              <w:t>25</w:t>
            </w:r>
            <w:r>
              <w:rPr>
                <w:rFonts w:eastAsia="方正仿宋_GBK"/>
                <w:color w:val="000000"/>
                <w:sz w:val="24"/>
              </w:rPr>
              <w:t>分；商务部分：</w:t>
            </w:r>
            <w:r>
              <w:rPr>
                <w:rFonts w:hint="eastAsia" w:eastAsia="方正仿宋_GBK"/>
                <w:color w:val="000000"/>
                <w:sz w:val="24"/>
              </w:rPr>
              <w:t>1</w:t>
            </w:r>
            <w:r>
              <w:rPr>
                <w:rFonts w:eastAsia="方正仿宋_GBK"/>
                <w:color w:val="000000"/>
                <w:sz w:val="24"/>
              </w:rPr>
              <w:t>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35" w:type="dxa"/>
            <w:vAlign w:val="center"/>
          </w:tcPr>
          <w:p>
            <w:pPr>
              <w:spacing w:line="500" w:lineRule="exact"/>
              <w:jc w:val="center"/>
              <w:rPr>
                <w:rFonts w:eastAsia="方正仿宋_GBK"/>
                <w:color w:val="000000"/>
                <w:sz w:val="28"/>
                <w:szCs w:val="28"/>
              </w:rPr>
            </w:pPr>
            <w:r>
              <w:rPr>
                <w:rFonts w:eastAsia="方正仿宋_GBK"/>
                <w:b/>
                <w:color w:val="000000"/>
                <w:sz w:val="28"/>
                <w:szCs w:val="28"/>
              </w:rPr>
              <w:t>条款号</w:t>
            </w:r>
          </w:p>
        </w:tc>
        <w:tc>
          <w:tcPr>
            <w:tcW w:w="1759" w:type="dxa"/>
            <w:vAlign w:val="center"/>
          </w:tcPr>
          <w:p>
            <w:pPr>
              <w:spacing w:line="500" w:lineRule="exact"/>
              <w:jc w:val="center"/>
              <w:rPr>
                <w:rFonts w:eastAsia="方正仿宋_GBK"/>
                <w:color w:val="000000"/>
                <w:sz w:val="28"/>
                <w:szCs w:val="28"/>
              </w:rPr>
            </w:pPr>
            <w:r>
              <w:rPr>
                <w:rFonts w:eastAsia="方正仿宋_GBK"/>
                <w:b/>
                <w:color w:val="000000"/>
                <w:sz w:val="28"/>
                <w:szCs w:val="28"/>
              </w:rPr>
              <w:t>评审因素</w:t>
            </w:r>
          </w:p>
        </w:tc>
        <w:tc>
          <w:tcPr>
            <w:tcW w:w="1350" w:type="dxa"/>
            <w:tcBorders>
              <w:right w:val="single" w:color="auto" w:sz="4" w:space="0"/>
            </w:tcBorders>
            <w:vAlign w:val="center"/>
          </w:tcPr>
          <w:p>
            <w:pPr>
              <w:spacing w:line="500" w:lineRule="exact"/>
              <w:jc w:val="center"/>
              <w:rPr>
                <w:rFonts w:eastAsia="方正仿宋_GBK"/>
                <w:b/>
                <w:color w:val="000000"/>
                <w:sz w:val="28"/>
                <w:szCs w:val="28"/>
              </w:rPr>
            </w:pPr>
            <w:r>
              <w:rPr>
                <w:rFonts w:eastAsia="方正仿宋_GBK"/>
                <w:b/>
                <w:color w:val="000000"/>
                <w:sz w:val="28"/>
                <w:szCs w:val="28"/>
              </w:rPr>
              <w:t>分值</w:t>
            </w:r>
          </w:p>
        </w:tc>
        <w:tc>
          <w:tcPr>
            <w:tcW w:w="6055" w:type="dxa"/>
            <w:tcBorders>
              <w:left w:val="single" w:color="auto" w:sz="4" w:space="0"/>
            </w:tcBorders>
            <w:vAlign w:val="center"/>
          </w:tcPr>
          <w:p>
            <w:pPr>
              <w:snapToGrid w:val="0"/>
              <w:spacing w:line="500" w:lineRule="exact"/>
              <w:jc w:val="center"/>
              <w:rPr>
                <w:rFonts w:eastAsia="方正仿宋_GBK"/>
                <w:b/>
                <w:color w:val="000000"/>
                <w:kern w:val="0"/>
                <w:sz w:val="28"/>
                <w:szCs w:val="28"/>
              </w:rPr>
            </w:pPr>
            <w:r>
              <w:rPr>
                <w:rFonts w:eastAsia="方正仿宋_GBK"/>
                <w:b/>
                <w:color w:val="000000"/>
                <w:kern w:val="0"/>
                <w:sz w:val="28"/>
                <w:szCs w:val="28"/>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35" w:type="dxa"/>
            <w:vAlign w:val="center"/>
          </w:tcPr>
          <w:p>
            <w:pPr>
              <w:spacing w:line="500" w:lineRule="exact"/>
              <w:jc w:val="center"/>
              <w:rPr>
                <w:rFonts w:eastAsia="方正仿宋_GBK"/>
                <w:b/>
                <w:color w:val="000000"/>
                <w:sz w:val="28"/>
                <w:szCs w:val="28"/>
              </w:rPr>
            </w:pPr>
            <w:r>
              <w:rPr>
                <w:rFonts w:eastAsia="方正仿宋_GBK"/>
                <w:b/>
                <w:color w:val="000000"/>
                <w:sz w:val="28"/>
                <w:szCs w:val="28"/>
              </w:rPr>
              <w:t>2.1</w:t>
            </w:r>
          </w:p>
        </w:tc>
        <w:tc>
          <w:tcPr>
            <w:tcW w:w="1759" w:type="dxa"/>
            <w:vAlign w:val="center"/>
          </w:tcPr>
          <w:p>
            <w:pPr>
              <w:spacing w:line="500" w:lineRule="exact"/>
              <w:jc w:val="center"/>
              <w:rPr>
                <w:rFonts w:eastAsia="方正仿宋_GBK"/>
                <w:b/>
                <w:color w:val="000000"/>
                <w:sz w:val="28"/>
                <w:szCs w:val="28"/>
              </w:rPr>
            </w:pPr>
            <w:r>
              <w:rPr>
                <w:rFonts w:eastAsia="方正仿宋_GBK"/>
                <w:b/>
                <w:color w:val="000000"/>
                <w:sz w:val="28"/>
                <w:szCs w:val="28"/>
              </w:rPr>
              <w:t>经济部分评分标准</w:t>
            </w:r>
          </w:p>
        </w:tc>
        <w:tc>
          <w:tcPr>
            <w:tcW w:w="1350" w:type="dxa"/>
            <w:tcBorders>
              <w:right w:val="single" w:color="auto" w:sz="4" w:space="0"/>
            </w:tcBorders>
            <w:vAlign w:val="center"/>
          </w:tcPr>
          <w:p>
            <w:pPr>
              <w:spacing w:line="500" w:lineRule="exact"/>
              <w:jc w:val="center"/>
              <w:rPr>
                <w:rFonts w:eastAsia="方正仿宋_GBK"/>
                <w:b/>
                <w:color w:val="000000"/>
                <w:sz w:val="28"/>
                <w:szCs w:val="28"/>
              </w:rPr>
            </w:pPr>
            <w:r>
              <w:rPr>
                <w:rFonts w:hint="eastAsia" w:ascii="仿宋" w:hAnsi="仿宋" w:eastAsia="仿宋" w:cs="仿宋"/>
                <w:b/>
                <w:bCs/>
              </w:rPr>
              <w:t>报价</w:t>
            </w:r>
            <w:r>
              <w:rPr>
                <w:rFonts w:hint="eastAsia" w:ascii="仿宋" w:hAnsi="仿宋" w:eastAsia="仿宋" w:cs="仿宋"/>
                <w:b/>
                <w:bCs/>
                <w:lang w:val="en-US" w:eastAsia="zh-CN"/>
              </w:rPr>
              <w:t>65</w:t>
            </w:r>
            <w:r>
              <w:rPr>
                <w:rFonts w:hint="eastAsia" w:ascii="仿宋" w:hAnsi="仿宋" w:eastAsia="仿宋" w:cs="仿宋"/>
                <w:b/>
                <w:bCs/>
              </w:rPr>
              <w:t>分</w:t>
            </w:r>
          </w:p>
        </w:tc>
        <w:tc>
          <w:tcPr>
            <w:tcW w:w="6055" w:type="dxa"/>
            <w:tcBorders>
              <w:left w:val="single" w:color="auto" w:sz="4" w:space="0"/>
            </w:tcBorders>
            <w:vAlign w:val="center"/>
          </w:tcPr>
          <w:p>
            <w:pPr>
              <w:spacing w:line="400" w:lineRule="exact"/>
              <w:ind w:firstLine="480" w:firstLineChars="200"/>
              <w:jc w:val="left"/>
              <w:rPr>
                <w:rFonts w:eastAsia="方正仿宋_GBK"/>
                <w:color w:val="000000"/>
                <w:sz w:val="24"/>
              </w:rPr>
            </w:pPr>
            <w:r>
              <w:rPr>
                <w:rFonts w:hint="eastAsia" w:eastAsia="方正仿宋_GBK"/>
                <w:color w:val="000000"/>
                <w:sz w:val="24"/>
              </w:rPr>
              <w:t>所有经初步评审合格的比选响应人的综合下浮比例中去掉1/6（不能整除的按小数前整数取整，不足六家（含）报价则不去掉）的最高和相同家数的最低价后进行算术平均，所得的算术平均值即为基准价。</w:t>
            </w:r>
          </w:p>
          <w:p>
            <w:pPr>
              <w:spacing w:line="400" w:lineRule="exact"/>
              <w:ind w:firstLine="480" w:firstLineChars="200"/>
              <w:jc w:val="left"/>
              <w:rPr>
                <w:rFonts w:eastAsia="方正仿宋_GBK"/>
                <w:color w:val="000000"/>
                <w:sz w:val="24"/>
              </w:rPr>
            </w:pPr>
            <w:r>
              <w:rPr>
                <w:rFonts w:hint="eastAsia" w:eastAsia="方正仿宋_GBK"/>
                <w:color w:val="000000"/>
                <w:sz w:val="24"/>
              </w:rPr>
              <w:t>偏差率计算公式：</w:t>
            </w:r>
          </w:p>
          <w:p>
            <w:pPr>
              <w:spacing w:line="400" w:lineRule="exact"/>
              <w:ind w:firstLine="480" w:firstLineChars="200"/>
              <w:jc w:val="left"/>
              <w:rPr>
                <w:rFonts w:eastAsia="方正仿宋_GBK"/>
                <w:color w:val="000000"/>
                <w:sz w:val="24"/>
              </w:rPr>
            </w:pPr>
            <w:r>
              <w:rPr>
                <w:rFonts w:hint="eastAsia" w:eastAsia="方正仿宋_GBK"/>
                <w:color w:val="000000"/>
                <w:sz w:val="24"/>
              </w:rPr>
              <w:t xml:space="preserve">偏差率=（比选响应人所报单价-基准价）/基准价    </w:t>
            </w:r>
          </w:p>
          <w:p>
            <w:pPr>
              <w:spacing w:line="400" w:lineRule="exact"/>
              <w:ind w:firstLine="480" w:firstLineChars="200"/>
              <w:jc w:val="left"/>
              <w:rPr>
                <w:rFonts w:eastAsia="方正仿宋_GBK"/>
                <w:color w:val="000000"/>
                <w:sz w:val="24"/>
              </w:rPr>
            </w:pPr>
            <w:r>
              <w:rPr>
                <w:rFonts w:hint="eastAsia" w:eastAsia="方正仿宋_GBK"/>
                <w:color w:val="000000"/>
                <w:sz w:val="24"/>
              </w:rPr>
              <w:t>所有经初步评审合格的比选响应人的所报价格与基准价格进行比较，等于基准价格的得</w:t>
            </w:r>
            <w:r>
              <w:rPr>
                <w:rFonts w:hint="eastAsia" w:eastAsia="方正仿宋_GBK"/>
                <w:color w:val="000000"/>
                <w:sz w:val="24"/>
                <w:lang w:val="en-US" w:eastAsia="zh-CN"/>
              </w:rPr>
              <w:t>65</w:t>
            </w:r>
            <w:r>
              <w:rPr>
                <w:rFonts w:hint="eastAsia" w:eastAsia="方正仿宋_GBK"/>
                <w:color w:val="000000"/>
                <w:sz w:val="24"/>
              </w:rPr>
              <w:t>分；与基准价相比，每增加1％扣 0.</w:t>
            </w:r>
            <w:r>
              <w:rPr>
                <w:rFonts w:eastAsia="方正仿宋_GBK"/>
                <w:color w:val="000000"/>
                <w:sz w:val="24"/>
              </w:rPr>
              <w:t>3</w:t>
            </w:r>
            <w:r>
              <w:rPr>
                <w:rFonts w:hint="eastAsia" w:eastAsia="方正仿宋_GBK"/>
                <w:color w:val="000000"/>
                <w:sz w:val="24"/>
              </w:rPr>
              <w:t xml:space="preserve"> 分，每减少1％扣0</w:t>
            </w:r>
            <w:r>
              <w:rPr>
                <w:rFonts w:eastAsia="方正仿宋_GBK"/>
                <w:color w:val="000000"/>
                <w:sz w:val="24"/>
              </w:rPr>
              <w:t>.1</w:t>
            </w:r>
            <w:r>
              <w:rPr>
                <w:rFonts w:hint="eastAsia" w:eastAsia="方正仿宋_GBK"/>
                <w:color w:val="000000"/>
                <w:sz w:val="24"/>
              </w:rPr>
              <w:t>分；扣完为止。</w:t>
            </w:r>
          </w:p>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 w:hRule="atLeast"/>
        </w:trPr>
        <w:tc>
          <w:tcPr>
            <w:tcW w:w="1135" w:type="dxa"/>
            <w:vMerge w:val="restart"/>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2.2</w:t>
            </w:r>
          </w:p>
        </w:tc>
        <w:tc>
          <w:tcPr>
            <w:tcW w:w="1759" w:type="dxa"/>
            <w:vMerge w:val="restart"/>
            <w:tcBorders>
              <w:right w:val="single" w:color="auto" w:sz="4" w:space="0"/>
            </w:tcBorders>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技术</w:t>
            </w:r>
          </w:p>
          <w:p>
            <w:pPr>
              <w:spacing w:line="500" w:lineRule="exact"/>
              <w:jc w:val="center"/>
              <w:rPr>
                <w:rFonts w:eastAsia="方正仿宋_GBK"/>
                <w:b/>
                <w:bCs/>
                <w:color w:val="000000"/>
                <w:sz w:val="28"/>
                <w:szCs w:val="28"/>
              </w:rPr>
            </w:pPr>
            <w:r>
              <w:rPr>
                <w:rFonts w:eastAsia="方正仿宋_GBK"/>
                <w:b/>
                <w:bCs/>
                <w:color w:val="000000"/>
                <w:sz w:val="28"/>
                <w:szCs w:val="28"/>
              </w:rPr>
              <w:t>部分</w:t>
            </w:r>
          </w:p>
          <w:p>
            <w:pPr>
              <w:spacing w:line="500" w:lineRule="exact"/>
              <w:jc w:val="center"/>
              <w:rPr>
                <w:rFonts w:eastAsia="方正仿宋_GBK"/>
                <w:b/>
                <w:bCs/>
                <w:color w:val="000000"/>
                <w:sz w:val="28"/>
                <w:szCs w:val="28"/>
              </w:rPr>
            </w:pPr>
            <w:r>
              <w:rPr>
                <w:rFonts w:eastAsia="方正仿宋_GBK"/>
                <w:b/>
                <w:bCs/>
                <w:color w:val="000000"/>
                <w:sz w:val="28"/>
                <w:szCs w:val="28"/>
              </w:rPr>
              <w:t>评分</w:t>
            </w:r>
          </w:p>
          <w:p>
            <w:pPr>
              <w:spacing w:line="500" w:lineRule="exact"/>
              <w:jc w:val="center"/>
              <w:rPr>
                <w:rFonts w:eastAsia="方正仿宋_GBK"/>
                <w:b/>
                <w:bCs/>
                <w:color w:val="000000"/>
                <w:sz w:val="28"/>
                <w:szCs w:val="28"/>
              </w:rPr>
            </w:pPr>
            <w:r>
              <w:rPr>
                <w:rFonts w:eastAsia="方正仿宋_GBK"/>
                <w:b/>
                <w:bCs/>
                <w:color w:val="000000"/>
                <w:sz w:val="28"/>
                <w:szCs w:val="28"/>
              </w:rPr>
              <w:t>标准</w:t>
            </w:r>
          </w:p>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工作规范及日常管理制度（</w:t>
            </w:r>
            <w:r>
              <w:rPr>
                <w:rFonts w:hint="eastAsia" w:ascii="仿宋" w:hAnsi="仿宋" w:eastAsia="仿宋" w:cs="仿宋"/>
                <w:b/>
                <w:bCs/>
                <w:lang w:val="en-US" w:eastAsia="zh-CN"/>
              </w:rPr>
              <w:t>5</w:t>
            </w:r>
            <w:r>
              <w:rPr>
                <w:rFonts w:hint="eastAsia" w:ascii="仿宋" w:hAnsi="仿宋" w:eastAsia="仿宋" w:cs="仿宋"/>
                <w:b/>
                <w:bCs/>
              </w:rPr>
              <w:t>分）</w:t>
            </w:r>
          </w:p>
          <w:p>
            <w:pPr>
              <w:pStyle w:val="15"/>
              <w:outlineLvl w:val="9"/>
              <w:rPr>
                <w:rFonts w:hint="eastAsia" w:ascii="仿宋" w:hAnsi="仿宋" w:eastAsia="仿宋" w:cs="仿宋"/>
              </w:rPr>
            </w:pPr>
          </w:p>
        </w:tc>
        <w:tc>
          <w:tcPr>
            <w:tcW w:w="6055" w:type="dxa"/>
            <w:tcBorders>
              <w:left w:val="single" w:color="auto" w:sz="4" w:space="0"/>
              <w:bottom w:val="single" w:color="auto" w:sz="4" w:space="0"/>
            </w:tcBorders>
            <w:vAlign w:val="center"/>
          </w:tcPr>
          <w:p>
            <w:pPr>
              <w:spacing w:line="340" w:lineRule="exact"/>
              <w:rPr>
                <w:rFonts w:hint="eastAsia" w:ascii="仿宋" w:hAnsi="仿宋" w:eastAsia="仿宋" w:cs="仿宋"/>
                <w:kern w:val="0"/>
                <w:szCs w:val="21"/>
              </w:rPr>
            </w:pPr>
            <w:r>
              <w:rPr>
                <w:rFonts w:hint="eastAsia" w:ascii="仿宋" w:hAnsi="仿宋" w:eastAsia="仿宋" w:cs="仿宋"/>
                <w:kern w:val="0"/>
                <w:szCs w:val="21"/>
              </w:rPr>
              <w:t>a、提供完善的项目服务工作规范、日常管理制度（包括但不限于内务管理、消防安全、环境卫生、岗位要求等各方面），内容详尽，方案具体可行，管理思路清晰，由评标委员会进行综合评议，优得</w:t>
            </w:r>
            <w:r>
              <w:rPr>
                <w:rFonts w:hint="eastAsia" w:ascii="仿宋" w:hAnsi="仿宋" w:eastAsia="仿宋" w:cs="仿宋"/>
                <w:kern w:val="0"/>
                <w:szCs w:val="21"/>
                <w:lang w:val="en-US" w:eastAsia="zh-CN"/>
              </w:rPr>
              <w:t>4-5</w:t>
            </w:r>
            <w:r>
              <w:rPr>
                <w:rFonts w:hint="eastAsia" w:ascii="仿宋" w:hAnsi="仿宋" w:eastAsia="仿宋" w:cs="仿宋"/>
                <w:kern w:val="0"/>
                <w:szCs w:val="21"/>
              </w:rPr>
              <w:t>分，中得</w:t>
            </w:r>
            <w:r>
              <w:rPr>
                <w:rFonts w:hint="eastAsia" w:ascii="仿宋" w:hAnsi="仿宋" w:eastAsia="仿宋" w:cs="仿宋"/>
                <w:kern w:val="0"/>
                <w:szCs w:val="21"/>
                <w:lang w:val="en-US" w:eastAsia="zh-CN"/>
              </w:rPr>
              <w:t>2-3</w:t>
            </w:r>
            <w:r>
              <w:rPr>
                <w:rFonts w:hint="eastAsia" w:ascii="仿宋" w:hAnsi="仿宋" w:eastAsia="仿宋" w:cs="仿宋"/>
                <w:kern w:val="0"/>
                <w:szCs w:val="21"/>
              </w:rPr>
              <w:t>分，一般得</w:t>
            </w:r>
            <w:r>
              <w:rPr>
                <w:rFonts w:hint="eastAsia" w:ascii="仿宋" w:hAnsi="仿宋" w:eastAsia="仿宋" w:cs="仿宋"/>
                <w:kern w:val="0"/>
                <w:szCs w:val="21"/>
                <w:lang w:val="en-US" w:eastAsia="zh-CN"/>
              </w:rPr>
              <w:t>1</w:t>
            </w:r>
            <w:r>
              <w:rPr>
                <w:rFonts w:hint="eastAsia" w:ascii="仿宋" w:hAnsi="仿宋" w:eastAsia="仿宋" w:cs="仿宋"/>
                <w:kern w:val="0"/>
                <w:szCs w:val="21"/>
              </w:rPr>
              <w:t>分；</w:t>
            </w:r>
          </w:p>
          <w:p>
            <w:pPr>
              <w:spacing w:line="500" w:lineRule="exact"/>
              <w:ind w:firstLine="210" w:firstLineChars="100"/>
              <w:rPr>
                <w:rFonts w:hint="eastAsia" w:ascii="仿宋" w:hAnsi="仿宋" w:eastAsia="仿宋" w:cs="仿宋"/>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人员管理制度（</w:t>
            </w:r>
            <w:r>
              <w:rPr>
                <w:rFonts w:hint="eastAsia" w:ascii="仿宋" w:hAnsi="仿宋" w:eastAsia="仿宋" w:cs="仿宋"/>
                <w:b/>
                <w:bCs/>
                <w:lang w:val="en-US" w:eastAsia="zh-CN"/>
              </w:rPr>
              <w:t>3</w:t>
            </w:r>
            <w:r>
              <w:rPr>
                <w:rFonts w:hint="eastAsia" w:ascii="仿宋" w:hAnsi="仿宋" w:eastAsia="仿宋" w:cs="仿宋"/>
                <w:b/>
                <w:bCs/>
              </w:rPr>
              <w:t>分）</w:t>
            </w:r>
          </w:p>
          <w:p>
            <w:pPr>
              <w:spacing w:line="500" w:lineRule="exact"/>
              <w:jc w:val="center"/>
              <w:rPr>
                <w:rFonts w:hint="eastAsia" w:ascii="仿宋" w:hAnsi="仿宋" w:eastAsia="仿宋" w:cs="仿宋"/>
                <w:b/>
                <w:bCs/>
                <w:color w:val="000000"/>
                <w:sz w:val="28"/>
                <w:szCs w:val="28"/>
              </w:rPr>
            </w:pPr>
          </w:p>
        </w:tc>
        <w:tc>
          <w:tcPr>
            <w:tcW w:w="6055" w:type="dxa"/>
            <w:tcBorders>
              <w:left w:val="single" w:color="auto" w:sz="4" w:space="0"/>
              <w:bottom w:val="single" w:color="auto" w:sz="4" w:space="0"/>
            </w:tcBorders>
            <w:vAlign w:val="center"/>
          </w:tcPr>
          <w:p>
            <w:pPr>
              <w:spacing w:line="340" w:lineRule="exact"/>
              <w:rPr>
                <w:rFonts w:hint="eastAsia" w:ascii="仿宋" w:hAnsi="仿宋" w:eastAsia="仿宋" w:cs="仿宋"/>
                <w:kern w:val="0"/>
                <w:szCs w:val="21"/>
              </w:rPr>
            </w:pPr>
            <w:r>
              <w:rPr>
                <w:rFonts w:hint="eastAsia" w:ascii="仿宋" w:hAnsi="仿宋" w:eastAsia="仿宋" w:cs="仿宋"/>
                <w:kern w:val="0"/>
                <w:szCs w:val="21"/>
              </w:rPr>
              <w:t>a、提供完善的人员管理制度，包括奖惩、培训、考核、员工行为管理规范、休息休假制度等，内容详尽，方案具体可行，管理思路清晰，由评标委员会进行综合评议，优得</w:t>
            </w:r>
            <w:r>
              <w:rPr>
                <w:rFonts w:hint="eastAsia" w:ascii="仿宋" w:hAnsi="仿宋" w:eastAsia="仿宋" w:cs="仿宋"/>
                <w:kern w:val="0"/>
                <w:szCs w:val="21"/>
                <w:lang w:val="en-US" w:eastAsia="zh-CN"/>
              </w:rPr>
              <w:t>3</w:t>
            </w:r>
            <w:r>
              <w:rPr>
                <w:rFonts w:hint="eastAsia" w:ascii="仿宋" w:hAnsi="仿宋" w:eastAsia="仿宋" w:cs="仿宋"/>
                <w:kern w:val="0"/>
                <w:szCs w:val="21"/>
              </w:rPr>
              <w:t>分，中得</w:t>
            </w:r>
            <w:r>
              <w:rPr>
                <w:rFonts w:hint="eastAsia" w:ascii="仿宋" w:hAnsi="仿宋" w:eastAsia="仿宋" w:cs="仿宋"/>
                <w:kern w:val="0"/>
                <w:szCs w:val="21"/>
                <w:lang w:val="en-US" w:eastAsia="zh-CN"/>
              </w:rPr>
              <w:t>2</w:t>
            </w:r>
            <w:r>
              <w:rPr>
                <w:rFonts w:hint="eastAsia" w:ascii="仿宋" w:hAnsi="仿宋" w:eastAsia="仿宋" w:cs="仿宋"/>
                <w:kern w:val="0"/>
                <w:szCs w:val="21"/>
              </w:rPr>
              <w:t>分，一般得</w:t>
            </w:r>
            <w:r>
              <w:rPr>
                <w:rFonts w:hint="eastAsia" w:ascii="仿宋" w:hAnsi="仿宋" w:eastAsia="仿宋" w:cs="仿宋"/>
                <w:kern w:val="0"/>
                <w:szCs w:val="21"/>
                <w:lang w:val="en-US" w:eastAsia="zh-CN"/>
              </w:rPr>
              <w:t>1</w:t>
            </w:r>
            <w:r>
              <w:rPr>
                <w:rFonts w:hint="eastAsia" w:ascii="仿宋" w:hAnsi="仿宋" w:eastAsia="仿宋" w:cs="仿宋"/>
                <w:kern w:val="0"/>
                <w:szCs w:val="21"/>
              </w:rPr>
              <w:t xml:space="preserve">分； </w:t>
            </w:r>
          </w:p>
          <w:p>
            <w:pPr>
              <w:spacing w:line="500" w:lineRule="exact"/>
              <w:ind w:firstLine="210" w:firstLineChars="100"/>
              <w:rPr>
                <w:rFonts w:hint="eastAsia" w:ascii="仿宋" w:hAnsi="仿宋" w:eastAsia="仿宋" w:cs="仿宋"/>
                <w:color w:val="000000"/>
                <w:sz w:val="24"/>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szCs w:val="22"/>
              </w:rPr>
            </w:pPr>
            <w:r>
              <w:rPr>
                <w:rFonts w:hint="eastAsia" w:ascii="仿宋" w:hAnsi="仿宋" w:eastAsia="仿宋" w:cs="仿宋"/>
                <w:b/>
                <w:bCs/>
                <w:szCs w:val="22"/>
              </w:rPr>
              <w:t>员工岗位配置方案</w:t>
            </w:r>
          </w:p>
          <w:p>
            <w:pPr>
              <w:spacing w:line="440" w:lineRule="exact"/>
              <w:jc w:val="left"/>
              <w:rPr>
                <w:rFonts w:hint="eastAsia" w:ascii="仿宋" w:hAnsi="仿宋" w:eastAsia="仿宋" w:cs="仿宋"/>
                <w:b/>
                <w:bCs/>
                <w:szCs w:val="22"/>
              </w:rPr>
            </w:pPr>
            <w:r>
              <w:rPr>
                <w:rFonts w:hint="eastAsia" w:ascii="仿宋" w:hAnsi="仿宋" w:eastAsia="仿宋" w:cs="仿宋"/>
                <w:b/>
                <w:bCs/>
                <w:szCs w:val="22"/>
              </w:rPr>
              <w:t>（</w:t>
            </w:r>
            <w:r>
              <w:rPr>
                <w:rFonts w:hint="eastAsia" w:ascii="仿宋" w:hAnsi="仿宋" w:eastAsia="仿宋" w:cs="仿宋"/>
                <w:b/>
                <w:bCs/>
                <w:szCs w:val="22"/>
                <w:lang w:val="en-US" w:eastAsia="zh-CN"/>
              </w:rPr>
              <w:t>3</w:t>
            </w:r>
            <w:r>
              <w:rPr>
                <w:rFonts w:hint="eastAsia" w:ascii="仿宋" w:hAnsi="仿宋" w:eastAsia="仿宋" w:cs="仿宋"/>
                <w:b/>
                <w:bCs/>
                <w:szCs w:val="22"/>
              </w:rPr>
              <w:t>分）</w:t>
            </w:r>
          </w:p>
          <w:p>
            <w:pPr>
              <w:spacing w:line="440" w:lineRule="exact"/>
              <w:jc w:val="left"/>
              <w:rPr>
                <w:rFonts w:hint="eastAsia" w:ascii="仿宋" w:hAnsi="仿宋" w:eastAsia="仿宋" w:cs="仿宋"/>
                <w:b/>
                <w:bCs/>
              </w:rPr>
            </w:pPr>
          </w:p>
        </w:tc>
        <w:tc>
          <w:tcPr>
            <w:tcW w:w="6055" w:type="dxa"/>
            <w:tcBorders>
              <w:left w:val="single" w:color="auto" w:sz="4" w:space="0"/>
              <w:bottom w:val="single" w:color="auto" w:sz="4" w:space="0"/>
            </w:tcBorders>
            <w:vAlign w:val="center"/>
          </w:tcPr>
          <w:p>
            <w:pPr>
              <w:spacing w:line="340" w:lineRule="exact"/>
              <w:rPr>
                <w:rFonts w:hint="eastAsia" w:ascii="仿宋" w:hAnsi="仿宋" w:eastAsia="仿宋" w:cs="仿宋"/>
                <w:kern w:val="0"/>
                <w:szCs w:val="21"/>
              </w:rPr>
            </w:pPr>
            <w:r>
              <w:rPr>
                <w:rFonts w:hint="eastAsia" w:ascii="仿宋" w:hAnsi="仿宋" w:eastAsia="仿宋" w:cs="仿宋"/>
                <w:kern w:val="0"/>
                <w:szCs w:val="21"/>
              </w:rPr>
              <w:t>a、提供科学合理的员工岗位配置方案，岗位职责、工作区域、工作内容及岗位工序组合的具体安排，由评标委员会进行综合评议，优得</w:t>
            </w:r>
            <w:r>
              <w:rPr>
                <w:rFonts w:hint="eastAsia" w:ascii="仿宋" w:hAnsi="仿宋" w:eastAsia="仿宋" w:cs="仿宋"/>
                <w:kern w:val="0"/>
                <w:szCs w:val="21"/>
                <w:lang w:val="en-US" w:eastAsia="zh-CN"/>
              </w:rPr>
              <w:t>3</w:t>
            </w:r>
            <w:r>
              <w:rPr>
                <w:rFonts w:hint="eastAsia" w:ascii="仿宋" w:hAnsi="仿宋" w:eastAsia="仿宋" w:cs="仿宋"/>
                <w:kern w:val="0"/>
                <w:szCs w:val="21"/>
              </w:rPr>
              <w:t>分，中得</w:t>
            </w:r>
            <w:r>
              <w:rPr>
                <w:rFonts w:hint="eastAsia" w:ascii="仿宋" w:hAnsi="仿宋" w:eastAsia="仿宋" w:cs="仿宋"/>
                <w:kern w:val="0"/>
                <w:szCs w:val="21"/>
                <w:lang w:val="en-US" w:eastAsia="zh-CN"/>
              </w:rPr>
              <w:t>2</w:t>
            </w:r>
            <w:r>
              <w:rPr>
                <w:rFonts w:hint="eastAsia" w:ascii="仿宋" w:hAnsi="仿宋" w:eastAsia="仿宋" w:cs="仿宋"/>
                <w:kern w:val="0"/>
                <w:szCs w:val="21"/>
              </w:rPr>
              <w:t xml:space="preserve">分，一般得1分； </w:t>
            </w:r>
          </w:p>
          <w:p>
            <w:pPr>
              <w:spacing w:line="340" w:lineRule="exact"/>
              <w:rPr>
                <w:rFonts w:hint="eastAsia" w:ascii="仿宋" w:hAnsi="仿宋" w:eastAsia="仿宋" w:cs="仿宋"/>
                <w:kern w:val="0"/>
                <w:szCs w:val="21"/>
              </w:rPr>
            </w:pPr>
            <w:r>
              <w:rPr>
                <w:rFonts w:hint="eastAsia" w:ascii="仿宋" w:hAnsi="仿宋" w:eastAsia="仿宋" w:cs="仿宋"/>
                <w:kern w:val="0"/>
                <w:szCs w:val="21"/>
              </w:rPr>
              <w:t>b、不提供或提供内容不完善、排班不满足项目服务需求的，此项不得分。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员工薪酬福利方案</w:t>
            </w:r>
          </w:p>
          <w:p>
            <w:pPr>
              <w:spacing w:line="440" w:lineRule="exact"/>
              <w:jc w:val="left"/>
              <w:rPr>
                <w:rFonts w:hint="eastAsia" w:ascii="仿宋" w:hAnsi="仿宋" w:eastAsia="仿宋" w:cs="仿宋"/>
                <w:b/>
                <w:bCs/>
              </w:rPr>
            </w:pPr>
            <w:r>
              <w:rPr>
                <w:rFonts w:hint="eastAsia" w:ascii="仿宋" w:hAnsi="仿宋" w:eastAsia="仿宋" w:cs="仿宋"/>
                <w:b/>
                <w:bCs/>
              </w:rPr>
              <w:t>（</w:t>
            </w:r>
            <w:r>
              <w:rPr>
                <w:rFonts w:hint="eastAsia" w:ascii="仿宋" w:hAnsi="仿宋" w:eastAsia="仿宋" w:cs="仿宋"/>
                <w:b/>
                <w:bCs/>
                <w:lang w:val="en-US" w:eastAsia="zh-CN"/>
              </w:rPr>
              <w:t>3</w:t>
            </w:r>
            <w:r>
              <w:rPr>
                <w:rFonts w:hint="eastAsia" w:ascii="仿宋" w:hAnsi="仿宋" w:eastAsia="仿宋" w:cs="仿宋"/>
                <w:b/>
                <w:bCs/>
              </w:rPr>
              <w:t>分）</w:t>
            </w:r>
          </w:p>
          <w:p>
            <w:pPr>
              <w:spacing w:line="440" w:lineRule="exact"/>
              <w:jc w:val="left"/>
              <w:rPr>
                <w:rFonts w:hint="eastAsia" w:ascii="仿宋" w:hAnsi="仿宋" w:eastAsia="仿宋" w:cs="仿宋"/>
                <w:b/>
                <w:bCs/>
                <w:szCs w:val="22"/>
              </w:rPr>
            </w:pPr>
          </w:p>
        </w:tc>
        <w:tc>
          <w:tcPr>
            <w:tcW w:w="6055" w:type="dxa"/>
            <w:tcBorders>
              <w:left w:val="single" w:color="auto" w:sz="4" w:space="0"/>
              <w:bottom w:val="single" w:color="auto" w:sz="4" w:space="0"/>
            </w:tcBorders>
            <w:vAlign w:val="center"/>
          </w:tcPr>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a、提供服务人员薪酬福利方案，要求合法合规，有层级晋升，薪酬结构合理，能体现奖勤罚懒，对优秀员工、服务明星相应倾斜；方案具体可行，管理思路清晰，由评标委员会进行综合评议，优得</w:t>
            </w:r>
            <w:r>
              <w:rPr>
                <w:rFonts w:hint="eastAsia" w:ascii="仿宋" w:hAnsi="仿宋" w:eastAsia="仿宋" w:cs="仿宋"/>
                <w:kern w:val="0"/>
                <w:szCs w:val="21"/>
                <w:lang w:val="en-US" w:eastAsia="zh-CN"/>
              </w:rPr>
              <w:t>3</w:t>
            </w:r>
            <w:r>
              <w:rPr>
                <w:rFonts w:hint="eastAsia" w:ascii="仿宋" w:hAnsi="仿宋" w:eastAsia="仿宋" w:cs="仿宋"/>
                <w:kern w:val="0"/>
                <w:szCs w:val="21"/>
              </w:rPr>
              <w:t>分，中得2分，一般得1分；</w:t>
            </w:r>
          </w:p>
          <w:p>
            <w:pPr>
              <w:spacing w:line="340" w:lineRule="exact"/>
              <w:rPr>
                <w:rFonts w:hint="eastAsia" w:ascii="仿宋" w:hAnsi="仿宋" w:eastAsia="仿宋" w:cs="仿宋"/>
                <w:kern w:val="0"/>
                <w:szCs w:val="21"/>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安全管理措施（</w:t>
            </w:r>
            <w:r>
              <w:rPr>
                <w:rFonts w:hint="eastAsia" w:ascii="仿宋" w:hAnsi="仿宋" w:eastAsia="仿宋" w:cs="仿宋"/>
                <w:b/>
                <w:bCs/>
                <w:lang w:val="en-US" w:eastAsia="zh-CN"/>
              </w:rPr>
              <w:t>3</w:t>
            </w:r>
            <w:r>
              <w:rPr>
                <w:rFonts w:hint="eastAsia" w:ascii="仿宋" w:hAnsi="仿宋" w:eastAsia="仿宋" w:cs="仿宋"/>
                <w:b/>
                <w:bCs/>
              </w:rPr>
              <w:t>分）</w:t>
            </w:r>
          </w:p>
          <w:p>
            <w:pPr>
              <w:spacing w:line="440" w:lineRule="exact"/>
              <w:jc w:val="left"/>
              <w:rPr>
                <w:rFonts w:hint="eastAsia" w:ascii="仿宋" w:hAnsi="仿宋" w:eastAsia="仿宋" w:cs="仿宋"/>
                <w:b/>
                <w:bCs/>
              </w:rPr>
            </w:pPr>
          </w:p>
        </w:tc>
        <w:tc>
          <w:tcPr>
            <w:tcW w:w="6055" w:type="dxa"/>
            <w:tcBorders>
              <w:left w:val="single" w:color="auto" w:sz="4" w:space="0"/>
              <w:bottom w:val="single" w:color="auto" w:sz="4" w:space="0"/>
            </w:tcBorders>
            <w:vAlign w:val="center"/>
          </w:tcPr>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a、提供具体的员工岗位安全服务标准、程序、工作准则和要求，要求完全满足项目安全运行需求由评标委员会进行综合评议，优得</w:t>
            </w:r>
            <w:r>
              <w:rPr>
                <w:rFonts w:hint="eastAsia" w:ascii="仿宋" w:hAnsi="仿宋" w:eastAsia="仿宋" w:cs="仿宋"/>
                <w:kern w:val="0"/>
                <w:szCs w:val="21"/>
                <w:lang w:val="en-US" w:eastAsia="zh-CN"/>
              </w:rPr>
              <w:t>3</w:t>
            </w:r>
            <w:r>
              <w:rPr>
                <w:rFonts w:hint="eastAsia" w:ascii="仿宋" w:hAnsi="仿宋" w:eastAsia="仿宋" w:cs="仿宋"/>
                <w:kern w:val="0"/>
                <w:szCs w:val="21"/>
              </w:rPr>
              <w:t>分，中得</w:t>
            </w:r>
            <w:r>
              <w:rPr>
                <w:rFonts w:hint="eastAsia" w:ascii="仿宋" w:hAnsi="仿宋" w:eastAsia="仿宋" w:cs="仿宋"/>
                <w:kern w:val="0"/>
                <w:szCs w:val="21"/>
                <w:lang w:val="en-US" w:eastAsia="zh-CN"/>
              </w:rPr>
              <w:t>2</w:t>
            </w:r>
            <w:r>
              <w:rPr>
                <w:rFonts w:hint="eastAsia" w:ascii="仿宋" w:hAnsi="仿宋" w:eastAsia="仿宋" w:cs="仿宋"/>
                <w:kern w:val="0"/>
                <w:szCs w:val="21"/>
              </w:rPr>
              <w:t>分，一般得1分；</w:t>
            </w:r>
          </w:p>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培训体系</w:t>
            </w:r>
          </w:p>
          <w:p>
            <w:pPr>
              <w:spacing w:line="440" w:lineRule="exact"/>
              <w:jc w:val="left"/>
              <w:rPr>
                <w:rFonts w:hint="eastAsia" w:ascii="仿宋" w:hAnsi="仿宋" w:eastAsia="仿宋" w:cs="仿宋"/>
                <w:b/>
                <w:bCs/>
              </w:rPr>
            </w:pPr>
            <w:r>
              <w:rPr>
                <w:rFonts w:hint="eastAsia" w:ascii="仿宋" w:hAnsi="仿宋" w:eastAsia="仿宋" w:cs="仿宋"/>
                <w:b/>
                <w:bCs/>
              </w:rPr>
              <w:t>（</w:t>
            </w:r>
            <w:r>
              <w:rPr>
                <w:rFonts w:hint="eastAsia" w:ascii="仿宋" w:hAnsi="仿宋" w:eastAsia="仿宋" w:cs="仿宋"/>
                <w:b/>
                <w:bCs/>
                <w:lang w:val="en-US" w:eastAsia="zh-CN"/>
              </w:rPr>
              <w:t>3</w:t>
            </w:r>
            <w:r>
              <w:rPr>
                <w:rFonts w:hint="eastAsia" w:ascii="仿宋" w:hAnsi="仿宋" w:eastAsia="仿宋" w:cs="仿宋"/>
                <w:b/>
                <w:bCs/>
              </w:rPr>
              <w:t>分）</w:t>
            </w:r>
          </w:p>
          <w:p>
            <w:pPr>
              <w:spacing w:line="440" w:lineRule="exact"/>
              <w:jc w:val="left"/>
              <w:rPr>
                <w:rFonts w:hint="eastAsia" w:ascii="仿宋" w:hAnsi="仿宋" w:eastAsia="仿宋" w:cs="仿宋"/>
                <w:b/>
                <w:bCs/>
              </w:rPr>
            </w:pPr>
          </w:p>
        </w:tc>
        <w:tc>
          <w:tcPr>
            <w:tcW w:w="6055" w:type="dxa"/>
            <w:tcBorders>
              <w:left w:val="single" w:color="auto" w:sz="4" w:space="0"/>
              <w:bottom w:val="single" w:color="auto" w:sz="4" w:space="0"/>
            </w:tcBorders>
            <w:vAlign w:val="center"/>
          </w:tcPr>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a、有健全的培训体系，提供培训制度和培训计划（内容涵盖安全生产教育、服务能力提升、岗位技能、安全、服务意识和能力等；周期涵盖年度、月度、日常、不定期等；有培训、有考核），制度切实可行，体现考核结果与员工奖惩挂钩；计划切合本项目服务需求，内容详尽，由评标委员会进行综合评议，优得</w:t>
            </w:r>
            <w:r>
              <w:rPr>
                <w:rFonts w:hint="eastAsia" w:ascii="仿宋" w:hAnsi="仿宋" w:eastAsia="仿宋" w:cs="仿宋"/>
                <w:kern w:val="0"/>
                <w:szCs w:val="21"/>
                <w:lang w:val="en-US" w:eastAsia="zh-CN"/>
              </w:rPr>
              <w:t>3</w:t>
            </w:r>
            <w:r>
              <w:rPr>
                <w:rFonts w:hint="eastAsia" w:ascii="仿宋" w:hAnsi="仿宋" w:eastAsia="仿宋" w:cs="仿宋"/>
                <w:kern w:val="0"/>
                <w:szCs w:val="21"/>
              </w:rPr>
              <w:t>分，中得</w:t>
            </w:r>
            <w:r>
              <w:rPr>
                <w:rFonts w:hint="eastAsia" w:ascii="仿宋" w:hAnsi="仿宋" w:eastAsia="仿宋" w:cs="仿宋"/>
                <w:kern w:val="0"/>
                <w:szCs w:val="21"/>
                <w:lang w:val="en-US" w:eastAsia="zh-CN"/>
              </w:rPr>
              <w:t>2</w:t>
            </w:r>
            <w:r>
              <w:rPr>
                <w:rFonts w:hint="eastAsia" w:ascii="仿宋" w:hAnsi="仿宋" w:eastAsia="仿宋" w:cs="仿宋"/>
                <w:kern w:val="0"/>
                <w:szCs w:val="21"/>
              </w:rPr>
              <w:t>分，一般得1分；</w:t>
            </w:r>
          </w:p>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trPr>
        <w:tc>
          <w:tcPr>
            <w:tcW w:w="1135" w:type="dxa"/>
            <w:vMerge w:val="continue"/>
            <w:vAlign w:val="center"/>
          </w:tcPr>
          <w:p>
            <w:pPr>
              <w:spacing w:line="500" w:lineRule="exact"/>
              <w:jc w:val="center"/>
              <w:rPr>
                <w:rFonts w:eastAsia="方正仿宋_GBK"/>
                <w:b/>
                <w:bCs/>
                <w:color w:val="000000"/>
                <w:sz w:val="28"/>
                <w:szCs w:val="28"/>
              </w:rPr>
            </w:pPr>
          </w:p>
        </w:tc>
        <w:tc>
          <w:tcPr>
            <w:tcW w:w="1759" w:type="dxa"/>
            <w:vMerge w:val="continue"/>
            <w:tcBorders>
              <w:right w:val="single" w:color="auto" w:sz="4" w:space="0"/>
            </w:tcBorders>
            <w:vAlign w:val="center"/>
          </w:tcPr>
          <w:p>
            <w:pPr>
              <w:spacing w:line="500" w:lineRule="exact"/>
              <w:jc w:val="center"/>
              <w:rPr>
                <w:rFonts w:eastAsia="方正仿宋_GBK"/>
                <w:b/>
                <w:bCs/>
                <w:color w:val="000000"/>
                <w:sz w:val="28"/>
                <w:szCs w:val="28"/>
              </w:rPr>
            </w:pPr>
          </w:p>
        </w:tc>
        <w:tc>
          <w:tcPr>
            <w:tcW w:w="1350" w:type="dxa"/>
            <w:tcBorders>
              <w:left w:val="single" w:color="auto" w:sz="4" w:space="0"/>
              <w:right w:val="single" w:color="auto" w:sz="4" w:space="0"/>
            </w:tcBorders>
            <w:vAlign w:val="center"/>
          </w:tcPr>
          <w:p>
            <w:pPr>
              <w:spacing w:line="440" w:lineRule="exact"/>
              <w:jc w:val="left"/>
              <w:rPr>
                <w:rFonts w:hint="eastAsia" w:ascii="仿宋" w:hAnsi="仿宋" w:eastAsia="仿宋" w:cs="仿宋"/>
                <w:b/>
                <w:bCs/>
              </w:rPr>
            </w:pPr>
            <w:r>
              <w:rPr>
                <w:rFonts w:hint="eastAsia" w:ascii="仿宋" w:hAnsi="仿宋" w:eastAsia="仿宋" w:cs="仿宋"/>
                <w:b/>
                <w:bCs/>
              </w:rPr>
              <w:t>特情处置措施（</w:t>
            </w:r>
            <w:r>
              <w:rPr>
                <w:rFonts w:hint="eastAsia" w:ascii="仿宋" w:hAnsi="仿宋" w:eastAsia="仿宋" w:cs="仿宋"/>
                <w:b/>
                <w:bCs/>
                <w:lang w:val="en-US" w:eastAsia="zh-CN"/>
              </w:rPr>
              <w:t>5</w:t>
            </w:r>
            <w:r>
              <w:rPr>
                <w:rFonts w:hint="eastAsia" w:ascii="仿宋" w:hAnsi="仿宋" w:eastAsia="仿宋" w:cs="仿宋"/>
                <w:b/>
                <w:bCs/>
              </w:rPr>
              <w:t>分）</w:t>
            </w:r>
          </w:p>
          <w:p>
            <w:pPr>
              <w:spacing w:line="440" w:lineRule="exact"/>
              <w:jc w:val="left"/>
              <w:rPr>
                <w:rFonts w:hint="eastAsia" w:ascii="仿宋" w:hAnsi="仿宋" w:eastAsia="仿宋" w:cs="仿宋"/>
                <w:b/>
                <w:bCs/>
              </w:rPr>
            </w:pPr>
          </w:p>
        </w:tc>
        <w:tc>
          <w:tcPr>
            <w:tcW w:w="6055" w:type="dxa"/>
            <w:tcBorders>
              <w:left w:val="single" w:color="auto" w:sz="4" w:space="0"/>
              <w:bottom w:val="single" w:color="auto" w:sz="4" w:space="0"/>
            </w:tcBorders>
            <w:vAlign w:val="center"/>
          </w:tcPr>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a、提供完善的应急处置预案、特情保障措施，内容详尽，方案具体可行，管理思路清晰，由评标委员会进行综合评议，优得</w:t>
            </w:r>
            <w:r>
              <w:rPr>
                <w:rFonts w:hint="eastAsia" w:ascii="仿宋" w:hAnsi="仿宋" w:eastAsia="仿宋" w:cs="仿宋"/>
                <w:kern w:val="0"/>
                <w:szCs w:val="21"/>
                <w:lang w:val="en-US" w:eastAsia="zh-CN"/>
              </w:rPr>
              <w:t>4-5</w:t>
            </w:r>
            <w:r>
              <w:rPr>
                <w:rFonts w:hint="eastAsia" w:ascii="仿宋" w:hAnsi="仿宋" w:eastAsia="仿宋" w:cs="仿宋"/>
                <w:kern w:val="0"/>
                <w:szCs w:val="21"/>
              </w:rPr>
              <w:t>分，中得</w:t>
            </w:r>
            <w:r>
              <w:rPr>
                <w:rFonts w:hint="eastAsia" w:ascii="仿宋" w:hAnsi="仿宋" w:eastAsia="仿宋" w:cs="仿宋"/>
                <w:kern w:val="0"/>
                <w:szCs w:val="21"/>
                <w:lang w:val="en-US" w:eastAsia="zh-CN"/>
              </w:rPr>
              <w:t>2-3</w:t>
            </w:r>
            <w:r>
              <w:rPr>
                <w:rFonts w:hint="eastAsia" w:ascii="仿宋" w:hAnsi="仿宋" w:eastAsia="仿宋" w:cs="仿宋"/>
                <w:kern w:val="0"/>
                <w:szCs w:val="21"/>
              </w:rPr>
              <w:t>分，一般得1分；</w:t>
            </w:r>
          </w:p>
          <w:p>
            <w:pPr>
              <w:spacing w:line="340" w:lineRule="exact"/>
              <w:ind w:left="-38"/>
              <w:rPr>
                <w:rFonts w:hint="eastAsia" w:ascii="仿宋" w:hAnsi="仿宋" w:eastAsia="仿宋" w:cs="仿宋"/>
                <w:kern w:val="0"/>
                <w:szCs w:val="21"/>
              </w:rPr>
            </w:pPr>
            <w:r>
              <w:rPr>
                <w:rFonts w:hint="eastAsia" w:ascii="仿宋" w:hAnsi="仿宋" w:eastAsia="仿宋" w:cs="仿宋"/>
                <w:kern w:val="0"/>
                <w:szCs w:val="21"/>
              </w:rPr>
              <w:t>b、不提供或提供内容不完善的，此项不得分。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6" w:hRule="atLeast"/>
        </w:trPr>
        <w:tc>
          <w:tcPr>
            <w:tcW w:w="1135" w:type="dxa"/>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2.3</w:t>
            </w:r>
          </w:p>
        </w:tc>
        <w:tc>
          <w:tcPr>
            <w:tcW w:w="1759" w:type="dxa"/>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商务</w:t>
            </w:r>
          </w:p>
          <w:p>
            <w:pPr>
              <w:spacing w:line="500" w:lineRule="exact"/>
              <w:jc w:val="center"/>
              <w:rPr>
                <w:rFonts w:eastAsia="方正仿宋_GBK"/>
                <w:b/>
                <w:bCs/>
                <w:color w:val="000000"/>
                <w:sz w:val="28"/>
                <w:szCs w:val="28"/>
              </w:rPr>
            </w:pPr>
            <w:r>
              <w:rPr>
                <w:rFonts w:eastAsia="方正仿宋_GBK"/>
                <w:b/>
                <w:bCs/>
                <w:color w:val="000000"/>
                <w:sz w:val="28"/>
                <w:szCs w:val="28"/>
              </w:rPr>
              <w:t>部分</w:t>
            </w:r>
          </w:p>
          <w:p>
            <w:pPr>
              <w:spacing w:line="500" w:lineRule="exact"/>
              <w:jc w:val="center"/>
              <w:rPr>
                <w:rFonts w:eastAsia="方正仿宋_GBK"/>
                <w:b/>
                <w:bCs/>
                <w:color w:val="000000"/>
                <w:sz w:val="28"/>
                <w:szCs w:val="28"/>
              </w:rPr>
            </w:pPr>
            <w:r>
              <w:rPr>
                <w:rFonts w:eastAsia="方正仿宋_GBK"/>
                <w:b/>
                <w:bCs/>
                <w:color w:val="000000"/>
                <w:sz w:val="28"/>
                <w:szCs w:val="28"/>
              </w:rPr>
              <w:t>评分</w:t>
            </w:r>
          </w:p>
          <w:p>
            <w:pPr>
              <w:adjustRightInd w:val="0"/>
              <w:snapToGrid w:val="0"/>
              <w:spacing w:line="500" w:lineRule="exact"/>
              <w:jc w:val="center"/>
              <w:rPr>
                <w:rFonts w:eastAsia="方正仿宋_GBK"/>
                <w:b/>
                <w:bCs/>
                <w:color w:val="000000"/>
                <w:sz w:val="28"/>
                <w:szCs w:val="28"/>
              </w:rPr>
            </w:pPr>
            <w:r>
              <w:rPr>
                <w:rFonts w:eastAsia="方正仿宋_GBK"/>
                <w:b/>
                <w:bCs/>
                <w:color w:val="000000"/>
                <w:sz w:val="28"/>
                <w:szCs w:val="28"/>
              </w:rPr>
              <w:t>标准</w:t>
            </w:r>
          </w:p>
        </w:tc>
        <w:tc>
          <w:tcPr>
            <w:tcW w:w="1350" w:type="dxa"/>
            <w:tcBorders>
              <w:right w:val="single" w:color="auto" w:sz="4" w:space="0"/>
            </w:tcBorders>
            <w:vAlign w:val="center"/>
          </w:tcPr>
          <w:p>
            <w:pPr>
              <w:adjustRightInd w:val="0"/>
              <w:snapToGrid w:val="0"/>
              <w:spacing w:line="500" w:lineRule="exact"/>
              <w:jc w:val="center"/>
              <w:rPr>
                <w:rFonts w:hint="eastAsia" w:ascii="仿宋" w:hAnsi="仿宋" w:eastAsia="仿宋" w:cs="仿宋"/>
                <w:b/>
                <w:bCs/>
                <w:color w:val="000000"/>
                <w:sz w:val="28"/>
                <w:szCs w:val="28"/>
              </w:rPr>
            </w:pPr>
            <w:r>
              <w:rPr>
                <w:rFonts w:hint="eastAsia" w:ascii="仿宋" w:hAnsi="仿宋" w:eastAsia="仿宋" w:cs="仿宋"/>
                <w:b/>
                <w:bCs/>
              </w:rPr>
              <w:t>体系认证</w:t>
            </w:r>
            <w:r>
              <w:rPr>
                <w:rFonts w:hint="eastAsia" w:ascii="仿宋" w:hAnsi="仿宋" w:eastAsia="仿宋" w:cs="仿宋"/>
                <w:b/>
                <w:bCs/>
              </w:rPr>
              <w:br w:type="textWrapping"/>
            </w:r>
            <w:r>
              <w:rPr>
                <w:rFonts w:hint="eastAsia" w:ascii="仿宋" w:hAnsi="仿宋" w:eastAsia="仿宋" w:cs="仿宋"/>
                <w:b/>
                <w:bCs/>
              </w:rPr>
              <w:t>2分</w:t>
            </w:r>
          </w:p>
        </w:tc>
        <w:tc>
          <w:tcPr>
            <w:tcW w:w="6055" w:type="dxa"/>
            <w:tcBorders>
              <w:left w:val="single" w:color="auto" w:sz="4" w:space="0"/>
              <w:bottom w:val="single" w:color="auto" w:sz="4" w:space="0"/>
            </w:tcBorders>
            <w:vAlign w:val="center"/>
          </w:tcPr>
          <w:p>
            <w:pPr>
              <w:numPr>
                <w:ilvl w:val="0"/>
                <w:numId w:val="1"/>
              </w:numPr>
              <w:spacing w:line="400" w:lineRule="exact"/>
              <w:jc w:val="left"/>
              <w:rPr>
                <w:rFonts w:hint="eastAsia" w:ascii="仿宋" w:hAnsi="仿宋" w:eastAsia="仿宋" w:cs="仿宋"/>
              </w:rPr>
            </w:pPr>
            <w:r>
              <w:rPr>
                <w:rFonts w:hint="eastAsia" w:ascii="仿宋" w:hAnsi="仿宋" w:eastAsia="仿宋" w:cs="仿宋"/>
              </w:rPr>
              <w:t>具有ISO9001质量管理体系得1分；</w:t>
            </w:r>
          </w:p>
          <w:p>
            <w:pPr>
              <w:numPr>
                <w:ilvl w:val="0"/>
                <w:numId w:val="1"/>
              </w:numPr>
              <w:spacing w:line="400" w:lineRule="exact"/>
              <w:jc w:val="left"/>
              <w:rPr>
                <w:rFonts w:hint="eastAsia" w:ascii="仿宋" w:hAnsi="仿宋" w:eastAsia="仿宋" w:cs="仿宋"/>
              </w:rPr>
            </w:pPr>
            <w:r>
              <w:rPr>
                <w:rFonts w:hint="eastAsia" w:ascii="仿宋" w:hAnsi="仿宋" w:eastAsia="仿宋" w:cs="仿宋"/>
              </w:rPr>
              <w:t>具有ISO14000环境管理体系得0.5分；</w:t>
            </w:r>
          </w:p>
          <w:p>
            <w:pPr>
              <w:numPr>
                <w:ilvl w:val="0"/>
                <w:numId w:val="1"/>
              </w:numPr>
              <w:spacing w:line="400" w:lineRule="exact"/>
              <w:jc w:val="left"/>
              <w:rPr>
                <w:rFonts w:hint="eastAsia" w:ascii="仿宋" w:hAnsi="仿宋" w:eastAsia="仿宋" w:cs="仿宋"/>
              </w:rPr>
            </w:pPr>
            <w:r>
              <w:rPr>
                <w:rFonts w:hint="eastAsia" w:ascii="仿宋" w:hAnsi="仿宋" w:eastAsia="仿宋" w:cs="仿宋"/>
              </w:rPr>
              <w:t>具有有效的OHSAS18000系列职业健康安全管理体系认证证书或ISO45001职业健康安全管理体系要求及使用指南标准或GB/T28001-2011职业健康安全管理体系得0.5分。</w:t>
            </w:r>
          </w:p>
          <w:p>
            <w:pPr>
              <w:spacing w:line="500" w:lineRule="exact"/>
              <w:ind w:firstLine="211" w:firstLineChars="100"/>
              <w:rPr>
                <w:rFonts w:hint="eastAsia" w:ascii="仿宋" w:hAnsi="仿宋" w:eastAsia="仿宋" w:cs="仿宋"/>
              </w:rPr>
            </w:pPr>
            <w:r>
              <w:rPr>
                <w:rFonts w:hint="eastAsia" w:ascii="仿宋" w:hAnsi="仿宋" w:eastAsia="仿宋" w:cs="仿宋"/>
                <w:b/>
                <w:bCs/>
              </w:rPr>
              <w:t>须提供在有效期内的证书复印件并加盖比选响应人鲜公章</w:t>
            </w:r>
            <w:r>
              <w:rPr>
                <w:rFonts w:hint="eastAsia" w:ascii="仿宋" w:hAnsi="仿宋" w:eastAsia="仿宋" w:cs="仿宋"/>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23" w:hRule="atLeast"/>
        </w:trPr>
        <w:tc>
          <w:tcPr>
            <w:tcW w:w="1135" w:type="dxa"/>
            <w:vAlign w:val="center"/>
          </w:tcPr>
          <w:p>
            <w:pPr>
              <w:spacing w:line="500" w:lineRule="exact"/>
              <w:jc w:val="center"/>
              <w:rPr>
                <w:rFonts w:eastAsia="方正仿宋_GBK"/>
                <w:b/>
                <w:bCs/>
                <w:color w:val="000000"/>
                <w:sz w:val="28"/>
                <w:szCs w:val="28"/>
              </w:rPr>
            </w:pPr>
          </w:p>
        </w:tc>
        <w:tc>
          <w:tcPr>
            <w:tcW w:w="1759" w:type="dxa"/>
            <w:vAlign w:val="center"/>
          </w:tcPr>
          <w:p>
            <w:pPr>
              <w:spacing w:line="500" w:lineRule="exact"/>
              <w:jc w:val="center"/>
              <w:rPr>
                <w:rFonts w:eastAsia="方正仿宋_GBK"/>
                <w:b/>
                <w:bCs/>
                <w:color w:val="000000"/>
                <w:sz w:val="28"/>
                <w:szCs w:val="28"/>
              </w:rPr>
            </w:pPr>
          </w:p>
        </w:tc>
        <w:tc>
          <w:tcPr>
            <w:tcW w:w="1350" w:type="dxa"/>
            <w:tcBorders>
              <w:right w:val="single" w:color="auto" w:sz="4" w:space="0"/>
            </w:tcBorders>
            <w:vAlign w:val="center"/>
          </w:tcPr>
          <w:p>
            <w:pPr>
              <w:adjustRightInd w:val="0"/>
              <w:snapToGrid w:val="0"/>
              <w:spacing w:line="500" w:lineRule="exact"/>
              <w:jc w:val="center"/>
              <w:rPr>
                <w:rFonts w:hint="eastAsia" w:ascii="仿宋" w:hAnsi="仿宋" w:eastAsia="仿宋" w:cs="仿宋"/>
                <w:b/>
                <w:bCs/>
              </w:rPr>
            </w:pPr>
            <w:r>
              <w:rPr>
                <w:rFonts w:hint="eastAsia" w:ascii="仿宋" w:hAnsi="仿宋" w:eastAsia="仿宋" w:cs="仿宋"/>
                <w:b/>
                <w:bCs/>
              </w:rPr>
              <w:t>类似业绩</w:t>
            </w:r>
          </w:p>
          <w:p>
            <w:pPr>
              <w:adjustRightInd w:val="0"/>
              <w:snapToGrid w:val="0"/>
              <w:spacing w:line="500" w:lineRule="exact"/>
              <w:jc w:val="center"/>
              <w:rPr>
                <w:rFonts w:hint="eastAsia" w:ascii="仿宋" w:hAnsi="仿宋" w:eastAsia="仿宋" w:cs="仿宋"/>
                <w:b/>
                <w:bCs/>
                <w:color w:val="000000"/>
                <w:sz w:val="28"/>
                <w:szCs w:val="28"/>
              </w:rPr>
            </w:pPr>
            <w:r>
              <w:rPr>
                <w:rFonts w:hint="eastAsia" w:ascii="仿宋" w:hAnsi="仿宋" w:eastAsia="仿宋" w:cs="仿宋"/>
                <w:b/>
                <w:bCs/>
              </w:rPr>
              <w:t>8分</w:t>
            </w:r>
          </w:p>
        </w:tc>
        <w:tc>
          <w:tcPr>
            <w:tcW w:w="6055" w:type="dxa"/>
            <w:tcBorders>
              <w:left w:val="single" w:color="auto" w:sz="4" w:space="0"/>
              <w:bottom w:val="single" w:color="auto" w:sz="4" w:space="0"/>
            </w:tcBorders>
            <w:vAlign w:val="center"/>
          </w:tcPr>
          <w:p>
            <w:pPr>
              <w:numPr>
                <w:ilvl w:val="0"/>
                <w:numId w:val="2"/>
              </w:numPr>
              <w:spacing w:line="440" w:lineRule="exact"/>
              <w:rPr>
                <w:rFonts w:hint="eastAsia" w:ascii="仿宋" w:hAnsi="仿宋" w:eastAsia="仿宋" w:cs="仿宋"/>
              </w:rPr>
            </w:pPr>
            <w:r>
              <w:rPr>
                <w:rFonts w:hint="eastAsia" w:ascii="仿宋" w:hAnsi="仿宋" w:eastAsia="仿宋" w:cs="仿宋"/>
              </w:rPr>
              <w:t>自2017年1月1日（以合同签订时间为准）至投标截止日止，具备机场机坪装卸或机场货库装卸类的业绩且单项合同结算金额不低于400万元/年的，每提供一个得2分，最高加4分；</w:t>
            </w:r>
          </w:p>
          <w:p>
            <w:pPr>
              <w:numPr>
                <w:ilvl w:val="0"/>
                <w:numId w:val="2"/>
              </w:numPr>
              <w:spacing w:line="440" w:lineRule="exact"/>
              <w:rPr>
                <w:rFonts w:hint="eastAsia" w:ascii="仿宋" w:hAnsi="仿宋" w:eastAsia="仿宋" w:cs="仿宋"/>
              </w:rPr>
            </w:pPr>
            <w:r>
              <w:rPr>
                <w:rFonts w:hint="eastAsia" w:ascii="仿宋" w:hAnsi="仿宋" w:eastAsia="仿宋" w:cs="仿宋"/>
              </w:rPr>
              <w:t>自2017年1月1日（以合同签订时间为准）至投标截止日止，具备机场机坪装卸或机场货库装卸类业务的业绩且单项合同结算金额不低于600万元/年的，每提供一个得3分，最高加6分；</w:t>
            </w:r>
          </w:p>
          <w:p>
            <w:pPr>
              <w:numPr>
                <w:ilvl w:val="0"/>
                <w:numId w:val="2"/>
              </w:numPr>
              <w:spacing w:line="440" w:lineRule="exact"/>
              <w:rPr>
                <w:rFonts w:hint="eastAsia" w:ascii="仿宋" w:hAnsi="仿宋" w:eastAsia="仿宋" w:cs="仿宋"/>
              </w:rPr>
            </w:pPr>
            <w:r>
              <w:rPr>
                <w:rFonts w:hint="eastAsia" w:ascii="仿宋" w:hAnsi="仿宋" w:eastAsia="仿宋" w:cs="仿宋"/>
              </w:rPr>
              <w:t>自2017年1月1日（以合同签订时间为准）至投标截止日止，具备机场机坪装卸或机场货库装卸类业务的业绩且单项合同结算金额不低于800万元/年的，每提供一个得4分，最高加8分。</w:t>
            </w:r>
          </w:p>
          <w:p>
            <w:pPr>
              <w:numPr>
                <w:ilvl w:val="0"/>
                <w:numId w:val="2"/>
              </w:numPr>
              <w:spacing w:line="440" w:lineRule="exact"/>
              <w:rPr>
                <w:rFonts w:hint="eastAsia" w:ascii="仿宋" w:hAnsi="仿宋" w:eastAsia="仿宋" w:cs="仿宋"/>
              </w:rPr>
            </w:pPr>
            <w:r>
              <w:rPr>
                <w:rFonts w:hint="eastAsia" w:ascii="仿宋" w:hAnsi="仿宋" w:eastAsia="仿宋" w:cs="仿宋"/>
              </w:rPr>
              <w:t>同一个合同不累计计分，此项最多不超过8分。</w:t>
            </w:r>
          </w:p>
          <w:p>
            <w:pPr>
              <w:spacing w:line="400" w:lineRule="exact"/>
              <w:jc w:val="left"/>
              <w:rPr>
                <w:rFonts w:hint="eastAsia" w:ascii="仿宋" w:hAnsi="仿宋" w:eastAsia="仿宋" w:cs="仿宋"/>
              </w:rPr>
            </w:pPr>
            <w:r>
              <w:rPr>
                <w:rFonts w:hint="eastAsia" w:ascii="仿宋" w:hAnsi="仿宋" w:eastAsia="仿宋" w:cs="仿宋"/>
              </w:rPr>
              <w:t>注：</w:t>
            </w:r>
            <w:r>
              <w:rPr>
                <w:rFonts w:hint="eastAsia" w:ascii="仿宋" w:hAnsi="仿宋" w:eastAsia="仿宋" w:cs="仿宋"/>
                <w:b/>
                <w:bCs/>
              </w:rPr>
              <w:t>提供每个业绩的合同复印件。如合同上无总金额，须提供相关证明材料证明合同结算金额。合同复印件及证明材料均需加盖</w:t>
            </w:r>
            <w:r>
              <w:rPr>
                <w:rFonts w:hint="eastAsia" w:ascii="仿宋" w:hAnsi="仿宋" w:eastAsia="仿宋" w:cs="仿宋"/>
                <w:b/>
                <w:bCs/>
                <w:lang w:eastAsia="zh-CN"/>
              </w:rPr>
              <w:t>比选响应人</w:t>
            </w:r>
            <w:r>
              <w:rPr>
                <w:rFonts w:hint="eastAsia" w:ascii="仿宋" w:hAnsi="仿宋" w:eastAsia="仿宋" w:cs="仿宋"/>
                <w:b/>
                <w:bCs/>
              </w:rPr>
              <w:t>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35" w:type="dxa"/>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3</w:t>
            </w:r>
          </w:p>
        </w:tc>
        <w:tc>
          <w:tcPr>
            <w:tcW w:w="1759" w:type="dxa"/>
            <w:tcBorders>
              <w:right w:val="single" w:color="auto" w:sz="4" w:space="0"/>
            </w:tcBorders>
            <w:vAlign w:val="center"/>
          </w:tcPr>
          <w:p>
            <w:pPr>
              <w:spacing w:line="500" w:lineRule="exact"/>
              <w:jc w:val="center"/>
              <w:rPr>
                <w:rFonts w:eastAsia="方正仿宋_GBK"/>
                <w:b/>
                <w:bCs/>
                <w:color w:val="000000"/>
                <w:sz w:val="28"/>
                <w:szCs w:val="28"/>
              </w:rPr>
            </w:pPr>
            <w:r>
              <w:rPr>
                <w:rFonts w:eastAsia="方正仿宋_GBK"/>
                <w:b/>
                <w:bCs/>
                <w:color w:val="000000"/>
                <w:sz w:val="28"/>
                <w:szCs w:val="28"/>
              </w:rPr>
              <w:t>评审</w:t>
            </w:r>
          </w:p>
          <w:p>
            <w:pPr>
              <w:spacing w:line="500" w:lineRule="exact"/>
              <w:jc w:val="center"/>
              <w:rPr>
                <w:rFonts w:eastAsia="方正仿宋_GBK"/>
                <w:b/>
                <w:bCs/>
                <w:color w:val="000000"/>
                <w:sz w:val="28"/>
                <w:szCs w:val="28"/>
              </w:rPr>
            </w:pPr>
            <w:r>
              <w:rPr>
                <w:rFonts w:eastAsia="方正仿宋_GBK"/>
                <w:b/>
                <w:bCs/>
                <w:color w:val="000000"/>
                <w:sz w:val="28"/>
                <w:szCs w:val="28"/>
              </w:rPr>
              <w:t>程序</w:t>
            </w:r>
          </w:p>
        </w:tc>
        <w:tc>
          <w:tcPr>
            <w:tcW w:w="7405" w:type="dxa"/>
            <w:gridSpan w:val="2"/>
            <w:tcBorders>
              <w:bottom w:val="single" w:color="auto" w:sz="4" w:space="0"/>
            </w:tcBorders>
            <w:vAlign w:val="center"/>
          </w:tcPr>
          <w:p>
            <w:pPr>
              <w:spacing w:line="500" w:lineRule="exact"/>
              <w:rPr>
                <w:rFonts w:eastAsia="方正仿宋_GBK"/>
                <w:bCs/>
                <w:color w:val="000000"/>
                <w:sz w:val="24"/>
              </w:rPr>
            </w:pPr>
            <w:r>
              <w:rPr>
                <w:rFonts w:eastAsia="方正仿宋_GBK"/>
                <w:bCs/>
                <w:color w:val="000000"/>
                <w:sz w:val="24"/>
              </w:rPr>
              <w:t>1.评分分值计算保留小数点后两位，第三位四舍五入。比选响应人最终得分=技术部分得分+经济部分得分+商务部分得分。</w:t>
            </w:r>
          </w:p>
          <w:p>
            <w:pPr>
              <w:spacing w:line="500" w:lineRule="exact"/>
              <w:rPr>
                <w:rFonts w:eastAsia="方正仿宋_GBK"/>
                <w:bCs/>
                <w:color w:val="000000"/>
                <w:sz w:val="24"/>
              </w:rPr>
            </w:pPr>
            <w:r>
              <w:rPr>
                <w:rFonts w:eastAsia="方正仿宋_GBK"/>
                <w:bCs/>
                <w:color w:val="000000"/>
                <w:sz w:val="24"/>
              </w:rPr>
              <w:t>2.按照比选文件的规定对所有比选响应文件进行初步评审，只有通过初步评审的比选响应文件才能进行后续评审。</w:t>
            </w:r>
          </w:p>
          <w:p>
            <w:pPr>
              <w:spacing w:line="500" w:lineRule="exact"/>
              <w:rPr>
                <w:rFonts w:eastAsia="方正仿宋_GBK"/>
                <w:bCs/>
                <w:color w:val="000000"/>
                <w:sz w:val="24"/>
              </w:rPr>
            </w:pPr>
            <w:r>
              <w:rPr>
                <w:rFonts w:eastAsia="方正仿宋_GBK"/>
                <w:bCs/>
                <w:color w:val="000000"/>
                <w:sz w:val="24"/>
              </w:rPr>
              <w:t>3.按比选办法进行评审，得分最高的比选响应人中选。</w:t>
            </w:r>
          </w:p>
        </w:tc>
      </w:tr>
    </w:tbl>
    <w:p>
      <w:pPr>
        <w:pStyle w:val="15"/>
        <w:spacing w:line="560" w:lineRule="exact"/>
        <w:outlineLvl w:val="9"/>
        <w:rPr>
          <w:rFonts w:ascii="Times New Roman" w:hAnsi="Times New Roman"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pPr>
        <w:spacing w:line="560" w:lineRule="exact"/>
        <w:rPr>
          <w:rFonts w:eastAsia="仿宋_GB2312"/>
          <w:color w:val="000000" w:themeColor="text1"/>
          <w:sz w:val="28"/>
          <w:szCs w:val="28"/>
          <w14:textFill>
            <w14:solidFill>
              <w14:schemeClr w14:val="tx1"/>
            </w14:solidFill>
          </w14:textFill>
        </w:rPr>
      </w:pPr>
    </w:p>
    <w:p>
      <w:r>
        <w:rPr>
          <w:rFonts w:hint="eastAsia"/>
        </w:rPr>
        <w:br w:type="page"/>
      </w:r>
    </w:p>
    <w:p>
      <w:pPr>
        <w:pStyle w:val="15"/>
        <w:jc w:val="both"/>
        <w:outlineLvl w:val="9"/>
      </w:pPr>
      <w:r>
        <w:rPr>
          <w:rFonts w:hint="eastAsia"/>
        </w:rPr>
        <w:t>附件三</w:t>
      </w:r>
      <w:r>
        <w:t>：合同主要条款</w:t>
      </w:r>
    </w:p>
    <w:p>
      <w:pPr>
        <w:spacing w:line="560" w:lineRule="exact"/>
        <w:rPr>
          <w:rFonts w:eastAsia="仿宋_GB2312"/>
          <w:b/>
          <w:bCs/>
          <w:color w:val="000000" w:themeColor="text1"/>
          <w:sz w:val="28"/>
          <w:szCs w:val="28"/>
          <w14:textFill>
            <w14:solidFill>
              <w14:schemeClr w14:val="tx1"/>
            </w14:solidFill>
          </w14:textFill>
        </w:rPr>
      </w:pPr>
    </w:p>
    <w:p>
      <w:pPr>
        <w:pStyle w:val="15"/>
        <w:keepNext w:val="0"/>
        <w:keepLines w:val="0"/>
        <w:pageBreakBefore w:val="0"/>
        <w:widowControl w:val="0"/>
        <w:kinsoku/>
        <w:wordWrap/>
        <w:overflowPunct/>
        <w:topLinePunct w:val="0"/>
        <w:bidi w:val="0"/>
        <w:spacing w:line="420" w:lineRule="exact"/>
        <w:jc w:val="center"/>
        <w:textAlignment w:val="auto"/>
        <w:rPr>
          <w:rFonts w:hint="eastAsia" w:ascii="宋体" w:hAnsi="宋体" w:cs="宋体"/>
          <w:sz w:val="36"/>
          <w:szCs w:val="36"/>
          <w:lang w:val="en-US" w:eastAsia="zh-CN"/>
        </w:rPr>
      </w:pPr>
      <w:r>
        <w:rPr>
          <w:rFonts w:hint="eastAsia" w:ascii="宋体" w:hAnsi="宋体" w:cs="宋体"/>
          <w:sz w:val="36"/>
          <w:szCs w:val="36"/>
          <w:lang w:eastAsia="zh-CN"/>
        </w:rPr>
        <w:t>国际货站业务外包增补驾驶员</w:t>
      </w:r>
      <w:r>
        <w:rPr>
          <w:rFonts w:hint="eastAsia" w:ascii="宋体" w:hAnsi="宋体" w:cs="宋体"/>
          <w:sz w:val="36"/>
          <w:szCs w:val="36"/>
          <w:lang w:val="en-US" w:eastAsia="zh-CN"/>
        </w:rPr>
        <w:t>外包项目</w:t>
      </w:r>
    </w:p>
    <w:p>
      <w:pPr>
        <w:pStyle w:val="15"/>
        <w:keepNext w:val="0"/>
        <w:keepLines w:val="0"/>
        <w:pageBreakBefore w:val="0"/>
        <w:widowControl w:val="0"/>
        <w:kinsoku/>
        <w:wordWrap/>
        <w:overflowPunct/>
        <w:topLinePunct w:val="0"/>
        <w:bidi w:val="0"/>
        <w:spacing w:line="420" w:lineRule="exact"/>
        <w:jc w:val="center"/>
        <w:textAlignment w:val="auto"/>
        <w:rPr>
          <w:rFonts w:hint="eastAsia" w:ascii="宋体" w:hAnsi="宋体" w:eastAsia="宋体" w:cs="宋体"/>
          <w:sz w:val="36"/>
          <w:szCs w:val="36"/>
          <w:lang w:eastAsia="zh-CN"/>
        </w:rPr>
      </w:pPr>
      <w:r>
        <w:rPr>
          <w:rFonts w:hint="eastAsia" w:ascii="宋体" w:hAnsi="宋体" w:cs="宋体"/>
          <w:sz w:val="36"/>
          <w:szCs w:val="36"/>
          <w:lang w:val="en-US" w:eastAsia="zh-CN"/>
        </w:rPr>
        <w:t>主要合同条款</w:t>
      </w:r>
    </w:p>
    <w:p>
      <w:pPr>
        <w:keepNext w:val="0"/>
        <w:keepLines w:val="0"/>
        <w:pageBreakBefore w:val="0"/>
        <w:widowControl w:val="0"/>
        <w:kinsoku/>
        <w:wordWrap/>
        <w:overflowPunct/>
        <w:topLinePunct w:val="0"/>
        <w:bidi w:val="0"/>
        <w:spacing w:line="420" w:lineRule="exact"/>
        <w:textAlignment w:val="auto"/>
        <w:rPr>
          <w:rFonts w:hint="eastAsia" w:ascii="宋体" w:hAnsi="宋体" w:cs="宋体"/>
          <w:b w:val="0"/>
          <w:bCs w:val="0"/>
          <w:sz w:val="24"/>
          <w:szCs w:val="24"/>
          <w:lang w:val="en-US" w:eastAsia="zh-CN"/>
        </w:rPr>
      </w:pPr>
      <w:r>
        <w:rPr>
          <w:rFonts w:hint="eastAsia" w:ascii="宋体" w:hAnsi="宋体" w:cs="宋体"/>
          <w:b w:val="0"/>
          <w:bCs w:val="0"/>
          <w:sz w:val="24"/>
          <w:szCs w:val="24"/>
          <w:lang w:val="en-US" w:eastAsia="zh-CN"/>
        </w:rPr>
        <w:t xml:space="preserve">                                               </w:t>
      </w:r>
    </w:p>
    <w:p>
      <w:pPr>
        <w:keepNext w:val="0"/>
        <w:keepLines w:val="0"/>
        <w:pageBreakBefore w:val="0"/>
        <w:widowControl w:val="0"/>
        <w:kinsoku/>
        <w:wordWrap w:val="0"/>
        <w:overflowPunct/>
        <w:topLinePunct w:val="0"/>
        <w:bidi w:val="0"/>
        <w:spacing w:line="420" w:lineRule="exact"/>
        <w:jc w:val="right"/>
        <w:textAlignment w:val="auto"/>
        <w:rPr>
          <w:rFonts w:hint="default"/>
          <w:lang w:val="en-US" w:eastAsia="zh-CN"/>
        </w:rPr>
      </w:pPr>
      <w:r>
        <w:rPr>
          <w:rFonts w:hint="eastAsia" w:ascii="仿宋" w:hAnsi="仿宋" w:eastAsia="仿宋" w:cs="仿宋"/>
          <w:sz w:val="24"/>
          <w:szCs w:val="24"/>
          <w:lang w:val="en-US" w:eastAsia="zh-CN"/>
        </w:rPr>
        <w:t xml:space="preserve">   </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甲方：重庆空港航空地面服务有限公司</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乙方：</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sz w:val="24"/>
          <w:szCs w:val="24"/>
          <w:lang w:val="en-US" w:eastAsia="zh-CN"/>
        </w:rPr>
        <w:t>根据相关法律法规之规定，本合同就乙方为甲方提供国际货站业务外包增补驾驶员服务事宜达成以下协议，以便共同遵守。</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一、岗位配置及工作内容</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1.1岗位配置：</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乙方按照劳动法规和甲方现场要求进行人员配置，保障甲方国际货运库区现场以下岗位：</w:t>
      </w:r>
    </w:p>
    <w:p>
      <w:pPr>
        <w:keepNext w:val="0"/>
        <w:keepLines w:val="0"/>
        <w:pageBreakBefore w:val="0"/>
        <w:widowControl w:val="0"/>
        <w:kinsoku/>
        <w:wordWrap/>
        <w:overflowPunct/>
        <w:topLinePunct w:val="0"/>
        <w:bidi w:val="0"/>
        <w:adjustRightInd/>
        <w:snapToGrid/>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1.1.1复重岗2个点位；</w:t>
      </w:r>
    </w:p>
    <w:p>
      <w:pPr>
        <w:keepNext w:val="0"/>
        <w:keepLines w:val="0"/>
        <w:pageBreakBefore w:val="0"/>
        <w:widowControl w:val="0"/>
        <w:kinsoku/>
        <w:wordWrap/>
        <w:overflowPunct/>
        <w:topLinePunct w:val="0"/>
        <w:bidi w:val="0"/>
        <w:adjustRightInd/>
        <w:snapToGrid/>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1.1.2集控岗1个点位；</w:t>
      </w:r>
    </w:p>
    <w:p>
      <w:pPr>
        <w:keepNext w:val="0"/>
        <w:keepLines w:val="0"/>
        <w:pageBreakBefore w:val="0"/>
        <w:widowControl w:val="0"/>
        <w:kinsoku/>
        <w:wordWrap/>
        <w:overflowPunct/>
        <w:topLinePunct w:val="0"/>
        <w:bidi w:val="0"/>
        <w:adjustRightInd/>
        <w:snapToGrid/>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1.1.3收货岗2个点位；</w:t>
      </w:r>
    </w:p>
    <w:p>
      <w:pPr>
        <w:keepNext w:val="0"/>
        <w:keepLines w:val="0"/>
        <w:pageBreakBefore w:val="0"/>
        <w:widowControl w:val="0"/>
        <w:kinsoku/>
        <w:wordWrap/>
        <w:overflowPunct/>
        <w:topLinePunct w:val="0"/>
        <w:bidi w:val="0"/>
        <w:adjustRightInd/>
        <w:snapToGrid/>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1.1.4转运岗1个点位；</w:t>
      </w:r>
    </w:p>
    <w:p>
      <w:pPr>
        <w:keepNext w:val="0"/>
        <w:keepLines w:val="0"/>
        <w:pageBreakBefore w:val="0"/>
        <w:widowControl w:val="0"/>
        <w:kinsoku/>
        <w:wordWrap/>
        <w:overflowPunct/>
        <w:topLinePunct w:val="0"/>
        <w:bidi w:val="0"/>
        <w:adjustRightInd/>
        <w:snapToGrid/>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1.1.5查验岗1个点位。</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1.2工作内容：</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1.2.1 负责协助完成货邮收运、查验等工作；</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1.2.2 负责完成货库范围内的托架、托板等设备的整理、摆放工作；</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1.2.3 负责完成出港库房、出港待装区、进港库房、进港待装区之间托架、拖板的转运工作；</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1.2.4 负责完成货物复磅工作；</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1.2.5 负责正确、安全地驾驶、使用、保养、维护、修理甲方提供的车辆、设备等，确保其正常运行；</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kern w:val="0"/>
          <w:sz w:val="24"/>
          <w:szCs w:val="24"/>
          <w:highlight w:val="none"/>
          <w:lang w:val="en-US" w:eastAsia="zh-CN"/>
        </w:rPr>
      </w:pPr>
      <w:r>
        <w:rPr>
          <w:rFonts w:hint="eastAsia" w:ascii="仿宋_GB2312" w:hAnsi="仿宋_GB2312" w:eastAsia="仿宋_GB2312" w:cs="仿宋_GB2312"/>
          <w:b w:val="0"/>
          <w:bCs w:val="0"/>
          <w:kern w:val="0"/>
          <w:sz w:val="24"/>
          <w:szCs w:val="24"/>
          <w:highlight w:val="none"/>
          <w:lang w:val="en-US" w:eastAsia="zh-CN"/>
        </w:rPr>
        <w:t>1.2.6 完成因航班、货主服务保障及货站区域正常运行需要而临时交办的其他工作；</w:t>
      </w:r>
    </w:p>
    <w:p>
      <w:pPr>
        <w:pStyle w:val="2"/>
        <w:keepNext w:val="0"/>
        <w:keepLines w:val="0"/>
        <w:pageBreakBefore w:val="0"/>
        <w:widowControl w:val="0"/>
        <w:kinsoku/>
        <w:wordWrap/>
        <w:overflowPunct/>
        <w:topLinePunct w:val="0"/>
        <w:bidi w:val="0"/>
        <w:spacing w:before="0" w:line="460" w:lineRule="exact"/>
        <w:ind w:firstLine="480" w:firstLineChars="200"/>
        <w:textAlignment w:val="auto"/>
        <w:rPr>
          <w:rFonts w:hint="eastAsia" w:ascii="仿宋_GB2312" w:hAnsi="仿宋_GB2312" w:eastAsia="仿宋_GB2312" w:cs="仿宋_GB2312"/>
          <w:b w:val="0"/>
          <w:bCs w:val="0"/>
          <w:lang w:val="en-US" w:eastAsia="zh-CN"/>
        </w:rPr>
      </w:pPr>
      <w:r>
        <w:rPr>
          <w:rFonts w:hint="eastAsia" w:ascii="仿宋_GB2312" w:hAnsi="仿宋_GB2312" w:eastAsia="仿宋_GB2312" w:cs="仿宋_GB2312"/>
          <w:b w:val="0"/>
          <w:bCs w:val="0"/>
          <w:kern w:val="0"/>
          <w:sz w:val="24"/>
          <w:szCs w:val="24"/>
          <w:highlight w:val="none"/>
          <w:lang w:val="en-US" w:eastAsia="zh-CN"/>
        </w:rPr>
        <w:t>1.2.7 完成领导及监管队室交办的其他与项目保障相关的工作事项。</w:t>
      </w:r>
    </w:p>
    <w:p>
      <w:pPr>
        <w:pStyle w:val="2"/>
        <w:rPr>
          <w:rFonts w:hint="eastAsia" w:ascii="仿宋_GB2312" w:hAnsi="仿宋_GB2312" w:eastAsia="仿宋_GB2312" w:cs="仿宋_GB2312"/>
          <w:lang w:val="en-US" w:eastAsia="zh-CN"/>
        </w:rPr>
      </w:pP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二、服务范围</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重庆江北国际机场国际货运站</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三、服务标准</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Hans"/>
        </w:rPr>
      </w:pPr>
      <w:r>
        <w:rPr>
          <w:rFonts w:hint="eastAsia" w:ascii="仿宋_GB2312" w:hAnsi="仿宋_GB2312" w:eastAsia="仿宋_GB2312" w:cs="仿宋_GB2312"/>
          <w:kern w:val="0"/>
          <w:sz w:val="24"/>
          <w:szCs w:val="24"/>
          <w:highlight w:val="none"/>
          <w:lang w:val="en-US" w:eastAsia="zh-CN"/>
        </w:rPr>
        <w:t>3.1</w:t>
      </w:r>
      <w:r>
        <w:rPr>
          <w:rFonts w:hint="eastAsia" w:ascii="仿宋_GB2312" w:hAnsi="仿宋_GB2312" w:eastAsia="仿宋_GB2312" w:cs="仿宋_GB2312"/>
          <w:kern w:val="0"/>
          <w:sz w:val="24"/>
          <w:szCs w:val="24"/>
          <w:highlight w:val="none"/>
          <w:lang w:val="en-US" w:eastAsia="zh-Hans"/>
        </w:rPr>
        <w:t>《关于进一步做好重庆地区机场外防输入管理工作的通知》</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Hans"/>
        </w:rPr>
      </w:pPr>
      <w:r>
        <w:rPr>
          <w:rFonts w:hint="eastAsia" w:ascii="仿宋_GB2312" w:hAnsi="仿宋_GB2312" w:eastAsia="仿宋_GB2312" w:cs="仿宋_GB2312"/>
          <w:kern w:val="0"/>
          <w:sz w:val="24"/>
          <w:szCs w:val="24"/>
          <w:highlight w:val="none"/>
          <w:lang w:val="en-US" w:eastAsia="zh-CN"/>
        </w:rPr>
        <w:t>3.2</w:t>
      </w:r>
      <w:r>
        <w:rPr>
          <w:rFonts w:hint="eastAsia" w:ascii="仿宋_GB2312" w:hAnsi="仿宋_GB2312" w:eastAsia="仿宋_GB2312" w:cs="仿宋_GB2312"/>
          <w:kern w:val="0"/>
          <w:sz w:val="24"/>
          <w:szCs w:val="24"/>
          <w:highlight w:val="none"/>
          <w:lang w:val="en-US" w:eastAsia="zh-Hans"/>
        </w:rPr>
        <w:t>《运输航空公司、机场疫情防控技术指南》</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Hans"/>
        </w:rPr>
      </w:pPr>
      <w:r>
        <w:rPr>
          <w:rFonts w:hint="eastAsia" w:ascii="仿宋_GB2312" w:hAnsi="仿宋_GB2312" w:eastAsia="仿宋_GB2312" w:cs="仿宋_GB2312"/>
          <w:kern w:val="0"/>
          <w:sz w:val="24"/>
          <w:szCs w:val="24"/>
          <w:highlight w:val="none"/>
          <w:lang w:val="en-US" w:eastAsia="zh-CN"/>
        </w:rPr>
        <w:t>3.3</w:t>
      </w:r>
      <w:r>
        <w:rPr>
          <w:rFonts w:hint="eastAsia" w:ascii="仿宋_GB2312" w:hAnsi="仿宋_GB2312" w:eastAsia="仿宋_GB2312" w:cs="仿宋_GB2312"/>
          <w:kern w:val="0"/>
          <w:sz w:val="24"/>
          <w:szCs w:val="24"/>
          <w:highlight w:val="none"/>
          <w:lang w:val="en-US" w:eastAsia="zh-Hans"/>
        </w:rPr>
        <w:t>《关于加强应对德尔塔变异株防控措施的通知》</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3.4</w:t>
      </w:r>
      <w:r>
        <w:rPr>
          <w:rFonts w:hint="eastAsia" w:ascii="仿宋_GB2312" w:hAnsi="仿宋_GB2312" w:eastAsia="仿宋_GB2312" w:cs="仿宋_GB2312"/>
          <w:kern w:val="0"/>
          <w:sz w:val="24"/>
          <w:szCs w:val="24"/>
          <w:highlight w:val="none"/>
          <w:lang w:val="en-US" w:eastAsia="zh-Hans"/>
        </w:rPr>
        <w:t>《重庆江北国际机场外防输入疫情防控工作方案（第</w:t>
      </w:r>
      <w:r>
        <w:rPr>
          <w:rFonts w:hint="eastAsia" w:ascii="仿宋_GB2312" w:hAnsi="仿宋_GB2312" w:eastAsia="仿宋_GB2312" w:cs="仿宋_GB2312"/>
          <w:kern w:val="0"/>
          <w:sz w:val="24"/>
          <w:szCs w:val="24"/>
          <w:highlight w:val="none"/>
          <w:lang w:val="en-US" w:eastAsia="zh-CN"/>
        </w:rPr>
        <w:t>二</w:t>
      </w:r>
      <w:r>
        <w:rPr>
          <w:rFonts w:hint="eastAsia" w:ascii="仿宋_GB2312" w:hAnsi="仿宋_GB2312" w:eastAsia="仿宋_GB2312" w:cs="仿宋_GB2312"/>
          <w:kern w:val="0"/>
          <w:sz w:val="24"/>
          <w:szCs w:val="24"/>
          <w:highlight w:val="none"/>
          <w:lang w:val="en-US" w:eastAsia="zh-Hans"/>
        </w:rPr>
        <w:t>版）的通知》</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3.5《重庆空港航空地面服务有限公司外包管理规定》</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服务标准可能因疫情防控政策发生变化，以相关管理组织发布的最新要求为准。</w:t>
      </w:r>
    </w:p>
    <w:p>
      <w:pPr>
        <w:keepNext w:val="0"/>
        <w:keepLines w:val="0"/>
        <w:pageBreakBefore w:val="0"/>
        <w:widowControl w:val="0"/>
        <w:numPr>
          <w:ilvl w:val="0"/>
          <w:numId w:val="3"/>
        </w:numPr>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合同价款</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4.1各岗位不含增值税的价格如下：</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 xml:space="preserve">4.1.1复重岗每个点位 </w:t>
      </w:r>
      <w:r>
        <w:rPr>
          <w:rFonts w:hint="eastAsia" w:ascii="仿宋_GB2312" w:hAnsi="仿宋_GB2312" w:eastAsia="仿宋_GB2312" w:cs="仿宋_GB2312"/>
          <w:kern w:val="0"/>
          <w:sz w:val="24"/>
          <w:szCs w:val="24"/>
          <w:highlight w:val="none"/>
          <w:u w:val="single"/>
          <w:lang w:val="en-US" w:eastAsia="zh-CN"/>
        </w:rPr>
        <w:t xml:space="preserve">      </w:t>
      </w:r>
      <w:r>
        <w:rPr>
          <w:rFonts w:hint="eastAsia" w:ascii="仿宋_GB2312" w:hAnsi="仿宋_GB2312" w:eastAsia="仿宋_GB2312" w:cs="仿宋_GB2312"/>
          <w:kern w:val="0"/>
          <w:sz w:val="24"/>
          <w:szCs w:val="24"/>
          <w:highlight w:val="none"/>
          <w:lang w:val="en-US" w:eastAsia="zh-CN"/>
        </w:rPr>
        <w:t>元/月；</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 xml:space="preserve">4.1.2集控岗每个点位 </w:t>
      </w:r>
      <w:r>
        <w:rPr>
          <w:rFonts w:hint="eastAsia" w:ascii="仿宋_GB2312" w:hAnsi="仿宋_GB2312" w:eastAsia="仿宋_GB2312" w:cs="仿宋_GB2312"/>
          <w:kern w:val="0"/>
          <w:sz w:val="24"/>
          <w:szCs w:val="24"/>
          <w:highlight w:val="none"/>
          <w:u w:val="single"/>
          <w:lang w:val="en-US" w:eastAsia="zh-CN"/>
        </w:rPr>
        <w:t xml:space="preserve">      </w:t>
      </w:r>
      <w:r>
        <w:rPr>
          <w:rFonts w:hint="eastAsia" w:ascii="仿宋_GB2312" w:hAnsi="仿宋_GB2312" w:eastAsia="仿宋_GB2312" w:cs="仿宋_GB2312"/>
          <w:kern w:val="0"/>
          <w:sz w:val="24"/>
          <w:szCs w:val="24"/>
          <w:highlight w:val="none"/>
          <w:lang w:val="en-US" w:eastAsia="zh-CN"/>
        </w:rPr>
        <w:t>元/月；</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 xml:space="preserve">4.1.3收货岗每个点位 </w:t>
      </w:r>
      <w:r>
        <w:rPr>
          <w:rFonts w:hint="eastAsia" w:ascii="仿宋_GB2312" w:hAnsi="仿宋_GB2312" w:eastAsia="仿宋_GB2312" w:cs="仿宋_GB2312"/>
          <w:kern w:val="0"/>
          <w:sz w:val="24"/>
          <w:szCs w:val="24"/>
          <w:highlight w:val="none"/>
          <w:u w:val="single"/>
          <w:lang w:val="en-US" w:eastAsia="zh-CN"/>
        </w:rPr>
        <w:t xml:space="preserve">      </w:t>
      </w:r>
      <w:r>
        <w:rPr>
          <w:rFonts w:hint="eastAsia" w:ascii="仿宋_GB2312" w:hAnsi="仿宋_GB2312" w:eastAsia="仿宋_GB2312" w:cs="仿宋_GB2312"/>
          <w:kern w:val="0"/>
          <w:sz w:val="24"/>
          <w:szCs w:val="24"/>
          <w:highlight w:val="none"/>
          <w:lang w:val="en-US" w:eastAsia="zh-CN"/>
        </w:rPr>
        <w:t>元/月；</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 xml:space="preserve">4.1.4转运岗每个点位 </w:t>
      </w:r>
      <w:r>
        <w:rPr>
          <w:rFonts w:hint="eastAsia" w:ascii="仿宋_GB2312" w:hAnsi="仿宋_GB2312" w:eastAsia="仿宋_GB2312" w:cs="仿宋_GB2312"/>
          <w:kern w:val="0"/>
          <w:sz w:val="24"/>
          <w:szCs w:val="24"/>
          <w:highlight w:val="none"/>
          <w:u w:val="single"/>
          <w:lang w:val="en-US" w:eastAsia="zh-CN"/>
        </w:rPr>
        <w:t xml:space="preserve">      </w:t>
      </w:r>
      <w:r>
        <w:rPr>
          <w:rFonts w:hint="eastAsia" w:ascii="仿宋_GB2312" w:hAnsi="仿宋_GB2312" w:eastAsia="仿宋_GB2312" w:cs="仿宋_GB2312"/>
          <w:kern w:val="0"/>
          <w:sz w:val="24"/>
          <w:szCs w:val="24"/>
          <w:highlight w:val="none"/>
          <w:lang w:val="en-US" w:eastAsia="zh-CN"/>
        </w:rPr>
        <w:t>元/月；</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kern w:val="0"/>
          <w:sz w:val="24"/>
          <w:szCs w:val="24"/>
          <w:highlight w:val="none"/>
          <w:lang w:val="en-US" w:eastAsia="zh-CN"/>
        </w:rPr>
        <w:t xml:space="preserve">4.1.5查验岗每个点位 </w:t>
      </w:r>
      <w:r>
        <w:rPr>
          <w:rFonts w:hint="eastAsia" w:ascii="仿宋_GB2312" w:hAnsi="仿宋_GB2312" w:eastAsia="仿宋_GB2312" w:cs="仿宋_GB2312"/>
          <w:kern w:val="0"/>
          <w:sz w:val="24"/>
          <w:szCs w:val="24"/>
          <w:highlight w:val="none"/>
          <w:u w:val="single"/>
          <w:lang w:val="en-US" w:eastAsia="zh-CN"/>
        </w:rPr>
        <w:t xml:space="preserve">      </w:t>
      </w:r>
      <w:r>
        <w:rPr>
          <w:rFonts w:hint="eastAsia" w:ascii="仿宋_GB2312" w:hAnsi="仿宋_GB2312" w:eastAsia="仿宋_GB2312" w:cs="仿宋_GB2312"/>
          <w:kern w:val="0"/>
          <w:sz w:val="24"/>
          <w:szCs w:val="24"/>
          <w:highlight w:val="none"/>
          <w:lang w:val="en-US" w:eastAsia="zh-CN"/>
        </w:rPr>
        <w:t>元/月。</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4.2甲方开票及账户信息：</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户名：重庆空港航空地面服务有限公司</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税号：91500112666441363D</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地址：重庆市渝北区双凤桥街道渝航路1幢1/2-0</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电话号码：023-67153596</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开户银行：建行渝北机场支行</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账户账号：5000 1083 8000 5020 0711</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4.3乙方账户信息：</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户名：</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开户银行：</w:t>
      </w:r>
    </w:p>
    <w:p>
      <w:pPr>
        <w:keepNext w:val="0"/>
        <w:keepLines w:val="0"/>
        <w:pageBreakBefore w:val="0"/>
        <w:widowControl w:val="0"/>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kern w:val="0"/>
          <w:sz w:val="24"/>
          <w:szCs w:val="24"/>
          <w:highlight w:val="none"/>
          <w:lang w:val="en-US" w:eastAsia="zh-CN"/>
        </w:rPr>
      </w:pPr>
      <w:r>
        <w:rPr>
          <w:rFonts w:hint="eastAsia" w:ascii="仿宋_GB2312" w:hAnsi="仿宋_GB2312" w:eastAsia="仿宋_GB2312" w:cs="仿宋_GB2312"/>
          <w:kern w:val="0"/>
          <w:sz w:val="24"/>
          <w:szCs w:val="24"/>
          <w:highlight w:val="none"/>
          <w:lang w:val="en-US" w:eastAsia="zh-CN"/>
        </w:rPr>
        <w:t>账户账号：</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五、履约保证与支付方式</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hAnsi="仿宋_GB2312" w:cs="仿宋_GB2312"/>
          <w:b w:val="0"/>
          <w:bCs w:val="0"/>
          <w:sz w:val="24"/>
          <w:szCs w:val="24"/>
          <w:lang w:val="en-US" w:eastAsia="zh-CN"/>
        </w:rPr>
      </w:pPr>
      <w:r>
        <w:rPr>
          <w:rFonts w:hint="eastAsia" w:hAnsi="仿宋_GB2312" w:cs="仿宋_GB2312"/>
          <w:b w:val="0"/>
          <w:bCs w:val="0"/>
          <w:sz w:val="24"/>
          <w:szCs w:val="24"/>
          <w:lang w:val="en-US" w:eastAsia="zh-CN"/>
        </w:rPr>
        <w:t>5.1 履约保证</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hAnsi="仿宋_GB2312" w:cs="仿宋_GB2312"/>
          <w:b w:val="0"/>
          <w:bCs w:val="0"/>
          <w:sz w:val="24"/>
          <w:szCs w:val="24"/>
          <w:lang w:val="en-US" w:eastAsia="zh-CN"/>
        </w:rPr>
        <w:t>履约保证金为人民币</w:t>
      </w:r>
      <w:r>
        <w:rPr>
          <w:rFonts w:hint="eastAsia" w:hAnsi="仿宋_GB2312" w:cs="仿宋_GB2312"/>
          <w:b w:val="0"/>
          <w:bCs w:val="0"/>
          <w:sz w:val="24"/>
          <w:szCs w:val="24"/>
          <w:u w:val="single"/>
          <w:lang w:val="en-US" w:eastAsia="zh-CN"/>
        </w:rPr>
        <w:t xml:space="preserve">     </w:t>
      </w:r>
      <w:r>
        <w:rPr>
          <w:rFonts w:hint="eastAsia" w:hAnsi="仿宋_GB2312" w:cs="仿宋_GB2312"/>
          <w:b w:val="0"/>
          <w:bCs w:val="0"/>
          <w:sz w:val="24"/>
          <w:szCs w:val="24"/>
          <w:lang w:val="en-US" w:eastAsia="zh-CN"/>
        </w:rPr>
        <w:t>元整（小写：¥</w:t>
      </w:r>
      <w:r>
        <w:rPr>
          <w:rFonts w:hint="eastAsia" w:hAnsi="仿宋_GB2312" w:cs="仿宋_GB2312"/>
          <w:b w:val="0"/>
          <w:bCs w:val="0"/>
          <w:sz w:val="24"/>
          <w:szCs w:val="24"/>
          <w:u w:val="single"/>
          <w:lang w:val="en-US" w:eastAsia="zh-CN"/>
        </w:rPr>
        <w:t xml:space="preserve">      </w:t>
      </w:r>
      <w:r>
        <w:rPr>
          <w:rFonts w:hint="eastAsia" w:hAnsi="仿宋_GB2312" w:cs="仿宋_GB2312"/>
          <w:b w:val="0"/>
          <w:bCs w:val="0"/>
          <w:sz w:val="24"/>
          <w:szCs w:val="24"/>
          <w:lang w:val="en-US" w:eastAsia="zh-CN"/>
        </w:rPr>
        <w:t>）。成交人在收到成交通知书5个工作日内通过银行转账的方式提交到重庆空港航空地面服务有限公司指定账户，项目合同期满后，无违约事件，由成交人提出申请后40天内退还，但不计利息。</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hAnsi="仿宋_GB2312" w:cs="仿宋_GB2312"/>
          <w:b w:val="0"/>
          <w:bCs w:val="0"/>
          <w:sz w:val="24"/>
          <w:szCs w:val="24"/>
          <w:lang w:val="en-US" w:eastAsia="zh-CN"/>
        </w:rPr>
        <w:t xml:space="preserve">5.2 </w:t>
      </w:r>
      <w:r>
        <w:rPr>
          <w:rFonts w:hint="eastAsia" w:ascii="仿宋_GB2312" w:hAnsi="仿宋_GB2312" w:eastAsia="仿宋_GB2312" w:cs="仿宋_GB2312"/>
          <w:b w:val="0"/>
          <w:bCs w:val="0"/>
          <w:sz w:val="24"/>
          <w:szCs w:val="24"/>
          <w:lang w:val="en-US" w:eastAsia="zh-CN"/>
        </w:rPr>
        <w:t>支付方式</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按照每个点位不含增值税</w:t>
      </w:r>
      <w:r>
        <w:rPr>
          <w:rFonts w:hint="eastAsia" w:ascii="仿宋_GB2312" w:hAnsi="仿宋_GB2312" w:eastAsia="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lang w:val="en-US" w:eastAsia="zh-CN"/>
        </w:rPr>
        <w:t>元（大写</w:t>
      </w:r>
      <w:r>
        <w:rPr>
          <w:rFonts w:hint="eastAsia" w:ascii="仿宋_GB2312" w:hAnsi="仿宋_GB2312" w:eastAsia="仿宋_GB2312" w:cs="仿宋_GB2312"/>
          <w:b w:val="0"/>
          <w:bCs w:val="0"/>
          <w:sz w:val="24"/>
          <w:szCs w:val="24"/>
          <w:u w:val="single"/>
          <w:lang w:val="en-US" w:eastAsia="zh-CN"/>
        </w:rPr>
        <w:t xml:space="preserve">：  </w:t>
      </w:r>
      <w:r>
        <w:rPr>
          <w:rFonts w:hint="eastAsia" w:hAnsi="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lang w:val="en-US" w:eastAsia="zh-CN"/>
        </w:rPr>
        <w:t>）的价格标准计算，</w:t>
      </w:r>
      <w:r>
        <w:rPr>
          <w:rFonts w:hint="eastAsia" w:hAnsi="仿宋_GB2312" w:cs="仿宋_GB2312"/>
          <w:b w:val="0"/>
          <w:bCs w:val="0"/>
          <w:sz w:val="24"/>
          <w:szCs w:val="24"/>
          <w:lang w:val="en-US" w:eastAsia="zh-CN"/>
        </w:rPr>
        <w:t>每月应得金额为不含增值税</w:t>
      </w:r>
      <w:r>
        <w:rPr>
          <w:rFonts w:hint="eastAsia" w:hAnsi="仿宋_GB2312" w:cs="仿宋_GB2312"/>
          <w:b w:val="0"/>
          <w:bCs w:val="0"/>
          <w:sz w:val="24"/>
          <w:szCs w:val="24"/>
          <w:u w:val="single"/>
          <w:lang w:val="en-US" w:eastAsia="zh-CN"/>
        </w:rPr>
        <w:t xml:space="preserve">      </w:t>
      </w:r>
      <w:r>
        <w:rPr>
          <w:rFonts w:hint="eastAsia" w:hAnsi="仿宋_GB2312" w:cs="仿宋_GB2312"/>
          <w:b w:val="0"/>
          <w:bCs w:val="0"/>
          <w:sz w:val="24"/>
          <w:szCs w:val="24"/>
          <w:lang w:val="en-US" w:eastAsia="zh-CN"/>
        </w:rPr>
        <w:t>元（大写：</w:t>
      </w:r>
      <w:r>
        <w:rPr>
          <w:rFonts w:hint="eastAsia" w:hAnsi="仿宋_GB2312" w:cs="仿宋_GB2312"/>
          <w:b w:val="0"/>
          <w:bCs w:val="0"/>
          <w:sz w:val="24"/>
          <w:szCs w:val="24"/>
          <w:u w:val="single"/>
          <w:lang w:val="en-US" w:eastAsia="zh-CN"/>
        </w:rPr>
        <w:t xml:space="preserve">      ）。</w:t>
      </w:r>
      <w:r>
        <w:rPr>
          <w:rFonts w:hint="eastAsia" w:ascii="仿宋_GB2312" w:hAnsi="仿宋_GB2312" w:eastAsia="仿宋_GB2312" w:cs="仿宋_GB2312"/>
          <w:b w:val="0"/>
          <w:bCs w:val="0"/>
          <w:sz w:val="24"/>
          <w:szCs w:val="24"/>
          <w:lang w:val="en-US" w:eastAsia="zh-CN"/>
        </w:rPr>
        <w:t>采用月度结算方式，次月支付上月服务费用，不足一月的按实际保障天数计算费用（月岗位价格/30）。</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甲方在收到乙方符合规定的增值税发票后发起付款流程，20个工作日内通过银行转账或银行承兑汇票的方式一次性支付上月服务费用。如乙方提供增值税专用发票，甲方实际支付金额=不含增值税金额+增值税税额；如乙方提供的增值税普通发票，甲方实际支付金额=不含增值税金额。</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如乙方违反相关要求，达不到规定的质量要求，甲方可按本合同附件相关的考核标准约定对其当月承包费用进行扣减：</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月绩效考核扣减金额=月绩效考核扣减分值×绩效基数；</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绩效基数=乙方按合同约定的当月应得金额/1000。</w:t>
      </w:r>
    </w:p>
    <w:p>
      <w:pPr>
        <w:keepNext w:val="0"/>
        <w:keepLines w:val="0"/>
        <w:pageBreakBefore w:val="0"/>
        <w:widowControl w:val="0"/>
        <w:numPr>
          <w:ilvl w:val="0"/>
          <w:numId w:val="0"/>
        </w:numPr>
        <w:kinsoku/>
        <w:wordWrap/>
        <w:overflowPunct/>
        <w:topLinePunct w:val="0"/>
        <w:bidi w:val="0"/>
        <w:spacing w:line="460" w:lineRule="exact"/>
        <w:ind w:leftChars="0"/>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六、服务期</w:t>
      </w:r>
    </w:p>
    <w:p>
      <w:pPr>
        <w:keepNext w:val="0"/>
        <w:keepLines w:val="0"/>
        <w:pageBreakBefore w:val="0"/>
        <w:widowControl w:val="0"/>
        <w:numPr>
          <w:ilvl w:val="0"/>
          <w:numId w:val="0"/>
        </w:numPr>
        <w:kinsoku/>
        <w:wordWrap/>
        <w:overflowPunct/>
        <w:topLinePunct w:val="0"/>
        <w:bidi w:val="0"/>
        <w:spacing w:line="460" w:lineRule="exact"/>
        <w:ind w:lef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本合同自签订之日起</w:t>
      </w:r>
      <w:r>
        <w:rPr>
          <w:rFonts w:hint="eastAsia" w:ascii="仿宋_GB2312" w:hAnsi="仿宋_GB2312" w:eastAsia="仿宋_GB2312" w:cs="仿宋_GB2312"/>
          <w:color w:val="auto"/>
          <w:sz w:val="24"/>
          <w:szCs w:val="24"/>
        </w:rPr>
        <w:t>至2023年7月31日。本合同履行过程中，如果合同履行条件发生变化，由双方进行协商，并以签订补充合同的方式加以确认，补充合同与本合同具同等效力。</w:t>
      </w:r>
    </w:p>
    <w:p>
      <w:pPr>
        <w:keepNext w:val="0"/>
        <w:keepLines w:val="0"/>
        <w:pageBreakBefore w:val="0"/>
        <w:widowControl/>
        <w:kinsoku/>
        <w:wordWrap/>
        <w:overflowPunct/>
        <w:topLinePunct w:val="0"/>
        <w:bidi w:val="0"/>
        <w:adjustRightInd w:val="0"/>
        <w:snapToGrid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auto"/>
          <w:sz w:val="24"/>
          <w:szCs w:val="24"/>
          <w:lang w:eastAsia="zh-CN"/>
        </w:rPr>
        <w:t>如因疫情防控要求解除，甲方可根据实际情况单方面解除本合同。</w:t>
      </w:r>
    </w:p>
    <w:p>
      <w:pPr>
        <w:keepNext w:val="0"/>
        <w:keepLines w:val="0"/>
        <w:pageBreakBefore w:val="0"/>
        <w:widowControl w:val="0"/>
        <w:numPr>
          <w:ilvl w:val="0"/>
          <w:numId w:val="4"/>
        </w:numPr>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双方的权利与义务</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 甲方的权利</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 甲方有权根据本合同及附件规定，对乙方提供服务过程中招用的驾驶人员的素质、业务技能进行审核把关，乙方提供服务过程中，如存在不符合服务工作要求的人员的，甲方有权要求乙方进行更换。甲方监管部门应当按照合同附件对乙方上月服务进行绩效考核，完成绩效考核后提交归口管理部门。</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7.1.2 甲方有权对乙方的安全、质量管理体系进行审核和评价，对不符合项要求采取改进和预防措施，以达到甲方要求的安全和质量要求。</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7.1.3 甲方有权检查并审核乙方制定的管理措施及制度，并要求乙方在甲方通知时间内进行改进。</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7.1.4 甲方有权根据乙方的实际服务情况，要求乙方在甲方通知时间内改善达不到质量要求的人员配置、作息及作业组织模式及工作标准，以适应服务保障需要。</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7.1.5 甲方有权根据合同执行过程中或生产运行中存在的问题制定和实施相应的管控措施。</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7.1.6 甲方有权对乙方人员作业中存在的问题及风险隐患，发出整改要求。</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7.1.7 乙方应向甲方赔偿因乙方人员违章、违规、失职失误或管理不善等责任原因给甲方造成的损失。</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7.1.8 甲方有权按照甲方内部管理规定、合同附件对乙方的生产保障进行检查、监督和考核,纠正不符合甲方工作要求的服务行为。</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7.1.9 甲方有权根据其上级或行业管理机构所签订的涉及本承包业务的各类责任书或业务要求，与乙方签订相关责任书并进行监督落实和考核。</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7.1.10 甲方有权对乙方生产保障过程中发生的有效投诉进行调查,或者责成乙方进行调查；所有有效投诉由乙方负责处理,所需费用和因此产生的法律责任由乙方承担,并责成乙方将处理结果向甲方反馈，甲方有权根据投诉等级对乙方进行绩效扣减。</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7.1.11 甲方有权要求乙方进行专项特殊保障和有权调动指挥乙方进行突发事件处置。</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7.1.12甲方有权要求乙方在生产工作中做到节约能源，合理利用资源。</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7.1.13 甲方有权定期对乙方的日常生产操作进行监督、检查，结合每月检查情况对乙方进行一次绩效考核。甲方在绩效考核时应遵循客观公正的原则。</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7.1.14因生产业务需要，甲方有权要求乙方在接到甲方通知之日起60日内配齐一定数量的电动搬运车，由乙方自行租赁或者购置，车辆日常维护及保养均由乙方自行负责，车辆和设备数量根据甲方生产需求而定，甲方按市场价格向乙方支付租金。</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 甲方的义务</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7.2.1 为乙方提供完成相应装卸、驾驶工作所需的业务标准、操作流程及文件资料。</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7.2.2 为乙方完成装卸人员、驾驶人员所必需的业务知识、技能、经验和管理提供培训和帮助（培训费用由乙方负责）。</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7.2.3 为乙方建立合理有效的管理制度提供帮助。</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7.2.4 听取乙方有关增进装卸业务及驾驶人员管理，改进保障服务水平的合理化建议。</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7.2.5 为乙方提供必要的保障作业场地及所需的非动力设施、设备。</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7.2.6 协助乙方承包业务需要进入隔离区和限制区的人员办理进入工作区域的证件（证件费用由乙方支付，未支付费用不予办理，由乙方自行承担未能进入隔离区的相应后果及违约责任）。</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7.2.7 依据本合同及相关附件，及时、足额向乙方支付相关费用。</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7.2.8 根据实际工作的需要，甲方应当为乙方的管理和服务提供帮助，并协调处理甲方工作人员与乙方工作人员工作配合关系。</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7.2.9 保守本合同具体内容秘密，不得向第三方泄露。</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 乙方的权利</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7.3.1 乙方有权自主招聘、培训、安排和管理属于乙方派驻的工作人员；</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7.3.2 乙方有权要求甲方提供完成相应服务工作所需的业务标准、操作流程及文件资料；</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7.3.3 乙方有权要求甲方为乙方完成服务人员所必需的业务知识、技能、经验和管理培训提供帮助；（培训费用由乙方负责）</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7.3.4 乙方有权要求甲方按照乙方服务工作的实际需要提供相应的工作场所；</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7.3.5 乙方有权要求甲方协助为乙方因承包业务需要进入隔离区的人员办理进入工作区域的证件；</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7.3.6 乙方有权根据本合同及有关附件约定内容，要求甲方及时、足额支付相关费用；</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7.3.7 乙方有权要求甲方及时履行合同约定的相关义务。</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 乙方的义务</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 乙方作为企业法人，其经营管理和生产运行须遵守其承包业务有涉及到的国家法律法规、行业规范，重庆机场和甲方制定的规章，自觉接受相关部门的检查和监督。如乙方或其人员违法违规造成的损失和受到的处罚以及内部发生的任何问题由乙方承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 乙方应就本业务承包建立与之相适应的组织机构和专业专职队伍，除专门保障与甲方合同约定的业务外，不得承接或从事其它业务。其机构设置和各层级管理（负责）人员应向甲方报备。24小时保持与甲方监管人员通讯畅通。乙方应按照合同条款向甲方提供服务保障，并做好特殊情况的应急处置工作。</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7.4.3 建立完善的员工队伍管理制度（包括人员招录、培训、薪酬分配、奖罚考核、辞退、工作监督检查等制度），做到各项管理事项上有章可循。乙方承诺对乙方员工的管理负有完全责任，如乙方员工发生违反国家法律法规和危及航空安全和造成人员身体伤害或财产损失等事件，由乙方承担一切法律责任和经济损失。</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7.4.4 乙方应依据本合同及附件要求，及时招录、储备、业务所需要的合格工作人员。乙方所招录的人员需经其户口所在地公安机关背景调查（政审），上岗人员基本信息需交甲方业务监管部门备案，背景调查需交甲方人力资源部备案，严禁招录机场公安机关作出规定不允许使用的人员。</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7.4.5 应遵守国家相关法规、政策，为所属装卸及驾驶人员办理社保手续，按时发放应得工资，做到合法用工。乙方必须对作业人员进行劳动保护培训。工作人员自身或乙方原因在工作发生碰撞、冲突或其它意外等情况，后果均由乙方独自承担相应的赔偿责任。</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7.4.6 按时足额为所属人员发放应得工资，不得拖欠，并帮助解决基本的食、宿条件需要，促进乙方自身员工队伍的稳定。</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7.4.7 与所属搬运员工、驾驶人员发生劳动争议及各类纠纷（包括发生伤亡事故）时，应积极解决，依法合理处理，承担相应责任，不得因此给甲方工作及生产秩序造成影响或损害。</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7.4.8 对甲方提供的设施、设备应建立完善的管理制度并落实，防止因设施、设备维护保养或保护不当影响生产运行的状况发生。因乙方使用、维护、保养不当等责任原因造成的维修费用和损失由乙方承担。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7.4.9 在接收甲方整改通知后7日内，及时整改并回复甲方指出的承包业务管理缺陷，以及人员作业中存在的问题及风险隐患。</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7.4.10 甲方组织的工作必要的学习培训，乙方应组织或安排人员参加。并教育所属人员积极服从甲方的现场工作指导，以确保工作的时效及质量达到相关标准要求。</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7.4.11在收到甲方提出要求后7日内，及时响应甲方根据工作需要或为保障服务效率、质量的提升作出的要求。</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7.4.12 教育并督促所属人员遵守并执行重庆机场基本职业准则、窗口服务质量标准。乙方员工必须经岗前培训合格后方可上岗。</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7.4.13 乙方工作人员着装统一，佩戴工作证上岗；应与所处工作环境及性质相匹配，应征得甲方许可。</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7.4.14 督促所属人员依照甲方发布的操作流程或规程完成相应货物邮件行李保障工作，确保职责的完整履行。</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7.4.15 乙方不得与甲方客户发生不正常交易或不正常的营运行为。</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7.4.16 乙方应自觉接受并履行甲方依据事实及本合同（包括附件）作出的绩效考核。</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7.4.17自觉接受该承包业务在重庆机场航站楼内受于重庆机场集团有限公司以及各相关行业主管部门的业务指导和管理（在需要时进行备案和取得工作人员准入资格等）。</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7.4.18因乙方对甲方指定业务领域管理不善或乙方人员怠于履行相关职责而造成甲方的直接经济损失（包括索赔），乙方承担赔偿相应损失。</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7.4.19乙方不得以甲方的名义从事任何经济活动，不得以任何形式转让服务项目，不得以任何形式将本项目进行分包、转包。在服务区域只能从事甲方认可的服务工作。</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7.4.20乙方工作人员不得以任何形式影响甲方或其它单位的工作，不得从事非法及超范围的活动。</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7.4.21乙方有告知义务及情况反馈义务。</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7.4.22乙方不得在服务区域内从事任何广告活动或类似宣传。</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7.4.23在乙方股权变更、注册资本增减、应收账款债权人变更等影响合同履约主体变更的情形时，应提前15日以书面形式通知甲方。</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7.4.24保守本合同具体内容秘密，不得向第三方泄露。</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7.4.25 乙方自行购置或租赁的车辆和特种设备由乙方负责其安全性、合法合规、驾驶人员执照管理、车辆和特种设备日常维护、年审及保养、质检等所产生的一切费用，其产生的一切赔偿和损失由乙方独自承担。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7.4.26 乙方应加强安全管理，乙方承担安全主体责任，严格按照国家、民航、重庆市法律法规及公司规章制度的要求，员工持证上岗。建立完善安全管理制度、安全应急预案。加强员工安全教育培训，不因管理原因发生安全责任事故和不安全事件。</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7.4.27 乙方操作甲方提供的车辆或特种设备时，由于乙方人员操作失当产生的赔偿和损失由乙方独自承担。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7.4.28 本合同终止时，乙方在提供服务期间自行配置的车辆及设备在合同终止时归乙方所有，乙方的债权、债务等事宜，由乙方自行处理。乙方所录用员工的劳动关系由乙方自行解决。</w:t>
      </w:r>
    </w:p>
    <w:p>
      <w:pPr>
        <w:keepNext w:val="0"/>
        <w:keepLines w:val="0"/>
        <w:pageBreakBefore w:val="0"/>
        <w:widowControl w:val="0"/>
        <w:numPr>
          <w:ilvl w:val="0"/>
          <w:numId w:val="0"/>
        </w:numPr>
        <w:kinsoku/>
        <w:wordWrap/>
        <w:overflowPunct/>
        <w:topLinePunct w:val="0"/>
        <w:bidi w:val="0"/>
        <w:spacing w:line="460" w:lineRule="exact"/>
        <w:ind w:leftChars="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
          <w:bCs/>
          <w:sz w:val="24"/>
          <w:szCs w:val="24"/>
          <w:lang w:val="en-US" w:eastAsia="zh-CN"/>
        </w:rPr>
        <w:t>八、违约责任</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8.1甲方未按照本合同7.2条履约，造成违约行为的，甲方收到乙方出具的违约通知整改书后10个工作日仍未予以纠正的，应向乙方支付违约金，违约金以实际核定的损失为准。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8.2乙方未按照本合同7.4条履约，造成所违约行为的，乙方收到甲方出具的违约通知整改书后10个工作日仍未予以纠正的，甲方有权单方面解除本合同，情节严重的（如发生违反机场相关安全规定,导致航空事故或事故征候或有其他行为、严重影响机场形象和正常运行）甲方可直接终止本合同，并向甲方支付违约金，违约金以甲方实际核定的损失为准。</w:t>
      </w:r>
    </w:p>
    <w:p>
      <w:pPr>
        <w:keepNext w:val="0"/>
        <w:keepLines w:val="0"/>
        <w:pageBreakBefore w:val="0"/>
        <w:widowControl w:val="0"/>
        <w:numPr>
          <w:ilvl w:val="0"/>
          <w:numId w:val="0"/>
        </w:numPr>
        <w:kinsoku/>
        <w:wordWrap/>
        <w:overflowPunct/>
        <w:topLinePunct w:val="0"/>
        <w:bidi w:val="0"/>
        <w:spacing w:line="460" w:lineRule="exact"/>
        <w:ind w:leftChars="0"/>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九、进入机场控制区、飞行区及货运库房人员的管理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9.1 乙方应严格遵守关于机场控制区的相关规定。</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9.2乙方需在机场控制区内工作的人员须办理控制区通行证，需进入进港货库及区域（限制区）的人员须办理货库通行证。在进出和在区域工作时，自觉接受安保人员检查。</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9.3机场控制区通行证由乙方提出申请，甲方在机场安检站代为办理；货库通行证由乙方提出申请，甲方监管部门负责办理。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9.4乙方人员需按甲方要求提供填写本人信息相关表格，由甲方备案和向机场安检站报备，乙方人员应认真接受相关空防安全知识培训，并通过相应考试（连续3次考试不合格的，将不能办理通行证，乙方不得录用），获取机场控制区通行证或货库通行证，方能在相关区域工作。</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9.5 机场控制区通行证办证费用和货库通行证工本费由乙方自理。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9.6 乙方有招录使用人员时，需按规定认真对其进行“政审”和“背景调查”，不得录用相关规定中禁止办证的人员。乙方对进入货库和机场控制区的人员须严格管理，应选派政治素质好，思想和工作稳定的人员。乙方持有机场控制区及货库通行证人员因违反规定造成的后果由乙方承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9.7 乙方进入控制区和货库区的人员须接受机场控制区及航空安保相关规定的培训，并按规定接进行复训和开展日常安全教育。</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9.8乙方确因工作需要须进入货运库房及其它控制、限制区域的人员，需按相关规定进行培训、考试，取得相应资质，服从相关管理规定，如有违反，由乙方承担责任。</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十、争议解决和适用法律</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10.1与本合同有关的或因执行本合同所产生之争议，应由双方友好协商解决，不能解决时，任何一方均可向甲方所在地人民法院提起诉讼。</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10.2争议处理期间除正在审理的部分以外，双方应继续执行合同的其余部分。</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10.3本合同的订立、效力、解释、履行及争议的解决适用中华人民共和国的法律、法规。</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r>
        <w:rPr>
          <w:rFonts w:hint="eastAsia" w:ascii="仿宋_GB2312" w:hAnsi="仿宋_GB2312" w:eastAsia="仿宋_GB2312" w:cs="仿宋_GB2312"/>
          <w:b/>
          <w:bCs/>
          <w:sz w:val="24"/>
          <w:szCs w:val="24"/>
          <w:lang w:val="en-US" w:eastAsia="zh-CN"/>
        </w:rPr>
        <w:t>十一、其他</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11.1本合同未尽事宜，应由甲、乙双方协商后以书面形式补充。</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11.2本合同一式陆份，甲方执叁份，乙方执叁份，具有同等法律效力。</w:t>
      </w:r>
    </w:p>
    <w:p>
      <w:pPr>
        <w:keepNext w:val="0"/>
        <w:keepLines w:val="0"/>
        <w:pageBreakBefore w:val="0"/>
        <w:widowControl w:val="0"/>
        <w:kinsoku/>
        <w:wordWrap/>
        <w:overflowPunct/>
        <w:topLinePunct w:val="0"/>
        <w:bidi w:val="0"/>
        <w:spacing w:line="460" w:lineRule="exact"/>
        <w:ind w:firstLine="480" w:firstLineChars="200"/>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11.3本合同自甲、乙双方加盖公司印章，并经双方法人或授权代表签字后生效</w:t>
      </w:r>
    </w:p>
    <w:p>
      <w:pPr>
        <w:keepNext w:val="0"/>
        <w:keepLines w:val="0"/>
        <w:pageBreakBefore w:val="0"/>
        <w:widowControl w:val="0"/>
        <w:kinsoku/>
        <w:wordWrap/>
        <w:overflowPunct/>
        <w:topLinePunct w:val="0"/>
        <w:bidi w:val="0"/>
        <w:snapToGrid/>
        <w:spacing w:line="460" w:lineRule="exact"/>
        <w:textAlignment w:val="auto"/>
        <w:rPr>
          <w:rFonts w:hint="eastAsia" w:ascii="仿宋_GB2312" w:hAnsi="仿宋_GB2312" w:eastAsia="仿宋_GB2312" w:cs="仿宋_GB2312"/>
          <w:b w:val="0"/>
          <w:bCs w:val="0"/>
          <w:sz w:val="24"/>
          <w:szCs w:val="24"/>
          <w:lang w:eastAsia="zh-CN"/>
        </w:rPr>
      </w:pP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附件一：车辆驾驶业务操作标准及流程</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附件二：车辆驾驶业务管理规范</w:t>
      </w:r>
    </w:p>
    <w:p>
      <w:pPr>
        <w:keepNext w:val="0"/>
        <w:keepLines w:val="0"/>
        <w:pageBreakBefore w:val="0"/>
        <w:widowControl w:val="0"/>
        <w:kinsoku/>
        <w:wordWrap/>
        <w:overflowPunct/>
        <w:topLinePunct w:val="0"/>
        <w:bidi w:val="0"/>
        <w:snapToGrid/>
        <w:spacing w:line="460" w:lineRule="exact"/>
        <w:ind w:firstLine="480" w:firstLineChars="200"/>
        <w:textAlignment w:val="auto"/>
        <w:rPr>
          <w:rFonts w:hint="eastAsia"/>
          <w:lang w:val="en-US" w:eastAsia="zh-CN"/>
        </w:rPr>
      </w:pPr>
      <w:r>
        <w:rPr>
          <w:rFonts w:hint="eastAsia" w:ascii="仿宋_GB2312" w:hAnsi="仿宋_GB2312" w:eastAsia="仿宋_GB2312" w:cs="仿宋_GB2312"/>
          <w:b w:val="0"/>
          <w:bCs w:val="0"/>
          <w:sz w:val="24"/>
          <w:szCs w:val="24"/>
          <w:lang w:val="en-US" w:eastAsia="zh-CN"/>
        </w:rPr>
        <w:t>附件三：货站车辆驾驶业务质量监督及绩效考核办法</w:t>
      </w:r>
    </w:p>
    <w:p>
      <w:pPr>
        <w:pStyle w:val="2"/>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color w:val="auto"/>
          <w:sz w:val="24"/>
          <w:szCs w:val="24"/>
          <w:lang w:val="en-US" w:eastAsia="zh-CN"/>
        </w:rPr>
      </w:pPr>
      <w:r>
        <w:rPr>
          <w:rFonts w:hint="eastAsia" w:ascii="仿宋_GB2312" w:hAnsi="仿宋_GB2312" w:eastAsia="仿宋_GB2312" w:cs="仿宋_GB2312"/>
          <w:b w:val="0"/>
          <w:bCs w:val="0"/>
          <w:color w:val="auto"/>
          <w:sz w:val="24"/>
          <w:szCs w:val="24"/>
          <w:lang w:val="en-US" w:eastAsia="zh-CN"/>
        </w:rPr>
        <w:t>附件</w:t>
      </w:r>
      <w:r>
        <w:rPr>
          <w:rFonts w:hint="eastAsia" w:hAnsi="仿宋_GB2312" w:cs="仿宋_GB2312"/>
          <w:b w:val="0"/>
          <w:bCs w:val="0"/>
          <w:color w:val="auto"/>
          <w:sz w:val="24"/>
          <w:szCs w:val="24"/>
          <w:lang w:val="en-US" w:eastAsia="zh-CN"/>
        </w:rPr>
        <w:t>四</w:t>
      </w:r>
      <w:r>
        <w:rPr>
          <w:rFonts w:hint="eastAsia" w:ascii="仿宋_GB2312" w:hAnsi="仿宋_GB2312" w:eastAsia="仿宋_GB2312" w:cs="仿宋_GB2312"/>
          <w:b w:val="0"/>
          <w:bCs w:val="0"/>
          <w:color w:val="auto"/>
          <w:sz w:val="24"/>
          <w:szCs w:val="24"/>
          <w:lang w:val="en-US" w:eastAsia="zh-CN"/>
        </w:rPr>
        <w:t>：外包业务监督检查扣减报告表</w:t>
      </w:r>
    </w:p>
    <w:p>
      <w:pPr>
        <w:pStyle w:val="2"/>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color w:val="auto"/>
          <w:sz w:val="24"/>
          <w:szCs w:val="24"/>
          <w:lang w:val="en-US" w:eastAsia="zh-CN"/>
        </w:rPr>
      </w:pPr>
      <w:r>
        <w:rPr>
          <w:rFonts w:hint="eastAsia" w:ascii="仿宋_GB2312" w:hAnsi="仿宋_GB2312" w:eastAsia="仿宋_GB2312" w:cs="仿宋_GB2312"/>
          <w:b w:val="0"/>
          <w:bCs w:val="0"/>
          <w:color w:val="auto"/>
          <w:sz w:val="24"/>
          <w:szCs w:val="24"/>
          <w:lang w:val="en-US" w:eastAsia="zh-CN"/>
        </w:rPr>
        <w:t>附件</w:t>
      </w:r>
      <w:r>
        <w:rPr>
          <w:rFonts w:hint="eastAsia" w:hAnsi="仿宋_GB2312" w:cs="仿宋_GB2312"/>
          <w:b w:val="0"/>
          <w:bCs w:val="0"/>
          <w:color w:val="auto"/>
          <w:sz w:val="24"/>
          <w:szCs w:val="24"/>
          <w:lang w:val="en-US" w:eastAsia="zh-CN"/>
        </w:rPr>
        <w:t>五</w:t>
      </w:r>
      <w:r>
        <w:rPr>
          <w:rFonts w:hint="eastAsia" w:ascii="仿宋_GB2312" w:hAnsi="仿宋_GB2312" w:eastAsia="仿宋_GB2312" w:cs="仿宋_GB2312"/>
          <w:b w:val="0"/>
          <w:bCs w:val="0"/>
          <w:color w:val="auto"/>
          <w:sz w:val="24"/>
          <w:szCs w:val="24"/>
          <w:lang w:val="en-US" w:eastAsia="zh-CN"/>
        </w:rPr>
        <w:t>：外包业务整改通知及反馈表</w:t>
      </w:r>
    </w:p>
    <w:p>
      <w:pPr>
        <w:pStyle w:val="2"/>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color w:val="auto"/>
          <w:sz w:val="24"/>
          <w:szCs w:val="24"/>
          <w:lang w:val="en-US" w:eastAsia="zh-CN"/>
        </w:rPr>
      </w:pPr>
      <w:r>
        <w:rPr>
          <w:rFonts w:hint="eastAsia" w:ascii="仿宋_GB2312" w:hAnsi="仿宋_GB2312" w:eastAsia="仿宋_GB2312" w:cs="仿宋_GB2312"/>
          <w:b w:val="0"/>
          <w:bCs w:val="0"/>
          <w:color w:val="auto"/>
          <w:sz w:val="24"/>
          <w:szCs w:val="24"/>
          <w:lang w:val="en-US" w:eastAsia="zh-CN"/>
        </w:rPr>
        <w:t>附件</w:t>
      </w:r>
      <w:r>
        <w:rPr>
          <w:rFonts w:hint="eastAsia" w:hAnsi="仿宋_GB2312" w:cs="仿宋_GB2312"/>
          <w:b w:val="0"/>
          <w:bCs w:val="0"/>
          <w:color w:val="auto"/>
          <w:sz w:val="24"/>
          <w:szCs w:val="24"/>
          <w:lang w:val="en-US" w:eastAsia="zh-CN"/>
        </w:rPr>
        <w:t>六</w:t>
      </w:r>
      <w:r>
        <w:rPr>
          <w:rFonts w:hint="eastAsia" w:ascii="仿宋_GB2312" w:hAnsi="仿宋_GB2312" w:eastAsia="仿宋_GB2312" w:cs="仿宋_GB2312"/>
          <w:b w:val="0"/>
          <w:bCs w:val="0"/>
          <w:color w:val="auto"/>
          <w:sz w:val="24"/>
          <w:szCs w:val="24"/>
          <w:lang w:val="en-US" w:eastAsia="zh-CN"/>
        </w:rPr>
        <w:t>：外包业务绩效考核扣减及承包费汇总表</w:t>
      </w:r>
    </w:p>
    <w:p>
      <w:pPr>
        <w:pStyle w:val="2"/>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color w:val="auto"/>
          <w:sz w:val="24"/>
          <w:szCs w:val="24"/>
          <w:lang w:val="en-US" w:eastAsia="zh-CN"/>
        </w:rPr>
      </w:pPr>
      <w:r>
        <w:rPr>
          <w:rFonts w:hint="eastAsia" w:ascii="仿宋_GB2312" w:hAnsi="仿宋_GB2312" w:eastAsia="仿宋_GB2312" w:cs="仿宋_GB2312"/>
          <w:b w:val="0"/>
          <w:bCs w:val="0"/>
          <w:color w:val="auto"/>
          <w:sz w:val="24"/>
          <w:szCs w:val="24"/>
          <w:lang w:val="en-US" w:eastAsia="zh-CN"/>
        </w:rPr>
        <w:t>附件</w:t>
      </w:r>
      <w:r>
        <w:rPr>
          <w:rFonts w:hint="eastAsia" w:hAnsi="仿宋_GB2312" w:cs="仿宋_GB2312"/>
          <w:b w:val="0"/>
          <w:bCs w:val="0"/>
          <w:color w:val="auto"/>
          <w:sz w:val="24"/>
          <w:szCs w:val="24"/>
          <w:lang w:val="en-US" w:eastAsia="zh-CN"/>
        </w:rPr>
        <w:t>七</w:t>
      </w:r>
      <w:r>
        <w:rPr>
          <w:rFonts w:hint="eastAsia" w:ascii="仿宋_GB2312" w:hAnsi="仿宋_GB2312" w:eastAsia="仿宋_GB2312" w:cs="仿宋_GB2312"/>
          <w:b w:val="0"/>
          <w:bCs w:val="0"/>
          <w:color w:val="auto"/>
          <w:sz w:val="24"/>
          <w:szCs w:val="24"/>
          <w:lang w:val="en-US" w:eastAsia="zh-CN"/>
        </w:rPr>
        <w:t>：安保协议</w:t>
      </w:r>
    </w:p>
    <w:p>
      <w:pPr>
        <w:pStyle w:val="2"/>
        <w:keepNext w:val="0"/>
        <w:keepLines w:val="0"/>
        <w:pageBreakBefore w:val="0"/>
        <w:widowControl w:val="0"/>
        <w:kinsoku/>
        <w:wordWrap/>
        <w:overflowPunct/>
        <w:topLinePunct w:val="0"/>
        <w:bidi w:val="0"/>
        <w:snapToGrid/>
        <w:spacing w:line="460" w:lineRule="exact"/>
        <w:ind w:firstLine="480" w:firstLineChars="200"/>
        <w:textAlignment w:val="auto"/>
        <w:rPr>
          <w:rFonts w:hint="eastAsia" w:ascii="仿宋_GB2312" w:hAnsi="仿宋_GB2312" w:eastAsia="仿宋_GB2312" w:cs="仿宋_GB2312"/>
          <w:b w:val="0"/>
          <w:bCs w:val="0"/>
          <w:color w:val="auto"/>
          <w:sz w:val="24"/>
          <w:szCs w:val="24"/>
          <w:lang w:val="en-US" w:eastAsia="zh-CN"/>
        </w:rPr>
      </w:pPr>
      <w:r>
        <w:rPr>
          <w:rFonts w:hint="eastAsia" w:ascii="仿宋_GB2312" w:hAnsi="仿宋_GB2312" w:eastAsia="仿宋_GB2312" w:cs="仿宋_GB2312"/>
          <w:b w:val="0"/>
          <w:bCs w:val="0"/>
          <w:color w:val="auto"/>
          <w:sz w:val="24"/>
          <w:szCs w:val="24"/>
          <w:lang w:val="en-US" w:eastAsia="zh-CN"/>
        </w:rPr>
        <w:t>附件</w:t>
      </w:r>
      <w:r>
        <w:rPr>
          <w:rFonts w:hint="eastAsia" w:hAnsi="仿宋_GB2312" w:cs="仿宋_GB2312"/>
          <w:b w:val="0"/>
          <w:bCs w:val="0"/>
          <w:color w:val="auto"/>
          <w:sz w:val="24"/>
          <w:szCs w:val="24"/>
          <w:lang w:val="en-US" w:eastAsia="zh-CN"/>
        </w:rPr>
        <w:t>八</w:t>
      </w:r>
      <w:r>
        <w:rPr>
          <w:rFonts w:hint="eastAsia" w:ascii="仿宋_GB2312" w:hAnsi="仿宋_GB2312" w:eastAsia="仿宋_GB2312" w:cs="仿宋_GB2312"/>
          <w:b w:val="0"/>
          <w:bCs w:val="0"/>
          <w:color w:val="auto"/>
          <w:sz w:val="24"/>
          <w:szCs w:val="24"/>
          <w:lang w:val="en-US" w:eastAsia="zh-CN"/>
        </w:rPr>
        <w:t>：新冠肺炎疫情防控责任协议书</w:t>
      </w:r>
    </w:p>
    <w:p>
      <w:pPr>
        <w:keepNext w:val="0"/>
        <w:keepLines w:val="0"/>
        <w:pageBreakBefore w:val="0"/>
        <w:widowControl w:val="0"/>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rPr>
      </w:pPr>
    </w:p>
    <w:p>
      <w:pPr>
        <w:pStyle w:val="2"/>
        <w:rPr>
          <w:rFonts w:hint="eastAsia"/>
        </w:rPr>
      </w:pPr>
    </w:p>
    <w:p>
      <w:pPr>
        <w:keepNext w:val="0"/>
        <w:keepLines w:val="0"/>
        <w:pageBreakBefore w:val="0"/>
        <w:widowControl w:val="0"/>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甲方：重庆</w:t>
      </w:r>
      <w:r>
        <w:rPr>
          <w:rFonts w:hint="eastAsia" w:ascii="仿宋_GB2312" w:hAnsi="仿宋_GB2312" w:eastAsia="仿宋_GB2312" w:cs="仿宋_GB2312"/>
          <w:sz w:val="24"/>
          <w:szCs w:val="24"/>
          <w:lang w:eastAsia="zh-CN"/>
        </w:rPr>
        <w:t>空港航空地面服务</w:t>
      </w:r>
      <w:r>
        <w:rPr>
          <w:rFonts w:hint="eastAsia" w:ascii="仿宋_GB2312" w:hAnsi="仿宋_GB2312" w:eastAsia="仿宋_GB2312" w:cs="仿宋_GB2312"/>
          <w:sz w:val="24"/>
          <w:szCs w:val="24"/>
        </w:rPr>
        <w:t>有限公司</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乙方：</w:t>
      </w:r>
      <w:r>
        <w:rPr>
          <w:rFonts w:hint="eastAsia" w:ascii="仿宋_GB2312" w:hAnsi="仿宋_GB2312" w:eastAsia="仿宋_GB2312" w:cs="仿宋_GB2312"/>
          <w:sz w:val="24"/>
          <w:szCs w:val="24"/>
          <w:lang w:val="en-US" w:eastAsia="zh-CN"/>
        </w:rPr>
        <w:t xml:space="preserve"> </w:t>
      </w:r>
    </w:p>
    <w:p>
      <w:pPr>
        <w:keepNext w:val="0"/>
        <w:keepLines w:val="0"/>
        <w:pageBreakBefore w:val="0"/>
        <w:widowControl w:val="0"/>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（盖章）                               （盖章）</w:t>
      </w:r>
    </w:p>
    <w:p>
      <w:pPr>
        <w:keepNext w:val="0"/>
        <w:keepLines w:val="0"/>
        <w:pageBreakBefore w:val="0"/>
        <w:widowControl w:val="0"/>
        <w:tabs>
          <w:tab w:val="left" w:pos="7560"/>
        </w:tabs>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eastAsia="zh-CN"/>
        </w:rPr>
        <w:t>法定代表人</w:t>
      </w:r>
      <w:r>
        <w:rPr>
          <w:rFonts w:hint="eastAsia" w:ascii="仿宋_GB2312" w:hAnsi="仿宋_GB2312" w:eastAsia="仿宋_GB2312" w:cs="仿宋_GB2312"/>
          <w:sz w:val="24"/>
          <w:szCs w:val="24"/>
          <w:lang w:val="en-US" w:eastAsia="zh-CN"/>
        </w:rPr>
        <w:t xml:space="preserve">                              法定代表人</w:t>
      </w:r>
    </w:p>
    <w:p>
      <w:pPr>
        <w:keepNext w:val="0"/>
        <w:keepLines w:val="0"/>
        <w:pageBreakBefore w:val="0"/>
        <w:widowControl w:val="0"/>
        <w:tabs>
          <w:tab w:val="left" w:pos="7560"/>
        </w:tabs>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或授权</w:t>
      </w:r>
      <w:r>
        <w:rPr>
          <w:rFonts w:hint="eastAsia" w:ascii="仿宋_GB2312" w:hAnsi="仿宋_GB2312" w:eastAsia="仿宋_GB2312" w:cs="仿宋_GB2312"/>
          <w:sz w:val="24"/>
          <w:szCs w:val="24"/>
        </w:rPr>
        <w:t>代表：（签</w:t>
      </w:r>
      <w:r>
        <w:rPr>
          <w:rFonts w:hint="eastAsia" w:ascii="仿宋_GB2312" w:hAnsi="仿宋_GB2312" w:eastAsia="仿宋_GB2312" w:cs="仿宋_GB2312"/>
          <w:sz w:val="24"/>
          <w:szCs w:val="24"/>
          <w:lang w:eastAsia="zh-CN"/>
        </w:rPr>
        <w:t>字</w:t>
      </w: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lang w:val="en-US" w:eastAsia="zh-CN"/>
        </w:rPr>
        <w:t xml:space="preserve">  或授权</w:t>
      </w:r>
      <w:r>
        <w:rPr>
          <w:rFonts w:hint="eastAsia" w:ascii="仿宋_GB2312" w:hAnsi="仿宋_GB2312" w:eastAsia="仿宋_GB2312" w:cs="仿宋_GB2312"/>
          <w:sz w:val="24"/>
          <w:szCs w:val="24"/>
        </w:rPr>
        <w:t>代表：（签</w:t>
      </w:r>
      <w:r>
        <w:rPr>
          <w:rFonts w:hint="eastAsia" w:ascii="仿宋_GB2312" w:hAnsi="仿宋_GB2312" w:eastAsia="仿宋_GB2312" w:cs="仿宋_GB2312"/>
          <w:sz w:val="24"/>
          <w:szCs w:val="24"/>
          <w:lang w:eastAsia="zh-CN"/>
        </w:rPr>
        <w:t>字</w:t>
      </w:r>
      <w:r>
        <w:rPr>
          <w:rFonts w:hint="eastAsia" w:ascii="仿宋_GB2312" w:hAnsi="仿宋_GB2312" w:eastAsia="仿宋_GB2312" w:cs="仿宋_GB2312"/>
          <w:sz w:val="24"/>
          <w:szCs w:val="24"/>
        </w:rPr>
        <w:t>）</w:t>
      </w:r>
    </w:p>
    <w:p>
      <w:pPr>
        <w:keepNext w:val="0"/>
        <w:keepLines w:val="0"/>
        <w:pageBreakBefore w:val="0"/>
        <w:widowControl w:val="0"/>
        <w:tabs>
          <w:tab w:val="left" w:pos="7686"/>
        </w:tabs>
        <w:kinsoku/>
        <w:wordWrap/>
        <w:overflowPunct/>
        <w:topLinePunct w:val="0"/>
        <w:bidi w:val="0"/>
        <w:snapToGrid w:val="0"/>
        <w:spacing w:line="460" w:lineRule="exact"/>
        <w:jc w:val="both"/>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签订日期:</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签订日期</w:t>
      </w:r>
      <w:r>
        <w:rPr>
          <w:rFonts w:hint="eastAsia" w:ascii="仿宋_GB2312" w:hAnsi="仿宋_GB2312" w:eastAsia="仿宋_GB2312" w:cs="仿宋_GB2312"/>
          <w:sz w:val="24"/>
          <w:szCs w:val="24"/>
          <w:lang w:eastAsia="zh-CN"/>
        </w:rPr>
        <w:t>：</w:t>
      </w:r>
    </w:p>
    <w:p>
      <w:pPr>
        <w:keepNext w:val="0"/>
        <w:keepLines w:val="0"/>
        <w:pageBreakBefore w:val="0"/>
        <w:widowControl w:val="0"/>
        <w:kinsoku/>
        <w:wordWrap/>
        <w:overflowPunct/>
        <w:topLinePunct w:val="0"/>
        <w:bidi w:val="0"/>
        <w:spacing w:line="460" w:lineRule="exact"/>
        <w:textAlignment w:val="auto"/>
        <w:rPr>
          <w:rFonts w:hint="eastAsia" w:ascii="仿宋_GB2312" w:hAnsi="仿宋_GB2312" w:eastAsia="仿宋_GB2312" w:cs="仿宋_GB2312"/>
          <w:b/>
          <w:bCs/>
          <w:sz w:val="24"/>
          <w:szCs w:val="24"/>
          <w:lang w:val="en-US" w:eastAsia="zh-CN"/>
        </w:rPr>
      </w:pP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附件一：车辆驾驶业务操作标准及流程</w:t>
      </w:r>
    </w:p>
    <w:p>
      <w:pPr>
        <w:keepNext w:val="0"/>
        <w:keepLines w:val="0"/>
        <w:pageBreakBefore w:val="0"/>
        <w:widowControl w:val="0"/>
        <w:kinsoku/>
        <w:wordWrap/>
        <w:overflowPunct/>
        <w:topLinePunct w:val="0"/>
        <w:autoSpaceDE/>
        <w:autoSpaceDN/>
        <w:bidi w:val="0"/>
        <w:adjustRightInd/>
        <w:snapToGrid/>
        <w:spacing w:before="157" w:beforeLines="50" w:after="157" w:afterLines="50" w:line="460" w:lineRule="exact"/>
        <w:ind w:firstLine="562" w:firstLineChars="200"/>
        <w:jc w:val="center"/>
        <w:textAlignment w:val="auto"/>
        <w:outlineLvl w:val="9"/>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国际货站车辆驾驶业务操作标准及流程</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一、承包方：指在重庆空港航空地面服务有限公司国际货运部航空货运国际货站提供驾驶员服务的代理方，以下简称承包方。</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二、国际货运部：作为合同甲方授权的管理部门，负责对承包方业务操作进行监管（承包业务监管部门），国际货运部负责对承包方提供的驾驶员进行作业指导、安排，有权对承包方驾驶员的操作质量、工作纪律、职业操守、违章违纪进行纠偏、检查、考核或以书面形式上报公司承包方员工发生的超越本部门处理权限范畴的异常情况，有权对货运库区装卸搬运业务以及驾驶业务操作标准及流程根据实际情况进行调整。</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三、承包方基本职责</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（一）出港货邮保障标准</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1、协助完成货邮转运工作：按照出发货邮协理员的指令，驾驶牵引车将出港库房内的整板货物转运至指定位置存放。</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协助完成组板、装箱、收运、查验工作：装卸工在进行组板、装箱工作时，发现有超大超重货物不能进行人工配装或人工配装效率低下时，由驾驶员驾驶叉车协助完成组板和装箱工作。按照收货员的指令，对收运的出港货物进行卸车，并将货物从货台叉至安检机。</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协助完成托板、托架等设备的整理、摆放和调运工作：做好宽体飞机集装箱、板在收货前的准备工作，按收货和配货的要求将相应数量的集装设备用叉车叉到托架上；驾驶车辆将准备好的集装设备按装卸员或配货员要求，摆放到指定位置；驾驶车辆将托板、托架等设备调运至指定位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4、驾驶车辆完成货物复磅工作：按照出发货邮协理员的指令，将预配好的整板货物拉至复重岗，听从复核员指挥，配合完成复磅工作。</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（二）进港货邮保障标准</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协助完成进港货邮、国际快件、中转货物的分拣、理货：进港货邮、国际快件、中转货物到达货站后，按照装卸员指令，将进港货邮、国际快件、中转货物等货物拉入相应分拣区域；在装卸员分拆超大超重货物时，驾驶叉车协助分拣、理货。</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协助完成进港货邮、国际快件、中转货物的入库工作：进港货邮理货完毕后，在装卸员将网子搭好并固定好后，在装卸员指挥下连接好需入库的平板，将进港货邮拉入指定位置存放；国际快件理货完毕后，协助装卸员完成入库工作；中转货物理货完毕后，按中转员的指令，将货物转运到指定位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协助完成进港库房及待装区内的托架、托板等设备的整理、摆放和转运工作：做好宽体飞机集装设备的整理工作，按装卸员的要求将集装板、箱用叉车叉到指定位置存放；驾驶车辆将整理好的集装设备摆放到指定位置；驾驶车辆将托板、托架等设备调运至指定位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4、按照装卸员指令，驾驶车辆将进港货库及待装区内的空拖斗、空托板等设备拉至出港待装区指定位置，以便出港库房使用。</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驾驶车辆协助完成货物、邮件的交付工作：在进港库房内，按照装卸员指令，将要发给货主的进港货物拉到发货口卷帘门处，协助进行货物、邮件的交付工作；在货运平台上，按照装卸员或发货员的指令，将要发给货主的进港货物拉到指定位置交付货主；与装卸员配合，将收集整理好的空托板、托盘，拉运至指定位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（三）转运工作</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1、进港货物到达货运库房后，在装卸员配合下连接好托板，驾驶牵引车按要求将整机交付货物依次拉运至指定区域。</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2、将卸载完毕的载具整理好，驾驶牵引车将其拉运至指定位置摆放。</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3、将适量的空托板转运至库房，按装卸员的指令，完成库房内配装货物的复磅工作，将复磅无误的货物转运至指定位置。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（四）货库驾驶员管理规定</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1、任职资格：驾驶员必须持有重庆机场集团有限公司飞行区管理部颁发的内场驾驶执照；叉车驾驶员需持有叉车操作证；牵引车驾驶员需持有牵引车驾驶证。</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2、驾驶车辆时的穿戴：佩戴合适的个人防护用具，着工作服。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3、驾驶员上岗须知：思想不集中，饮酒、服用国家管制的精神药品或者麻醉药品，患有妨碍安全驾驶机动车的疾病或者过度疲劳影响安全驾驶的，不得驾驶车辆。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4、工作场所的安全：确定工作环境处于安全状况，包括良好的路况和充足的照明。</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5、保持车辆特别是驾驶室清洁：驾驶室里不要放工具或其他物品，以免妨碍操纵杆或踏板的动作。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6、不得涂改、伪造、挪用、转借或骗取车辆号牌、驾驶证、行驶证、叉车证、车辆通行证。</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7、不得使用涂改、伪造、挪用、骗取或失效的车辆号牌、驾驶证、行驶证、叉车证、车辆通行证。</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8、每月定期参加组织的驾驶员安全学习。</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（五）牵引车操作规范</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1、驾驶牵引车时须随身携带民用机场航空器活动区机动车驾驶证；</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发动牵引车之前，应当对牵引车的安全技术性能进行检查，不得驾驶安全设施不全或机件不符合技术标准等具有安全隐患的牵引车。检查牵引车各仪表、拖挂、插销等有关部件是否正常，检查轮胎气压是否充足，确认安全可靠后方可出车；</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3、启动牵引车时，必须同时开启黄色警示灯；</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4、牵引车作业时，检查平板车、集装箱拖板的各部件连接螺栓、拖钩、插销是否安全可靠，货物是否堆码安全；</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5、牵引车在进、出货库及在货库内行驶时，限速10km/h；应按机场规定的道路行驶，不得违章操作；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6、牵引的平板车、集装箱拖板上不得乘载人员；</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7、平板车上的货物邮件行李应堆码整齐，稳定可靠，网好安全防护网，高度不超过1.5米，否则不得牵引；</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8、注意转弯半径，尽量减少急刹车，保证货物邮件和人员的安全；</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9、牵引车在货台上及货库内每次牵引大集装箱拖车、小集装箱拖车或平板车不得超过3个；牵引车在待装区每次牵引小集装箱拖车或平板车不得超过5个,大集装箱拖车不得超过3个；</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10、牵引车工作完毕后，应在指定停车位规范停车，拉好手制动、关好门窗、取下启动钥匙带走，并按规定放好轮档；</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11、在挂板、取板及宽体机作业时，保持车窗适度开启，便于和装卸人员沟通；牵引车司机必须当面与装卸人员确认后，方能启动车辆；</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12、牵引车维护：每台牵引车应由专人负责，遵照使用指南进行每日检修、加油和定期检修,并做好实名台账，做到谁检查谁签字，当牵引车出现损坏或故障时，停止操作并对牵引车进行维修。</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（六）叉车操作规范</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1、驾驶叉车时须随身携带民用机场航空器活动区机动车驾驶证，驾驶员需持叉车证。</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2、发动叉车之前，应当对叉车的安全技术性能进行检查，不得驾驶安全设施不全或机件不符合技术标准等具有安全隐患的叉车。</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发动叉车之前，一定要确保叉车周围无人；发动叉车时，必须同时开启黄色警示灯；当叉车叉货作业时，应有装卸工负责引导；搬运超长、超宽货物时，驾驶要特别小心，减速行驶，慢速转向和升降；注意货物平衡，同时尽量放低货物；配备适当的加长加宽货叉架；使用尺寸和强度均合适的托盘来承载货物；确保货物固定在托盘上，并具有合适的形状。货物超宽时，行驶时要注意避免碰上路边两侧的物体。并必须有两名装卸工全程引导。</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4、上、下叉车时，禁止跳上、跳下，禁止手抓方向盘或操纵杆，须手抓把手，脚踩在踏板上。</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5、禁止叉车乘人：严禁货叉、托盘上带人。不允许除司机以外的人乘车；不得用人来代替平衡重。</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6、禁止野蛮驾驶：不得在踩下加速踏板的情况下，打开钥匙开关；不得突然起动、制动或转向，以防造成货物堕落叉车倾翻；不得辗过散落在路面上的挡板或障碍物；不得驶入软地面；在潮湿、滑溜、不平或倾斜等路面上行驶时，应降低行驶速度；确保门架与屋顶以及出入口之间具有一定的间隙。</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7、禁止货叉升高时行驶：货叉升起时，不得驾驶叉车，以防造成货物堕落、叉车倾翻。</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8、不得靠路边行驶：确保叉车与路边或平台边缘有足够的安全距离，以防止叉车跌落。</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9、禁止超载工作：叉车只可以搬运重量在额定起重量以下的货物。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10、禁止偏载堆垛：叉车堆垛时，必须确保货物摆放的安全和稳固，货叉要准确地插入托盘，同时使货物重心与叉车中心保持一致，以防止货物堕落、叉车倾翻。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11、禁止货物超高：使用叉车时，货物高度不能超过挡货架。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12、禁止用货叉尖工作：不得用货叉尖挤推货物或提升货物，当用货叉尖挤推货物或提升货物时，可能造成叉车或货物的抖动。</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13、禁止推拉操作：不能用叉车推拉货物，否则货物有可能会损坏或坠落。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14、叉车行驶时，门架要后倾到位使货物稳定；货叉和地面的距离应保持在15-20厘米，行驶速度不超过10km/h。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15、操作叉车时，请将身体置于护顶架之下，不允许将身体任何部位伸出车体之外；禁止身体任何部位进入门架机构或门架和车身之间；操纵杆应按正确的操作位置操作；当操纵杆钩住身体或衣服时，门架有可能动作，手、脚有受伤的危险。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16、禁止突然操纵手柄：无论在满载或空载状态下，都要慢速操纵液压控制手柄；货叉位于高位时，如果突然操纵手柄，会造成货物堕落或叉车倾翻的危险；不要急停、急降货架。 </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17、门架前倾时，货架禁止上升：当起升货物或开动叉车前，应将门架后倾到位，以稳定货物；叉货状态下，门架不可前倾；升降货物时，应先停车；叉车处于倾斜状态时，不得装卸货物。</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18、离开叉车前：门架稍前倾，货叉自然放下，货叉如果不降至地面，有绊到和伤害身体的危险；方向手柄放在空档位置；拉上停车制动手柄；关闭钥匙开关并取下钥匙，下车放轮挡。</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19、在指定的场所停车：停车处必须有足够的强度，并放轮挡，不得妨碍交通安全；不得在消防栓附近和影响消防通道的地方停车；禁止在有易燃物的地方或附近停车；不能把车停在斜坡上。</w:t>
      </w:r>
    </w:p>
    <w:p>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outlineLvl w:val="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20、叉车维护：每台叉车应由专人负责，遵照使用指南进行每天充电、检修及定期检修,并做好实名台账，做到谁检查谁签字，当叉车有损坏或故障时，停止操作叉车进行维修。</w:t>
      </w: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p>
    <w:p>
      <w:pPr>
        <w:pStyle w:val="2"/>
        <w:rPr>
          <w:rFonts w:hint="eastAsia"/>
          <w:lang w:val="en-US" w:eastAsia="zh-CN"/>
        </w:rPr>
      </w:pPr>
    </w:p>
    <w:p>
      <w:pPr>
        <w:keepNext w:val="0"/>
        <w:keepLines w:val="0"/>
        <w:pageBreakBefore w:val="0"/>
        <w:widowControl w:val="0"/>
        <w:kinsoku/>
        <w:wordWrap/>
        <w:overflowPunct/>
        <w:topLinePunct w:val="0"/>
        <w:bidi w:val="0"/>
        <w:snapToGrid/>
        <w:spacing w:line="4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附件二：车辆驾驶业务管理规范</w:t>
      </w:r>
    </w:p>
    <w:p>
      <w:pPr>
        <w:keepNext w:val="0"/>
        <w:keepLines w:val="0"/>
        <w:pageBreakBefore w:val="0"/>
        <w:widowControl w:val="0"/>
        <w:kinsoku/>
        <w:wordWrap/>
        <w:overflowPunct/>
        <w:topLinePunct w:val="0"/>
        <w:autoSpaceDE/>
        <w:autoSpaceDN/>
        <w:bidi w:val="0"/>
        <w:adjustRightInd/>
        <w:snapToGrid/>
        <w:spacing w:before="157" w:beforeLines="50" w:after="157" w:afterLines="50" w:line="460" w:lineRule="exact"/>
        <w:ind w:left="0" w:firstLine="562" w:firstLineChars="200"/>
        <w:jc w:val="center"/>
        <w:textAlignment w:val="auto"/>
        <w:outlineLvl w:val="9"/>
        <w:rPr>
          <w:rFonts w:hint="eastAsia" w:ascii="仿宋_GB2312" w:hAnsi="仿宋_GB2312" w:eastAsia="仿宋_GB2312" w:cs="仿宋_GB2312"/>
          <w:color w:val="auto"/>
          <w:sz w:val="28"/>
          <w:szCs w:val="28"/>
        </w:rPr>
      </w:pPr>
      <w:r>
        <w:rPr>
          <w:rFonts w:hint="eastAsia" w:ascii="仿宋_GB2312" w:hAnsi="仿宋_GB2312" w:eastAsia="仿宋_GB2312" w:cs="仿宋_GB2312"/>
          <w:b/>
          <w:bCs/>
          <w:color w:val="auto"/>
          <w:sz w:val="28"/>
          <w:szCs w:val="28"/>
          <w:lang w:val="en-US" w:eastAsia="zh-CN"/>
        </w:rPr>
        <w:t>货站车辆驾驶业务</w:t>
      </w:r>
      <w:r>
        <w:rPr>
          <w:rFonts w:hint="eastAsia" w:ascii="仿宋_GB2312" w:hAnsi="仿宋_GB2312" w:eastAsia="仿宋_GB2312" w:cs="仿宋_GB2312"/>
          <w:b/>
          <w:bCs/>
          <w:color w:val="auto"/>
          <w:sz w:val="28"/>
          <w:szCs w:val="28"/>
        </w:rPr>
        <w:t>管理规范</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
          <w:bCs/>
          <w:color w:val="auto"/>
          <w:sz w:val="24"/>
          <w:szCs w:val="24"/>
        </w:rPr>
        <w:t>一、目的：</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color w:val="auto"/>
          <w:sz w:val="24"/>
          <w:szCs w:val="24"/>
        </w:rPr>
        <w:t>规范作业行为，确保</w:t>
      </w:r>
      <w:r>
        <w:rPr>
          <w:rFonts w:hint="eastAsia" w:ascii="仿宋_GB2312" w:hAnsi="仿宋_GB2312" w:eastAsia="仿宋_GB2312" w:cs="仿宋_GB2312"/>
          <w:color w:val="auto"/>
          <w:sz w:val="24"/>
          <w:szCs w:val="24"/>
          <w:lang w:val="en-US" w:eastAsia="zh-CN"/>
        </w:rPr>
        <w:t>货站车辆驾驶业务</w:t>
      </w:r>
      <w:r>
        <w:rPr>
          <w:rFonts w:hint="eastAsia" w:ascii="仿宋_GB2312" w:hAnsi="仿宋_GB2312" w:eastAsia="仿宋_GB2312" w:cs="仿宋_GB2312"/>
          <w:color w:val="auto"/>
          <w:sz w:val="24"/>
          <w:szCs w:val="24"/>
        </w:rPr>
        <w:t>运行安全和服务质量符合合</w:t>
      </w:r>
      <w:r>
        <w:rPr>
          <w:rFonts w:hint="eastAsia" w:ascii="仿宋_GB2312" w:hAnsi="仿宋_GB2312" w:eastAsia="仿宋_GB2312" w:cs="仿宋_GB2312"/>
          <w:sz w:val="24"/>
          <w:szCs w:val="24"/>
        </w:rPr>
        <w:t>同要求。</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二、人员管理</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1、乙方招录用工人员应遵守国家和地方法律法规；</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2、乙方招录使用人员应通过政审和背景调查，符合重庆机场公安机关要求标准，相关材料应向乙方及机场相关机构备案；</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3、乙方应对其工作人员进行从业所需的培训教育，使其达到从业岗位必备的素质要求；</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4、乙方工作人员应服装统一、佩戴相关通行证、标识、标牌，保持良好的作业风貌；</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5、具备良好的职业操守，遵纪守法，不得吃、拿、卡、要客户、严禁侵占机场内各种设施、设备、货件及内物；</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6、严格遵守劳动纪律，按时到岗，不脱岗、不早退，严格执行请销假制度；</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7、严格服</w:t>
      </w:r>
      <w:r>
        <w:rPr>
          <w:rFonts w:hint="eastAsia" w:ascii="仿宋_GB2312" w:hAnsi="仿宋_GB2312" w:eastAsia="仿宋_GB2312" w:cs="仿宋_GB2312"/>
          <w:sz w:val="24"/>
          <w:szCs w:val="24"/>
          <w:lang w:val="en-US" w:eastAsia="zh-CN"/>
        </w:rPr>
        <w:t>从国际货运</w:t>
      </w:r>
      <w:r>
        <w:rPr>
          <w:rFonts w:hint="eastAsia" w:ascii="仿宋_GB2312" w:hAnsi="仿宋_GB2312" w:eastAsia="仿宋_GB2312" w:cs="仿宋_GB2312"/>
          <w:sz w:val="24"/>
          <w:szCs w:val="24"/>
        </w:rPr>
        <w:t>部各队室、班组长、部门值班领导的生产任务和工作安排，有非议的，先执行后申诉，由承包方代表与</w:t>
      </w:r>
      <w:r>
        <w:rPr>
          <w:rFonts w:hint="eastAsia" w:ascii="仿宋_GB2312" w:hAnsi="仿宋_GB2312" w:eastAsia="仿宋_GB2312" w:cs="仿宋_GB2312"/>
          <w:sz w:val="24"/>
          <w:szCs w:val="24"/>
          <w:lang w:val="en-US" w:eastAsia="zh-CN"/>
        </w:rPr>
        <w:t>国际货运</w:t>
      </w:r>
      <w:r>
        <w:rPr>
          <w:rFonts w:hint="eastAsia" w:ascii="仿宋_GB2312" w:hAnsi="仿宋_GB2312" w:eastAsia="仿宋_GB2312" w:cs="仿宋_GB2312"/>
          <w:sz w:val="24"/>
          <w:szCs w:val="24"/>
        </w:rPr>
        <w:t>部代表进行协商；</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8、工作人员须无条件服从机场的安全工作及应急任务调遣；</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9、各种作业设施设备摆放有序、整齐；垃圾及时清理，现场干净整洁（含作业现场、办公室、休息间）；</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10、应配合机场及甲方致力于机场窗口形象的建设和服务质量的提升；</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11、自觉遵从甲方监管。</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三、通用安全规范</w:t>
      </w:r>
      <w:r>
        <w:rPr>
          <w:rFonts w:hint="eastAsia" w:ascii="仿宋_GB2312" w:hAnsi="仿宋_GB2312" w:eastAsia="仿宋_GB2312" w:cs="仿宋_GB2312"/>
          <w:sz w:val="24"/>
          <w:szCs w:val="24"/>
        </w:rPr>
        <w:t xml:space="preserve"> </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1、乙方需掌握所有人员的个人资料（含身份证件、无犯罪证明等），并随时提供给甲方检查；</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2、乙方人员通行证、车辆通行证不得丢失、转借、伪造、假冒、涂改；</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3、乙方不得容留、使用现行犯、在逃犯、犯罪嫌疑人，有犯罪前科等违法犯罪人员从事工作。在机场内的工作和生活区域，不得容留除工作人员以外的其他人员夜、住宿；</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4、乙方应爱护作业区域的设施、设备，不得损毁或擅自移动施工区域内的设施、设备、线路等；</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5、乙方人员、车辆应在指定的区域内进行作业，其人员、车辆、设备不得超出指定区域范围；</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6、操作人员都须经相应资质和安全培训和考核合格后上岗；</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7、根据甲方要求，乙方应确定安全负责人和专（兼）职安全员，并报甲方备案，协助甲方做好安全工作。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8、遵守各项管理规定，严禁违章、违规操作；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9、做好劳动保护，具备有效的人身安全作业防护措施，杜绝作业过程中发生人身伤害事故。在作业中，乙方责任原因发生的人身伤亡事故由乙方全部负责；</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10、具备有效的相关空防安全措施，确保其人员不发生机坪运行安全事件</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货运库区车辆驾驶安全事件</w:t>
      </w:r>
      <w:r>
        <w:rPr>
          <w:rFonts w:hint="eastAsia" w:ascii="仿宋_GB2312" w:hAnsi="仿宋_GB2312" w:eastAsia="仿宋_GB2312" w:cs="仿宋_GB2312"/>
          <w:sz w:val="24"/>
          <w:szCs w:val="24"/>
        </w:rPr>
        <w:t>及外来物隐患；</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操作车辆和特种设备的工作人员必须经过操作培训及考核，持证上岗。车辆设备应按规范操作、使用和保养维护，发现问题及时报修，严禁违章或“带病”使用，未取得相应《民用机场航空器活动区机动车驾驶证》的人员，不得动用机坪装卸生产车辆</w:t>
      </w:r>
      <w:r>
        <w:rPr>
          <w:rFonts w:hint="eastAsia" w:ascii="仿宋_GB2312" w:hAnsi="仿宋_GB2312" w:eastAsia="仿宋_GB2312" w:cs="仿宋_GB2312"/>
          <w:sz w:val="24"/>
          <w:szCs w:val="24"/>
          <w:lang w:val="en-US" w:eastAsia="zh-CN"/>
        </w:rPr>
        <w:t>及货运库区内特种车辆</w:t>
      </w:r>
      <w:r>
        <w:rPr>
          <w:rFonts w:hint="eastAsia" w:ascii="仿宋_GB2312" w:hAnsi="仿宋_GB2312" w:eastAsia="仿宋_GB2312" w:cs="仿宋_GB2312"/>
          <w:sz w:val="24"/>
          <w:szCs w:val="24"/>
        </w:rPr>
        <w:t>；</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12、具备有效的作业规范措施，确保不发生责任范围内的货邮行损坏事件；</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13、在</w:t>
      </w:r>
      <w:r>
        <w:rPr>
          <w:rFonts w:hint="eastAsia" w:ascii="仿宋_GB2312" w:hAnsi="仿宋_GB2312" w:eastAsia="仿宋_GB2312" w:cs="仿宋_GB2312"/>
          <w:sz w:val="24"/>
          <w:szCs w:val="24"/>
          <w:lang w:val="en-US" w:eastAsia="zh-CN"/>
        </w:rPr>
        <w:t>驾驶车辆</w:t>
      </w:r>
      <w:r>
        <w:rPr>
          <w:rFonts w:hint="eastAsia" w:ascii="仿宋_GB2312" w:hAnsi="仿宋_GB2312" w:eastAsia="仿宋_GB2312" w:cs="仿宋_GB2312"/>
          <w:sz w:val="24"/>
          <w:szCs w:val="24"/>
        </w:rPr>
        <w:t>装卸过程中，发现货物任何异常，如破损、渗漏、冒烟、异味、件数不符、标记不清等现象，立即报告班组长、</w:t>
      </w:r>
      <w:r>
        <w:rPr>
          <w:rFonts w:hint="eastAsia" w:ascii="仿宋_GB2312" w:hAnsi="仿宋_GB2312" w:eastAsia="仿宋_GB2312" w:cs="仿宋_GB2312"/>
          <w:sz w:val="24"/>
          <w:szCs w:val="24"/>
          <w:lang w:val="en-US" w:eastAsia="zh-CN"/>
        </w:rPr>
        <w:t>值班主任</w:t>
      </w:r>
      <w:r>
        <w:rPr>
          <w:rFonts w:hint="eastAsia" w:ascii="仿宋_GB2312" w:hAnsi="仿宋_GB2312" w:eastAsia="仿宋_GB2312" w:cs="仿宋_GB2312"/>
          <w:sz w:val="24"/>
          <w:szCs w:val="24"/>
        </w:rPr>
        <w:t>；</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14、隔离区禁带打火机、火柴等火种和香烟，禁止携带易燃、易爆及其它危险、违禁物品；</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15、双方随今后运行情况给予补充的其他安全相关措施。</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sz w:val="24"/>
          <w:szCs w:val="24"/>
        </w:rPr>
      </w:pPr>
      <w:r>
        <w:rPr>
          <w:rFonts w:hint="eastAsia" w:ascii="仿宋_GB2312" w:hAnsi="仿宋_GB2312" w:eastAsia="仿宋_GB2312" w:cs="仿宋_GB2312"/>
          <w:b/>
          <w:bCs/>
          <w:sz w:val="24"/>
          <w:szCs w:val="24"/>
        </w:rPr>
        <w:t>四</w:t>
      </w:r>
      <w:r>
        <w:rPr>
          <w:rFonts w:hint="eastAsia" w:ascii="仿宋_GB2312" w:hAnsi="仿宋_GB2312" w:eastAsia="仿宋_GB2312" w:cs="仿宋_GB2312"/>
          <w:b/>
          <w:sz w:val="24"/>
          <w:szCs w:val="24"/>
        </w:rPr>
        <w:t>、空防安全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1、遵守重庆机场</w:t>
      </w:r>
      <w:r>
        <w:rPr>
          <w:rFonts w:hint="eastAsia" w:ascii="仿宋_GB2312" w:hAnsi="仿宋_GB2312" w:eastAsia="仿宋_GB2312" w:cs="仿宋_GB2312"/>
          <w:sz w:val="24"/>
          <w:szCs w:val="24"/>
          <w:lang w:val="en-US" w:eastAsia="zh-CN"/>
        </w:rPr>
        <w:t>隔离区管理规定、</w:t>
      </w:r>
      <w:r>
        <w:rPr>
          <w:rFonts w:hint="eastAsia" w:ascii="仿宋_GB2312" w:hAnsi="仿宋_GB2312" w:eastAsia="仿宋_GB2312" w:cs="仿宋_GB2312"/>
          <w:sz w:val="24"/>
          <w:szCs w:val="24"/>
        </w:rPr>
        <w:t>机坪管理规定和空防安全规定；</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2、作业人员、车辆进入隔离、飞行控制区，并佩（携）戴相应证件，从由甲方指定路线进入相应作业区域；</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3、进入隔离、飞行控制区的乙方人员、车辆应遵守重庆机场关于飞行控制区的管理规定；</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4、严禁使用影响空防安全、飞行安全的设施设备，严禁一切影响飞行安全的其他行为；</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6、通行证件管理</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（1）在机场控制（隔离）区内作业的工作人员等均须按规定取得机场安检站的相应的通行证件及区域许可以,需进出货库等限制区的须取得地服公司的出港货库通行区域许可；</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（2）乙方应有专门人员对办证人员进行政审及背景调查，对证件办理资料留档备查；</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（3）严格按照证件管理机构的要求办理、使用和管理证件；</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（4）严格遵守机场控制区管理规定，不得随意跨越证件限定的活动区域，确保空防安全，严格服从、配合机场安检人员、护卫人员和地服公司</w:t>
      </w:r>
      <w:r>
        <w:rPr>
          <w:rFonts w:hint="eastAsia" w:ascii="仿宋_GB2312" w:hAnsi="仿宋_GB2312" w:eastAsia="仿宋_GB2312" w:cs="仿宋_GB2312"/>
          <w:sz w:val="24"/>
          <w:szCs w:val="24"/>
          <w:lang w:val="en-US" w:eastAsia="zh-CN"/>
        </w:rPr>
        <w:t>安保</w:t>
      </w:r>
      <w:r>
        <w:rPr>
          <w:rFonts w:hint="eastAsia" w:ascii="仿宋_GB2312" w:hAnsi="仿宋_GB2312" w:eastAsia="仿宋_GB2312" w:cs="仿宋_GB2312"/>
          <w:sz w:val="24"/>
          <w:szCs w:val="24"/>
        </w:rPr>
        <w:t>人员的各项检查和证件管理。</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五、治安安全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1、制定本单位防盗、防抢、防爆炸等安全管理和措施，上报甲方，并接受甲方对所制订的安全制度、措施落实情况的监督、检查；</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2、易爆、剧毒等危险品及贵重物品，乙方应及时报告甲方，建立保管、存放、领取、看护此类物品的安全制度和措施，并上报甲方；</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乙方应加强对本单位人员的职业道德和法制教育，严禁发生打架斗殴、赌博、饮酒、聚众闹事、卖淫嫖娼、偷盗抢窃等违法犯罪行为。乙方应特别重视，防止并杜绝内部人员偷窃、侵占航空运输的货物、邮件、行李的行为，一经发现，从严处理；</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4、乙方应加强对本单位设施、设备、材料的管理，不得发生丢失、被盗的情况。</w:t>
      </w:r>
    </w:p>
    <w:p>
      <w:pPr>
        <w:keepNext w:val="0"/>
        <w:keepLines w:val="0"/>
        <w:pageBreakBefore w:val="0"/>
        <w:widowControl w:val="0"/>
        <w:tabs>
          <w:tab w:val="left" w:pos="5025"/>
        </w:tabs>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五、交通安全</w:t>
      </w:r>
      <w:r>
        <w:rPr>
          <w:rFonts w:hint="eastAsia" w:ascii="仿宋_GB2312" w:hAnsi="仿宋_GB2312" w:eastAsia="仿宋_GB2312" w:cs="仿宋_GB2312"/>
          <w:b/>
          <w:sz w:val="24"/>
          <w:szCs w:val="24"/>
        </w:rPr>
        <w:tab/>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1、一切参加作业的车辆，必须办理内场车辆通行证，不办理者不得进入内场工作；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2、参加作业的车辆，必须是经过车辆管理机关检验合格，号牌、行驶证齐全有效的车辆；</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3、车辆应按核定载重质量、载人数进行装载，严禁超载，严禁人货混装；</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4、车辆必须保持车况良好、车容整洁、制动器、喇叭、刮雨器、后视镜和灯光装置等必须保持齐全有效；</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5、车辆必须由经过车辆管理机构和机场相关部门考试合格，领取驾驶证的人员驾驶，驾驶人员所驾驶车辆必须跟驾驶证核准的车型相符；</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6、车辆在作业区域内，应自觉遵守交通规则，严禁发生与旅客车辆抢道，强行占车位等情况；</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7、车辆应在指定的区域地点停放，不得随意停放。停车时，应拉紧手刹，关好窗门；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8、车辆装载必须紧固安全，严禁超高、超长装载，所载货物不得洒落、飞扬、流漏；</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10、不得损毁、移动、变更作业区域内的交通安全标志、设施、设备；</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11、在作业区域内作业可能影响交通安全时，乙方应设置安全围栏、警示标志；</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12、车辆进出作业现场，必须严格遵守交通规则和机场的有关规定。</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13、证件不齐、过期的车辆，不得参与作业保障；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14、高空或危险作业时，需设立安全围栏或采取相应的安全措施。</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六、消防安全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服从重庆机场管理部门应急救援措施（预案）实施的指挥，需定期向员工培训基本消防安全知识，确保人人牢记报警电话，人人会使用消防灭火器，不发生因措施不利、教育培训不到位而造成的火警、火情或恶化火警、火情后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2、乙方人员在作业区（含材料储存地等与作业活动相关的区域）、隔离区、限制区及其它禁止烟火处不得吸烟和使用明火，进入存储易燃易爆危险物品、隔离区、限制区等严禁烟火的场所禁止携带香烟、火种；</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3、乙方对本单位使用的办公、库房等区域的消防工作负责。乙方针对工作环境、居住环境的特点经常性的对本单位工作人员进行消防教育；</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如遇特殊作业时应向甲方进行申请批准后进行实施，同时配备必要的消防设施及器材，做好防护措施。作业车辆应配备随车灭火器材。乙方所配备的灭火器材应功能完好、取用方便。每月对配备的灭火器材及时检验、维修一次，并做好日常维护保养工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5、易燃易爆物品存储使用处等消防重点部位，应设置防火标示，建立防火档案，确立防火责任人，建立巡查制度，制定灭火和应急疏散预案；</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6、在甲方工作区内不得擅自移动、损坏、移除、停用消防设施及器材，不得埋压、圈占消防栓，不得占用消防间距，不得堵塞消防通道，不得扰乱救火现场秩序，不得乱接电线，不得使用电炉等大功率电器；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7、乙方应服从甲方的监督检查及日常管理，对检查出的隐患及时整改，一般火险隐患不超过一天，重大隐患不超过二天，整改率应达到100%。对违反消防管理的行为逾期不整改的，可责令停工整改；</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8、国家对建筑、材料等方面有其他规定的，乙方应当遵守。</w:t>
      </w:r>
    </w:p>
    <w:p>
      <w:pPr>
        <w:keepNext w:val="0"/>
        <w:keepLines w:val="0"/>
        <w:pageBreakBefore w:val="0"/>
        <w:widowControl w:val="0"/>
        <w:kinsoku/>
        <w:wordWrap/>
        <w:overflowPunct/>
        <w:topLinePunct w:val="0"/>
        <w:bidi w:val="0"/>
        <w:adjustRightInd w:val="0"/>
        <w:snapToGrid w:val="0"/>
        <w:spacing w:line="460" w:lineRule="exact"/>
        <w:ind w:left="0" w:firstLine="482" w:firstLineChars="200"/>
        <w:textAlignment w:val="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lang w:val="en-US" w:eastAsia="zh-CN"/>
        </w:rPr>
        <w:t>七</w:t>
      </w:r>
      <w:r>
        <w:rPr>
          <w:rFonts w:hint="eastAsia" w:ascii="仿宋_GB2312" w:hAnsi="仿宋_GB2312" w:eastAsia="仿宋_GB2312" w:cs="仿宋_GB2312"/>
          <w:b/>
          <w:bCs/>
          <w:sz w:val="24"/>
          <w:szCs w:val="24"/>
        </w:rPr>
        <w:t>、危险品运输安全</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1、乙方按照甲方危险品培训大纲规定的标准完成与其职责相匹配的培训，经考试合格，取得《危险品运输训练合格证》，并取得岗位上岗证后，才有资格独立从事本岗位工作；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2、乙方按规定须持有《危险品运输训练合格证》的员工，在未获得相应类别证书以前，不得上岗独立操作；</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3、甲方监管部门及人力资源部对乙方《危险品运输训练合格证》持证情况进行日常动态监督管理，对不符合要求的情况进行相应绩效扣减并督促其立行整改；</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4、乙方根据甲方要求制定本单位的危险品应急预案；</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5、运输航空危险品操作必须遵守以下原则：</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（1）预先查看原则；</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（2）方向性原则；</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（3）轻拿轻放原则；</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（4）防止倾倒原则。</w:t>
      </w:r>
    </w:p>
    <w:p>
      <w:pPr>
        <w:keepNext w:val="0"/>
        <w:keepLines w:val="0"/>
        <w:pageBreakBefore w:val="0"/>
        <w:widowControl w:val="0"/>
        <w:kinsoku/>
        <w:wordWrap/>
        <w:overflowPunct/>
        <w:topLinePunct w:val="0"/>
        <w:bidi w:val="0"/>
        <w:adjustRightInd w:val="0"/>
        <w:snapToGrid w:val="0"/>
        <w:spacing w:line="46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（5）隔离存放原则。</w:t>
      </w:r>
    </w:p>
    <w:p>
      <w:pPr>
        <w:pStyle w:val="2"/>
        <w:keepNext w:val="0"/>
        <w:keepLines w:val="0"/>
        <w:pageBreakBefore w:val="0"/>
        <w:widowControl w:val="0"/>
        <w:kinsoku/>
        <w:wordWrap/>
        <w:overflowPunct/>
        <w:topLinePunct w:val="0"/>
        <w:bidi w:val="0"/>
        <w:spacing w:before="0" w:line="460" w:lineRule="exact"/>
        <w:ind w:left="0" w:firstLine="482" w:firstLineChars="200"/>
        <w:textAlignment w:val="auto"/>
        <w:rPr>
          <w:rFonts w:hint="eastAsia" w:ascii="仿宋_GB2312" w:hAnsi="仿宋_GB2312" w:eastAsia="仿宋_GB2312" w:cs="仿宋_GB2312"/>
          <w:sz w:val="24"/>
          <w:szCs w:val="24"/>
          <w:lang w:val="en-US" w:eastAsia="zh-CN"/>
        </w:rPr>
      </w:pPr>
    </w:p>
    <w:p>
      <w:pPr>
        <w:rPr>
          <w:rFonts w:hint="eastAsia"/>
          <w:lang w:val="en-US" w:eastAsia="zh-CN"/>
        </w:rPr>
      </w:pPr>
    </w:p>
    <w:p>
      <w:pPr>
        <w:keepNext w:val="0"/>
        <w:keepLines w:val="0"/>
        <w:pageBreakBefore w:val="0"/>
        <w:widowControl w:val="0"/>
        <w:kinsoku/>
        <w:wordWrap/>
        <w:overflowPunct/>
        <w:topLinePunct w:val="0"/>
        <w:bidi w:val="0"/>
        <w:spacing w:line="4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附件三：货站车辆驾驶业务质量监督及绩效考核办法</w:t>
      </w:r>
    </w:p>
    <w:p>
      <w:pPr>
        <w:keepNext w:val="0"/>
        <w:keepLines w:val="0"/>
        <w:pageBreakBefore w:val="0"/>
        <w:widowControl w:val="0"/>
        <w:kinsoku/>
        <w:wordWrap/>
        <w:overflowPunct/>
        <w:topLinePunct w:val="0"/>
        <w:autoSpaceDE/>
        <w:autoSpaceDN/>
        <w:bidi w:val="0"/>
        <w:adjustRightInd/>
        <w:snapToGrid/>
        <w:spacing w:before="157" w:beforeLines="50" w:after="157" w:afterLines="50" w:line="460" w:lineRule="exact"/>
        <w:ind w:firstLine="643" w:firstLineChars="200"/>
        <w:jc w:val="center"/>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color w:val="auto"/>
          <w:kern w:val="2"/>
          <w:sz w:val="32"/>
          <w:szCs w:val="32"/>
          <w:shd w:val="clear" w:color="auto" w:fill="auto"/>
          <w:lang w:val="en-US" w:eastAsia="zh-CN"/>
        </w:rPr>
        <w:t>货站车辆驾驶业务质量监督及绩效考核办法</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为确保乙方保障运行符合机场相关制度，顺利达成外包业务标准，特拟定以下质量监督及绩效考核办法：</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一、总则</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1、甲方对乙方的承包业务质量完成情况每月对应《业务绩效考核表》进行绩效考核，并以此为作为甲方支付乙方承包费的考量依据。</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2、甲方有权对乙方运行保障进行监督，提出整改要求。乙方有责任配合甲方监督检查，按要求实施整改。</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3、乙方未按要求完成整改、达不到质量要求或发生差错事故的，甲方有权对乙方进行绩效扣分处罚。</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二、考核办法</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（一）甲方对乙方绩效考核分日常检查和月度考评</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1、甲方日常检查通常包含“日常监督检查”和“日常运行监管”两个层面。</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（1）日常监督检查为定期或不定期抽检，由机场、地服公司运行标准部或监管部门（国际货运部）专门派人检查；</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（2）日常运行监管为监管部门或外包业务板块的对应或流程上、下游部门（岗位）对其工作的监督。</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（3）对于日常检查发现的问题采取口头协调、提醒、沟通；书面违规、整改通知等形式进行。</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（4）承包方违反相关规定或条款，甲方可按规定开据《外包业务监督检查扣减报告表》扣分。但轻微且初犯的可采取口头协调、提醒、沟通方式，承包方及时改正的，可不予绩效扣分。</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5）对于承包方运行管理中存在的问题，属经常的、长期的以及对安全、质量、运行影响较大或可能造成较大影响的，可开具《外包业务整改通知及反馈表》，并由监管部门持续跟进其改进。同时达到扣分条件的，开具《外包业务监督检查扣减报告表》，予以绩效扣分。</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2、月度考评由甲方指定人员（由监管部门为主体，外包业务流程上、下游部门相关人员组成考核小组）在每月初（5号前）对乙方上月承包业务完成质量进行评估、考核。</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（1）汇总当月日常检查开据《外包业务监督检查扣减报告表》，对应绩效考核表，进行汇总打分。</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（2）对应绩效考核表所有项目进行整体评估打分，填报《外包驾驶员绩效考核表》，测算扣分总额。</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（3）因乙方责任原因造成差错事故或投诉事件，致使甲方经济损失的，由乙方承担全部经济损失。</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（4）《外包驾驶员绩效考核表》经公司运行标准部、业务归口管理部门审核，提交公司分管领导审批。</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（二）由业务归口管理部门乙方的生产量和月绩效考核表计算、填制《外包业务绩效考核扣减及承包费汇总表》经相关部门审核和公司</w:t>
      </w:r>
      <w:r>
        <w:rPr>
          <w:rFonts w:hint="eastAsia" w:hAnsi="仿宋_GB2312" w:cs="仿宋_GB2312"/>
          <w:b w:val="0"/>
          <w:bCs w:val="0"/>
          <w:sz w:val="24"/>
          <w:szCs w:val="24"/>
          <w:lang w:val="en-US" w:eastAsia="zh-CN"/>
        </w:rPr>
        <w:t>董事长</w:t>
      </w:r>
      <w:r>
        <w:rPr>
          <w:rFonts w:hint="eastAsia" w:ascii="仿宋_GB2312" w:hAnsi="仿宋_GB2312" w:eastAsia="仿宋_GB2312" w:cs="仿宋_GB2312"/>
          <w:b w:val="0"/>
          <w:bCs w:val="0"/>
          <w:sz w:val="24"/>
          <w:szCs w:val="24"/>
          <w:lang w:val="en-US" w:eastAsia="zh-CN"/>
        </w:rPr>
        <w:t>审批后作为向乙方支付承包费依据。</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三、日常检查和绩效考核标准</w:t>
      </w:r>
    </w:p>
    <w:p>
      <w:pPr>
        <w:pStyle w:val="2"/>
        <w:keepNext w:val="0"/>
        <w:keepLines w:val="0"/>
        <w:pageBreakBefore w:val="0"/>
        <w:widowControl w:val="0"/>
        <w:kinsoku/>
        <w:wordWrap/>
        <w:overflowPunct/>
        <w:topLinePunct w:val="0"/>
        <w:bidi w:val="0"/>
        <w:snapToGrid/>
        <w:spacing w:before="0" w:line="460" w:lineRule="exact"/>
        <w:ind w:firstLine="480" w:firstLineChars="200"/>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通常情况下，甲方实施的监督检查、考评包含但不限于以下项目（因上级考核指标项或管控需要，在实施过程中经双方认可，可对考评项目及内容进行增减完善）：详见《驾驶员日/周/月绩效考核表》。</w:t>
      </w:r>
    </w:p>
    <w:p>
      <w:pPr>
        <w:keepNext w:val="0"/>
        <w:keepLines w:val="0"/>
        <w:pageBreakBefore w:val="0"/>
        <w:widowControl w:val="0"/>
        <w:kinsoku/>
        <w:wordWrap/>
        <w:overflowPunct/>
        <w:topLinePunct w:val="0"/>
        <w:bidi w:val="0"/>
        <w:spacing w:line="460" w:lineRule="exact"/>
        <w:textAlignment w:val="auto"/>
        <w:rPr>
          <w:rFonts w:hint="eastAsia" w:ascii="仿宋" w:hAnsi="仿宋" w:eastAsia="仿宋" w:cs="仿宋"/>
          <w:b/>
          <w:bCs/>
          <w:sz w:val="24"/>
          <w:szCs w:val="24"/>
          <w:lang w:val="en-US" w:eastAsia="zh-CN"/>
        </w:rPr>
      </w:pPr>
    </w:p>
    <w:p>
      <w:pPr>
        <w:rPr>
          <w:rFonts w:hint="eastAsia"/>
          <w:lang w:val="en-US" w:eastAsia="zh-CN"/>
        </w:rPr>
      </w:pPr>
    </w:p>
    <w:p>
      <w:pPr>
        <w:rPr>
          <w:rFonts w:hint="eastAsia"/>
          <w:lang w:val="en-US" w:eastAsia="zh-CN"/>
        </w:rPr>
        <w:sectPr>
          <w:headerReference r:id="rId5" w:type="default"/>
          <w:footerReference r:id="rId6" w:type="default"/>
          <w:pgSz w:w="11906" w:h="16838"/>
          <w:pgMar w:top="1440" w:right="1800" w:bottom="1440" w:left="1800" w:header="851" w:footer="992" w:gutter="0"/>
          <w:pgNumType w:fmt="decimal"/>
          <w:cols w:space="425" w:num="1"/>
          <w:docGrid w:type="lines" w:linePitch="312" w:charSpace="0"/>
        </w:sectPr>
      </w:pPr>
      <w:r>
        <w:rPr>
          <w:rFonts w:hint="eastAsia"/>
          <w:lang w:val="en-US" w:eastAsia="zh-CN"/>
        </w:rPr>
        <w:br w:type="page"/>
      </w:r>
    </w:p>
    <w:tbl>
      <w:tblPr>
        <w:tblStyle w:val="16"/>
        <w:tblW w:w="1608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25"/>
        <w:gridCol w:w="1102"/>
        <w:gridCol w:w="5920"/>
        <w:gridCol w:w="819"/>
        <w:gridCol w:w="236"/>
        <w:gridCol w:w="503"/>
        <w:gridCol w:w="1"/>
        <w:gridCol w:w="5000"/>
        <w:gridCol w:w="1"/>
        <w:gridCol w:w="227"/>
        <w:gridCol w:w="8"/>
        <w:gridCol w:w="1"/>
        <w:gridCol w:w="1233"/>
        <w:gridCol w:w="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679"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40"/>
                <w:szCs w:val="40"/>
                <w:u w:val="none"/>
                <w:lang w:val="en-US" w:eastAsia="zh-CN" w:bidi="ar"/>
              </w:rPr>
            </w:pPr>
          </w:p>
        </w:tc>
        <w:tc>
          <w:tcPr>
            <w:tcW w:w="13582" w:type="dxa"/>
            <w:gridSpan w:val="8"/>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40"/>
                <w:szCs w:val="40"/>
                <w:u w:val="none"/>
              </w:rPr>
            </w:pPr>
            <w:r>
              <w:rPr>
                <w:rFonts w:hint="eastAsia" w:asciiTheme="minorEastAsia" w:hAnsiTheme="minorEastAsia" w:eastAsiaTheme="minorEastAsia" w:cstheme="minorEastAsia"/>
                <w:b/>
                <w:bCs/>
                <w:i w:val="0"/>
                <w:iCs w:val="0"/>
                <w:color w:val="000000"/>
                <w:kern w:val="0"/>
                <w:sz w:val="40"/>
                <w:szCs w:val="40"/>
                <w:u w:val="none"/>
                <w:lang w:val="en-US" w:eastAsia="zh-CN" w:bidi="ar"/>
              </w:rPr>
              <w:t>驾驶员日绩效考核表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8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22"/>
                <w:szCs w:val="22"/>
                <w:u w:val="none"/>
                <w:lang w:val="en-US" w:eastAsia="zh-CN" w:bidi="ar"/>
              </w:rPr>
            </w:pPr>
            <w:r>
              <w:rPr>
                <w:rFonts w:hint="eastAsia" w:asciiTheme="minorEastAsia" w:hAnsiTheme="minorEastAsia" w:eastAsiaTheme="minorEastAsia" w:cstheme="minorEastAsia"/>
                <w:b/>
                <w:bCs/>
                <w:i w:val="0"/>
                <w:iCs w:val="0"/>
                <w:color w:val="000000"/>
                <w:kern w:val="0"/>
                <w:sz w:val="22"/>
                <w:szCs w:val="22"/>
                <w:u w:val="none"/>
                <w:lang w:val="en-US" w:eastAsia="zh-CN" w:bidi="ar"/>
              </w:rPr>
              <w:t>项目号</w:t>
            </w:r>
          </w:p>
        </w:tc>
        <w:tc>
          <w:tcPr>
            <w:tcW w:w="11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检查项目</w:t>
            </w: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考核内容</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扣分标准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40" w:hRule="atLeast"/>
        </w:trPr>
        <w:tc>
          <w:tcPr>
            <w:tcW w:w="102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1.1</w:t>
            </w:r>
          </w:p>
        </w:tc>
        <w:tc>
          <w:tcPr>
            <w:tcW w:w="1102"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安全质量</w:t>
            </w: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发生责任原因的各类安全事故及事故征候。</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40" w:hRule="atLeast"/>
        </w:trPr>
        <w:tc>
          <w:tcPr>
            <w:tcW w:w="1025" w:type="dxa"/>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1.2</w:t>
            </w:r>
          </w:p>
        </w:tc>
        <w:tc>
          <w:tcPr>
            <w:tcW w:w="110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违反各级疫情防控管理规定及要求。</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40" w:hRule="atLeast"/>
        </w:trPr>
        <w:tc>
          <w:tcPr>
            <w:tcW w:w="1025" w:type="dxa"/>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1.3</w:t>
            </w:r>
          </w:p>
        </w:tc>
        <w:tc>
          <w:tcPr>
            <w:tcW w:w="1102" w:type="dxa"/>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其它影响安全和服务质量的。</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2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2.1</w:t>
            </w:r>
          </w:p>
        </w:tc>
        <w:tc>
          <w:tcPr>
            <w:tcW w:w="11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管理指标</w:t>
            </w: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未能完成或违反合同及附件协议约定内容。</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54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2.2</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违反甲方与乙方签订的责任书的。</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54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2.3</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其它违反法律法规或各类管理规定的。</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严重扣100-500分；一般10-50分；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8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3.1</w:t>
            </w:r>
          </w:p>
        </w:tc>
        <w:tc>
          <w:tcPr>
            <w:tcW w:w="11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日常操作</w:t>
            </w: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劳动保护：</w:t>
            </w:r>
            <w:r>
              <w:rPr>
                <w:rFonts w:hint="eastAsia" w:asciiTheme="minorEastAsia" w:hAnsiTheme="minorEastAsia" w:eastAsiaTheme="minorEastAsia" w:cstheme="minorEastAsia"/>
                <w:i w:val="0"/>
                <w:iCs w:val="0"/>
                <w:color w:val="000000"/>
                <w:kern w:val="0"/>
                <w:sz w:val="20"/>
                <w:szCs w:val="20"/>
                <w:u w:val="none"/>
                <w:lang w:val="en-US" w:eastAsia="zh-CN" w:bidi="ar"/>
              </w:rPr>
              <w:t>着装统一规范、穿戴安全鞋、手套、反光背心。</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4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3.2</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人员资质：</w:t>
            </w:r>
            <w:r>
              <w:rPr>
                <w:rFonts w:hint="eastAsia" w:asciiTheme="minorEastAsia" w:hAnsiTheme="minorEastAsia" w:eastAsiaTheme="minorEastAsia" w:cstheme="minorEastAsia"/>
                <w:i w:val="0"/>
                <w:iCs w:val="0"/>
                <w:color w:val="000000"/>
                <w:kern w:val="0"/>
                <w:sz w:val="20"/>
                <w:szCs w:val="20"/>
                <w:u w:val="none"/>
                <w:lang w:val="en-US" w:eastAsia="zh-CN" w:bidi="ar"/>
              </w:rPr>
              <w:t>上岗前须取得内场驾驶证、特种设备作业证、上岗证及危险品操作证。</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54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3.3</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车辆检查</w:t>
            </w:r>
            <w:r>
              <w:rPr>
                <w:rFonts w:hint="eastAsia" w:asciiTheme="minorEastAsia" w:hAnsiTheme="minorEastAsia" w:eastAsiaTheme="minorEastAsia" w:cstheme="minorEastAsia"/>
                <w:i w:val="0"/>
                <w:iCs w:val="0"/>
                <w:color w:val="000000"/>
                <w:kern w:val="0"/>
                <w:sz w:val="20"/>
                <w:szCs w:val="20"/>
                <w:u w:val="none"/>
                <w:lang w:val="en-US" w:eastAsia="zh-CN" w:bidi="ar"/>
              </w:rPr>
              <w:t>：出车前应对车辆进行检查，检查内容包括但不限于：车辆清洁卫生、灭火瓶、刹车、方向、轮胎、灯光等，并做好台账记录。</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60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3.4</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车辆维修保养：</w:t>
            </w:r>
            <w:r>
              <w:rPr>
                <w:rFonts w:hint="eastAsia" w:asciiTheme="minorEastAsia" w:hAnsiTheme="minorEastAsia" w:eastAsiaTheme="minorEastAsia" w:cstheme="minorEastAsia"/>
                <w:i w:val="0"/>
                <w:iCs w:val="0"/>
                <w:color w:val="000000"/>
                <w:kern w:val="0"/>
                <w:sz w:val="20"/>
                <w:szCs w:val="20"/>
                <w:u w:val="none"/>
                <w:lang w:val="en-US" w:eastAsia="zh-CN" w:bidi="ar"/>
              </w:rPr>
              <w:t>定期对车辆进行保养，如发现车辆有损坏或故障时应立即停止作业、及时送修，做好台账记录。</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6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3.5</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车辆充电</w:t>
            </w:r>
            <w:r>
              <w:rPr>
                <w:rFonts w:hint="eastAsia" w:asciiTheme="minorEastAsia" w:hAnsiTheme="minorEastAsia" w:eastAsiaTheme="minorEastAsia" w:cstheme="minorEastAsia"/>
                <w:i w:val="0"/>
                <w:iCs w:val="0"/>
                <w:color w:val="000000"/>
                <w:kern w:val="0"/>
                <w:sz w:val="20"/>
                <w:szCs w:val="20"/>
                <w:u w:val="none"/>
                <w:lang w:val="en-US" w:eastAsia="zh-CN" w:bidi="ar"/>
              </w:rPr>
              <w:t>：充电前应对充电桩进行检查，禁止使用“带病”的充电桩，禁止随意使用其他单位的充电桩，在充电过程中应安排岗位人员进行巡查，如发现异常情况应立即报告。</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60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3.6</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车辆停放：</w:t>
            </w:r>
            <w:r>
              <w:rPr>
                <w:rStyle w:val="59"/>
                <w:rFonts w:hint="eastAsia" w:asciiTheme="minorEastAsia" w:hAnsiTheme="minorEastAsia" w:eastAsiaTheme="minorEastAsia" w:cstheme="minorEastAsia"/>
                <w:lang w:val="en-US" w:eastAsia="zh-CN" w:bidi="ar"/>
              </w:rPr>
              <w:t>车辆停放时应熄火、放置轮挡、拔掉钥匙，尽量停放至库区划线位置，或保证车辆停放在视线范围内。</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34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3.7</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异常信息报告：</w:t>
            </w:r>
            <w:r>
              <w:rPr>
                <w:rStyle w:val="59"/>
                <w:rFonts w:hint="eastAsia" w:asciiTheme="minorEastAsia" w:hAnsiTheme="minorEastAsia" w:eastAsiaTheme="minorEastAsia" w:cstheme="minorEastAsia"/>
                <w:lang w:val="en-US" w:eastAsia="zh-CN" w:bidi="ar"/>
              </w:rPr>
              <w:t>发现异常情况立即报告国际货运部相关岗位员工。</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60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3.8</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运行速度：</w:t>
            </w:r>
            <w:r>
              <w:rPr>
                <w:rFonts w:hint="eastAsia" w:asciiTheme="minorEastAsia" w:hAnsiTheme="minorEastAsia" w:eastAsiaTheme="minorEastAsia" w:cstheme="minorEastAsia"/>
                <w:i w:val="0"/>
                <w:iCs w:val="0"/>
                <w:color w:val="000000"/>
                <w:kern w:val="0"/>
                <w:sz w:val="20"/>
                <w:szCs w:val="20"/>
                <w:u w:val="none"/>
                <w:lang w:val="en-US" w:eastAsia="zh-CN" w:bidi="ar"/>
              </w:rPr>
              <w:t>车辆按规定道路行驶，在货库内及待装区行驶时车速不得超过20公里/小时,叉车在叉货物过程中，行驶速度不超过5公里/小时，在转运货物时行驶速度不能超过20公里/小时。</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8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3.9</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叉车作业标准：</w:t>
            </w:r>
            <w:r>
              <w:rPr>
                <w:rStyle w:val="59"/>
                <w:rFonts w:hint="eastAsia" w:asciiTheme="minorEastAsia" w:hAnsiTheme="minorEastAsia" w:eastAsiaTheme="minorEastAsia" w:cstheme="minorEastAsia"/>
                <w:lang w:val="en-US" w:eastAsia="zh-CN" w:bidi="ar"/>
              </w:rPr>
              <w:t>①严禁叉取重量在额定重量以上的货物；②禁止在叉车运行中启动钥匙开关，禁止突然起动、制动或转向；③严禁用货叉尖挤推货物、提升货物或推拉货物，④叉取货物时与地面保持15-20厘米。</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严重扣10分； 较重扣5分；一般扣3分；轻微扣1分；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8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3.10</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牵引车作业标准：</w:t>
            </w:r>
            <w:r>
              <w:rPr>
                <w:rStyle w:val="59"/>
                <w:rFonts w:hint="eastAsia" w:asciiTheme="minorEastAsia" w:hAnsiTheme="minorEastAsia" w:eastAsiaTheme="minorEastAsia" w:cstheme="minorEastAsia"/>
                <w:lang w:val="en-US" w:eastAsia="zh-CN" w:bidi="ar"/>
              </w:rPr>
              <w:t>①货站内牵引大集装箱拖架不得超过3个，牵引小集装箱拖架或平板车不得超过5个；②车辆启动前确认集装托架的锁扣、挡板已固定，检查集装托架轮胎下无杂物（如塑料薄膜、雨布、绳索等）缠绕、确认周围环境安全。</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造成货物破损根据损坏情况扣1-5分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3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3.11</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集装器托架整理：</w:t>
            </w:r>
            <w:r>
              <w:rPr>
                <w:rStyle w:val="59"/>
                <w:rFonts w:hint="eastAsia" w:asciiTheme="minorEastAsia" w:hAnsiTheme="minorEastAsia" w:eastAsiaTheme="minorEastAsia" w:cstheme="minorEastAsia"/>
                <w:lang w:val="en-US" w:eastAsia="zh-CN" w:bidi="ar"/>
              </w:rPr>
              <w:t>严禁直接使用叉臂叉托架把手、托架上有货时严禁使用叉臂推抵托架。</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3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3.12</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其它违反各类业务规定的</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视情况扣1-10分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5"/>
          <w:wAfter w:w="1477" w:type="dxa"/>
          <w:trHeight w:val="360" w:hRule="atLeast"/>
        </w:trPr>
        <w:tc>
          <w:tcPr>
            <w:tcW w:w="10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3.13</w:t>
            </w:r>
          </w:p>
        </w:tc>
        <w:tc>
          <w:tcPr>
            <w:tcW w:w="11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74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其他符合各类奖励规定的</w:t>
            </w:r>
          </w:p>
        </w:tc>
        <w:tc>
          <w:tcPr>
            <w:tcW w:w="500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为公司或部门做出突出贡献的加1-5分。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41"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102"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注：</w:t>
            </w:r>
          </w:p>
        </w:tc>
        <w:tc>
          <w:tcPr>
            <w:tcW w:w="7479" w:type="dxa"/>
            <w:gridSpan w:val="5"/>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5001"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一、安全质量指标</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重大突破指标、严重：造成事实、导致后果的，1次</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一般：未造成事实、未导致后果的，连续30日内</w:t>
            </w:r>
            <w:r>
              <w:rPr>
                <w:rStyle w:val="60"/>
                <w:rFonts w:hint="eastAsia" w:asciiTheme="minorEastAsia" w:hAnsiTheme="minorEastAsia" w:eastAsiaTheme="minorEastAsia" w:cstheme="minorEastAsia"/>
                <w:lang w:val="en-US" w:eastAsia="zh-CN" w:bidi="ar"/>
              </w:rPr>
              <w:t>≧</w:t>
            </w:r>
            <w:r>
              <w:rPr>
                <w:rFonts w:hint="eastAsia" w:asciiTheme="minorEastAsia" w:hAnsiTheme="minorEastAsia" w:eastAsiaTheme="minorEastAsia" w:cstheme="minorEastAsia"/>
                <w:i w:val="0"/>
                <w:iCs w:val="0"/>
                <w:color w:val="000000"/>
                <w:kern w:val="0"/>
                <w:sz w:val="22"/>
                <w:szCs w:val="22"/>
                <w:u w:val="none"/>
                <w:lang w:val="en-US" w:eastAsia="zh-CN" w:bidi="ar"/>
              </w:rPr>
              <w:t>3次</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轻微：未造成事实、未导致后果的，连续30日内</w:t>
            </w:r>
            <w:r>
              <w:rPr>
                <w:rStyle w:val="60"/>
                <w:rFonts w:hint="eastAsia" w:asciiTheme="minorEastAsia" w:hAnsiTheme="minorEastAsia" w:eastAsiaTheme="minorEastAsia" w:cstheme="minorEastAsia"/>
                <w:lang w:val="en-US" w:eastAsia="zh-CN" w:bidi="ar"/>
              </w:rPr>
              <w:t>≦2</w:t>
            </w:r>
            <w:r>
              <w:rPr>
                <w:rFonts w:hint="eastAsia" w:asciiTheme="minorEastAsia" w:hAnsiTheme="minorEastAsia" w:eastAsiaTheme="minorEastAsia" w:cstheme="minorEastAsia"/>
                <w:i w:val="0"/>
                <w:iCs w:val="0"/>
                <w:color w:val="000000"/>
                <w:kern w:val="0"/>
                <w:sz w:val="22"/>
                <w:szCs w:val="22"/>
                <w:u w:val="none"/>
                <w:lang w:val="en-US" w:eastAsia="zh-CN" w:bidi="ar"/>
              </w:rPr>
              <w:t>次</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二、管理指标</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重大或突破指标、严重、未建立或管理混乱、没有：违反且造成后果的，1次</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1242"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一般：不完善，不具备：违反但未造成后果的，连续30日内≧3次</w:t>
            </w:r>
          </w:p>
        </w:tc>
        <w:tc>
          <w:tcPr>
            <w:tcW w:w="5001"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36"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1250"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022"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轻微：违反但未造成后果的，连续30日内≦2次</w:t>
            </w:r>
          </w:p>
        </w:tc>
        <w:tc>
          <w:tcPr>
            <w:tcW w:w="1558"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5229" w:type="dxa"/>
            <w:gridSpan w:val="4"/>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41"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三、日常操作</w:t>
            </w:r>
          </w:p>
        </w:tc>
        <w:tc>
          <w:tcPr>
            <w:tcW w:w="236"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6982" w:type="dxa"/>
            <w:gridSpan w:val="9"/>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41"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严重：导致严重后果的，影响范围扩大到集团公司层级及以上的，达1次</w:t>
            </w:r>
          </w:p>
        </w:tc>
        <w:tc>
          <w:tcPr>
            <w:tcW w:w="236"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6982" w:type="dxa"/>
            <w:gridSpan w:val="9"/>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41"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较重：导致较重后果的，影响范围扩大到公司层级的，达1次</w:t>
            </w:r>
          </w:p>
        </w:tc>
        <w:tc>
          <w:tcPr>
            <w:tcW w:w="236"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6982" w:type="dxa"/>
            <w:gridSpan w:val="9"/>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8"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41"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一般：导致后果的，影响范围控制在部门层级的，达1次</w:t>
            </w:r>
          </w:p>
        </w:tc>
        <w:tc>
          <w:tcPr>
            <w:tcW w:w="739"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6471" w:type="dxa"/>
            <w:gridSpan w:val="7"/>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8"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41"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轻微：未造成后果，但违反相关规定，1分/次</w:t>
            </w:r>
          </w:p>
        </w:tc>
        <w:tc>
          <w:tcPr>
            <w:tcW w:w="739" w:type="dxa"/>
            <w:gridSpan w:val="2"/>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6471" w:type="dxa"/>
            <w:gridSpan w:val="7"/>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8" w:type="dxa"/>
          <w:trHeight w:val="270" w:hRule="atLeast"/>
        </w:trPr>
        <w:tc>
          <w:tcPr>
            <w:tcW w:w="1025"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80" w:type="dxa"/>
            <w:gridSpan w:val="5"/>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以上扣分标准均在一个考核周期</w:t>
            </w:r>
          </w:p>
        </w:tc>
        <w:tc>
          <w:tcPr>
            <w:tcW w:w="6471" w:type="dxa"/>
            <w:gridSpan w:val="7"/>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bl>
    <w:p>
      <w:p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br w:type="page"/>
      </w:r>
    </w:p>
    <w:tbl>
      <w:tblPr>
        <w:tblStyle w:val="16"/>
        <w:tblW w:w="1587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18"/>
        <w:gridCol w:w="1118"/>
        <w:gridCol w:w="6993"/>
        <w:gridCol w:w="484"/>
        <w:gridCol w:w="236"/>
        <w:gridCol w:w="1681"/>
        <w:gridCol w:w="236"/>
        <w:gridCol w:w="375"/>
        <w:gridCol w:w="1502"/>
        <w:gridCol w:w="863"/>
        <w:gridCol w:w="484"/>
        <w:gridCol w:w="7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gridAfter w:val="2"/>
          <w:wAfter w:w="1273" w:type="dxa"/>
          <w:trHeight w:val="679"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40"/>
                <w:szCs w:val="40"/>
                <w:u w:val="none"/>
                <w:lang w:val="en-US" w:eastAsia="zh-CN" w:bidi="ar"/>
              </w:rPr>
            </w:pPr>
          </w:p>
        </w:tc>
        <w:tc>
          <w:tcPr>
            <w:tcW w:w="13488" w:type="dxa"/>
            <w:gridSpan w:val="9"/>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40"/>
                <w:szCs w:val="40"/>
                <w:u w:val="none"/>
              </w:rPr>
            </w:pPr>
            <w:r>
              <w:rPr>
                <w:rFonts w:hint="eastAsia" w:asciiTheme="minorEastAsia" w:hAnsiTheme="minorEastAsia" w:eastAsiaTheme="minorEastAsia" w:cstheme="minorEastAsia"/>
                <w:b/>
                <w:bCs/>
                <w:i w:val="0"/>
                <w:iCs w:val="0"/>
                <w:color w:val="000000"/>
                <w:kern w:val="0"/>
                <w:sz w:val="40"/>
                <w:szCs w:val="40"/>
                <w:u w:val="none"/>
                <w:lang w:val="en-US" w:eastAsia="zh-CN" w:bidi="ar"/>
              </w:rPr>
              <w:t>驾驶员周绩效考核表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480" w:hRule="atLeast"/>
        </w:trPr>
        <w:tc>
          <w:tcPr>
            <w:tcW w:w="1118"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22"/>
                <w:szCs w:val="22"/>
                <w:u w:val="none"/>
                <w:lang w:val="en-US" w:eastAsia="zh-CN" w:bidi="ar"/>
              </w:rPr>
            </w:pPr>
            <w:r>
              <w:rPr>
                <w:rFonts w:hint="eastAsia" w:asciiTheme="minorEastAsia" w:hAnsiTheme="minorEastAsia" w:eastAsiaTheme="minorEastAsia" w:cstheme="minorEastAsia"/>
                <w:b/>
                <w:bCs/>
                <w:i w:val="0"/>
                <w:iCs w:val="0"/>
                <w:color w:val="000000"/>
                <w:kern w:val="0"/>
                <w:sz w:val="22"/>
                <w:szCs w:val="22"/>
                <w:u w:val="none"/>
                <w:lang w:val="en-US" w:eastAsia="zh-CN" w:bidi="ar"/>
              </w:rPr>
              <w:t>项目号</w:t>
            </w:r>
          </w:p>
        </w:tc>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检查项目</w:t>
            </w: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检查内容</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1.1</w:t>
            </w:r>
          </w:p>
        </w:tc>
        <w:tc>
          <w:tcPr>
            <w:tcW w:w="1118" w:type="dxa"/>
            <w:vMerge w:val="restart"/>
            <w:tcBorders>
              <w:top w:val="nil"/>
              <w:left w:val="single" w:color="auto"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安全质量</w:t>
            </w: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发大小火灾事故（或不安全事件）、事故苗头发生及违反消防管理规定。</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1.2</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发生责任原因造成的其他不安全事件。</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1.3</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发生偷窃货物及公私财物事件。</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1.4</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安全问题整改合格率未达到100%。</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1.5</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甲方提供的设施设备检查维护率达到100%。</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1.6</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发生外包方责任原因引起的工作中断或业务停滞事件。</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1.7</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发生责任原因的顾客服务投诉事件和社会高度关注的服务质量事件。</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1.8</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因为工作不到位，受到新闻单位在媒体上批评。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1.9</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造成各类安全隐患的。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1.10</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发生员工在隔离和限制区域内吸烟及带打火机、香烟进入的。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1.11</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发生损坏库区内消防设施设备的。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36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1.12</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发生违规使用大功率电器的或由此造成后果的。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1.13</w:t>
            </w:r>
          </w:p>
        </w:tc>
        <w:tc>
          <w:tcPr>
            <w:tcW w:w="1118"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其它影响安全和服务质量的。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2.1</w:t>
            </w:r>
          </w:p>
        </w:tc>
        <w:tc>
          <w:tcPr>
            <w:tcW w:w="11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管理指标</w:t>
            </w: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未能完成或违反合同及附件协议约定内容。</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2.2</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违反甲方与乙方签订责任书的。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2.3</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进行定期和不定期的工作质量检查工作，做好检查记录，及时纠正发现的问题。</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2.4</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应合理安排人员，按时按质完成工作任务。</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2.5</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违法用工以及发生劳动纠分或内部予盾构成社会影响或影响甲方正常运行的。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2.6</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违法违规运营给甲方造成影响的。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2.7</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其它违反法律法规或各类管理规定的。</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严重扣100-500分，一般扣10-50分，轻微扣5-10分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48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3.1</w:t>
            </w:r>
          </w:p>
        </w:tc>
        <w:tc>
          <w:tcPr>
            <w:tcW w:w="11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日常操作</w:t>
            </w: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车辆检查</w:t>
            </w:r>
            <w:r>
              <w:rPr>
                <w:rFonts w:hint="eastAsia" w:asciiTheme="minorEastAsia" w:hAnsiTheme="minorEastAsia" w:eastAsiaTheme="minorEastAsia" w:cstheme="minorEastAsia"/>
                <w:i w:val="0"/>
                <w:iCs w:val="0"/>
                <w:color w:val="000000"/>
                <w:kern w:val="0"/>
                <w:sz w:val="20"/>
                <w:szCs w:val="20"/>
                <w:u w:val="none"/>
                <w:lang w:val="en-US" w:eastAsia="zh-CN" w:bidi="ar"/>
              </w:rPr>
              <w:t>：出车前应对车辆进行检查，检查内容包括但不限于：车辆清洁卫生、灭火瓶、刹车、方向、轮胎、灯光等，并做好台账记录。</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48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3.2</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车辆维修保养：</w:t>
            </w:r>
            <w:r>
              <w:rPr>
                <w:rFonts w:hint="eastAsia" w:asciiTheme="minorEastAsia" w:hAnsiTheme="minorEastAsia" w:eastAsiaTheme="minorEastAsia" w:cstheme="minorEastAsia"/>
                <w:i w:val="0"/>
                <w:iCs w:val="0"/>
                <w:color w:val="000000"/>
                <w:kern w:val="0"/>
                <w:sz w:val="20"/>
                <w:szCs w:val="20"/>
                <w:u w:val="none"/>
                <w:lang w:val="en-US" w:eastAsia="zh-CN" w:bidi="ar"/>
              </w:rPr>
              <w:t>定期对车辆进行保养，如发现车辆有损坏或故障时应立即停止作业、及时送修，做好台账记录。</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48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3.3</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车辆充电</w:t>
            </w:r>
            <w:r>
              <w:rPr>
                <w:rFonts w:hint="eastAsia" w:asciiTheme="minorEastAsia" w:hAnsiTheme="minorEastAsia" w:eastAsiaTheme="minorEastAsia" w:cstheme="minorEastAsia"/>
                <w:i w:val="0"/>
                <w:iCs w:val="0"/>
                <w:color w:val="000000"/>
                <w:kern w:val="0"/>
                <w:sz w:val="20"/>
                <w:szCs w:val="20"/>
                <w:u w:val="none"/>
                <w:lang w:val="en-US" w:eastAsia="zh-CN" w:bidi="ar"/>
              </w:rPr>
              <w:t>：充电前应对充电桩进行检查，禁止使用“带病”的充电桩，禁止随意使用其他单位的充电桩，在充电过程中应安排岗位人员进行巡查，如发现异常情况应立即报告。</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48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3.4</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车辆停放：</w:t>
            </w:r>
            <w:r>
              <w:rPr>
                <w:rFonts w:hint="eastAsia" w:asciiTheme="minorEastAsia" w:hAnsiTheme="minorEastAsia" w:eastAsiaTheme="minorEastAsia" w:cstheme="minorEastAsia"/>
                <w:i w:val="0"/>
                <w:iCs w:val="0"/>
                <w:color w:val="000000"/>
                <w:kern w:val="0"/>
                <w:sz w:val="20"/>
                <w:szCs w:val="20"/>
                <w:u w:val="none"/>
                <w:lang w:val="en-US" w:eastAsia="zh-CN" w:bidi="ar"/>
              </w:rPr>
              <w:t>车辆停放时应熄火、放置轮挡、拔掉钥匙，尽量停放至库区划线位置，或保证车辆停放在视线范围内。</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3.5</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异常信息报告：</w:t>
            </w:r>
            <w:r>
              <w:rPr>
                <w:rFonts w:hint="eastAsia" w:asciiTheme="minorEastAsia" w:hAnsiTheme="minorEastAsia" w:eastAsiaTheme="minorEastAsia" w:cstheme="minorEastAsia"/>
                <w:i w:val="0"/>
                <w:iCs w:val="0"/>
                <w:color w:val="000000"/>
                <w:kern w:val="0"/>
                <w:sz w:val="20"/>
                <w:szCs w:val="20"/>
                <w:u w:val="none"/>
                <w:lang w:val="en-US" w:eastAsia="zh-CN" w:bidi="ar"/>
              </w:rPr>
              <w:t>发现异常情况立即报告国际货运部相关岗位员工。</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3.6</w:t>
            </w:r>
          </w:p>
        </w:tc>
        <w:tc>
          <w:tcPr>
            <w:tcW w:w="11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99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其他项</w:t>
            </w:r>
          </w:p>
        </w:tc>
        <w:tc>
          <w:tcPr>
            <w:tcW w:w="5377"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视情况扣1-10分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1118"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6993"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3012"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2365"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1273"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注：</w:t>
            </w:r>
          </w:p>
        </w:tc>
        <w:tc>
          <w:tcPr>
            <w:tcW w:w="6993"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3012"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2365"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89"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95"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一、安全质量指标</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5141" w:type="dxa"/>
            <w:gridSpan w:val="6"/>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89"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95"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重大突破指标、严重：造成事实、导致后果的，1次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5141" w:type="dxa"/>
            <w:gridSpan w:val="6"/>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89"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95"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一般：未造成事实、未导致后果的，连续30日内</w:t>
            </w:r>
            <w:r>
              <w:rPr>
                <w:rStyle w:val="61"/>
                <w:rFonts w:hint="eastAsia" w:asciiTheme="minorEastAsia" w:hAnsiTheme="minorEastAsia" w:eastAsiaTheme="minorEastAsia" w:cstheme="minorEastAsia"/>
                <w:lang w:val="en-US" w:eastAsia="zh-CN" w:bidi="ar"/>
              </w:rPr>
              <w:t>≧</w:t>
            </w:r>
            <w:r>
              <w:rPr>
                <w:rFonts w:hint="eastAsia" w:asciiTheme="minorEastAsia" w:hAnsiTheme="minorEastAsia" w:eastAsiaTheme="minorEastAsia" w:cstheme="minorEastAsia"/>
                <w:i w:val="0"/>
                <w:iCs w:val="0"/>
                <w:color w:val="000000"/>
                <w:kern w:val="0"/>
                <w:sz w:val="22"/>
                <w:szCs w:val="22"/>
                <w:u w:val="none"/>
                <w:lang w:val="en-US" w:eastAsia="zh-CN" w:bidi="ar"/>
              </w:rPr>
              <w:t>3次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5141" w:type="dxa"/>
            <w:gridSpan w:val="6"/>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89"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95"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轻微：未造成事实、未导致后果的，连续30日内</w:t>
            </w:r>
            <w:r>
              <w:rPr>
                <w:rStyle w:val="61"/>
                <w:rFonts w:hint="eastAsia" w:asciiTheme="minorEastAsia" w:hAnsiTheme="minorEastAsia" w:eastAsiaTheme="minorEastAsia" w:cstheme="minorEastAsia"/>
                <w:lang w:val="en-US" w:eastAsia="zh-CN" w:bidi="ar"/>
              </w:rPr>
              <w:t>≦2</w:t>
            </w:r>
            <w:r>
              <w:rPr>
                <w:rFonts w:hint="eastAsia" w:asciiTheme="minorEastAsia" w:hAnsiTheme="minorEastAsia" w:eastAsiaTheme="minorEastAsia" w:cstheme="minorEastAsia"/>
                <w:i w:val="0"/>
                <w:iCs w:val="0"/>
                <w:color w:val="000000"/>
                <w:kern w:val="0"/>
                <w:sz w:val="22"/>
                <w:szCs w:val="22"/>
                <w:u w:val="none"/>
                <w:lang w:val="en-US" w:eastAsia="zh-CN" w:bidi="ar"/>
              </w:rPr>
              <w:t>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5141" w:type="dxa"/>
            <w:gridSpan w:val="6"/>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789"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8595" w:type="dxa"/>
            <w:gridSpan w:val="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二、管理指标</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5141" w:type="dxa"/>
            <w:gridSpan w:val="6"/>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2136"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重大或突破指标、严重、未建立或管理混乱、没有：违反且造成后果的，1次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1877"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2136"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一般：不完善，不具备：违反但未造成后果的，连续30日内≧3次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1877"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2136" w:type="dxa"/>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轻微：违反但未造成后果的，连续30日内≦2次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1877" w:type="dxa"/>
            <w:gridSpan w:val="2"/>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三、日常操作</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严重：导致严重后果的，影响范围扩大到集团公司层级及以上的，达1次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较重：导致较重后果的，影响范围扩大到公司层级的，达1次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一般：导致后果的，影响范围控制在部门层级的，达1次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轻微：未造成后果，但违反相关规定，1分/次</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8"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51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以上扣分标准均在一个考核周期</w:t>
            </w:r>
          </w:p>
        </w:tc>
        <w:tc>
          <w:tcPr>
            <w:tcW w:w="236"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4013" w:type="dxa"/>
            <w:gridSpan w:val="5"/>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r>
    </w:tbl>
    <w:p>
      <w:pPr>
        <w:rPr>
          <w:rFonts w:hint="eastAsia" w:asciiTheme="minorEastAsia" w:hAnsiTheme="minorEastAsia" w:eastAsiaTheme="minorEastAsia" w:cstheme="minorEastAsia"/>
          <w:lang w:val="en-US" w:eastAsia="zh-CN"/>
        </w:rPr>
      </w:pPr>
    </w:p>
    <w:p>
      <w:pPr>
        <w:pStyle w:val="2"/>
        <w:rPr>
          <w:rFonts w:hint="eastAsia" w:asciiTheme="minorEastAsia" w:hAnsiTheme="minorEastAsia" w:eastAsiaTheme="minorEastAsia" w:cstheme="minorEastAsia"/>
          <w:lang w:val="en-US" w:eastAsia="zh-CN"/>
        </w:rPr>
      </w:pPr>
    </w:p>
    <w:p>
      <w:pPr>
        <w:rPr>
          <w:rFonts w:hint="eastAsia" w:asciiTheme="minorEastAsia" w:hAnsiTheme="minorEastAsia" w:eastAsiaTheme="minorEastAsia" w:cstheme="minorEastAsia"/>
          <w:lang w:val="en-US" w:eastAsia="zh-CN"/>
        </w:rPr>
      </w:pPr>
    </w:p>
    <w:p>
      <w:pPr>
        <w:pStyle w:val="2"/>
        <w:rPr>
          <w:rFonts w:hint="eastAsia" w:asciiTheme="minorEastAsia" w:hAnsiTheme="minorEastAsia" w:eastAsiaTheme="minorEastAsia" w:cstheme="minorEastAsia"/>
          <w:lang w:val="en-US" w:eastAsia="zh-CN"/>
        </w:rPr>
      </w:pPr>
    </w:p>
    <w:tbl>
      <w:tblPr>
        <w:tblStyle w:val="16"/>
        <w:tblW w:w="1460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1"/>
        <w:gridCol w:w="1061"/>
        <w:gridCol w:w="6789"/>
        <w:gridCol w:w="3539"/>
        <w:gridCol w:w="21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9" w:hRule="atLeast"/>
        </w:trPr>
        <w:tc>
          <w:tcPr>
            <w:tcW w:w="1061" w:type="dxa"/>
            <w:tcBorders>
              <w:top w:val="nil"/>
              <w:left w:val="nil"/>
              <w:bottom w:val="single" w:color="auto" w:sz="4" w:space="0"/>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40"/>
                <w:szCs w:val="40"/>
                <w:u w:val="none"/>
                <w:lang w:val="en-US" w:eastAsia="zh-CN" w:bidi="ar"/>
              </w:rPr>
            </w:pPr>
          </w:p>
        </w:tc>
        <w:tc>
          <w:tcPr>
            <w:tcW w:w="13546" w:type="dxa"/>
            <w:gridSpan w:val="4"/>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40"/>
                <w:szCs w:val="40"/>
                <w:u w:val="none"/>
              </w:rPr>
            </w:pPr>
            <w:r>
              <w:rPr>
                <w:rFonts w:hint="eastAsia" w:asciiTheme="minorEastAsia" w:hAnsiTheme="minorEastAsia" w:eastAsiaTheme="minorEastAsia" w:cstheme="minorEastAsia"/>
                <w:b/>
                <w:bCs/>
                <w:i w:val="0"/>
                <w:iCs w:val="0"/>
                <w:color w:val="000000"/>
                <w:kern w:val="0"/>
                <w:sz w:val="40"/>
                <w:szCs w:val="40"/>
                <w:u w:val="none"/>
                <w:lang w:val="en-US" w:eastAsia="zh-CN" w:bidi="ar"/>
              </w:rPr>
              <w:t>驾驶员月绩效考核表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kern w:val="0"/>
                <w:sz w:val="22"/>
                <w:szCs w:val="22"/>
                <w:u w:val="none"/>
                <w:lang w:val="en-US" w:eastAsia="zh-CN" w:bidi="ar"/>
              </w:rPr>
            </w:pPr>
            <w:r>
              <w:rPr>
                <w:rFonts w:hint="eastAsia" w:asciiTheme="minorEastAsia" w:hAnsiTheme="minorEastAsia" w:eastAsiaTheme="minorEastAsia" w:cstheme="minorEastAsia"/>
                <w:b/>
                <w:bCs/>
                <w:i w:val="0"/>
                <w:iCs w:val="0"/>
                <w:color w:val="000000"/>
                <w:kern w:val="0"/>
                <w:sz w:val="22"/>
                <w:szCs w:val="22"/>
                <w:u w:val="none"/>
                <w:lang w:val="en-US" w:eastAsia="zh-CN" w:bidi="ar"/>
              </w:rPr>
              <w:t>项目号</w:t>
            </w:r>
          </w:p>
        </w:tc>
        <w:tc>
          <w:tcPr>
            <w:tcW w:w="1061"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检查项目</w:t>
            </w: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检查内容</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2"/>
                <w:szCs w:val="22"/>
                <w:u w:val="none"/>
              </w:rPr>
            </w:pPr>
            <w:r>
              <w:rPr>
                <w:rFonts w:hint="eastAsia" w:asciiTheme="minorEastAsia" w:hAnsiTheme="minorEastAsia" w:eastAsiaTheme="minorEastAsia" w:cstheme="minorEastAsia"/>
                <w:b/>
                <w:bCs/>
                <w:i w:val="0"/>
                <w:iCs w:val="0"/>
                <w:color w:val="000000"/>
                <w:kern w:val="0"/>
                <w:sz w:val="22"/>
                <w:szCs w:val="22"/>
                <w:u w:val="none"/>
                <w:lang w:val="en-US" w:eastAsia="zh-CN" w:bidi="ar"/>
              </w:rPr>
              <w:t>检查结果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1.1</w:t>
            </w:r>
          </w:p>
        </w:tc>
        <w:tc>
          <w:tcPr>
            <w:tcW w:w="1061" w:type="dxa"/>
            <w:vMerge w:val="restart"/>
            <w:tcBorders>
              <w:top w:val="nil"/>
              <w:left w:val="single" w:color="auto"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安全管理</w:t>
            </w: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发生隔离区交通事故。</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1.2</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发生员工工伤事故。</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1.3</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发生重大网络与信息安全事件。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1.4</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发生综合治理案件。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1.5</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发生内部治安保卫案件。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1.6</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违反控制区管理规定和发生员工违规进入隔离区或携带、传递违规违禁物品进入隔离区等空防安全事件。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1.7</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发大小火灾事故（或不安全事件）、事故苗头发生及违反消防管理规定。</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1.8</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发生责任原因造成的其他不安全事件。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1.9</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发生偷窃货物及公私财物事件。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1.10</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安全问题整改合格率未达到100%。</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1.11</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甲方提供的设施设备检查维护率达到100%。</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1.12</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发生外包方责任原因引起的工作中断或业务停滞事件。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1.13</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因为工作不到位，受到新闻单位在媒体上批评。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1.14</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造成各类安全隐患的。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1.15</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发生员工在隔离和限制区域内吸烟及带打火机、香烟进入的。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1.16</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发生损坏库区内消防设施设备的。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1.17</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发生违规使用大功率电器的或由此造成后果的。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1.18</w:t>
            </w:r>
          </w:p>
        </w:tc>
        <w:tc>
          <w:tcPr>
            <w:tcW w:w="1061" w:type="dxa"/>
            <w:vMerge w:val="continue"/>
            <w:tcBorders>
              <w:top w:val="nil"/>
              <w:left w:val="single" w:color="auto" w:sz="4" w:space="0"/>
              <w:bottom w:val="nil"/>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其它影响安全和服务质量的。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2.1</w:t>
            </w:r>
          </w:p>
        </w:tc>
        <w:tc>
          <w:tcPr>
            <w:tcW w:w="1061" w:type="dxa"/>
            <w:vMerge w:val="restart"/>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管理指标</w:t>
            </w: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未能完成或违反合同及附件协议约定内容。</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2.2</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违反甲方与乙方签订责任书的。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2.3</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乙方有健全组织机构和管理体系，本项目明确有负责人和相对稳定的工作人员。</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2.4</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员工经过安全及技能培训，具备相应的职业技能。</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2.5</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建立内部监督检查制度，设立工作标准。</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2.6</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有专门的监督检查部门或人员，有检查计划和检查标准，并保障计划的实施。</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2.7</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进行定期和不定期的工作质量检查工作，做好检查记录，及时纠正发现的问题。</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2.8</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对人员管理，培训、学习、考核建有记录，可查阅。</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2.9</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建立安全、服务记录保存制度，对发生的不安全、投诉事件的记录至少保存两年。</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2.10</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建立不安全和服务事件逐级上报制度，不得瞒报、谎报和缓报有关信息。</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2.11</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根据不安全、服务投诉事件所反应出的问题制订整改措施，并检查落实，对员工开展培训教育，同时保存相应记录。</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2.12</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建立培训记录档案，记载员工的培训以及考核情况，对记录进行保存并便于查阅；</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2.13</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制订应急处置演练计划，并定期进行应急处置演练，确保发生突发事件时能够做出及时反应和适当处理。</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2.14</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应合理安排人员，按时按质完成工作任务。</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2.15</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乙方未向甲方申报所有保洁人员个人资料（含无犯罪证明、身体健康证明等）。</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2.16</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违法用工以及发生劳动纠分或内部予盾构成社会影响或影响甲方正常运行的。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2.17</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违法违规运营给甲方造成影响的。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2.18</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其它违反法律法规或各类管理规定的。</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严重扣100-500分； 一般扣10-50分； 轻微扣5-10分；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0"/>
                <w:szCs w:val="20"/>
                <w:u w:val="none"/>
                <w:lang w:val="en-US" w:eastAsia="zh-CN" w:bidi="ar"/>
              </w:rPr>
            </w:pPr>
            <w:r>
              <w:rPr>
                <w:rFonts w:hint="eastAsia" w:asciiTheme="minorEastAsia" w:hAnsiTheme="minorEastAsia" w:eastAsiaTheme="minorEastAsia" w:cstheme="minorEastAsia"/>
                <w:i w:val="0"/>
                <w:iCs w:val="0"/>
                <w:color w:val="000000"/>
                <w:kern w:val="0"/>
                <w:sz w:val="20"/>
                <w:szCs w:val="20"/>
                <w:u w:val="none"/>
                <w:lang w:val="en-US" w:eastAsia="zh-CN" w:bidi="ar"/>
              </w:rPr>
              <w:t>3.1</w:t>
            </w:r>
          </w:p>
        </w:tc>
        <w:tc>
          <w:tcPr>
            <w:tcW w:w="10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日常操作</w:t>
            </w: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运行速度：</w:t>
            </w:r>
            <w:r>
              <w:rPr>
                <w:rStyle w:val="62"/>
                <w:rFonts w:hint="eastAsia" w:asciiTheme="minorEastAsia" w:hAnsiTheme="minorEastAsia" w:eastAsiaTheme="minorEastAsia" w:cstheme="minorEastAsia"/>
                <w:lang w:val="en-US" w:eastAsia="zh-CN" w:bidi="ar"/>
              </w:rPr>
              <w:t>车辆按规定道路行驶，在货库内及待装区行驶时车速不得超过20公里/小时,叉车在叉货物过程中，行驶速度不超过5公里/小时，在转运货物时行驶速度不能超过20公里/小时。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3.2</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叉车作业标准：</w:t>
            </w:r>
            <w:r>
              <w:rPr>
                <w:rFonts w:hint="eastAsia" w:asciiTheme="minorEastAsia" w:hAnsiTheme="minorEastAsia" w:eastAsiaTheme="minorEastAsia" w:cstheme="minorEastAsia"/>
                <w:i w:val="0"/>
                <w:iCs w:val="0"/>
                <w:color w:val="000000"/>
                <w:kern w:val="0"/>
                <w:sz w:val="20"/>
                <w:szCs w:val="20"/>
                <w:u w:val="none"/>
                <w:lang w:val="en-US" w:eastAsia="zh-CN" w:bidi="ar"/>
              </w:rPr>
              <w:t>①严禁叉取重量在额定重量以上的货物；②禁止在叉车运行中启动钥匙开关，禁止突然起动、制动或转向；③严禁用货叉尖挤推货物、提升货物或推拉货物，④叉取货物时与地面保持15-20厘米。</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严重扣10分； 较重扣5分；一般扣3分；轻微扣1分；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3.3</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牵引车作业标准：</w:t>
            </w:r>
            <w:r>
              <w:rPr>
                <w:rFonts w:hint="eastAsia" w:asciiTheme="minorEastAsia" w:hAnsiTheme="minorEastAsia" w:eastAsiaTheme="minorEastAsia" w:cstheme="minorEastAsia"/>
                <w:i w:val="0"/>
                <w:iCs w:val="0"/>
                <w:color w:val="000000"/>
                <w:kern w:val="0"/>
                <w:sz w:val="20"/>
                <w:szCs w:val="20"/>
                <w:u w:val="none"/>
                <w:lang w:val="en-US" w:eastAsia="zh-CN" w:bidi="ar"/>
              </w:rPr>
              <w:t>①货站内牵引大集装箱拖架不得超过3个，牵引小集装箱拖架或平板车不得超过5个；②车辆启动前确认集装托架的锁扣、挡板已固定，检查集装托架轮胎下无杂物（如塑料薄膜、雨布、绳索等）缠绕、确认周围环境安全。</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r>
              <w:rPr>
                <w:rFonts w:hint="eastAsia" w:asciiTheme="minorEastAsia" w:hAnsiTheme="minorEastAsia" w:eastAsiaTheme="minorEastAsia" w:cstheme="minorEastAsia"/>
                <w:i w:val="0"/>
                <w:iCs w:val="0"/>
                <w:color w:val="000000"/>
                <w:kern w:val="0"/>
                <w:sz w:val="20"/>
                <w:szCs w:val="20"/>
                <w:u w:val="none"/>
                <w:lang w:val="en-US" w:eastAsia="zh-CN" w:bidi="ar"/>
              </w:rPr>
              <w:br w:type="textWrapping"/>
            </w:r>
            <w:r>
              <w:rPr>
                <w:rFonts w:hint="eastAsia" w:asciiTheme="minorEastAsia" w:hAnsiTheme="minorEastAsia" w:eastAsiaTheme="minorEastAsia" w:cstheme="minorEastAsia"/>
                <w:i w:val="0"/>
                <w:iCs w:val="0"/>
                <w:color w:val="000000"/>
                <w:kern w:val="0"/>
                <w:sz w:val="20"/>
                <w:szCs w:val="20"/>
                <w:u w:val="none"/>
                <w:lang w:val="en-US" w:eastAsia="zh-CN" w:bidi="ar"/>
              </w:rPr>
              <w:t>造成货物破损根据损坏情况扣1-5分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3.4</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集装器托架整理：</w:t>
            </w:r>
            <w:r>
              <w:rPr>
                <w:rFonts w:hint="eastAsia" w:asciiTheme="minorEastAsia" w:hAnsiTheme="minorEastAsia" w:eastAsiaTheme="minorEastAsia" w:cstheme="minorEastAsia"/>
                <w:i w:val="0"/>
                <w:iCs w:val="0"/>
                <w:color w:val="000000"/>
                <w:kern w:val="0"/>
                <w:sz w:val="20"/>
                <w:szCs w:val="20"/>
                <w:u w:val="none"/>
                <w:lang w:val="en-US" w:eastAsia="zh-CN" w:bidi="ar"/>
              </w:rPr>
              <w:t>严禁直接使用叉臂叉托架把手、托架上有货时严禁使用叉臂推抵托架。</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3.5</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车辆充电</w:t>
            </w:r>
            <w:r>
              <w:rPr>
                <w:rStyle w:val="62"/>
                <w:rFonts w:hint="eastAsia" w:asciiTheme="minorEastAsia" w:hAnsiTheme="minorEastAsia" w:eastAsiaTheme="minorEastAsia" w:cstheme="minorEastAsia"/>
                <w:lang w:val="en-US" w:eastAsia="zh-CN" w:bidi="ar"/>
              </w:rPr>
              <w:t>：充电前应对充电桩进行检查，禁止使用“带病”的充电桩，禁止随意使用其他单位的充电桩，在充电过程中应安排岗位人员进行巡查，如发现异常情况应立即报告。</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违反规定一次扣0.2分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0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lang w:val="en-US" w:eastAsia="zh-CN"/>
              </w:rPr>
            </w:pPr>
            <w:r>
              <w:rPr>
                <w:rFonts w:hint="eastAsia" w:asciiTheme="minorEastAsia" w:hAnsiTheme="minorEastAsia" w:eastAsiaTheme="minorEastAsia" w:cstheme="minorEastAsia"/>
                <w:i w:val="0"/>
                <w:iCs w:val="0"/>
                <w:color w:val="000000"/>
                <w:sz w:val="20"/>
                <w:szCs w:val="20"/>
                <w:u w:val="none"/>
                <w:lang w:val="en-US" w:eastAsia="zh-CN"/>
              </w:rPr>
              <w:t>3.6</w:t>
            </w:r>
          </w:p>
        </w:tc>
        <w:tc>
          <w:tcPr>
            <w:tcW w:w="10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Theme="minorEastAsia" w:hAnsiTheme="minorEastAsia" w:eastAsiaTheme="minorEastAsia" w:cstheme="minorEastAsia"/>
                <w:i w:val="0"/>
                <w:iCs w:val="0"/>
                <w:color w:val="000000"/>
                <w:sz w:val="20"/>
                <w:szCs w:val="20"/>
                <w:u w:val="none"/>
              </w:rPr>
            </w:pPr>
          </w:p>
        </w:tc>
        <w:tc>
          <w:tcPr>
            <w:tcW w:w="67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0"/>
                <w:szCs w:val="20"/>
                <w:u w:val="none"/>
              </w:rPr>
            </w:pPr>
            <w:r>
              <w:rPr>
                <w:rFonts w:hint="eastAsia" w:asciiTheme="minorEastAsia" w:hAnsiTheme="minorEastAsia" w:eastAsiaTheme="minorEastAsia" w:cstheme="minorEastAsia"/>
                <w:b/>
                <w:bCs/>
                <w:i w:val="0"/>
                <w:iCs w:val="0"/>
                <w:color w:val="000000"/>
                <w:kern w:val="0"/>
                <w:sz w:val="20"/>
                <w:szCs w:val="20"/>
                <w:u w:val="none"/>
                <w:lang w:val="en-US" w:eastAsia="zh-CN" w:bidi="ar"/>
              </w:rPr>
              <w:t>车辆停放：</w:t>
            </w:r>
            <w:r>
              <w:rPr>
                <w:rFonts w:hint="eastAsia" w:asciiTheme="minorEastAsia" w:hAnsiTheme="minorEastAsia" w:eastAsiaTheme="minorEastAsia" w:cstheme="minorEastAsia"/>
                <w:i w:val="0"/>
                <w:iCs w:val="0"/>
                <w:color w:val="000000"/>
                <w:kern w:val="0"/>
                <w:sz w:val="20"/>
                <w:szCs w:val="20"/>
                <w:u w:val="none"/>
                <w:lang w:val="en-US" w:eastAsia="zh-CN" w:bidi="ar"/>
              </w:rPr>
              <w:t>车辆停放时应熄火、放置轮挡、拔掉钥匙，尽量停放至库区划线位置，或保证车辆停放在视线范围内。</w:t>
            </w:r>
          </w:p>
        </w:tc>
        <w:tc>
          <w:tcPr>
            <w:tcW w:w="569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0"/>
                <w:szCs w:val="20"/>
                <w:u w:val="none"/>
              </w:rPr>
            </w:pPr>
            <w:r>
              <w:rPr>
                <w:rFonts w:hint="eastAsia" w:asciiTheme="minorEastAsia" w:hAnsiTheme="minorEastAsia" w:eastAsiaTheme="minorEastAsia" w:cstheme="minorEastAsia"/>
                <w:i w:val="0"/>
                <w:iCs w:val="0"/>
                <w:color w:val="000000"/>
                <w:kern w:val="0"/>
                <w:sz w:val="20"/>
                <w:szCs w:val="20"/>
                <w:u w:val="none"/>
                <w:lang w:val="en-US" w:eastAsia="zh-CN" w:bidi="ar"/>
              </w:rPr>
              <w:t>违反规定一次扣0.1分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1061"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6789" w:type="dxa"/>
            <w:tcBorders>
              <w:top w:val="nil"/>
              <w:left w:val="nil"/>
              <w:bottom w:val="nil"/>
              <w:right w:val="nil"/>
            </w:tcBorders>
            <w:shd w:val="clear" w:color="auto" w:fill="auto"/>
            <w:vAlign w:val="center"/>
          </w:tcPr>
          <w:p>
            <w:pPr>
              <w:rPr>
                <w:rFonts w:hint="eastAsia" w:asciiTheme="minorEastAsia" w:hAnsiTheme="minorEastAsia" w:eastAsiaTheme="minorEastAsia" w:cstheme="minorEastAsia"/>
                <w:i w:val="0"/>
                <w:iCs w:val="0"/>
                <w:color w:val="000000"/>
                <w:sz w:val="22"/>
                <w:szCs w:val="22"/>
                <w:u w:val="none"/>
              </w:rPr>
            </w:pP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注：</w:t>
            </w:r>
          </w:p>
        </w:tc>
        <w:tc>
          <w:tcPr>
            <w:tcW w:w="678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50"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一、安全质量指标</w:t>
            </w: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50"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重大突破指标、严重：造成事实、导致后果的，1次</w:t>
            </w: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50"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一般：未造成事实、未导致后果的，连续30日内≧3次</w:t>
            </w: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7850" w:type="dxa"/>
            <w:gridSpan w:val="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轻微：未造成事实、未导致后果的，连续30日内≦2次</w:t>
            </w:r>
          </w:p>
        </w:tc>
        <w:tc>
          <w:tcPr>
            <w:tcW w:w="3539"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3546" w:type="dxa"/>
            <w:gridSpan w:val="4"/>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二、管理指标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3546" w:type="dxa"/>
            <w:gridSpan w:val="4"/>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重大或突破指标、严重、未建立或管理混乱、没有：违反且造成后果的，1次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1389" w:type="dxa"/>
            <w:gridSpan w:val="3"/>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一般：不完善，不具备：违反但未造成后果的，连续30日内≧3次</w:t>
            </w:r>
          </w:p>
        </w:tc>
        <w:tc>
          <w:tcPr>
            <w:tcW w:w="2157" w:type="dxa"/>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3546" w:type="dxa"/>
            <w:gridSpan w:val="4"/>
            <w:tcBorders>
              <w:top w:val="nil"/>
              <w:left w:val="nil"/>
              <w:bottom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轻微：违反但未造成后果的，连续30日内≦2次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2"/>
                <w:szCs w:val="22"/>
                <w:u w:val="none"/>
                <w:lang w:val="en-US" w:eastAsia="zh-CN" w:bidi="ar"/>
              </w:rPr>
            </w:pPr>
          </w:p>
        </w:tc>
        <w:tc>
          <w:tcPr>
            <w:tcW w:w="13546" w:type="dxa"/>
            <w:gridSpan w:val="4"/>
            <w:vMerge w:val="restart"/>
            <w:tcBorders>
              <w:top w:val="nil"/>
              <w:left w:val="nil"/>
              <w:right w:val="nil"/>
            </w:tcBorders>
            <w:shd w:val="clear" w:color="auto" w:fill="auto"/>
            <w:vAlign w:val="center"/>
          </w:tcPr>
          <w:p>
            <w:pPr>
              <w:jc w:val="left"/>
              <w:rPr>
                <w:rFonts w:hint="eastAsia" w:asciiTheme="minorEastAsia" w:hAnsiTheme="minorEastAsia" w:eastAsiaTheme="minorEastAsia" w:cstheme="minorEastAsia"/>
                <w:i w:val="0"/>
                <w:iCs w:val="0"/>
                <w:color w:val="000000"/>
                <w:kern w:val="0"/>
                <w:sz w:val="22"/>
                <w:szCs w:val="22"/>
                <w:u w:val="none"/>
                <w:lang w:val="en-US" w:eastAsia="zh-CN" w:bidi="ar"/>
              </w:rPr>
            </w:pPr>
            <w:r>
              <w:rPr>
                <w:rFonts w:hint="eastAsia" w:asciiTheme="minorEastAsia" w:hAnsiTheme="minorEastAsia" w:eastAsiaTheme="minorEastAsia" w:cstheme="minorEastAsia"/>
                <w:i w:val="0"/>
                <w:iCs w:val="0"/>
                <w:color w:val="000000"/>
                <w:kern w:val="0"/>
                <w:sz w:val="22"/>
                <w:szCs w:val="22"/>
                <w:u w:val="none"/>
                <w:lang w:val="en-US" w:eastAsia="zh-CN" w:bidi="ar"/>
              </w:rPr>
              <w:t>三、日常操作</w:t>
            </w:r>
          </w:p>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严重：导致严重后果的，影响范围扩大到集团公司层级及以上的，达1次</w:t>
            </w:r>
          </w:p>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较重：导致较重后果的，影响范围扩大到公司层级的，达1次</w:t>
            </w:r>
          </w:p>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一般：导致后果的，影响范围控制在部门层级的，达1次</w:t>
            </w:r>
          </w:p>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轻微：未造成后果，但违反相关规定，1分/次</w:t>
            </w:r>
          </w:p>
          <w:p>
            <w:pPr>
              <w:jc w:val="left"/>
              <w:rPr>
                <w:rFonts w:hint="eastAsia" w:asciiTheme="minorEastAsia" w:hAnsiTheme="minorEastAsia" w:eastAsiaTheme="minorEastAsia" w:cstheme="minorEastAsia"/>
                <w:i w:val="0"/>
                <w:iCs w:val="0"/>
                <w:color w:val="000000"/>
                <w:sz w:val="22"/>
                <w:szCs w:val="22"/>
                <w:u w:val="none"/>
              </w:rPr>
            </w:pPr>
            <w:r>
              <w:rPr>
                <w:rFonts w:hint="eastAsia" w:asciiTheme="minorEastAsia" w:hAnsiTheme="minorEastAsia" w:eastAsiaTheme="minorEastAsia" w:cstheme="minorEastAsia"/>
                <w:i w:val="0"/>
                <w:iCs w:val="0"/>
                <w:color w:val="000000"/>
                <w:kern w:val="0"/>
                <w:sz w:val="22"/>
                <w:szCs w:val="22"/>
                <w:u w:val="none"/>
                <w:lang w:val="en-US" w:eastAsia="zh-CN" w:bidi="ar"/>
              </w:rPr>
              <w:t>以上扣分标准均在一个考核周期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13546" w:type="dxa"/>
            <w:gridSpan w:val="4"/>
            <w:vMerge w:val="continue"/>
            <w:tcBorders>
              <w:left w:val="nil"/>
              <w:right w:val="nil"/>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13546" w:type="dxa"/>
            <w:gridSpan w:val="4"/>
            <w:vMerge w:val="continue"/>
            <w:tcBorders>
              <w:left w:val="nil"/>
              <w:right w:val="nil"/>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13546" w:type="dxa"/>
            <w:gridSpan w:val="4"/>
            <w:vMerge w:val="continue"/>
            <w:tcBorders>
              <w:left w:val="nil"/>
              <w:right w:val="nil"/>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13546" w:type="dxa"/>
            <w:gridSpan w:val="4"/>
            <w:vMerge w:val="continue"/>
            <w:tcBorders>
              <w:left w:val="nil"/>
              <w:right w:val="nil"/>
            </w:tcBorders>
            <w:shd w:val="clear" w:color="auto" w:fill="auto"/>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1" w:type="dxa"/>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13546" w:type="dxa"/>
            <w:gridSpan w:val="4"/>
            <w:vMerge w:val="continue"/>
            <w:tcBorders>
              <w:left w:val="nil"/>
              <w:bottom w:val="nil"/>
              <w:right w:val="nil"/>
            </w:tcBorders>
            <w:shd w:val="clear" w:color="auto" w:fill="auto"/>
            <w:vAlign w:val="center"/>
          </w:tcPr>
          <w:p>
            <w:pPr>
              <w:jc w:val="left"/>
              <w:rPr>
                <w:rFonts w:hint="eastAsia" w:ascii="宋体" w:hAnsi="宋体" w:eastAsia="宋体" w:cs="宋体"/>
                <w:i w:val="0"/>
                <w:iCs w:val="0"/>
                <w:color w:val="000000"/>
                <w:sz w:val="22"/>
                <w:szCs w:val="22"/>
                <w:u w:val="none"/>
              </w:rPr>
            </w:pPr>
          </w:p>
        </w:tc>
      </w:tr>
    </w:tbl>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sectPr>
          <w:pgSz w:w="16838" w:h="11906" w:orient="landscape"/>
          <w:pgMar w:top="1463" w:right="1157" w:bottom="1463" w:left="1157" w:header="851" w:footer="992" w:gutter="0"/>
          <w:pgNumType w:fmt="decimal"/>
          <w:cols w:space="425" w:num="1"/>
          <w:docGrid w:type="lines" w:linePitch="312" w:charSpace="0"/>
        </w:sectPr>
      </w:pPr>
      <w:r>
        <w:rPr>
          <w:rFonts w:hint="eastAsia"/>
          <w:lang w:val="en-US" w:eastAsia="zh-CN"/>
        </w:rPr>
        <w:br w:type="page"/>
      </w:r>
    </w:p>
    <w:p>
      <w:pPr>
        <w:rPr>
          <w:b/>
          <w:sz w:val="24"/>
          <w:szCs w:val="22"/>
        </w:rPr>
      </w:pPr>
      <w:r>
        <w:rPr>
          <w:rFonts w:hint="eastAsia"/>
          <w:b/>
          <w:sz w:val="24"/>
          <w:szCs w:val="22"/>
        </w:rPr>
        <w:t>附件</w:t>
      </w:r>
      <w:r>
        <w:rPr>
          <w:rFonts w:hint="eastAsia"/>
          <w:b/>
          <w:sz w:val="24"/>
          <w:szCs w:val="22"/>
          <w:lang w:val="en-US" w:eastAsia="zh-CN"/>
        </w:rPr>
        <w:t>四</w:t>
      </w:r>
      <w:r>
        <w:rPr>
          <w:rFonts w:hint="eastAsia"/>
          <w:b/>
          <w:sz w:val="24"/>
          <w:szCs w:val="22"/>
        </w:rPr>
        <w:t>：</w:t>
      </w:r>
    </w:p>
    <w:p>
      <w:pPr>
        <w:widowControl/>
        <w:adjustRightInd w:val="0"/>
        <w:snapToGrid w:val="0"/>
        <w:jc w:val="center"/>
        <w:rPr>
          <w:rFonts w:ascii="宋体" w:hAnsi="宋体"/>
          <w:b/>
          <w:sz w:val="40"/>
        </w:rPr>
      </w:pPr>
      <w:r>
        <w:rPr>
          <w:rFonts w:hint="eastAsia"/>
          <w:b/>
          <w:sz w:val="32"/>
        </w:rPr>
        <w:t>重庆空港航空地面服务有限公司</w:t>
      </w:r>
    </w:p>
    <w:p>
      <w:pPr>
        <w:widowControl/>
        <w:adjustRightInd w:val="0"/>
        <w:snapToGrid w:val="0"/>
        <w:jc w:val="center"/>
        <w:rPr>
          <w:b/>
          <w:sz w:val="32"/>
        </w:rPr>
      </w:pPr>
      <w:r>
        <w:rPr>
          <w:rFonts w:hint="eastAsia"/>
          <w:b/>
          <w:sz w:val="32"/>
        </w:rPr>
        <w:t>外包业务监督检查扣减报告表</w:t>
      </w:r>
    </w:p>
    <w:p>
      <w:pPr>
        <w:widowControl/>
        <w:adjustRightInd w:val="0"/>
        <w:snapToGrid w:val="0"/>
        <w:rPr>
          <w:rFonts w:ascii="宋体" w:hAnsi="宋体"/>
          <w:sz w:val="28"/>
          <w:szCs w:val="28"/>
        </w:rPr>
      </w:pPr>
      <w:r>
        <w:rPr>
          <w:rFonts w:hint="eastAsia" w:ascii="宋体" w:hAnsi="宋体"/>
          <w:sz w:val="28"/>
          <w:szCs w:val="28"/>
        </w:rPr>
        <w:t>填报部门：</w:t>
      </w:r>
      <w:r>
        <w:rPr>
          <w:rFonts w:hint="eastAsia" w:ascii="仿宋_GB2312" w:eastAsia="仿宋_GB2312"/>
          <w:sz w:val="32"/>
          <w:szCs w:val="32"/>
        </w:rPr>
        <w:t xml:space="preserve">                               </w:t>
      </w:r>
      <w:r>
        <w:rPr>
          <w:rFonts w:hint="eastAsia" w:ascii="宋体" w:hAnsi="宋体"/>
          <w:sz w:val="28"/>
          <w:szCs w:val="28"/>
        </w:rPr>
        <w:t>填报日期：</w:t>
      </w:r>
    </w:p>
    <w:tbl>
      <w:tblPr>
        <w:tblStyle w:val="16"/>
        <w:tblW w:w="95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823"/>
        <w:gridCol w:w="1331"/>
        <w:gridCol w:w="1276"/>
        <w:gridCol w:w="1080"/>
        <w:gridCol w:w="1080"/>
        <w:gridCol w:w="1800"/>
        <w:gridCol w:w="1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83" w:type="dxa"/>
            <w:gridSpan w:val="2"/>
            <w:vAlign w:val="center"/>
          </w:tcPr>
          <w:p>
            <w:pPr>
              <w:widowControl/>
              <w:adjustRightInd w:val="0"/>
              <w:snapToGrid w:val="0"/>
              <w:jc w:val="center"/>
              <w:rPr>
                <w:rFonts w:ascii="仿宋_GB2312" w:eastAsia="仿宋_GB2312"/>
                <w:sz w:val="32"/>
                <w:szCs w:val="32"/>
              </w:rPr>
            </w:pPr>
            <w:r>
              <w:rPr>
                <w:rFonts w:hint="eastAsia" w:ascii="宋体" w:hAnsi="宋体"/>
                <w:sz w:val="28"/>
                <w:szCs w:val="28"/>
              </w:rPr>
              <w:t>单  位</w:t>
            </w:r>
          </w:p>
        </w:tc>
        <w:tc>
          <w:tcPr>
            <w:tcW w:w="2607" w:type="dxa"/>
            <w:gridSpan w:val="2"/>
            <w:vAlign w:val="center"/>
          </w:tcPr>
          <w:p>
            <w:pPr>
              <w:widowControl/>
              <w:adjustRightInd w:val="0"/>
              <w:snapToGrid w:val="0"/>
              <w:jc w:val="center"/>
              <w:rPr>
                <w:rFonts w:ascii="仿宋_GB2312" w:eastAsia="仿宋_GB2312"/>
                <w:sz w:val="32"/>
                <w:szCs w:val="32"/>
              </w:rPr>
            </w:pPr>
          </w:p>
        </w:tc>
        <w:tc>
          <w:tcPr>
            <w:tcW w:w="1080" w:type="dxa"/>
            <w:vAlign w:val="center"/>
          </w:tcPr>
          <w:p>
            <w:pPr>
              <w:widowControl/>
              <w:adjustRightInd w:val="0"/>
              <w:snapToGrid w:val="0"/>
              <w:jc w:val="center"/>
              <w:rPr>
                <w:rFonts w:ascii="宋体" w:hAnsi="宋体"/>
                <w:sz w:val="28"/>
                <w:szCs w:val="28"/>
              </w:rPr>
            </w:pPr>
            <w:r>
              <w:rPr>
                <w:rFonts w:hint="eastAsia" w:ascii="宋体" w:hAnsi="宋体"/>
                <w:sz w:val="28"/>
                <w:szCs w:val="28"/>
              </w:rPr>
              <w:t>岗位</w:t>
            </w:r>
          </w:p>
        </w:tc>
        <w:tc>
          <w:tcPr>
            <w:tcW w:w="1080" w:type="dxa"/>
            <w:vAlign w:val="center"/>
          </w:tcPr>
          <w:p>
            <w:pPr>
              <w:widowControl/>
              <w:adjustRightInd w:val="0"/>
              <w:snapToGrid w:val="0"/>
              <w:jc w:val="center"/>
              <w:rPr>
                <w:rFonts w:ascii="仿宋_GB2312" w:eastAsia="仿宋_GB2312"/>
                <w:sz w:val="32"/>
                <w:szCs w:val="32"/>
              </w:rPr>
            </w:pPr>
          </w:p>
        </w:tc>
        <w:tc>
          <w:tcPr>
            <w:tcW w:w="1800" w:type="dxa"/>
            <w:vAlign w:val="center"/>
          </w:tcPr>
          <w:p>
            <w:pPr>
              <w:widowControl/>
              <w:adjustRightInd w:val="0"/>
              <w:snapToGrid w:val="0"/>
              <w:jc w:val="center"/>
              <w:rPr>
                <w:rFonts w:ascii="仿宋_GB2312" w:eastAsia="仿宋_GB2312"/>
                <w:sz w:val="32"/>
                <w:szCs w:val="32"/>
              </w:rPr>
            </w:pPr>
            <w:r>
              <w:rPr>
                <w:rFonts w:hint="eastAsia" w:ascii="宋体" w:hAnsi="宋体"/>
                <w:sz w:val="28"/>
                <w:szCs w:val="28"/>
              </w:rPr>
              <w:t>发生时间</w:t>
            </w:r>
          </w:p>
        </w:tc>
        <w:tc>
          <w:tcPr>
            <w:tcW w:w="1466" w:type="dxa"/>
            <w:vAlign w:val="center"/>
          </w:tcPr>
          <w:p>
            <w:pPr>
              <w:widowControl/>
              <w:adjustRightInd w:val="0"/>
              <w:snapToGrid w:val="0"/>
              <w:jc w:val="center"/>
              <w:rPr>
                <w:rFonts w:ascii="仿宋_GB2312"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483" w:type="dxa"/>
            <w:gridSpan w:val="2"/>
            <w:vAlign w:val="center"/>
          </w:tcPr>
          <w:p>
            <w:pPr>
              <w:widowControl/>
              <w:adjustRightInd w:val="0"/>
              <w:snapToGrid w:val="0"/>
              <w:jc w:val="center"/>
              <w:rPr>
                <w:rFonts w:ascii="宋体" w:hAnsi="宋体"/>
                <w:sz w:val="28"/>
                <w:szCs w:val="28"/>
              </w:rPr>
            </w:pPr>
            <w:r>
              <w:rPr>
                <w:rFonts w:hint="eastAsia" w:ascii="宋体" w:hAnsi="宋体"/>
                <w:sz w:val="28"/>
                <w:szCs w:val="28"/>
              </w:rPr>
              <w:t>责任人</w:t>
            </w:r>
          </w:p>
        </w:tc>
        <w:tc>
          <w:tcPr>
            <w:tcW w:w="2607" w:type="dxa"/>
            <w:gridSpan w:val="2"/>
            <w:vAlign w:val="center"/>
          </w:tcPr>
          <w:p>
            <w:pPr>
              <w:widowControl/>
              <w:adjustRightInd w:val="0"/>
              <w:snapToGrid w:val="0"/>
              <w:jc w:val="center"/>
              <w:rPr>
                <w:rFonts w:ascii="宋体" w:hAnsi="宋体"/>
                <w:sz w:val="28"/>
                <w:szCs w:val="28"/>
              </w:rPr>
            </w:pPr>
          </w:p>
        </w:tc>
        <w:tc>
          <w:tcPr>
            <w:tcW w:w="1080" w:type="dxa"/>
            <w:vAlign w:val="center"/>
          </w:tcPr>
          <w:p>
            <w:pPr>
              <w:widowControl/>
              <w:adjustRightInd w:val="0"/>
              <w:snapToGrid w:val="0"/>
              <w:jc w:val="center"/>
              <w:rPr>
                <w:rFonts w:ascii="仿宋_GB2312" w:eastAsia="仿宋_GB2312"/>
                <w:sz w:val="32"/>
                <w:szCs w:val="32"/>
              </w:rPr>
            </w:pPr>
            <w:r>
              <w:rPr>
                <w:rFonts w:hint="eastAsia" w:ascii="宋体" w:hAnsi="宋体"/>
                <w:sz w:val="28"/>
                <w:szCs w:val="28"/>
              </w:rPr>
              <w:t>性别</w:t>
            </w:r>
          </w:p>
        </w:tc>
        <w:tc>
          <w:tcPr>
            <w:tcW w:w="1080" w:type="dxa"/>
            <w:vAlign w:val="center"/>
          </w:tcPr>
          <w:p>
            <w:pPr>
              <w:widowControl/>
              <w:adjustRightInd w:val="0"/>
              <w:snapToGrid w:val="0"/>
              <w:jc w:val="center"/>
              <w:rPr>
                <w:rFonts w:ascii="仿宋_GB2312" w:eastAsia="仿宋_GB2312"/>
                <w:sz w:val="32"/>
                <w:szCs w:val="32"/>
              </w:rPr>
            </w:pPr>
          </w:p>
        </w:tc>
        <w:tc>
          <w:tcPr>
            <w:tcW w:w="1800" w:type="dxa"/>
            <w:vAlign w:val="center"/>
          </w:tcPr>
          <w:p>
            <w:pPr>
              <w:widowControl/>
              <w:adjustRightInd w:val="0"/>
              <w:snapToGrid w:val="0"/>
              <w:jc w:val="center"/>
              <w:rPr>
                <w:rFonts w:ascii="宋体" w:hAnsi="宋体"/>
                <w:sz w:val="28"/>
                <w:szCs w:val="28"/>
              </w:rPr>
            </w:pPr>
            <w:r>
              <w:rPr>
                <w:rFonts w:hint="eastAsia" w:ascii="宋体" w:hAnsi="宋体"/>
                <w:sz w:val="28"/>
                <w:szCs w:val="28"/>
              </w:rPr>
              <w:t>员工号</w:t>
            </w:r>
          </w:p>
        </w:tc>
        <w:tc>
          <w:tcPr>
            <w:tcW w:w="1466" w:type="dxa"/>
            <w:vAlign w:val="center"/>
          </w:tcPr>
          <w:p>
            <w:pPr>
              <w:widowControl/>
              <w:adjustRightInd w:val="0"/>
              <w:snapToGrid w:val="0"/>
              <w:jc w:val="center"/>
              <w:rPr>
                <w:rFonts w:ascii="仿宋_GB2312"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atLeast"/>
          <w:jc w:val="center"/>
        </w:trPr>
        <w:tc>
          <w:tcPr>
            <w:tcW w:w="660" w:type="dxa"/>
            <w:vMerge w:val="restart"/>
            <w:vAlign w:val="center"/>
          </w:tcPr>
          <w:p>
            <w:pPr>
              <w:widowControl/>
              <w:adjustRightInd w:val="0"/>
              <w:snapToGrid w:val="0"/>
              <w:jc w:val="center"/>
              <w:rPr>
                <w:rFonts w:ascii="宋体" w:hAnsi="宋体"/>
                <w:sz w:val="28"/>
                <w:szCs w:val="28"/>
              </w:rPr>
            </w:pPr>
            <w:r>
              <w:rPr>
                <w:rFonts w:hint="eastAsia" w:ascii="宋体" w:hAnsi="宋体"/>
                <w:sz w:val="28"/>
                <w:szCs w:val="28"/>
              </w:rPr>
              <w:t>扣分事实记录</w:t>
            </w:r>
          </w:p>
        </w:tc>
        <w:tc>
          <w:tcPr>
            <w:tcW w:w="8856" w:type="dxa"/>
            <w:gridSpan w:val="7"/>
          </w:tcPr>
          <w:p>
            <w:pPr>
              <w:widowControl/>
              <w:adjustRightInd w:val="0"/>
              <w:snapToGrid w:val="0"/>
              <w:rPr>
                <w:rFonts w:ascii="仿宋_GB2312" w:eastAsia="仿宋_GB2312"/>
                <w:sz w:val="32"/>
                <w:szCs w:val="32"/>
              </w:rPr>
            </w:pPr>
          </w:p>
          <w:p>
            <w:pPr>
              <w:widowControl/>
              <w:tabs>
                <w:tab w:val="left" w:pos="5820"/>
              </w:tabs>
              <w:adjustRightInd w:val="0"/>
              <w:snapToGrid w:val="0"/>
              <w:rPr>
                <w:rFonts w:ascii="仿宋_GB2312" w:eastAsia="仿宋_GB2312"/>
                <w:sz w:val="32"/>
                <w:szCs w:val="32"/>
              </w:rPr>
            </w:pPr>
            <w:r>
              <w:rPr>
                <w:rFonts w:ascii="仿宋_GB2312" w:eastAsia="仿宋_GB2312"/>
                <w:sz w:val="32"/>
                <w:szCs w:val="32"/>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60" w:type="dxa"/>
            <w:vMerge w:val="continue"/>
          </w:tcPr>
          <w:p>
            <w:pPr>
              <w:widowControl/>
              <w:adjustRightInd w:val="0"/>
              <w:snapToGrid w:val="0"/>
              <w:jc w:val="center"/>
              <w:rPr>
                <w:rFonts w:ascii="仿宋_GB2312" w:eastAsia="仿宋_GB2312"/>
                <w:sz w:val="32"/>
                <w:szCs w:val="32"/>
              </w:rPr>
            </w:pPr>
          </w:p>
        </w:tc>
        <w:tc>
          <w:tcPr>
            <w:tcW w:w="8856" w:type="dxa"/>
            <w:gridSpan w:val="7"/>
          </w:tcPr>
          <w:p>
            <w:pPr>
              <w:widowControl/>
              <w:adjustRightInd w:val="0"/>
              <w:snapToGrid w:val="0"/>
              <w:spacing w:before="63" w:beforeLines="20"/>
              <w:rPr>
                <w:rFonts w:ascii="宋体" w:hAnsi="宋体"/>
                <w:w w:val="80"/>
                <w:sz w:val="28"/>
                <w:szCs w:val="28"/>
                <w:u w:val="single"/>
              </w:rPr>
            </w:pPr>
            <w:r>
              <w:rPr>
                <w:rFonts w:hint="eastAsia" w:ascii="宋体" w:hAnsi="宋体"/>
                <w:w w:val="80"/>
                <w:sz w:val="28"/>
                <w:szCs w:val="28"/>
              </w:rPr>
              <w:t>事实认可：</w:t>
            </w:r>
            <w:r>
              <w:rPr>
                <w:rFonts w:hint="eastAsia" w:ascii="宋体" w:hAnsi="宋体"/>
                <w:sz w:val="28"/>
                <w:szCs w:val="28"/>
              </w:rPr>
              <w:t>□</w:t>
            </w:r>
            <w:r>
              <w:rPr>
                <w:rFonts w:hint="eastAsia" w:ascii="宋体" w:hAnsi="宋体"/>
                <w:w w:val="80"/>
                <w:sz w:val="28"/>
                <w:szCs w:val="28"/>
              </w:rPr>
              <w:t>认可  □不认可，要求重新调查。   责任人确认（签字）：</w:t>
            </w:r>
            <w:r>
              <w:rPr>
                <w:rFonts w:hint="eastAsia" w:ascii="宋体" w:hAnsi="宋体"/>
                <w:w w:val="80"/>
                <w:sz w:val="28"/>
                <w:szCs w:val="28"/>
                <w:u w:val="single"/>
              </w:rPr>
              <w:t xml:space="preserve">         </w:t>
            </w:r>
          </w:p>
          <w:p>
            <w:pPr>
              <w:widowControl/>
              <w:adjustRightInd w:val="0"/>
              <w:snapToGrid w:val="0"/>
              <w:rPr>
                <w:rFonts w:ascii="宋体" w:hAnsi="宋体"/>
                <w:sz w:val="28"/>
                <w:szCs w:val="28"/>
              </w:rPr>
            </w:pPr>
            <w:r>
              <w:rPr>
                <w:rFonts w:hint="eastAsia" w:ascii="宋体" w:hAnsi="宋体"/>
                <w:sz w:val="28"/>
                <w:szCs w:val="28"/>
              </w:rPr>
              <w:t>填报人：</w:t>
            </w:r>
            <w:r>
              <w:rPr>
                <w:rFonts w:hint="eastAsia" w:ascii="宋体" w:hAnsi="宋体"/>
                <w:sz w:val="28"/>
                <w:szCs w:val="28"/>
                <w:u w:val="single"/>
              </w:rPr>
              <w:t xml:space="preserve">         </w:t>
            </w:r>
            <w:r>
              <w:rPr>
                <w:rFonts w:hint="eastAsia" w:ascii="宋体" w:hAnsi="宋体"/>
                <w:sz w:val="28"/>
                <w:szCs w:val="28"/>
              </w:rPr>
              <w:t xml:space="preserve"> 调查人：</w:t>
            </w:r>
            <w:r>
              <w:rPr>
                <w:rFonts w:hint="eastAsia" w:ascii="宋体" w:hAnsi="宋体"/>
                <w:sz w:val="28"/>
                <w:szCs w:val="28"/>
                <w:u w:val="single"/>
              </w:rPr>
              <w:t xml:space="preserve">           </w:t>
            </w:r>
            <w:r>
              <w:rPr>
                <w:rFonts w:hint="eastAsia" w:ascii="宋体" w:hAnsi="宋体"/>
                <w:sz w:val="28"/>
                <w:szCs w:val="28"/>
              </w:rPr>
              <w:t>证明人：</w:t>
            </w:r>
            <w:r>
              <w:rPr>
                <w:rFonts w:hint="eastAsia" w:ascii="宋体" w:hAnsi="宋体"/>
                <w:sz w:val="28"/>
                <w:szCs w:val="28"/>
                <w:u w:val="single"/>
              </w:rPr>
              <w:t xml:space="preserve">               </w:t>
            </w:r>
            <w:r>
              <w:rPr>
                <w:rFonts w:hint="eastAsia" w:ascii="宋体" w:hAnsi="宋体"/>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660" w:type="dxa"/>
            <w:vMerge w:val="restart"/>
            <w:vAlign w:val="center"/>
          </w:tcPr>
          <w:p>
            <w:pPr>
              <w:widowControl/>
              <w:adjustRightInd w:val="0"/>
              <w:snapToGrid w:val="0"/>
              <w:jc w:val="center"/>
              <w:rPr>
                <w:rFonts w:ascii="仿宋_GB2312" w:eastAsia="仿宋_GB2312"/>
                <w:sz w:val="32"/>
                <w:szCs w:val="32"/>
              </w:rPr>
            </w:pPr>
            <w:r>
              <w:rPr>
                <w:rFonts w:hint="eastAsia" w:ascii="宋体" w:hAnsi="宋体"/>
                <w:sz w:val="28"/>
                <w:szCs w:val="28"/>
              </w:rPr>
              <w:t>扣分意见</w:t>
            </w:r>
          </w:p>
        </w:tc>
        <w:tc>
          <w:tcPr>
            <w:tcW w:w="8856" w:type="dxa"/>
            <w:gridSpan w:val="7"/>
          </w:tcPr>
          <w:p>
            <w:pPr>
              <w:widowControl/>
              <w:adjustRightInd w:val="0"/>
              <w:snapToGrid w:val="0"/>
              <w:rPr>
                <w:rFonts w:ascii="仿宋_GB2312" w:eastAsia="仿宋_GB2312"/>
                <w:sz w:val="32"/>
                <w:szCs w:val="32"/>
              </w:rPr>
            </w:pPr>
            <w:r>
              <w:rPr>
                <w:rFonts w:hint="eastAsia" w:ascii="宋体" w:hAnsi="宋体"/>
                <w:sz w:val="28"/>
                <w:szCs w:val="28"/>
              </w:rPr>
              <w:t>扣减依据：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660" w:type="dxa"/>
            <w:vMerge w:val="continue"/>
          </w:tcPr>
          <w:p>
            <w:pPr>
              <w:widowControl/>
              <w:adjustRightInd w:val="0"/>
              <w:snapToGrid w:val="0"/>
              <w:jc w:val="center"/>
              <w:rPr>
                <w:rFonts w:ascii="仿宋_GB2312" w:eastAsia="仿宋_GB2312"/>
                <w:sz w:val="32"/>
                <w:szCs w:val="32"/>
              </w:rPr>
            </w:pPr>
          </w:p>
        </w:tc>
        <w:tc>
          <w:tcPr>
            <w:tcW w:w="8856" w:type="dxa"/>
            <w:gridSpan w:val="7"/>
          </w:tcPr>
          <w:p>
            <w:pPr>
              <w:widowControl/>
              <w:adjustRightInd w:val="0"/>
              <w:snapToGrid w:val="0"/>
              <w:rPr>
                <w:rFonts w:ascii="仿宋_GB2312" w:eastAsia="仿宋_GB2312"/>
                <w:sz w:val="32"/>
                <w:szCs w:val="32"/>
              </w:rPr>
            </w:pPr>
            <w:r>
              <w:rPr>
                <w:rFonts w:hint="eastAsia" w:ascii="宋体" w:hAnsi="宋体"/>
                <w:sz w:val="28"/>
                <w:szCs w:val="28"/>
              </w:rPr>
              <w:t>扣减分值：</w:t>
            </w:r>
            <w:r>
              <w:rPr>
                <w:rFonts w:hint="eastAsia" w:ascii="宋体" w:hAnsi="宋体"/>
                <w:sz w:val="28"/>
                <w:szCs w:val="28"/>
                <w:u w:val="single"/>
              </w:rPr>
              <w:t xml:space="preserve">      </w:t>
            </w:r>
            <w:r>
              <w:rPr>
                <w:rFonts w:hint="eastAsia" w:ascii="宋体" w:hAnsi="宋体"/>
                <w:sz w:val="28"/>
                <w:szCs w:val="28"/>
              </w:rPr>
              <w:t>分。意见：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60" w:type="dxa"/>
            <w:vMerge w:val="continue"/>
          </w:tcPr>
          <w:p>
            <w:pPr>
              <w:widowControl/>
              <w:adjustRightInd w:val="0"/>
              <w:snapToGrid w:val="0"/>
              <w:jc w:val="center"/>
              <w:rPr>
                <w:rFonts w:ascii="仿宋_GB2312" w:eastAsia="仿宋_GB2312"/>
                <w:sz w:val="32"/>
                <w:szCs w:val="32"/>
              </w:rPr>
            </w:pPr>
          </w:p>
        </w:tc>
        <w:tc>
          <w:tcPr>
            <w:tcW w:w="8856" w:type="dxa"/>
            <w:gridSpan w:val="7"/>
          </w:tcPr>
          <w:p>
            <w:pPr>
              <w:widowControl/>
              <w:adjustRightInd w:val="0"/>
              <w:snapToGrid w:val="0"/>
              <w:rPr>
                <w:rFonts w:ascii="宋体" w:hAnsi="宋体"/>
                <w:w w:val="80"/>
                <w:sz w:val="28"/>
                <w:szCs w:val="28"/>
              </w:rPr>
            </w:pPr>
            <w:r>
              <w:rPr>
                <w:rFonts w:hint="eastAsia" w:ascii="宋体" w:hAnsi="宋体"/>
                <w:w w:val="80"/>
                <w:sz w:val="28"/>
                <w:szCs w:val="28"/>
              </w:rPr>
              <w:t>责任单位负责人签字：</w:t>
            </w:r>
            <w:r>
              <w:rPr>
                <w:rFonts w:hint="eastAsia" w:ascii="宋体" w:hAnsi="宋体"/>
                <w:w w:val="80"/>
                <w:sz w:val="28"/>
                <w:szCs w:val="28"/>
                <w:u w:val="single"/>
              </w:rPr>
              <w:t xml:space="preserve">             </w:t>
            </w:r>
            <w:r>
              <w:rPr>
                <w:rFonts w:hint="eastAsia" w:ascii="宋体" w:hAnsi="宋体"/>
                <w:w w:val="80"/>
                <w:sz w:val="28"/>
                <w:szCs w:val="28"/>
              </w:rPr>
              <w:t xml:space="preserve">           责任人确认（签字）：</w:t>
            </w:r>
            <w:r>
              <w:rPr>
                <w:rFonts w:hint="eastAsia" w:ascii="宋体" w:hAnsi="宋体"/>
                <w:w w:val="80"/>
                <w:sz w:val="28"/>
                <w:szCs w:val="28"/>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exact"/>
          <w:jc w:val="center"/>
        </w:trPr>
        <w:tc>
          <w:tcPr>
            <w:tcW w:w="660" w:type="dxa"/>
            <w:vMerge w:val="restart"/>
            <w:vAlign w:val="center"/>
          </w:tcPr>
          <w:p>
            <w:pPr>
              <w:widowControl/>
              <w:adjustRightInd w:val="0"/>
              <w:snapToGrid w:val="0"/>
              <w:jc w:val="center"/>
              <w:rPr>
                <w:rFonts w:ascii="宋体" w:hAnsi="宋体"/>
                <w:w w:val="80"/>
                <w:sz w:val="28"/>
                <w:szCs w:val="28"/>
              </w:rPr>
            </w:pPr>
            <w:r>
              <w:rPr>
                <w:rFonts w:hint="eastAsia" w:ascii="宋体" w:hAnsi="宋体"/>
                <w:w w:val="80"/>
                <w:sz w:val="28"/>
                <w:szCs w:val="28"/>
              </w:rPr>
              <w:t>审核审批意见</w:t>
            </w:r>
          </w:p>
        </w:tc>
        <w:tc>
          <w:tcPr>
            <w:tcW w:w="2154" w:type="dxa"/>
            <w:gridSpan w:val="2"/>
            <w:vAlign w:val="center"/>
          </w:tcPr>
          <w:p>
            <w:pPr>
              <w:widowControl/>
              <w:adjustRightInd w:val="0"/>
              <w:snapToGrid w:val="0"/>
              <w:jc w:val="center"/>
              <w:rPr>
                <w:rFonts w:ascii="宋体" w:hAnsi="宋体"/>
                <w:sz w:val="28"/>
                <w:szCs w:val="28"/>
              </w:rPr>
            </w:pPr>
            <w:r>
              <w:rPr>
                <w:rFonts w:hint="eastAsia" w:ascii="宋体" w:hAnsi="宋体"/>
                <w:w w:val="80"/>
                <w:sz w:val="28"/>
                <w:szCs w:val="28"/>
              </w:rPr>
              <w:t>业务监管部门</w:t>
            </w:r>
          </w:p>
        </w:tc>
        <w:tc>
          <w:tcPr>
            <w:tcW w:w="6702" w:type="dxa"/>
            <w:gridSpan w:val="5"/>
            <w:vAlign w:val="center"/>
          </w:tcPr>
          <w:p>
            <w:pPr>
              <w:widowControl/>
              <w:tabs>
                <w:tab w:val="left" w:pos="8090"/>
              </w:tabs>
              <w:adjustRightInd w:val="0"/>
              <w:snapToGrid w:val="0"/>
              <w:ind w:right="277" w:rightChars="132" w:firstLine="4256" w:firstLineChars="1900"/>
              <w:jc w:val="center"/>
              <w:rPr>
                <w:rFonts w:ascii="仿宋_GB2312" w:eastAsia="仿宋_GB2312"/>
                <w:sz w:val="32"/>
                <w:szCs w:val="32"/>
              </w:rPr>
            </w:pPr>
            <w:r>
              <w:rPr>
                <w:rFonts w:hint="eastAsia" w:ascii="宋体" w:hAnsi="宋体"/>
                <w:w w:val="80"/>
                <w:sz w:val="28"/>
                <w:szCs w:val="2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660" w:type="dxa"/>
            <w:vMerge w:val="continue"/>
          </w:tcPr>
          <w:p>
            <w:pPr>
              <w:widowControl/>
              <w:adjustRightInd w:val="0"/>
              <w:snapToGrid w:val="0"/>
              <w:jc w:val="center"/>
              <w:rPr>
                <w:rFonts w:ascii="宋体" w:hAnsi="宋体"/>
                <w:sz w:val="28"/>
                <w:szCs w:val="28"/>
              </w:rPr>
            </w:pPr>
          </w:p>
        </w:tc>
        <w:tc>
          <w:tcPr>
            <w:tcW w:w="2154" w:type="dxa"/>
            <w:gridSpan w:val="2"/>
            <w:vAlign w:val="center"/>
          </w:tcPr>
          <w:p>
            <w:pPr>
              <w:widowControl/>
              <w:adjustRightInd w:val="0"/>
              <w:snapToGrid w:val="0"/>
              <w:jc w:val="center"/>
              <w:rPr>
                <w:rFonts w:ascii="宋体" w:hAnsi="宋体"/>
                <w:w w:val="80"/>
                <w:sz w:val="28"/>
                <w:szCs w:val="28"/>
              </w:rPr>
            </w:pPr>
            <w:r>
              <w:rPr>
                <w:rFonts w:hint="eastAsia" w:ascii="宋体" w:hAnsi="宋体"/>
                <w:w w:val="80"/>
                <w:sz w:val="28"/>
                <w:szCs w:val="28"/>
              </w:rPr>
              <w:t>运行标准部</w:t>
            </w:r>
          </w:p>
        </w:tc>
        <w:tc>
          <w:tcPr>
            <w:tcW w:w="6702" w:type="dxa"/>
            <w:gridSpan w:val="5"/>
            <w:vAlign w:val="center"/>
          </w:tcPr>
          <w:p>
            <w:pPr>
              <w:widowControl/>
              <w:tabs>
                <w:tab w:val="left" w:pos="8090"/>
              </w:tabs>
              <w:adjustRightInd w:val="0"/>
              <w:snapToGrid w:val="0"/>
              <w:ind w:right="277" w:rightChars="132" w:firstLine="4256" w:firstLineChars="1900"/>
              <w:jc w:val="center"/>
              <w:rPr>
                <w:rFonts w:ascii="宋体" w:hAnsi="宋体"/>
                <w:w w:val="80"/>
                <w:sz w:val="28"/>
                <w:szCs w:val="28"/>
              </w:rPr>
            </w:pPr>
            <w:r>
              <w:rPr>
                <w:rFonts w:hint="eastAsia" w:ascii="宋体" w:hAnsi="宋体"/>
                <w:w w:val="80"/>
                <w:sz w:val="28"/>
                <w:szCs w:val="2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660" w:type="dxa"/>
            <w:vMerge w:val="continue"/>
          </w:tcPr>
          <w:p>
            <w:pPr>
              <w:widowControl/>
              <w:adjustRightInd w:val="0"/>
              <w:snapToGrid w:val="0"/>
              <w:jc w:val="center"/>
              <w:rPr>
                <w:rFonts w:ascii="宋体" w:hAnsi="宋体"/>
                <w:sz w:val="28"/>
                <w:szCs w:val="28"/>
              </w:rPr>
            </w:pPr>
          </w:p>
        </w:tc>
        <w:tc>
          <w:tcPr>
            <w:tcW w:w="2154" w:type="dxa"/>
            <w:gridSpan w:val="2"/>
            <w:vAlign w:val="center"/>
          </w:tcPr>
          <w:p>
            <w:pPr>
              <w:widowControl/>
              <w:adjustRightInd w:val="0"/>
              <w:snapToGrid w:val="0"/>
              <w:jc w:val="center"/>
              <w:rPr>
                <w:rFonts w:ascii="宋体" w:hAnsi="宋体"/>
                <w:w w:val="80"/>
                <w:sz w:val="28"/>
                <w:szCs w:val="28"/>
              </w:rPr>
            </w:pPr>
            <w:r>
              <w:rPr>
                <w:rFonts w:hint="eastAsia" w:ascii="宋体" w:hAnsi="宋体"/>
                <w:w w:val="80"/>
                <w:sz w:val="28"/>
                <w:szCs w:val="28"/>
              </w:rPr>
              <w:t>业务归口管理部门</w:t>
            </w:r>
          </w:p>
        </w:tc>
        <w:tc>
          <w:tcPr>
            <w:tcW w:w="6702" w:type="dxa"/>
            <w:gridSpan w:val="5"/>
            <w:vAlign w:val="center"/>
          </w:tcPr>
          <w:p>
            <w:pPr>
              <w:widowControl/>
              <w:tabs>
                <w:tab w:val="left" w:pos="8090"/>
              </w:tabs>
              <w:adjustRightInd w:val="0"/>
              <w:snapToGrid w:val="0"/>
              <w:ind w:right="277" w:rightChars="132" w:firstLine="4256" w:firstLineChars="1900"/>
              <w:jc w:val="center"/>
              <w:rPr>
                <w:rFonts w:ascii="宋体" w:hAnsi="宋体"/>
                <w:w w:val="80"/>
                <w:sz w:val="28"/>
                <w:szCs w:val="28"/>
              </w:rPr>
            </w:pPr>
            <w:r>
              <w:rPr>
                <w:rFonts w:hint="eastAsia" w:ascii="宋体" w:hAnsi="宋体"/>
                <w:w w:val="80"/>
                <w:sz w:val="28"/>
                <w:szCs w:val="2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660" w:type="dxa"/>
            <w:vMerge w:val="continue"/>
          </w:tcPr>
          <w:p>
            <w:pPr>
              <w:widowControl/>
              <w:adjustRightInd w:val="0"/>
              <w:snapToGrid w:val="0"/>
              <w:jc w:val="center"/>
              <w:rPr>
                <w:rFonts w:ascii="宋体" w:hAnsi="宋体"/>
                <w:w w:val="80"/>
                <w:sz w:val="28"/>
                <w:szCs w:val="28"/>
              </w:rPr>
            </w:pPr>
          </w:p>
        </w:tc>
        <w:tc>
          <w:tcPr>
            <w:tcW w:w="2154" w:type="dxa"/>
            <w:gridSpan w:val="2"/>
            <w:vAlign w:val="center"/>
          </w:tcPr>
          <w:p>
            <w:pPr>
              <w:widowControl/>
              <w:adjustRightInd w:val="0"/>
              <w:snapToGrid w:val="0"/>
              <w:jc w:val="center"/>
              <w:rPr>
                <w:rFonts w:ascii="宋体" w:hAnsi="宋体"/>
                <w:w w:val="80"/>
                <w:sz w:val="28"/>
                <w:szCs w:val="28"/>
              </w:rPr>
            </w:pPr>
            <w:r>
              <w:rPr>
                <w:rFonts w:hint="eastAsia" w:ascii="宋体" w:hAnsi="宋体"/>
                <w:w w:val="80"/>
                <w:sz w:val="28"/>
                <w:szCs w:val="28"/>
              </w:rPr>
              <w:t>分管领导</w:t>
            </w:r>
          </w:p>
        </w:tc>
        <w:tc>
          <w:tcPr>
            <w:tcW w:w="6702" w:type="dxa"/>
            <w:gridSpan w:val="5"/>
            <w:vAlign w:val="center"/>
          </w:tcPr>
          <w:p>
            <w:pPr>
              <w:widowControl/>
              <w:tabs>
                <w:tab w:val="left" w:pos="8090"/>
              </w:tabs>
              <w:adjustRightInd w:val="0"/>
              <w:snapToGrid w:val="0"/>
              <w:ind w:right="277" w:rightChars="132" w:firstLine="4256" w:firstLineChars="1900"/>
              <w:jc w:val="center"/>
              <w:rPr>
                <w:rFonts w:ascii="宋体" w:hAnsi="宋体"/>
                <w:w w:val="80"/>
                <w:sz w:val="28"/>
                <w:szCs w:val="28"/>
              </w:rPr>
            </w:pPr>
            <w:r>
              <w:rPr>
                <w:rFonts w:hint="eastAsia" w:ascii="宋体" w:hAnsi="宋体"/>
                <w:w w:val="80"/>
                <w:sz w:val="28"/>
                <w:szCs w:val="28"/>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660" w:type="dxa"/>
            <w:vMerge w:val="continue"/>
          </w:tcPr>
          <w:p>
            <w:pPr>
              <w:widowControl/>
              <w:adjustRightInd w:val="0"/>
              <w:snapToGrid w:val="0"/>
              <w:jc w:val="center"/>
              <w:rPr>
                <w:rFonts w:ascii="宋体" w:hAnsi="宋体"/>
                <w:w w:val="80"/>
                <w:sz w:val="28"/>
                <w:szCs w:val="28"/>
              </w:rPr>
            </w:pPr>
          </w:p>
        </w:tc>
        <w:tc>
          <w:tcPr>
            <w:tcW w:w="2154" w:type="dxa"/>
            <w:gridSpan w:val="2"/>
            <w:vAlign w:val="center"/>
          </w:tcPr>
          <w:p>
            <w:pPr>
              <w:widowControl/>
              <w:adjustRightInd w:val="0"/>
              <w:snapToGrid w:val="0"/>
              <w:jc w:val="center"/>
              <w:rPr>
                <w:rFonts w:hint="eastAsia" w:ascii="宋体" w:hAnsi="宋体" w:eastAsia="宋体"/>
                <w:w w:val="80"/>
                <w:sz w:val="28"/>
                <w:szCs w:val="28"/>
                <w:lang w:val="en-US" w:eastAsia="zh-CN"/>
              </w:rPr>
            </w:pPr>
            <w:r>
              <w:rPr>
                <w:rFonts w:hint="eastAsia" w:ascii="宋体" w:hAnsi="宋体"/>
                <w:w w:val="80"/>
                <w:sz w:val="28"/>
                <w:szCs w:val="28"/>
                <w:lang w:val="en-US" w:eastAsia="zh-CN"/>
              </w:rPr>
              <w:t>董事长</w:t>
            </w:r>
          </w:p>
        </w:tc>
        <w:tc>
          <w:tcPr>
            <w:tcW w:w="6702" w:type="dxa"/>
            <w:gridSpan w:val="5"/>
            <w:vAlign w:val="center"/>
          </w:tcPr>
          <w:p>
            <w:pPr>
              <w:widowControl/>
              <w:tabs>
                <w:tab w:val="left" w:pos="8090"/>
              </w:tabs>
              <w:adjustRightInd w:val="0"/>
              <w:snapToGrid w:val="0"/>
              <w:ind w:right="277" w:rightChars="132" w:firstLine="4256" w:firstLineChars="1900"/>
              <w:jc w:val="center"/>
              <w:rPr>
                <w:rFonts w:ascii="宋体" w:hAnsi="宋体"/>
                <w:w w:val="80"/>
                <w:sz w:val="28"/>
                <w:szCs w:val="28"/>
              </w:rPr>
            </w:pPr>
            <w:r>
              <w:rPr>
                <w:rFonts w:hint="eastAsia" w:ascii="宋体" w:hAnsi="宋体"/>
                <w:w w:val="80"/>
                <w:sz w:val="28"/>
                <w:szCs w:val="28"/>
              </w:rPr>
              <w:t>签字：</w:t>
            </w:r>
          </w:p>
        </w:tc>
      </w:tr>
    </w:tbl>
    <w:p>
      <w:pPr>
        <w:widowControl/>
        <w:adjustRightInd w:val="0"/>
        <w:snapToGrid w:val="0"/>
        <w:ind w:left="-540" w:leftChars="-257" w:firstLine="780" w:firstLineChars="500"/>
        <w:rPr>
          <w:rFonts w:ascii="黑体" w:hAnsi="宋体" w:eastAsia="黑体"/>
          <w:spacing w:val="-6"/>
          <w:w w:val="80"/>
          <w:szCs w:val="21"/>
        </w:rPr>
      </w:pPr>
    </w:p>
    <w:p>
      <w:pPr>
        <w:widowControl/>
        <w:adjustRightInd w:val="0"/>
        <w:snapToGrid w:val="0"/>
        <w:ind w:left="-540" w:leftChars="-257"/>
        <w:rPr>
          <w:rFonts w:ascii="黑体" w:hAnsi="宋体" w:eastAsia="黑体"/>
          <w:spacing w:val="-6"/>
          <w:w w:val="80"/>
          <w:szCs w:val="21"/>
        </w:rPr>
      </w:pPr>
      <w:r>
        <w:rPr>
          <w:rFonts w:hint="eastAsia" w:ascii="黑体" w:hAnsi="宋体" w:eastAsia="黑体"/>
          <w:spacing w:val="-6"/>
          <w:w w:val="80"/>
          <w:szCs w:val="21"/>
        </w:rPr>
        <w:t>填报说明：1、“扣分事实记录”一栏首次填报时由报告部门填写，如责任人对事实签字认可，调查人和证明人可不填。如因责任人对事实不认可或审核审批时认为与事实有出入，由地服公司与承包单位进行重新调查时，调查人须签字。如经调查责任人还不认可事实的，可由证明人签字证实。2、“扣减分值及意意见”栏原则上由提出报告部门根据规定提出意见，如相关规定不明确或审核审批认为处理不恰当需重新处理的，由责任职能部门填写。3、“审核审批意见”按程序和权限进行审核或审批。4、如需重新调查或处理时可另启表填写，违纪实事记录填不下时可另附页，其它证明材料作为本表附件。5、本表原件一份，经审批后由监管部门留存，复印件送达相关职能部门、责任单位。</w:t>
      </w:r>
    </w:p>
    <w:p>
      <w:pPr>
        <w:widowControl/>
        <w:adjustRightInd w:val="0"/>
        <w:snapToGrid w:val="0"/>
        <w:rPr>
          <w:lang w:val="zh-CN"/>
        </w:rPr>
        <w:sectPr>
          <w:pgSz w:w="11905" w:h="16838"/>
          <w:pgMar w:top="1440" w:right="1803" w:bottom="1440" w:left="1803" w:header="850" w:footer="992" w:gutter="0"/>
          <w:cols w:space="720" w:num="1"/>
          <w:docGrid w:type="lines" w:linePitch="319" w:charSpace="0"/>
        </w:sectPr>
      </w:pPr>
    </w:p>
    <w:tbl>
      <w:tblPr>
        <w:tblStyle w:val="16"/>
        <w:tblW w:w="9388" w:type="dxa"/>
        <w:jc w:val="center"/>
        <w:tblLayout w:type="fixed"/>
        <w:tblCellMar>
          <w:top w:w="15" w:type="dxa"/>
          <w:left w:w="15" w:type="dxa"/>
          <w:bottom w:w="15" w:type="dxa"/>
          <w:right w:w="15" w:type="dxa"/>
        </w:tblCellMar>
      </w:tblPr>
      <w:tblGrid>
        <w:gridCol w:w="495"/>
        <w:gridCol w:w="1005"/>
        <w:gridCol w:w="613"/>
        <w:gridCol w:w="347"/>
        <w:gridCol w:w="840"/>
        <w:gridCol w:w="765"/>
        <w:gridCol w:w="870"/>
        <w:gridCol w:w="825"/>
        <w:gridCol w:w="1858"/>
        <w:gridCol w:w="331"/>
        <w:gridCol w:w="1439"/>
      </w:tblGrid>
      <w:tr>
        <w:tblPrEx>
          <w:tblCellMar>
            <w:top w:w="15" w:type="dxa"/>
            <w:left w:w="15" w:type="dxa"/>
            <w:bottom w:w="15" w:type="dxa"/>
            <w:right w:w="15" w:type="dxa"/>
          </w:tblCellMar>
        </w:tblPrEx>
        <w:trPr>
          <w:trHeight w:val="660" w:hRule="atLeast"/>
          <w:jc w:val="center"/>
        </w:trPr>
        <w:tc>
          <w:tcPr>
            <w:tcW w:w="9388" w:type="dxa"/>
            <w:gridSpan w:val="11"/>
            <w:vAlign w:val="center"/>
          </w:tcPr>
          <w:p>
            <w:pPr>
              <w:widowControl/>
              <w:textAlignment w:val="center"/>
              <w:rPr>
                <w:rFonts w:ascii="黑体" w:hAnsi="宋体" w:eastAsia="黑体" w:cs="黑体"/>
                <w:b/>
                <w:sz w:val="36"/>
                <w:szCs w:val="36"/>
              </w:rPr>
            </w:pPr>
            <w:r>
              <w:rPr>
                <w:rFonts w:hint="eastAsia"/>
                <w:b/>
                <w:sz w:val="28"/>
              </w:rPr>
              <w:t>附件</w:t>
            </w:r>
            <w:r>
              <w:rPr>
                <w:rFonts w:hint="eastAsia"/>
                <w:b/>
                <w:sz w:val="28"/>
                <w:lang w:val="en-US" w:eastAsia="zh-CN"/>
              </w:rPr>
              <w:t>五</w:t>
            </w:r>
            <w:r>
              <w:rPr>
                <w:rFonts w:hint="eastAsia"/>
                <w:b/>
                <w:sz w:val="28"/>
              </w:rPr>
              <w:t>：</w:t>
            </w:r>
            <w:r>
              <w:rPr>
                <w:rFonts w:hint="eastAsia" w:ascii="黑体" w:hAnsi="宋体" w:eastAsia="黑体" w:cs="黑体"/>
                <w:b/>
                <w:kern w:val="0"/>
                <w:sz w:val="36"/>
                <w:szCs w:val="36"/>
              </w:rPr>
              <w:t xml:space="preserve">       重庆空港航空地面服务有限公司</w:t>
            </w:r>
          </w:p>
        </w:tc>
      </w:tr>
      <w:tr>
        <w:tblPrEx>
          <w:tblCellMar>
            <w:top w:w="15" w:type="dxa"/>
            <w:left w:w="15" w:type="dxa"/>
            <w:bottom w:w="15" w:type="dxa"/>
            <w:right w:w="15" w:type="dxa"/>
          </w:tblCellMar>
        </w:tblPrEx>
        <w:trPr>
          <w:trHeight w:val="630" w:hRule="atLeast"/>
          <w:jc w:val="center"/>
        </w:trPr>
        <w:tc>
          <w:tcPr>
            <w:tcW w:w="9388" w:type="dxa"/>
            <w:gridSpan w:val="11"/>
            <w:tcBorders>
              <w:bottom w:val="single" w:color="000000" w:sz="4" w:space="0"/>
            </w:tcBorders>
          </w:tcPr>
          <w:p>
            <w:pPr>
              <w:widowControl/>
              <w:jc w:val="center"/>
              <w:textAlignment w:val="top"/>
              <w:rPr>
                <w:rFonts w:ascii="黑体" w:hAnsi="宋体" w:eastAsia="黑体" w:cs="黑体"/>
                <w:b/>
                <w:sz w:val="36"/>
                <w:szCs w:val="36"/>
              </w:rPr>
            </w:pPr>
            <w:r>
              <w:rPr>
                <w:rFonts w:hint="eastAsia" w:ascii="黑体" w:hAnsi="宋体" w:eastAsia="黑体" w:cs="黑体"/>
                <w:b/>
                <w:kern w:val="0"/>
                <w:sz w:val="36"/>
                <w:szCs w:val="36"/>
              </w:rPr>
              <w:t xml:space="preserve"> 外包业务整改通知及反馈表</w:t>
            </w:r>
          </w:p>
        </w:tc>
      </w:tr>
      <w:tr>
        <w:tblPrEx>
          <w:tblCellMar>
            <w:top w:w="15" w:type="dxa"/>
            <w:left w:w="15" w:type="dxa"/>
            <w:bottom w:w="15" w:type="dxa"/>
            <w:right w:w="15" w:type="dxa"/>
          </w:tblCellMar>
        </w:tblPrEx>
        <w:trPr>
          <w:trHeight w:val="600" w:hRule="atLeast"/>
          <w:jc w:val="center"/>
        </w:trPr>
        <w:tc>
          <w:tcPr>
            <w:tcW w:w="2113"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责任单位</w:t>
            </w:r>
          </w:p>
        </w:tc>
        <w:tc>
          <w:tcPr>
            <w:tcW w:w="1952" w:type="dxa"/>
            <w:gridSpan w:val="3"/>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c>
          <w:tcPr>
            <w:tcW w:w="87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编号</w:t>
            </w:r>
          </w:p>
        </w:tc>
        <w:tc>
          <w:tcPr>
            <w:tcW w:w="825" w:type="dxa"/>
            <w:tcBorders>
              <w:top w:val="single" w:color="000000" w:sz="4" w:space="0"/>
              <w:left w:val="single" w:color="000000" w:sz="4" w:space="0"/>
              <w:bottom w:val="single" w:color="000000" w:sz="4" w:space="0"/>
              <w:right w:val="single" w:color="000000" w:sz="4" w:space="0"/>
            </w:tcBorders>
          </w:tcPr>
          <w:p>
            <w:pPr>
              <w:jc w:val="center"/>
              <w:rPr>
                <w:b/>
                <w:sz w:val="24"/>
              </w:rPr>
            </w:pPr>
          </w:p>
        </w:tc>
        <w:tc>
          <w:tcPr>
            <w:tcW w:w="185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整改项目</w:t>
            </w:r>
          </w:p>
        </w:tc>
        <w:tc>
          <w:tcPr>
            <w:tcW w:w="1770" w:type="dxa"/>
            <w:gridSpan w:val="2"/>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r>
      <w:tr>
        <w:tblPrEx>
          <w:tblCellMar>
            <w:top w:w="15" w:type="dxa"/>
            <w:left w:w="15" w:type="dxa"/>
            <w:bottom w:w="15" w:type="dxa"/>
            <w:right w:w="15" w:type="dxa"/>
          </w:tblCellMar>
        </w:tblPrEx>
        <w:trPr>
          <w:trHeight w:val="704" w:hRule="atLeast"/>
          <w:jc w:val="center"/>
        </w:trPr>
        <w:tc>
          <w:tcPr>
            <w:tcW w:w="49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整改通知</w:t>
            </w:r>
          </w:p>
        </w:tc>
        <w:tc>
          <w:tcPr>
            <w:tcW w:w="161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现状描述</w:t>
            </w:r>
          </w:p>
        </w:tc>
        <w:tc>
          <w:tcPr>
            <w:tcW w:w="7275" w:type="dxa"/>
            <w:gridSpan w:val="8"/>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r>
      <w:tr>
        <w:tblPrEx>
          <w:tblCellMar>
            <w:top w:w="15" w:type="dxa"/>
            <w:left w:w="15" w:type="dxa"/>
            <w:bottom w:w="15" w:type="dxa"/>
            <w:right w:w="15" w:type="dxa"/>
          </w:tblCellMar>
        </w:tblPrEx>
        <w:trPr>
          <w:trHeight w:val="711"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61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整改要求</w:t>
            </w:r>
          </w:p>
        </w:tc>
        <w:tc>
          <w:tcPr>
            <w:tcW w:w="7275" w:type="dxa"/>
            <w:gridSpan w:val="8"/>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r>
      <w:tr>
        <w:tblPrEx>
          <w:tblCellMar>
            <w:top w:w="15" w:type="dxa"/>
            <w:left w:w="15" w:type="dxa"/>
            <w:bottom w:w="15" w:type="dxa"/>
            <w:right w:w="15" w:type="dxa"/>
          </w:tblCellMar>
        </w:tblPrEx>
        <w:trPr>
          <w:trHeight w:val="540"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61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时间要求</w:t>
            </w:r>
          </w:p>
        </w:tc>
        <w:tc>
          <w:tcPr>
            <w:tcW w:w="7275" w:type="dxa"/>
            <w:gridSpan w:val="8"/>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r>
      <w:tr>
        <w:tblPrEx>
          <w:tblCellMar>
            <w:top w:w="15" w:type="dxa"/>
            <w:left w:w="15" w:type="dxa"/>
            <w:bottom w:w="15" w:type="dxa"/>
            <w:right w:w="15" w:type="dxa"/>
          </w:tblCellMar>
        </w:tblPrEx>
        <w:trPr>
          <w:trHeight w:val="1092"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5265" w:type="dxa"/>
            <w:gridSpan w:val="7"/>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sz w:val="24"/>
              </w:rPr>
            </w:pPr>
            <w:r>
              <w:rPr>
                <w:rFonts w:hint="eastAsia" w:ascii="宋体" w:hAnsi="宋体" w:cs="宋体"/>
                <w:b/>
                <w:kern w:val="0"/>
                <w:sz w:val="24"/>
              </w:rPr>
              <w:t>部门签发人</w:t>
            </w:r>
            <w:r>
              <w:rPr>
                <w:rStyle w:val="48"/>
                <w:rFonts w:hint="default"/>
              </w:rPr>
              <w:t>（提出单位盖章）</w:t>
            </w:r>
            <w:r>
              <w:rPr>
                <w:rStyle w:val="47"/>
                <w:rFonts w:hint="default"/>
              </w:rPr>
              <w:t>：</w:t>
            </w:r>
          </w:p>
        </w:tc>
        <w:tc>
          <w:tcPr>
            <w:tcW w:w="218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签发时间</w:t>
            </w:r>
          </w:p>
        </w:tc>
        <w:tc>
          <w:tcPr>
            <w:tcW w:w="14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r>
      <w:tr>
        <w:tblPrEx>
          <w:tblCellMar>
            <w:top w:w="15" w:type="dxa"/>
            <w:left w:w="15" w:type="dxa"/>
            <w:bottom w:w="15" w:type="dxa"/>
            <w:right w:w="15" w:type="dxa"/>
          </w:tblCellMar>
        </w:tblPrEx>
        <w:trPr>
          <w:trHeight w:val="615"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kern w:val="0"/>
                <w:sz w:val="20"/>
              </w:rPr>
              <w:t>承包商</w:t>
            </w:r>
            <w:r>
              <w:rPr>
                <w:rFonts w:hint="eastAsia" w:ascii="宋体" w:hAnsi="宋体" w:cs="宋体"/>
                <w:b/>
                <w:kern w:val="0"/>
                <w:sz w:val="20"/>
              </w:rPr>
              <w:br w:type="textWrapping"/>
            </w:r>
            <w:r>
              <w:rPr>
                <w:rFonts w:hint="eastAsia" w:ascii="宋体" w:hAnsi="宋体" w:cs="宋体"/>
                <w:b/>
                <w:kern w:val="0"/>
                <w:sz w:val="20"/>
              </w:rPr>
              <w:t>接收人</w:t>
            </w:r>
          </w:p>
        </w:tc>
        <w:tc>
          <w:tcPr>
            <w:tcW w:w="4260" w:type="dxa"/>
            <w:gridSpan w:val="6"/>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218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接收时间</w:t>
            </w:r>
          </w:p>
        </w:tc>
        <w:tc>
          <w:tcPr>
            <w:tcW w:w="14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0"/>
              </w:rPr>
            </w:pPr>
          </w:p>
        </w:tc>
      </w:tr>
      <w:tr>
        <w:tblPrEx>
          <w:tblCellMar>
            <w:top w:w="15" w:type="dxa"/>
            <w:left w:w="15" w:type="dxa"/>
            <w:bottom w:w="15" w:type="dxa"/>
            <w:right w:w="15" w:type="dxa"/>
          </w:tblCellMar>
        </w:tblPrEx>
        <w:trPr>
          <w:trHeight w:val="1085" w:hRule="atLeast"/>
          <w:jc w:val="center"/>
        </w:trPr>
        <w:tc>
          <w:tcPr>
            <w:tcW w:w="49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整改落实</w:t>
            </w: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整改结果描述</w:t>
            </w:r>
          </w:p>
        </w:tc>
        <w:tc>
          <w:tcPr>
            <w:tcW w:w="7888" w:type="dxa"/>
            <w:gridSpan w:val="9"/>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r>
      <w:tr>
        <w:tblPrEx>
          <w:tblCellMar>
            <w:top w:w="15" w:type="dxa"/>
            <w:left w:w="15" w:type="dxa"/>
            <w:bottom w:w="15" w:type="dxa"/>
            <w:right w:w="15" w:type="dxa"/>
          </w:tblCellMar>
        </w:tblPrEx>
        <w:trPr>
          <w:trHeight w:val="1260"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5265" w:type="dxa"/>
            <w:gridSpan w:val="7"/>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sz w:val="24"/>
              </w:rPr>
            </w:pPr>
            <w:r>
              <w:rPr>
                <w:rFonts w:hint="eastAsia" w:ascii="宋体" w:hAnsi="宋体" w:cs="宋体"/>
                <w:b/>
                <w:kern w:val="0"/>
                <w:sz w:val="24"/>
              </w:rPr>
              <w:t xml:space="preserve">承包商负责人签字                              </w:t>
            </w:r>
            <w:r>
              <w:rPr>
                <w:rStyle w:val="48"/>
                <w:rFonts w:hint="default"/>
              </w:rPr>
              <w:t>（单位盖章）</w:t>
            </w:r>
            <w:r>
              <w:rPr>
                <w:rStyle w:val="44"/>
              </w:rPr>
              <w:t>：</w:t>
            </w:r>
          </w:p>
        </w:tc>
        <w:tc>
          <w:tcPr>
            <w:tcW w:w="218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反馈时间</w:t>
            </w:r>
          </w:p>
        </w:tc>
        <w:tc>
          <w:tcPr>
            <w:tcW w:w="14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r>
      <w:tr>
        <w:tblPrEx>
          <w:tblCellMar>
            <w:top w:w="15" w:type="dxa"/>
            <w:left w:w="15" w:type="dxa"/>
            <w:bottom w:w="15" w:type="dxa"/>
            <w:right w:w="15" w:type="dxa"/>
          </w:tblCellMar>
        </w:tblPrEx>
        <w:trPr>
          <w:trHeight w:val="375" w:hRule="atLeast"/>
          <w:jc w:val="center"/>
        </w:trPr>
        <w:tc>
          <w:tcPr>
            <w:tcW w:w="49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整改评价</w:t>
            </w:r>
          </w:p>
        </w:tc>
        <w:tc>
          <w:tcPr>
            <w:tcW w:w="5265" w:type="dxa"/>
            <w:gridSpan w:val="7"/>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宋体" w:hAnsi="宋体" w:cs="宋体"/>
                <w:b/>
                <w:sz w:val="24"/>
              </w:rPr>
            </w:pPr>
            <w:r>
              <w:rPr>
                <w:rFonts w:hint="eastAsia" w:ascii="宋体" w:hAnsi="宋体" w:cs="宋体"/>
                <w:b/>
                <w:kern w:val="0"/>
                <w:sz w:val="24"/>
              </w:rPr>
              <w:t>提出单位评价整改情况</w:t>
            </w:r>
          </w:p>
        </w:tc>
        <w:tc>
          <w:tcPr>
            <w:tcW w:w="3628" w:type="dxa"/>
            <w:gridSpan w:val="3"/>
            <w:vMerge w:val="restart"/>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b/>
                <w:sz w:val="24"/>
              </w:rPr>
            </w:pPr>
            <w:r>
              <w:rPr>
                <w:rFonts w:hint="eastAsia" w:ascii="宋体" w:hAnsi="宋体" w:cs="宋体"/>
                <w:b/>
                <w:kern w:val="0"/>
                <w:sz w:val="24"/>
              </w:rPr>
              <w:t xml:space="preserve">负责人签字                   </w:t>
            </w:r>
            <w:r>
              <w:rPr>
                <w:rStyle w:val="48"/>
                <w:rFonts w:hint="default"/>
              </w:rPr>
              <w:t>（单位盖章）：</w:t>
            </w:r>
          </w:p>
        </w:tc>
      </w:tr>
      <w:tr>
        <w:tblPrEx>
          <w:tblCellMar>
            <w:top w:w="15" w:type="dxa"/>
            <w:left w:w="15" w:type="dxa"/>
            <w:bottom w:w="15" w:type="dxa"/>
            <w:right w:w="15" w:type="dxa"/>
          </w:tblCellMar>
        </w:tblPrEx>
        <w:trPr>
          <w:trHeight w:val="570"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宋体" w:eastAsia="仿宋_GB2312" w:cs="仿宋_GB2312"/>
                <w:sz w:val="24"/>
              </w:rPr>
            </w:pPr>
            <w:r>
              <w:rPr>
                <w:rFonts w:hint="eastAsia" w:ascii="仿宋_GB2312" w:hAnsi="宋体" w:eastAsia="仿宋_GB2312" w:cs="仿宋_GB2312"/>
                <w:kern w:val="0"/>
                <w:sz w:val="24"/>
              </w:rPr>
              <w:t>整改  效果</w:t>
            </w:r>
          </w:p>
        </w:tc>
        <w:tc>
          <w:tcPr>
            <w:tcW w:w="960" w:type="dxa"/>
            <w:gridSpan w:val="2"/>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效果非常明显</w:t>
            </w:r>
          </w:p>
        </w:tc>
        <w:tc>
          <w:tcPr>
            <w:tcW w:w="840"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效果明显</w:t>
            </w:r>
          </w:p>
        </w:tc>
        <w:tc>
          <w:tcPr>
            <w:tcW w:w="765"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一般</w:t>
            </w:r>
          </w:p>
        </w:tc>
        <w:tc>
          <w:tcPr>
            <w:tcW w:w="870"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效果不明显</w:t>
            </w:r>
          </w:p>
        </w:tc>
        <w:tc>
          <w:tcPr>
            <w:tcW w:w="825"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完全没有效果</w:t>
            </w:r>
          </w:p>
        </w:tc>
        <w:tc>
          <w:tcPr>
            <w:tcW w:w="3628"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b/>
                <w:sz w:val="24"/>
              </w:rPr>
            </w:pPr>
          </w:p>
        </w:tc>
      </w:tr>
      <w:tr>
        <w:tblPrEx>
          <w:tblCellMar>
            <w:top w:w="15" w:type="dxa"/>
            <w:left w:w="15" w:type="dxa"/>
            <w:bottom w:w="15" w:type="dxa"/>
            <w:right w:w="15" w:type="dxa"/>
          </w:tblCellMar>
        </w:tblPrEx>
        <w:trPr>
          <w:trHeight w:val="285"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宋体" w:eastAsia="仿宋_GB2312" w:cs="仿宋_GB2312"/>
                <w:sz w:val="24"/>
              </w:rPr>
            </w:pPr>
          </w:p>
        </w:tc>
        <w:tc>
          <w:tcPr>
            <w:tcW w:w="960" w:type="dxa"/>
            <w:gridSpan w:val="2"/>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40"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765"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70"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25"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3628"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b/>
                <w:sz w:val="24"/>
              </w:rPr>
            </w:pPr>
          </w:p>
        </w:tc>
      </w:tr>
      <w:tr>
        <w:tblPrEx>
          <w:tblCellMar>
            <w:top w:w="15" w:type="dxa"/>
            <w:left w:w="15" w:type="dxa"/>
            <w:bottom w:w="15" w:type="dxa"/>
            <w:right w:w="15" w:type="dxa"/>
          </w:tblCellMar>
        </w:tblPrEx>
        <w:trPr>
          <w:trHeight w:val="570"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_GB2312" w:hAnsi="宋体" w:eastAsia="仿宋_GB2312" w:cs="仿宋_GB2312"/>
                <w:sz w:val="24"/>
              </w:rPr>
            </w:pPr>
            <w:r>
              <w:rPr>
                <w:rFonts w:hint="eastAsia" w:ascii="仿宋_GB2312" w:hAnsi="宋体" w:eastAsia="仿宋_GB2312" w:cs="仿宋_GB2312"/>
                <w:kern w:val="0"/>
                <w:sz w:val="24"/>
              </w:rPr>
              <w:t>响应   时间</w:t>
            </w:r>
          </w:p>
        </w:tc>
        <w:tc>
          <w:tcPr>
            <w:tcW w:w="960" w:type="dxa"/>
            <w:gridSpan w:val="2"/>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3天内</w:t>
            </w:r>
          </w:p>
        </w:tc>
        <w:tc>
          <w:tcPr>
            <w:tcW w:w="840" w:type="dxa"/>
            <w:tcBorders>
              <w:top w:val="single" w:color="000000" w:sz="4" w:space="0"/>
              <w:left w:val="single" w:color="000000" w:sz="4" w:space="0"/>
              <w:bottom w:val="single" w:color="000000" w:sz="4" w:space="0"/>
              <w:right w:val="single" w:color="000000" w:sz="4" w:space="0"/>
            </w:tcBorders>
          </w:tcPr>
          <w:p>
            <w:pPr>
              <w:widowControl/>
              <w:textAlignment w:val="top"/>
              <w:rPr>
                <w:rFonts w:ascii="仿宋_GB2312" w:hAnsi="宋体" w:eastAsia="仿宋_GB2312" w:cs="仿宋_GB2312"/>
                <w:sz w:val="24"/>
              </w:rPr>
            </w:pPr>
            <w:r>
              <w:rPr>
                <w:rFonts w:hint="eastAsia" w:ascii="仿宋_GB2312" w:hAnsi="宋体" w:eastAsia="仿宋_GB2312" w:cs="仿宋_GB2312"/>
                <w:kern w:val="0"/>
                <w:sz w:val="24"/>
              </w:rPr>
              <w:t>5天内</w:t>
            </w:r>
          </w:p>
        </w:tc>
        <w:tc>
          <w:tcPr>
            <w:tcW w:w="765"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一周内</w:t>
            </w:r>
          </w:p>
        </w:tc>
        <w:tc>
          <w:tcPr>
            <w:tcW w:w="870"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超过一周</w:t>
            </w:r>
          </w:p>
        </w:tc>
        <w:tc>
          <w:tcPr>
            <w:tcW w:w="825" w:type="dxa"/>
            <w:tcBorders>
              <w:top w:val="single" w:color="000000" w:sz="4" w:space="0"/>
              <w:left w:val="single" w:color="000000" w:sz="4" w:space="0"/>
              <w:bottom w:val="single" w:color="000000" w:sz="4" w:space="0"/>
              <w:right w:val="single" w:color="000000" w:sz="4" w:space="0"/>
            </w:tcBorders>
          </w:tcPr>
          <w:p>
            <w:pPr>
              <w:widowControl/>
              <w:jc w:val="left"/>
              <w:textAlignment w:val="top"/>
              <w:rPr>
                <w:rFonts w:ascii="仿宋_GB2312" w:hAnsi="宋体" w:eastAsia="仿宋_GB2312" w:cs="仿宋_GB2312"/>
                <w:sz w:val="24"/>
              </w:rPr>
            </w:pPr>
            <w:r>
              <w:rPr>
                <w:rFonts w:hint="eastAsia" w:ascii="仿宋_GB2312" w:hAnsi="宋体" w:eastAsia="仿宋_GB2312" w:cs="仿宋_GB2312"/>
                <w:kern w:val="0"/>
                <w:sz w:val="24"/>
              </w:rPr>
              <w:t>超过两周</w:t>
            </w:r>
          </w:p>
        </w:tc>
        <w:tc>
          <w:tcPr>
            <w:tcW w:w="3628"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b/>
                <w:sz w:val="24"/>
              </w:rPr>
            </w:pPr>
          </w:p>
        </w:tc>
      </w:tr>
      <w:tr>
        <w:tblPrEx>
          <w:tblCellMar>
            <w:top w:w="15" w:type="dxa"/>
            <w:left w:w="15" w:type="dxa"/>
            <w:bottom w:w="15" w:type="dxa"/>
            <w:right w:w="15" w:type="dxa"/>
          </w:tblCellMar>
        </w:tblPrEx>
        <w:trPr>
          <w:trHeight w:val="315"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宋体" w:eastAsia="仿宋_GB2312" w:cs="仿宋_GB2312"/>
                <w:sz w:val="24"/>
              </w:rPr>
            </w:pPr>
          </w:p>
        </w:tc>
        <w:tc>
          <w:tcPr>
            <w:tcW w:w="960" w:type="dxa"/>
            <w:gridSpan w:val="2"/>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40"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765"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70"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825" w:type="dxa"/>
            <w:tcBorders>
              <w:top w:val="single" w:color="000000" w:sz="4" w:space="0"/>
              <w:left w:val="single" w:color="000000" w:sz="4" w:space="0"/>
              <w:bottom w:val="single" w:color="000000" w:sz="4" w:space="0"/>
              <w:right w:val="single" w:color="000000" w:sz="4" w:space="0"/>
            </w:tcBorders>
          </w:tcPr>
          <w:p>
            <w:pPr>
              <w:rPr>
                <w:rFonts w:ascii="仿宋_GB2312" w:hAnsi="宋体" w:eastAsia="仿宋_GB2312" w:cs="仿宋_GB2312"/>
                <w:sz w:val="24"/>
              </w:rPr>
            </w:pPr>
          </w:p>
        </w:tc>
        <w:tc>
          <w:tcPr>
            <w:tcW w:w="3628"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b/>
                <w:sz w:val="24"/>
              </w:rPr>
            </w:pPr>
          </w:p>
        </w:tc>
      </w:tr>
      <w:tr>
        <w:tblPrEx>
          <w:tblCellMar>
            <w:top w:w="15" w:type="dxa"/>
            <w:left w:w="15" w:type="dxa"/>
            <w:bottom w:w="15" w:type="dxa"/>
            <w:right w:w="15" w:type="dxa"/>
          </w:tblCellMar>
        </w:tblPrEx>
        <w:trPr>
          <w:trHeight w:val="754" w:hRule="atLeast"/>
          <w:jc w:val="center"/>
        </w:trPr>
        <w:tc>
          <w:tcPr>
            <w:tcW w:w="4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c>
          <w:tcPr>
            <w:tcW w:w="100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提出单位综合评价</w:t>
            </w:r>
          </w:p>
        </w:tc>
        <w:tc>
          <w:tcPr>
            <w:tcW w:w="4260" w:type="dxa"/>
            <w:gridSpan w:val="6"/>
            <w:tcBorders>
              <w:top w:val="single" w:color="000000" w:sz="4" w:space="0"/>
              <w:left w:val="single" w:color="000000" w:sz="4" w:space="0"/>
              <w:bottom w:val="single" w:color="000000" w:sz="4" w:space="0"/>
              <w:right w:val="single" w:color="000000" w:sz="4" w:space="0"/>
            </w:tcBorders>
          </w:tcPr>
          <w:p>
            <w:pPr>
              <w:jc w:val="center"/>
              <w:rPr>
                <w:rFonts w:ascii="宋体" w:hAnsi="宋体" w:cs="宋体"/>
                <w:b/>
                <w:sz w:val="24"/>
              </w:rPr>
            </w:pPr>
          </w:p>
        </w:tc>
        <w:tc>
          <w:tcPr>
            <w:tcW w:w="218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4"/>
              </w:rPr>
            </w:pPr>
            <w:r>
              <w:rPr>
                <w:rFonts w:hint="eastAsia" w:ascii="宋体" w:hAnsi="宋体" w:cs="宋体"/>
                <w:b/>
                <w:kern w:val="0"/>
                <w:sz w:val="24"/>
              </w:rPr>
              <w:t>评价时间</w:t>
            </w:r>
          </w:p>
        </w:tc>
        <w:tc>
          <w:tcPr>
            <w:tcW w:w="14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4"/>
              </w:rPr>
            </w:pPr>
          </w:p>
        </w:tc>
      </w:tr>
      <w:tr>
        <w:tblPrEx>
          <w:tblCellMar>
            <w:top w:w="15" w:type="dxa"/>
            <w:left w:w="15" w:type="dxa"/>
            <w:bottom w:w="15" w:type="dxa"/>
            <w:right w:w="15" w:type="dxa"/>
          </w:tblCellMar>
        </w:tblPrEx>
        <w:trPr>
          <w:trHeight w:val="285" w:hRule="atLeast"/>
          <w:jc w:val="center"/>
        </w:trPr>
        <w:tc>
          <w:tcPr>
            <w:tcW w:w="9388" w:type="dxa"/>
            <w:gridSpan w:val="11"/>
            <w:vAlign w:val="bottom"/>
          </w:tcPr>
          <w:p>
            <w:pPr>
              <w:widowControl/>
              <w:jc w:val="left"/>
              <w:textAlignment w:val="bottom"/>
              <w:rPr>
                <w:rFonts w:ascii="仿宋_GB2312" w:hAnsi="宋体" w:eastAsia="仿宋_GB2312" w:cs="仿宋_GB2312"/>
                <w:b/>
                <w:sz w:val="24"/>
              </w:rPr>
            </w:pPr>
            <w:r>
              <w:rPr>
                <w:rFonts w:hint="eastAsia" w:ascii="黑体" w:hAnsi="宋体" w:eastAsia="黑体"/>
                <w:spacing w:val="-6"/>
                <w:w w:val="80"/>
                <w:szCs w:val="21"/>
              </w:rPr>
              <w:t>备注：本表原件一份，经审批后由监管部门留存，复印件送达相关职能部门、责任单位</w:t>
            </w:r>
          </w:p>
        </w:tc>
      </w:tr>
    </w:tbl>
    <w:p>
      <w:pPr>
        <w:pStyle w:val="3"/>
        <w:sectPr>
          <w:pgSz w:w="11905" w:h="16838"/>
          <w:pgMar w:top="1440" w:right="1803" w:bottom="1440" w:left="1803" w:header="850" w:footer="992" w:gutter="0"/>
          <w:cols w:space="720" w:num="1"/>
          <w:docGrid w:type="lines" w:linePitch="319" w:charSpace="0"/>
        </w:sectPr>
      </w:pPr>
    </w:p>
    <w:tbl>
      <w:tblPr>
        <w:tblStyle w:val="16"/>
        <w:tblW w:w="9075" w:type="dxa"/>
        <w:jc w:val="center"/>
        <w:tblLayout w:type="fixed"/>
        <w:tblCellMar>
          <w:top w:w="15" w:type="dxa"/>
          <w:left w:w="15" w:type="dxa"/>
          <w:bottom w:w="15" w:type="dxa"/>
          <w:right w:w="15" w:type="dxa"/>
        </w:tblCellMar>
      </w:tblPr>
      <w:tblGrid>
        <w:gridCol w:w="934"/>
        <w:gridCol w:w="2113"/>
        <w:gridCol w:w="1081"/>
        <w:gridCol w:w="1681"/>
        <w:gridCol w:w="1039"/>
        <w:gridCol w:w="1006"/>
        <w:gridCol w:w="699"/>
        <w:gridCol w:w="522"/>
      </w:tblGrid>
      <w:tr>
        <w:tblPrEx>
          <w:tblCellMar>
            <w:top w:w="15" w:type="dxa"/>
            <w:left w:w="15" w:type="dxa"/>
            <w:bottom w:w="15" w:type="dxa"/>
            <w:right w:w="15" w:type="dxa"/>
          </w:tblCellMar>
        </w:tblPrEx>
        <w:trPr>
          <w:trHeight w:val="23" w:hRule="atLeast"/>
          <w:jc w:val="center"/>
        </w:trPr>
        <w:tc>
          <w:tcPr>
            <w:tcW w:w="9075" w:type="dxa"/>
            <w:gridSpan w:val="8"/>
            <w:vAlign w:val="bottom"/>
          </w:tcPr>
          <w:p>
            <w:pPr>
              <w:widowControl/>
              <w:textAlignment w:val="bottom"/>
              <w:rPr>
                <w:rFonts w:ascii="黑体" w:hAnsi="宋体" w:eastAsia="黑体" w:cs="黑体"/>
                <w:b/>
                <w:sz w:val="32"/>
                <w:szCs w:val="32"/>
              </w:rPr>
            </w:pPr>
            <w:r>
              <w:rPr>
                <w:rFonts w:hint="eastAsia"/>
                <w:b/>
                <w:sz w:val="28"/>
              </w:rPr>
              <w:t>附件</w:t>
            </w:r>
            <w:r>
              <w:rPr>
                <w:rFonts w:hint="eastAsia"/>
                <w:b/>
                <w:sz w:val="28"/>
                <w:lang w:val="en-US" w:eastAsia="zh-CN"/>
              </w:rPr>
              <w:t>六</w:t>
            </w:r>
            <w:r>
              <w:rPr>
                <w:rFonts w:hint="eastAsia"/>
                <w:b/>
                <w:sz w:val="28"/>
              </w:rPr>
              <w:t xml:space="preserve">：         </w:t>
            </w:r>
            <w:r>
              <w:rPr>
                <w:rFonts w:hint="eastAsia" w:ascii="黑体" w:hAnsi="宋体" w:eastAsia="黑体" w:cs="黑体"/>
                <w:b/>
                <w:color w:val="000000"/>
                <w:kern w:val="0"/>
                <w:sz w:val="32"/>
                <w:szCs w:val="32"/>
                <w:lang w:bidi="ar"/>
              </w:rPr>
              <w:t>重庆空港航空地面服务有限公司</w:t>
            </w:r>
          </w:p>
        </w:tc>
      </w:tr>
      <w:tr>
        <w:tblPrEx>
          <w:tblCellMar>
            <w:top w:w="15" w:type="dxa"/>
            <w:left w:w="15" w:type="dxa"/>
            <w:bottom w:w="15" w:type="dxa"/>
            <w:right w:w="15" w:type="dxa"/>
          </w:tblCellMar>
        </w:tblPrEx>
        <w:trPr>
          <w:trHeight w:val="23" w:hRule="atLeast"/>
          <w:jc w:val="center"/>
        </w:trPr>
        <w:tc>
          <w:tcPr>
            <w:tcW w:w="9075" w:type="dxa"/>
            <w:gridSpan w:val="8"/>
            <w:vAlign w:val="center"/>
          </w:tcPr>
          <w:p>
            <w:pPr>
              <w:widowControl/>
              <w:jc w:val="center"/>
              <w:textAlignment w:val="center"/>
              <w:rPr>
                <w:rFonts w:ascii="黑体" w:hAnsi="宋体" w:eastAsia="黑体" w:cs="黑体"/>
                <w:b/>
                <w:sz w:val="36"/>
                <w:szCs w:val="36"/>
              </w:rPr>
            </w:pPr>
            <w:r>
              <w:rPr>
                <w:rFonts w:hint="eastAsia" w:ascii="黑体" w:hAnsi="宋体" w:eastAsia="黑体" w:cs="黑体"/>
                <w:b/>
                <w:color w:val="000000"/>
                <w:kern w:val="0"/>
                <w:sz w:val="32"/>
                <w:szCs w:val="32"/>
                <w:lang w:bidi="ar"/>
              </w:rPr>
              <w:t>外包项目绩效考核扣减及承包费汇总表</w:t>
            </w:r>
          </w:p>
        </w:tc>
      </w:tr>
      <w:tr>
        <w:tblPrEx>
          <w:tblCellMar>
            <w:top w:w="15" w:type="dxa"/>
            <w:left w:w="15" w:type="dxa"/>
            <w:bottom w:w="15" w:type="dxa"/>
            <w:right w:w="15" w:type="dxa"/>
          </w:tblCellMar>
        </w:tblPrEx>
        <w:trPr>
          <w:trHeight w:val="23" w:hRule="atLeast"/>
          <w:jc w:val="center"/>
        </w:trPr>
        <w:tc>
          <w:tcPr>
            <w:tcW w:w="6848" w:type="dxa"/>
            <w:gridSpan w:val="5"/>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考核月份：</w:t>
            </w:r>
          </w:p>
        </w:tc>
        <w:tc>
          <w:tcPr>
            <w:tcW w:w="2227" w:type="dxa"/>
            <w:gridSpan w:val="3"/>
            <w:vAlign w:val="center"/>
          </w:tcPr>
          <w:p>
            <w:pPr>
              <w:widowControl/>
              <w:jc w:val="left"/>
              <w:textAlignment w:val="center"/>
            </w:pPr>
            <w:r>
              <w:rPr>
                <w:rFonts w:hint="eastAsia" w:ascii="宋体" w:hAnsi="宋体" w:cs="宋体"/>
                <w:color w:val="000000"/>
                <w:kern w:val="0"/>
                <w:sz w:val="24"/>
                <w:lang w:bidi="ar"/>
              </w:rPr>
              <w:t>填报时间：</w:t>
            </w:r>
          </w:p>
        </w:tc>
      </w:tr>
      <w:tr>
        <w:tblPrEx>
          <w:tblCellMar>
            <w:top w:w="15" w:type="dxa"/>
            <w:left w:w="15" w:type="dxa"/>
            <w:bottom w:w="15" w:type="dxa"/>
            <w:right w:w="15" w:type="dxa"/>
          </w:tblCellMar>
        </w:tblPrEx>
        <w:trPr>
          <w:gridAfter w:val="1"/>
          <w:wAfter w:w="522" w:type="dxa"/>
          <w:trHeight w:val="23" w:hRule="atLeast"/>
          <w:jc w:val="center"/>
        </w:trPr>
        <w:tc>
          <w:tcPr>
            <w:tcW w:w="6848" w:type="dxa"/>
            <w:gridSpan w:val="5"/>
            <w:tcBorders>
              <w:bottom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承包商：</w:t>
            </w:r>
          </w:p>
        </w:tc>
        <w:tc>
          <w:tcPr>
            <w:tcW w:w="1705" w:type="dxa"/>
            <w:gridSpan w:val="2"/>
            <w:tcBorders>
              <w:bottom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填报人(签字):</w:t>
            </w: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序号</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项    目</w:t>
            </w:r>
          </w:p>
        </w:tc>
        <w:tc>
          <w:tcPr>
            <w:tcW w:w="10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金额（元）</w:t>
            </w: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备    注</w:t>
            </w: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1</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应支付承包费总额</w:t>
            </w:r>
          </w:p>
        </w:tc>
        <w:tc>
          <w:tcPr>
            <w:tcW w:w="10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2</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其它应支付金额</w:t>
            </w:r>
          </w:p>
        </w:tc>
        <w:tc>
          <w:tcPr>
            <w:tcW w:w="10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3</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绩效考核扣减金额=(1)×(2)</w:t>
            </w:r>
          </w:p>
        </w:tc>
        <w:tc>
          <w:tcPr>
            <w:tcW w:w="1039"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p>
        </w:tc>
        <w:tc>
          <w:tcPr>
            <w:tcW w:w="2227" w:type="dxa"/>
            <w:gridSpan w:val="3"/>
            <w:vMerge w:val="restart"/>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vMerge w:val="continue"/>
            <w:tcBorders>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3194" w:type="dxa"/>
            <w:gridSpan w:val="2"/>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ascii="宋体" w:hAnsi="宋体" w:cs="宋体"/>
                <w:sz w:val="20"/>
              </w:rPr>
            </w:pPr>
            <w:r>
              <w:rPr>
                <w:rFonts w:hint="eastAsia" w:ascii="宋体" w:hAnsi="宋体" w:cs="宋体"/>
                <w:color w:val="000000"/>
                <w:kern w:val="0"/>
                <w:sz w:val="24"/>
                <w:lang w:bidi="ar"/>
              </w:rPr>
              <w:t>(1)扣减分值</w:t>
            </w:r>
          </w:p>
        </w:tc>
        <w:tc>
          <w:tcPr>
            <w:tcW w:w="1681" w:type="dxa"/>
            <w:tcBorders>
              <w:left w:val="single" w:color="000000" w:sz="4" w:space="0"/>
              <w:bottom w:val="single" w:color="000000" w:sz="4" w:space="0"/>
              <w:right w:val="single" w:color="000000" w:sz="4" w:space="0"/>
            </w:tcBorders>
            <w:vAlign w:val="center"/>
          </w:tcPr>
          <w:p>
            <w:pPr>
              <w:jc w:val="left"/>
              <w:rPr>
                <w:rFonts w:ascii="宋体" w:hAnsi="宋体" w:cs="宋体"/>
                <w:sz w:val="20"/>
              </w:rPr>
            </w:pPr>
          </w:p>
        </w:tc>
        <w:tc>
          <w:tcPr>
            <w:tcW w:w="1039"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center"/>
            </w:pPr>
          </w:p>
        </w:tc>
      </w:tr>
      <w:tr>
        <w:tblPrEx>
          <w:tblCellMar>
            <w:top w:w="15" w:type="dxa"/>
            <w:left w:w="15" w:type="dxa"/>
            <w:bottom w:w="15" w:type="dxa"/>
            <w:right w:w="15" w:type="dxa"/>
          </w:tblCellMar>
        </w:tblPrEx>
        <w:trPr>
          <w:trHeight w:val="454" w:hRule="atLeast"/>
          <w:jc w:val="center"/>
        </w:trPr>
        <w:tc>
          <w:tcPr>
            <w:tcW w:w="934"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3194" w:type="dxa"/>
            <w:gridSpan w:val="2"/>
            <w:tcBorders>
              <w:top w:val="single" w:color="000000" w:sz="4" w:space="0"/>
              <w:left w:val="single" w:color="000000" w:sz="4" w:space="0"/>
              <w:bottom w:val="single" w:color="000000" w:sz="4" w:space="0"/>
              <w:right w:val="single" w:color="000000" w:sz="4" w:space="0"/>
            </w:tcBorders>
            <w:vAlign w:val="center"/>
          </w:tcPr>
          <w:p>
            <w:pPr>
              <w:widowControl/>
              <w:jc w:val="right"/>
              <w:textAlignment w:val="center"/>
              <w:rPr>
                <w:rFonts w:ascii="宋体" w:hAnsi="宋体" w:cs="宋体"/>
                <w:sz w:val="20"/>
              </w:rPr>
            </w:pPr>
            <w:r>
              <w:rPr>
                <w:rFonts w:hint="eastAsia" w:ascii="宋体" w:hAnsi="宋体" w:cs="宋体"/>
                <w:color w:val="000000"/>
                <w:kern w:val="0"/>
                <w:sz w:val="24"/>
                <w:lang w:bidi="ar"/>
              </w:rPr>
              <w:t>(2)绩效基数</w:t>
            </w:r>
          </w:p>
        </w:tc>
        <w:tc>
          <w:tcPr>
            <w:tcW w:w="1681"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p>
        </w:tc>
        <w:tc>
          <w:tcPr>
            <w:tcW w:w="1039"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center"/>
            </w:pP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4</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其它违规违约扣减</w:t>
            </w:r>
          </w:p>
        </w:tc>
        <w:tc>
          <w:tcPr>
            <w:tcW w:w="10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5</w:t>
            </w:r>
          </w:p>
        </w:tc>
        <w:tc>
          <w:tcPr>
            <w:tcW w:w="4875" w:type="dxa"/>
            <w:gridSpan w:val="3"/>
            <w:vMerge w:val="restart"/>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其它应扣费用（办证、培训等）</w:t>
            </w:r>
          </w:p>
        </w:tc>
        <w:tc>
          <w:tcPr>
            <w:tcW w:w="10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4875"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sz w:val="20"/>
              </w:rPr>
            </w:pPr>
          </w:p>
        </w:tc>
        <w:tc>
          <w:tcPr>
            <w:tcW w:w="103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6</w:t>
            </w:r>
          </w:p>
        </w:tc>
        <w:tc>
          <w:tcPr>
            <w:tcW w:w="487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sz w:val="20"/>
              </w:rPr>
            </w:pPr>
            <w:r>
              <w:rPr>
                <w:rFonts w:hint="eastAsia" w:ascii="宋体" w:hAnsi="宋体" w:cs="宋体"/>
                <w:color w:val="000000"/>
                <w:kern w:val="0"/>
                <w:sz w:val="24"/>
                <w:lang w:bidi="ar"/>
              </w:rPr>
              <w:t>实际支付承包费总额={(1+2)-(3+4+5)}*税率</w:t>
            </w:r>
          </w:p>
        </w:tc>
        <w:tc>
          <w:tcPr>
            <w:tcW w:w="103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p>
        </w:tc>
        <w:tc>
          <w:tcPr>
            <w:tcW w:w="222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b/>
                <w:color w:val="000000"/>
                <w:kern w:val="0"/>
                <w:sz w:val="24"/>
                <w:lang w:bidi="ar"/>
              </w:rPr>
              <w:t>其它</w:t>
            </w:r>
            <w:r>
              <w:rPr>
                <w:rFonts w:hint="eastAsia" w:ascii="宋体" w:hAnsi="宋体" w:cs="宋体"/>
                <w:b/>
                <w:color w:val="000000"/>
                <w:kern w:val="0"/>
                <w:sz w:val="24"/>
                <w:lang w:bidi="ar"/>
              </w:rPr>
              <w:br w:type="textWrapping"/>
            </w:r>
            <w:r>
              <w:rPr>
                <w:rFonts w:hint="eastAsia" w:ascii="宋体" w:hAnsi="宋体" w:cs="宋体"/>
                <w:b/>
                <w:color w:val="000000"/>
                <w:kern w:val="0"/>
                <w:sz w:val="24"/>
                <w:lang w:bidi="ar"/>
              </w:rPr>
              <w:t>说明</w:t>
            </w:r>
          </w:p>
        </w:tc>
        <w:tc>
          <w:tcPr>
            <w:tcW w:w="8141" w:type="dxa"/>
            <w:gridSpan w:val="7"/>
            <w:tcBorders>
              <w:top w:val="single" w:color="000000"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304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b/>
                <w:color w:val="000000"/>
                <w:kern w:val="0"/>
                <w:sz w:val="24"/>
                <w:lang w:bidi="ar"/>
              </w:rPr>
              <w:t>承包商负责人签字</w:t>
            </w:r>
          </w:p>
        </w:tc>
        <w:tc>
          <w:tcPr>
            <w:tcW w:w="380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sz w:val="20"/>
              </w:rPr>
            </w:pPr>
          </w:p>
        </w:tc>
        <w:tc>
          <w:tcPr>
            <w:tcW w:w="10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sz w:val="20"/>
              </w:rPr>
            </w:pPr>
            <w:r>
              <w:rPr>
                <w:rFonts w:hint="eastAsia" w:ascii="宋体" w:hAnsi="宋体" w:cs="宋体"/>
                <w:b/>
                <w:color w:val="000000"/>
                <w:kern w:val="0"/>
                <w:sz w:val="24"/>
                <w:lang w:bidi="ar"/>
              </w:rPr>
              <w:t>确认时间</w:t>
            </w:r>
          </w:p>
        </w:tc>
        <w:tc>
          <w:tcPr>
            <w:tcW w:w="1221" w:type="dxa"/>
            <w:gridSpan w:val="2"/>
            <w:tcBorders>
              <w:top w:val="single" w:color="000000" w:sz="4" w:space="0"/>
              <w:left w:val="single" w:color="000000" w:sz="4" w:space="0"/>
              <w:bottom w:val="single" w:color="000000" w:sz="4" w:space="0"/>
              <w:right w:val="single" w:color="000000" w:sz="4" w:space="0"/>
            </w:tcBorders>
            <w:vAlign w:val="center"/>
          </w:tcPr>
          <w:p/>
        </w:tc>
      </w:tr>
      <w:tr>
        <w:tblPrEx>
          <w:tblCellMar>
            <w:top w:w="15" w:type="dxa"/>
            <w:left w:w="15" w:type="dxa"/>
            <w:bottom w:w="15" w:type="dxa"/>
            <w:right w:w="15" w:type="dxa"/>
          </w:tblCellMar>
        </w:tblPrEx>
        <w:trPr>
          <w:trHeight w:val="454" w:hRule="atLeast"/>
          <w:jc w:val="center"/>
        </w:trPr>
        <w:tc>
          <w:tcPr>
            <w:tcW w:w="304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业务监管部门负责人签字</w:t>
            </w:r>
          </w:p>
        </w:tc>
        <w:tc>
          <w:tcPr>
            <w:tcW w:w="380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0"/>
              </w:rPr>
            </w:pPr>
          </w:p>
        </w:tc>
        <w:tc>
          <w:tcPr>
            <w:tcW w:w="10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pPr>
            <w:r>
              <w:rPr>
                <w:rFonts w:hint="eastAsia" w:ascii="宋体" w:hAnsi="宋体" w:cs="宋体"/>
                <w:b/>
                <w:color w:val="000000"/>
                <w:kern w:val="0"/>
                <w:sz w:val="24"/>
                <w:lang w:bidi="ar"/>
              </w:rPr>
              <w:t>确认时间</w:t>
            </w:r>
          </w:p>
        </w:tc>
        <w:tc>
          <w:tcPr>
            <w:tcW w:w="1221" w:type="dxa"/>
            <w:gridSpan w:val="2"/>
            <w:tcBorders>
              <w:top w:val="single" w:color="000000" w:sz="4" w:space="0"/>
              <w:left w:val="single" w:color="000000" w:sz="4" w:space="0"/>
              <w:bottom w:val="single" w:color="000000" w:sz="4" w:space="0"/>
              <w:right w:val="single" w:color="000000" w:sz="4" w:space="0"/>
            </w:tcBorders>
            <w:vAlign w:val="center"/>
          </w:tcPr>
          <w:p/>
        </w:tc>
      </w:tr>
      <w:tr>
        <w:tblPrEx>
          <w:tblCellMar>
            <w:top w:w="15" w:type="dxa"/>
            <w:left w:w="15" w:type="dxa"/>
            <w:bottom w:w="15" w:type="dxa"/>
            <w:right w:w="15" w:type="dxa"/>
          </w:tblCellMar>
        </w:tblPrEx>
        <w:trPr>
          <w:trHeight w:val="454" w:hRule="atLeast"/>
          <w:jc w:val="center"/>
        </w:trPr>
        <w:tc>
          <w:tcPr>
            <w:tcW w:w="304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业务归口部门负责人签字</w:t>
            </w:r>
          </w:p>
        </w:tc>
        <w:tc>
          <w:tcPr>
            <w:tcW w:w="380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0"/>
              </w:rPr>
            </w:pPr>
          </w:p>
        </w:tc>
        <w:tc>
          <w:tcPr>
            <w:tcW w:w="10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确认时间</w:t>
            </w:r>
          </w:p>
        </w:tc>
        <w:tc>
          <w:tcPr>
            <w:tcW w:w="1221"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304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财务管理部负责人签字</w:t>
            </w:r>
          </w:p>
        </w:tc>
        <w:tc>
          <w:tcPr>
            <w:tcW w:w="3801"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sz w:val="20"/>
              </w:rPr>
            </w:pPr>
          </w:p>
        </w:tc>
        <w:tc>
          <w:tcPr>
            <w:tcW w:w="10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确认时间</w:t>
            </w:r>
          </w:p>
        </w:tc>
        <w:tc>
          <w:tcPr>
            <w:tcW w:w="1221"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3047" w:type="dxa"/>
            <w:gridSpan w:val="2"/>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董事长签字</w:t>
            </w:r>
          </w:p>
        </w:tc>
        <w:tc>
          <w:tcPr>
            <w:tcW w:w="3801" w:type="dxa"/>
            <w:gridSpan w:val="3"/>
            <w:tcBorders>
              <w:top w:val="single" w:color="000000" w:sz="4" w:space="0"/>
              <w:left w:val="single" w:color="000000" w:sz="4" w:space="0"/>
              <w:bottom w:val="single" w:color="auto" w:sz="4" w:space="0"/>
              <w:right w:val="single" w:color="000000" w:sz="4" w:space="0"/>
            </w:tcBorders>
            <w:vAlign w:val="center"/>
          </w:tcPr>
          <w:p>
            <w:pPr>
              <w:jc w:val="center"/>
              <w:rPr>
                <w:rFonts w:ascii="宋体" w:hAnsi="宋体" w:cs="宋体"/>
                <w:b/>
                <w:sz w:val="20"/>
              </w:rPr>
            </w:pPr>
          </w:p>
        </w:tc>
        <w:tc>
          <w:tcPr>
            <w:tcW w:w="1006" w:type="dxa"/>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宋体" w:hAnsi="宋体" w:cs="宋体"/>
                <w:b/>
                <w:sz w:val="20"/>
              </w:rPr>
            </w:pPr>
            <w:r>
              <w:rPr>
                <w:rFonts w:hint="eastAsia" w:ascii="宋体" w:hAnsi="宋体" w:cs="宋体"/>
                <w:b/>
                <w:color w:val="000000"/>
                <w:kern w:val="0"/>
                <w:sz w:val="24"/>
                <w:lang w:bidi="ar"/>
              </w:rPr>
              <w:t>确认时间</w:t>
            </w:r>
          </w:p>
        </w:tc>
        <w:tc>
          <w:tcPr>
            <w:tcW w:w="1221" w:type="dxa"/>
            <w:gridSpan w:val="2"/>
            <w:tcBorders>
              <w:top w:val="single" w:color="000000" w:sz="4" w:space="0"/>
              <w:left w:val="single" w:color="000000" w:sz="4" w:space="0"/>
              <w:bottom w:val="single" w:color="auto" w:sz="4" w:space="0"/>
              <w:right w:val="single" w:color="000000" w:sz="4" w:space="0"/>
            </w:tcBorders>
            <w:vAlign w:val="center"/>
          </w:tcPr>
          <w:p>
            <w:pPr>
              <w:rPr>
                <w:rFonts w:ascii="宋体" w:hAnsi="宋体" w:cs="宋体"/>
                <w:sz w:val="20"/>
              </w:rPr>
            </w:pPr>
          </w:p>
        </w:tc>
      </w:tr>
      <w:tr>
        <w:tblPrEx>
          <w:tblCellMar>
            <w:top w:w="15" w:type="dxa"/>
            <w:left w:w="15" w:type="dxa"/>
            <w:bottom w:w="15" w:type="dxa"/>
            <w:right w:w="15" w:type="dxa"/>
          </w:tblCellMar>
        </w:tblPrEx>
        <w:trPr>
          <w:trHeight w:val="454" w:hRule="atLeast"/>
          <w:jc w:val="center"/>
        </w:trPr>
        <w:tc>
          <w:tcPr>
            <w:tcW w:w="93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b/>
                <w:sz w:val="20"/>
              </w:rPr>
            </w:pPr>
            <w:r>
              <w:rPr>
                <w:rFonts w:hint="eastAsia" w:ascii="仿宋_GB2312" w:hAnsi="宋体" w:eastAsia="仿宋_GB2312" w:cs="仿宋_GB2312"/>
                <w:b/>
                <w:color w:val="000000"/>
                <w:kern w:val="0"/>
                <w:sz w:val="24"/>
                <w:lang w:bidi="ar"/>
              </w:rPr>
              <w:t>备注：</w:t>
            </w:r>
          </w:p>
        </w:tc>
        <w:tc>
          <w:tcPr>
            <w:tcW w:w="8141" w:type="dxa"/>
            <w:gridSpan w:val="7"/>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sz w:val="20"/>
              </w:rPr>
            </w:pPr>
            <w:r>
              <w:rPr>
                <w:rFonts w:hint="eastAsia" w:ascii="仿宋_GB2312" w:hAnsi="宋体" w:eastAsia="仿宋_GB2312" w:cs="仿宋_GB2312"/>
                <w:color w:val="000000"/>
                <w:kern w:val="0"/>
                <w:sz w:val="24"/>
                <w:lang w:bidi="ar"/>
              </w:rPr>
              <w:t>1、本表为重庆空港航空地面服务有限公司支付外包项目的费用依据。</w:t>
            </w:r>
          </w:p>
        </w:tc>
      </w:tr>
      <w:tr>
        <w:tblPrEx>
          <w:tblCellMar>
            <w:top w:w="15" w:type="dxa"/>
            <w:left w:w="15" w:type="dxa"/>
            <w:bottom w:w="15" w:type="dxa"/>
            <w:right w:w="15" w:type="dxa"/>
          </w:tblCellMar>
        </w:tblPrEx>
        <w:trPr>
          <w:trHeight w:val="454" w:hRule="atLeast"/>
          <w:jc w:val="center"/>
        </w:trPr>
        <w:tc>
          <w:tcPr>
            <w:tcW w:w="93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b/>
                <w:sz w:val="20"/>
              </w:rPr>
            </w:pPr>
          </w:p>
        </w:tc>
        <w:tc>
          <w:tcPr>
            <w:tcW w:w="8141" w:type="dxa"/>
            <w:gridSpan w:val="7"/>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sz w:val="20"/>
              </w:rPr>
            </w:pPr>
            <w:r>
              <w:rPr>
                <w:rFonts w:hint="eastAsia" w:ascii="仿宋_GB2312" w:hAnsi="宋体" w:eastAsia="仿宋_GB2312" w:cs="仿宋_GB2312"/>
                <w:color w:val="000000"/>
                <w:kern w:val="0"/>
                <w:sz w:val="24"/>
                <w:lang w:bidi="ar"/>
              </w:rPr>
              <w:t>2、本表由归口部门填制。</w:t>
            </w:r>
          </w:p>
        </w:tc>
      </w:tr>
      <w:tr>
        <w:tblPrEx>
          <w:tblCellMar>
            <w:top w:w="15" w:type="dxa"/>
            <w:left w:w="15" w:type="dxa"/>
            <w:bottom w:w="15" w:type="dxa"/>
            <w:right w:w="15" w:type="dxa"/>
          </w:tblCellMar>
        </w:tblPrEx>
        <w:trPr>
          <w:trHeight w:val="454" w:hRule="atLeast"/>
          <w:jc w:val="center"/>
        </w:trPr>
        <w:tc>
          <w:tcPr>
            <w:tcW w:w="93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仿宋_GB2312"/>
                <w:b/>
                <w:sz w:val="18"/>
                <w:szCs w:val="18"/>
              </w:rPr>
            </w:pPr>
          </w:p>
        </w:tc>
        <w:tc>
          <w:tcPr>
            <w:tcW w:w="8141" w:type="dxa"/>
            <w:gridSpan w:val="7"/>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_GB2312" w:hAnsi="宋体" w:eastAsia="仿宋_GB2312" w:cs="仿宋_GB2312"/>
                <w:sz w:val="18"/>
                <w:szCs w:val="18"/>
              </w:rPr>
            </w:pPr>
            <w:r>
              <w:rPr>
                <w:rFonts w:hint="eastAsia" w:ascii="仿宋_GB2312" w:hAnsi="宋体" w:eastAsia="仿宋_GB2312" w:cs="仿宋_GB2312"/>
                <w:color w:val="000000"/>
                <w:kern w:val="0"/>
                <w:sz w:val="24"/>
                <w:lang w:bidi="ar"/>
              </w:rPr>
              <w:t>3、本表原件交财务管理部，归口管理部门、承包商留存复印件。</w:t>
            </w:r>
          </w:p>
        </w:tc>
      </w:tr>
      <w:tr>
        <w:tblPrEx>
          <w:tblCellMar>
            <w:top w:w="15" w:type="dxa"/>
            <w:left w:w="15" w:type="dxa"/>
            <w:bottom w:w="15" w:type="dxa"/>
            <w:right w:w="15" w:type="dxa"/>
          </w:tblCellMar>
        </w:tblPrEx>
        <w:trPr>
          <w:trHeight w:val="454" w:hRule="atLeast"/>
          <w:jc w:val="center"/>
        </w:trPr>
        <w:tc>
          <w:tcPr>
            <w:tcW w:w="934" w:type="dxa"/>
            <w:vAlign w:val="center"/>
          </w:tcPr>
          <w:p>
            <w:pPr>
              <w:rPr>
                <w:rFonts w:ascii="仿宋_GB2312" w:hAnsi="宋体" w:eastAsia="仿宋_GB2312" w:cs="仿宋_GB2312"/>
                <w:b/>
                <w:sz w:val="18"/>
                <w:szCs w:val="18"/>
              </w:rPr>
            </w:pPr>
          </w:p>
        </w:tc>
        <w:tc>
          <w:tcPr>
            <w:tcW w:w="2113" w:type="dxa"/>
            <w:vAlign w:val="center"/>
          </w:tcPr>
          <w:p>
            <w:pPr>
              <w:rPr>
                <w:rFonts w:ascii="仿宋_GB2312" w:hAnsi="宋体" w:eastAsia="仿宋_GB2312" w:cs="仿宋_GB2312"/>
                <w:sz w:val="18"/>
                <w:szCs w:val="18"/>
              </w:rPr>
            </w:pPr>
          </w:p>
        </w:tc>
        <w:tc>
          <w:tcPr>
            <w:tcW w:w="6028" w:type="dxa"/>
            <w:gridSpan w:val="6"/>
            <w:vAlign w:val="center"/>
          </w:tcPr>
          <w:p>
            <w:pPr>
              <w:widowControl/>
              <w:jc w:val="center"/>
              <w:textAlignment w:val="center"/>
            </w:pPr>
            <w:r>
              <w:rPr>
                <w:rFonts w:hint="eastAsia" w:ascii="宋体" w:hAnsi="宋体" w:cs="宋体"/>
                <w:color w:val="000000"/>
                <w:kern w:val="0"/>
                <w:sz w:val="24"/>
                <w:lang w:bidi="ar"/>
              </w:rPr>
              <w:t>重庆空港航空地面服务有限公司（印章）</w:t>
            </w:r>
          </w:p>
        </w:tc>
      </w:tr>
      <w:tr>
        <w:tblPrEx>
          <w:tblCellMar>
            <w:top w:w="15" w:type="dxa"/>
            <w:left w:w="15" w:type="dxa"/>
            <w:bottom w:w="15" w:type="dxa"/>
            <w:right w:w="15" w:type="dxa"/>
          </w:tblCellMar>
        </w:tblPrEx>
        <w:trPr>
          <w:trHeight w:val="454" w:hRule="atLeast"/>
          <w:jc w:val="center"/>
        </w:trPr>
        <w:tc>
          <w:tcPr>
            <w:tcW w:w="934" w:type="dxa"/>
            <w:vAlign w:val="center"/>
          </w:tcPr>
          <w:p>
            <w:pPr>
              <w:rPr>
                <w:rFonts w:ascii="宋体" w:hAnsi="宋体" w:cs="宋体"/>
                <w:sz w:val="24"/>
              </w:rPr>
            </w:pPr>
          </w:p>
        </w:tc>
        <w:tc>
          <w:tcPr>
            <w:tcW w:w="2113" w:type="dxa"/>
            <w:vAlign w:val="center"/>
          </w:tcPr>
          <w:p>
            <w:pPr>
              <w:rPr>
                <w:rFonts w:ascii="宋体" w:hAnsi="宋体" w:cs="宋体"/>
                <w:sz w:val="24"/>
              </w:rPr>
            </w:pPr>
          </w:p>
        </w:tc>
        <w:tc>
          <w:tcPr>
            <w:tcW w:w="6028" w:type="dxa"/>
            <w:gridSpan w:val="6"/>
            <w:vAlign w:val="center"/>
          </w:tcPr>
          <w:p>
            <w:pPr>
              <w:widowControl/>
              <w:jc w:val="center"/>
              <w:textAlignment w:val="center"/>
              <w:rPr>
                <w:rFonts w:ascii="宋体" w:hAnsi="宋体" w:cs="宋体"/>
                <w:sz w:val="20"/>
              </w:rPr>
            </w:pPr>
            <w:r>
              <w:rPr>
                <w:rFonts w:hint="eastAsia" w:ascii="宋体" w:hAnsi="宋体" w:cs="宋体"/>
                <w:color w:val="000000"/>
                <w:kern w:val="0"/>
                <w:sz w:val="24"/>
                <w:lang w:bidi="ar"/>
              </w:rPr>
              <w:t>年    月    日</w:t>
            </w:r>
          </w:p>
        </w:tc>
      </w:tr>
    </w:tbl>
    <w:p>
      <w:pPr>
        <w:pStyle w:val="53"/>
        <w:spacing w:after="0" w:line="380" w:lineRule="exact"/>
        <w:rPr>
          <w:lang w:val="en-US" w:eastAsia="zh-CN"/>
        </w:rPr>
      </w:pPr>
    </w:p>
    <w:p>
      <w:pPr>
        <w:adjustRightInd w:val="0"/>
        <w:snapToGrid w:val="0"/>
        <w:jc w:val="left"/>
        <w:rPr>
          <w:rFonts w:hint="eastAsia" w:ascii="华文中宋" w:hAnsi="华文中宋" w:eastAsia="华文中宋" w:cs="仿宋_GB2312"/>
          <w:b/>
          <w:bCs/>
          <w:sz w:val="28"/>
          <w:szCs w:val="28"/>
        </w:rPr>
      </w:pPr>
    </w:p>
    <w:p>
      <w:pPr>
        <w:adjustRightInd w:val="0"/>
        <w:snapToGrid w:val="0"/>
        <w:jc w:val="left"/>
        <w:rPr>
          <w:rFonts w:hint="eastAsia" w:ascii="华文中宋" w:hAnsi="华文中宋" w:eastAsia="华文中宋" w:cs="仿宋_GB2312"/>
          <w:b/>
          <w:bCs/>
          <w:sz w:val="28"/>
          <w:szCs w:val="28"/>
        </w:rPr>
      </w:pPr>
    </w:p>
    <w:p>
      <w:pPr>
        <w:adjustRightInd w:val="0"/>
        <w:snapToGrid w:val="0"/>
        <w:jc w:val="left"/>
        <w:rPr>
          <w:rFonts w:hint="eastAsia" w:ascii="华文中宋" w:hAnsi="华文中宋" w:eastAsia="华文中宋" w:cs="仿宋_GB2312"/>
          <w:b/>
          <w:bCs/>
          <w:sz w:val="28"/>
          <w:szCs w:val="28"/>
        </w:rPr>
      </w:pPr>
    </w:p>
    <w:p>
      <w:pPr>
        <w:adjustRightInd w:val="0"/>
        <w:snapToGrid w:val="0"/>
        <w:jc w:val="left"/>
        <w:rPr>
          <w:rFonts w:ascii="华文中宋" w:hAnsi="华文中宋" w:eastAsia="华文中宋" w:cs="仿宋_GB2312"/>
          <w:b/>
          <w:bCs/>
          <w:sz w:val="28"/>
          <w:szCs w:val="28"/>
        </w:rPr>
      </w:pPr>
      <w:r>
        <w:rPr>
          <w:rFonts w:hint="eastAsia" w:ascii="华文中宋" w:hAnsi="华文中宋" w:eastAsia="华文中宋" w:cs="仿宋_GB2312"/>
          <w:b/>
          <w:bCs/>
          <w:sz w:val="28"/>
          <w:szCs w:val="28"/>
        </w:rPr>
        <w:t>附件</w:t>
      </w:r>
      <w:r>
        <w:rPr>
          <w:rFonts w:hint="eastAsia" w:ascii="华文中宋" w:hAnsi="华文中宋" w:eastAsia="华文中宋" w:cs="仿宋_GB2312"/>
          <w:b/>
          <w:bCs/>
          <w:sz w:val="28"/>
          <w:szCs w:val="28"/>
          <w:lang w:val="en-US" w:eastAsia="zh-CN"/>
        </w:rPr>
        <w:t>七</w:t>
      </w:r>
      <w:r>
        <w:rPr>
          <w:rFonts w:hint="eastAsia" w:ascii="华文中宋" w:hAnsi="华文中宋" w:eastAsia="华文中宋" w:cs="仿宋_GB2312"/>
          <w:b/>
          <w:bCs/>
          <w:sz w:val="28"/>
          <w:szCs w:val="28"/>
        </w:rPr>
        <w:t>：</w:t>
      </w:r>
    </w:p>
    <w:p>
      <w:pPr>
        <w:adjustRightInd w:val="0"/>
        <w:snapToGrid w:val="0"/>
        <w:jc w:val="center"/>
        <w:rPr>
          <w:rFonts w:ascii="华文中宋" w:hAnsi="华文中宋" w:eastAsia="华文中宋" w:cs="仿宋_GB2312"/>
          <w:b/>
          <w:bCs/>
          <w:sz w:val="36"/>
          <w:szCs w:val="36"/>
        </w:rPr>
      </w:pPr>
      <w:r>
        <w:rPr>
          <w:rFonts w:hint="eastAsia" w:ascii="华文中宋" w:hAnsi="华文中宋" w:eastAsia="华文中宋" w:cs="仿宋_GB2312"/>
          <w:b/>
          <w:bCs/>
          <w:sz w:val="36"/>
          <w:szCs w:val="36"/>
        </w:rPr>
        <w:t>重庆空港航空地面服务有限公司</w:t>
      </w:r>
    </w:p>
    <w:p>
      <w:pPr>
        <w:adjustRightInd w:val="0"/>
        <w:snapToGrid w:val="0"/>
        <w:jc w:val="center"/>
        <w:rPr>
          <w:rFonts w:ascii="华文中宋" w:hAnsi="华文中宋" w:eastAsia="华文中宋" w:cs="仿宋_GB2312"/>
          <w:b/>
          <w:bCs/>
          <w:sz w:val="36"/>
          <w:szCs w:val="36"/>
        </w:rPr>
      </w:pPr>
      <w:r>
        <w:rPr>
          <w:rFonts w:hint="eastAsia" w:ascii="华文中宋" w:hAnsi="华文中宋" w:eastAsia="华文中宋" w:cs="仿宋_GB2312"/>
          <w:b/>
          <w:bCs/>
          <w:sz w:val="36"/>
          <w:szCs w:val="36"/>
        </w:rPr>
        <w:t>国际货站驾驶员</w:t>
      </w:r>
      <w:r>
        <w:rPr>
          <w:rFonts w:hint="eastAsia" w:ascii="华文中宋" w:hAnsi="华文中宋" w:eastAsia="华文中宋" w:cs="仿宋_GB2312"/>
          <w:b/>
          <w:bCs/>
          <w:sz w:val="36"/>
          <w:szCs w:val="36"/>
          <w:lang w:val="en-US" w:eastAsia="zh-CN"/>
        </w:rPr>
        <w:t>业务</w:t>
      </w:r>
      <w:r>
        <w:rPr>
          <w:rFonts w:hint="eastAsia" w:ascii="华文中宋" w:hAnsi="华文中宋" w:eastAsia="华文中宋" w:cs="仿宋_GB2312"/>
          <w:b/>
          <w:bCs/>
          <w:sz w:val="36"/>
          <w:szCs w:val="36"/>
        </w:rPr>
        <w:t>安保协议</w:t>
      </w:r>
    </w:p>
    <w:p>
      <w:pPr>
        <w:adjustRightInd w:val="0"/>
        <w:snapToGrid w:val="0"/>
        <w:jc w:val="center"/>
        <w:rPr>
          <w:rFonts w:ascii="华文中宋" w:hAnsi="华文中宋" w:eastAsia="华文中宋" w:cs="仿宋_GB2312"/>
          <w:b/>
          <w:bCs/>
          <w:sz w:val="32"/>
          <w:szCs w:val="32"/>
        </w:rPr>
      </w:pPr>
    </w:p>
    <w:p>
      <w:pPr>
        <w:keepNext w:val="0"/>
        <w:keepLines w:val="0"/>
        <w:pageBreakBefore w:val="0"/>
        <w:kinsoku/>
        <w:wordWrap/>
        <w:overflowPunct/>
        <w:topLinePunct w:val="0"/>
        <w:autoSpaceDE/>
        <w:autoSpaceDN/>
        <w:bidi w:val="0"/>
        <w:spacing w:line="460" w:lineRule="exact"/>
        <w:ind w:firstLine="482" w:firstLineChars="200"/>
        <w:textAlignment w:val="auto"/>
        <w:outlineLvl w:val="9"/>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甲方：重庆空港航空地面服务有限公司</w:t>
      </w:r>
    </w:p>
    <w:p>
      <w:pPr>
        <w:keepNext w:val="0"/>
        <w:keepLines w:val="0"/>
        <w:pageBreakBefore w:val="0"/>
        <w:kinsoku/>
        <w:wordWrap/>
        <w:overflowPunct/>
        <w:topLinePunct w:val="0"/>
        <w:autoSpaceDE/>
        <w:autoSpaceDN/>
        <w:bidi w:val="0"/>
        <w:spacing w:line="460" w:lineRule="exact"/>
        <w:ind w:firstLine="482" w:firstLineChars="200"/>
        <w:textAlignment w:val="auto"/>
        <w:outlineLvl w:val="9"/>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乙方:</w:t>
      </w:r>
    </w:p>
    <w:p>
      <w:pPr>
        <w:keepNext w:val="0"/>
        <w:keepLines w:val="0"/>
        <w:pageBreakBefore w:val="0"/>
        <w:widowControl/>
        <w:kinsoku/>
        <w:wordWrap/>
        <w:overflowPunct/>
        <w:topLinePunct w:val="0"/>
        <w:autoSpaceDE/>
        <w:autoSpaceDN/>
        <w:bidi w:val="0"/>
        <w:adjustRightInd w:val="0"/>
        <w:snapToGrid w:val="0"/>
        <w:spacing w:line="460" w:lineRule="exact"/>
        <w:ind w:firstLine="480" w:firstLineChars="200"/>
        <w:jc w:val="left"/>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甲方将</w:t>
      </w:r>
      <w:r>
        <w:rPr>
          <w:rFonts w:hint="eastAsia" w:ascii="仿宋_GB2312" w:hAnsi="仿宋_GB2312" w:eastAsia="仿宋_GB2312" w:cs="仿宋_GB2312"/>
          <w:sz w:val="24"/>
          <w:szCs w:val="24"/>
          <w:lang w:val="en-US" w:eastAsia="zh-CN"/>
        </w:rPr>
        <w:t>国际货站驾驶员</w:t>
      </w:r>
      <w:r>
        <w:rPr>
          <w:rFonts w:hint="eastAsia" w:ascii="仿宋_GB2312" w:hAnsi="仿宋_GB2312" w:eastAsia="仿宋_GB2312" w:cs="仿宋_GB2312"/>
          <w:sz w:val="24"/>
          <w:szCs w:val="24"/>
        </w:rPr>
        <w:t>业务承包给乙方,为了明确外包业务安保责任,落实各项空防、安保法律、法规、管理规定及措施，乙方应遵守和落实以下条款，以共同维护重庆机场的空防，保卫安全。</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一、执行《重庆江北国际机场航空安全保卫方案》，遵守机场各项空防安全管理规定，切实落实各项空防安全管理措施，认真履行各项安全保卫职责。</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二、背景调查责任：根据《民用航空背景调查规定》，认真开展对所属员工的背景调查工作，建立背景调查档案，并将背景调查资料复印件报甲方审核、留存。及时、准确向安检站填报员工（含无证人员）基本信息。加强对员工现实表现情况的掌握，及时排查内部矛盾和隐患。严禁录用隔离区禁用人员和可能危及空防，航空保卫的人员。</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空防安全教育培训制度：建立各单位安保培训教育工作制度，严格开展安保工作专项检查，建立安保工作记录台账；认真开展对新进员工空防安全教育、培训，以及定期对在职员工进行安全教育复训（各单位根据各自实际情况规定培训的次数及学时），规范教育培训、台账；制定本单位安保工作措施和操作规程，明确安保工作职责；切实提高员工安保意识，着重培养员工遵章守纪意识、防范意识、注意发现安全问题、异常情况意识以及报告意识等。</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四、控制区通行证件管理责任：严格按照《重庆江北国际机场控制区通行证件管理规定》申办、管理控制区证件；建立本单位证件使用、管理制度，完善证件管理基础台账，定期清理本单位证件，及时清退离职人员证件，有效防止证件遗失、被盗、损毁或失控。</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五、控制区刀具和限制物品管理责任：严格按照《重庆江北国际机场控制区刀具管理办法》和《重庆江北国际机场限制物品带入控制区管理办法》，加强对控制区刀具和限制物品的管理，建立、完善本单位使用、管理制度，规范各类台账，确保使用安全。</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六、对</w:t>
      </w:r>
      <w:r>
        <w:rPr>
          <w:rFonts w:hint="eastAsia" w:ascii="仿宋_GB2312" w:hAnsi="仿宋_GB2312" w:eastAsia="仿宋_GB2312" w:cs="仿宋_GB2312"/>
          <w:sz w:val="24"/>
          <w:szCs w:val="24"/>
          <w:lang w:val="en-US" w:eastAsia="zh-CN"/>
        </w:rPr>
        <w:t>驾驶</w:t>
      </w:r>
      <w:r>
        <w:rPr>
          <w:rFonts w:hint="eastAsia" w:ascii="仿宋_GB2312" w:hAnsi="仿宋_GB2312" w:eastAsia="仿宋_GB2312" w:cs="仿宋_GB2312"/>
          <w:sz w:val="24"/>
          <w:szCs w:val="24"/>
        </w:rPr>
        <w:t>人员的安保要求：</w:t>
      </w:r>
      <w:r>
        <w:rPr>
          <w:rFonts w:hint="eastAsia" w:ascii="仿宋_GB2312" w:hAnsi="仿宋_GB2312" w:eastAsia="仿宋_GB2312" w:cs="仿宋_GB2312"/>
          <w:sz w:val="24"/>
          <w:szCs w:val="24"/>
          <w:lang w:val="en-US" w:eastAsia="zh-CN"/>
        </w:rPr>
        <w:t>驾驶员</w:t>
      </w:r>
      <w:r>
        <w:rPr>
          <w:rFonts w:hint="eastAsia" w:ascii="仿宋_GB2312" w:hAnsi="仿宋_GB2312" w:eastAsia="仿宋_GB2312" w:cs="仿宋_GB2312"/>
          <w:sz w:val="24"/>
          <w:szCs w:val="24"/>
        </w:rPr>
        <w:t>必须按规定程序操作，听从安排和指挥，防止发生运输差错事故；禁止将进出港货物、邮件及行李摆放在无人监控或职守的地方以防止无关人员接触货物、行李及邮件，防止将未经授权的货物、邮件及行李装上飞机；进入机场隔离控制区，</w:t>
      </w:r>
      <w:r>
        <w:rPr>
          <w:rFonts w:hint="eastAsia" w:ascii="仿宋_GB2312" w:hAnsi="仿宋_GB2312" w:eastAsia="仿宋_GB2312" w:cs="仿宋_GB2312"/>
          <w:sz w:val="24"/>
          <w:szCs w:val="24"/>
          <w:lang w:val="en-US" w:eastAsia="zh-CN"/>
        </w:rPr>
        <w:t>驾驶人员</w:t>
      </w:r>
      <w:r>
        <w:rPr>
          <w:rFonts w:hint="eastAsia" w:ascii="仿宋_GB2312" w:hAnsi="仿宋_GB2312" w:eastAsia="仿宋_GB2312" w:cs="仿宋_GB2312"/>
          <w:sz w:val="24"/>
          <w:szCs w:val="24"/>
        </w:rPr>
        <w:t>必须自觉接受安全检查，严禁将违禁物品带入机场控制区；</w:t>
      </w:r>
      <w:r>
        <w:rPr>
          <w:rFonts w:hint="eastAsia" w:ascii="仿宋_GB2312" w:hAnsi="仿宋_GB2312" w:eastAsia="仿宋_GB2312" w:cs="仿宋_GB2312"/>
          <w:sz w:val="24"/>
          <w:szCs w:val="24"/>
          <w:lang w:val="en-US" w:eastAsia="zh-CN"/>
        </w:rPr>
        <w:t>驾驶人员</w:t>
      </w:r>
      <w:r>
        <w:rPr>
          <w:rFonts w:hint="eastAsia" w:ascii="仿宋_GB2312" w:hAnsi="仿宋_GB2312" w:eastAsia="仿宋_GB2312" w:cs="仿宋_GB2312"/>
          <w:sz w:val="24"/>
          <w:szCs w:val="24"/>
        </w:rPr>
        <w:t>必须遵守《民用机场运行安全管理规定》</w:t>
      </w:r>
      <w:r>
        <w:rPr>
          <w:rFonts w:hint="eastAsia" w:ascii="仿宋_GB2312" w:hAnsi="仿宋_GB2312" w:eastAsia="仿宋_GB2312" w:cs="仿宋_GB2312"/>
          <w:sz w:val="24"/>
          <w:szCs w:val="24"/>
          <w:lang w:val="en-US" w:eastAsia="zh-CN"/>
        </w:rPr>
        <w:t>等</w:t>
      </w:r>
      <w:r>
        <w:rPr>
          <w:rFonts w:hint="eastAsia" w:ascii="仿宋_GB2312" w:hAnsi="仿宋_GB2312" w:eastAsia="仿宋_GB2312" w:cs="仿宋_GB2312"/>
          <w:sz w:val="24"/>
          <w:szCs w:val="24"/>
        </w:rPr>
        <w:t>相关规定，防止发生安全事故；发现异常情况时，应立即报告监管部门负责人。</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七、遵守国家、行业、机场管理机构或甲方关于空防，安保方面新近出台，更新、修订的法律、法规、规章制度及要求等。</w:t>
      </w:r>
    </w:p>
    <w:p>
      <w:pPr>
        <w:keepNext w:val="0"/>
        <w:keepLines w:val="0"/>
        <w:pageBreakBefore w:val="0"/>
        <w:kinsoku/>
        <w:wordWrap/>
        <w:overflowPunct/>
        <w:topLinePunct w:val="0"/>
        <w:autoSpaceDE/>
        <w:autoSpaceDN/>
        <w:bidi w:val="0"/>
        <w:adjustRightInd w:val="0"/>
        <w:snapToGrid w:val="0"/>
        <w:spacing w:line="46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以上内容，乙方如有违反，重庆机场相关管理机构或甲方将按相关规定对其进行处罚，情况特别严重导致乙方无能力或丧失承包业务运行条件时，甲方可解除承包合同，后果由乙方自负。</w:t>
      </w:r>
    </w:p>
    <w:p>
      <w:pPr>
        <w:pStyle w:val="53"/>
        <w:spacing w:after="0" w:line="380" w:lineRule="exact"/>
        <w:rPr>
          <w:rFonts w:hint="eastAsia" w:ascii="仿宋_GB2312" w:hAnsi="仿宋_GB2312" w:eastAsia="仿宋_GB2312" w:cs="仿宋_GB2312"/>
          <w:sz w:val="24"/>
          <w:szCs w:val="24"/>
          <w:lang w:val="en-US" w:eastAsia="zh-CN"/>
        </w:rPr>
      </w:pPr>
    </w:p>
    <w:p>
      <w:pPr>
        <w:pStyle w:val="53"/>
        <w:spacing w:after="0" w:line="380" w:lineRule="exact"/>
        <w:rPr>
          <w:rFonts w:hint="eastAsia" w:ascii="仿宋_GB2312" w:hAnsi="仿宋_GB2312" w:eastAsia="仿宋_GB2312" w:cs="仿宋_GB2312"/>
          <w:sz w:val="24"/>
          <w:szCs w:val="24"/>
          <w:lang w:val="en-US" w:eastAsia="zh-CN"/>
        </w:rPr>
      </w:pPr>
    </w:p>
    <w:p>
      <w:pPr>
        <w:pStyle w:val="53"/>
        <w:spacing w:after="0" w:line="380" w:lineRule="exact"/>
        <w:rPr>
          <w:lang w:val="en-US" w:eastAsia="zh-CN"/>
        </w:rPr>
      </w:pPr>
    </w:p>
    <w:p>
      <w:pPr>
        <w:pStyle w:val="53"/>
        <w:spacing w:after="0" w:line="380" w:lineRule="exact"/>
        <w:rPr>
          <w:lang w:val="en-US" w:eastAsia="zh-CN"/>
        </w:rPr>
      </w:pPr>
    </w:p>
    <w:p>
      <w:pPr>
        <w:adjustRightInd w:val="0"/>
        <w:snapToGrid w:val="0"/>
        <w:jc w:val="left"/>
        <w:rPr>
          <w:rFonts w:ascii="华文中宋" w:hAnsi="华文中宋" w:eastAsia="华文中宋" w:cs="仿宋_GB2312"/>
          <w:b/>
          <w:bCs/>
          <w:sz w:val="28"/>
          <w:szCs w:val="28"/>
        </w:rPr>
      </w:pPr>
      <w:r>
        <w:rPr>
          <w:rFonts w:hint="eastAsia" w:ascii="华文中宋" w:hAnsi="华文中宋" w:eastAsia="华文中宋" w:cs="仿宋_GB2312"/>
          <w:b/>
          <w:bCs/>
          <w:sz w:val="28"/>
          <w:szCs w:val="28"/>
        </w:rPr>
        <w:t>附件</w:t>
      </w:r>
      <w:r>
        <w:rPr>
          <w:rFonts w:hint="eastAsia" w:ascii="华文中宋" w:hAnsi="华文中宋" w:eastAsia="华文中宋" w:cs="仿宋_GB2312"/>
          <w:b/>
          <w:bCs/>
          <w:sz w:val="28"/>
          <w:szCs w:val="28"/>
          <w:lang w:val="en-US" w:eastAsia="zh-CN"/>
        </w:rPr>
        <w:t>八</w:t>
      </w:r>
      <w:r>
        <w:rPr>
          <w:rFonts w:hint="eastAsia" w:ascii="华文中宋" w:hAnsi="华文中宋" w:eastAsia="华文中宋" w:cs="仿宋_GB2312"/>
          <w:b/>
          <w:bCs/>
          <w:sz w:val="28"/>
          <w:szCs w:val="28"/>
        </w:rPr>
        <w:t>：</w:t>
      </w:r>
    </w:p>
    <w:p>
      <w:pPr>
        <w:spacing w:line="520" w:lineRule="exact"/>
        <w:jc w:val="center"/>
        <w:rPr>
          <w:rFonts w:hint="eastAsia" w:ascii="仿宋_GB2312" w:hAnsi="宋体" w:eastAsia="仿宋_GB2312"/>
          <w:b/>
          <w:sz w:val="32"/>
          <w:szCs w:val="32"/>
        </w:rPr>
      </w:pPr>
      <w:r>
        <w:rPr>
          <w:rFonts w:hint="eastAsia" w:ascii="仿宋_GB2312" w:hAnsi="宋体" w:eastAsia="仿宋_GB2312"/>
          <w:b/>
          <w:sz w:val="32"/>
          <w:szCs w:val="32"/>
        </w:rPr>
        <w:t>重庆空港航空地面服务有限公司</w:t>
      </w:r>
    </w:p>
    <w:p>
      <w:pPr>
        <w:spacing w:line="520" w:lineRule="exact"/>
        <w:jc w:val="center"/>
        <w:rPr>
          <w:rFonts w:hint="eastAsia" w:ascii="仿宋_GB2312" w:hAnsi="宋体" w:eastAsia="仿宋_GB2312"/>
          <w:b/>
          <w:sz w:val="32"/>
          <w:szCs w:val="32"/>
        </w:rPr>
      </w:pPr>
      <w:r>
        <w:rPr>
          <w:rFonts w:hint="eastAsia" w:ascii="仿宋_GB2312" w:hAnsi="宋体" w:eastAsia="仿宋_GB2312"/>
          <w:b/>
          <w:sz w:val="32"/>
          <w:szCs w:val="32"/>
        </w:rPr>
        <w:t>新冠肺炎疫情防控责任协议书</w:t>
      </w:r>
    </w:p>
    <w:p>
      <w:pPr>
        <w:adjustRightInd w:val="0"/>
        <w:snapToGrid w:val="0"/>
        <w:spacing w:line="360" w:lineRule="auto"/>
        <w:rPr>
          <w:rFonts w:ascii="微软雅黑 Light" w:hAnsi="微软雅黑 Light" w:eastAsia="微软雅黑 Light"/>
        </w:rPr>
      </w:pPr>
    </w:p>
    <w:p>
      <w:pPr>
        <w:spacing w:line="520" w:lineRule="exact"/>
        <w:rPr>
          <w:rFonts w:hint="eastAsia" w:ascii="仿宋_GB2312" w:eastAsia="仿宋_GB2312"/>
          <w:b/>
          <w:sz w:val="28"/>
          <w:szCs w:val="28"/>
        </w:rPr>
      </w:pPr>
      <w:r>
        <w:rPr>
          <w:rFonts w:hint="eastAsia" w:ascii="仿宋_GB2312" w:eastAsia="仿宋_GB2312"/>
          <w:b/>
          <w:sz w:val="28"/>
          <w:szCs w:val="28"/>
        </w:rPr>
        <w:t>甲方：重庆空港航空地面服务有限公司</w:t>
      </w:r>
    </w:p>
    <w:p>
      <w:pPr>
        <w:spacing w:line="520" w:lineRule="exact"/>
        <w:rPr>
          <w:rFonts w:hint="eastAsia" w:ascii="仿宋_GB2312" w:eastAsia="仿宋_GB2312"/>
          <w:b/>
          <w:sz w:val="28"/>
          <w:szCs w:val="28"/>
        </w:rPr>
      </w:pPr>
      <w:r>
        <w:rPr>
          <w:rFonts w:hint="eastAsia" w:ascii="仿宋_GB2312" w:eastAsia="仿宋_GB2312"/>
          <w:b/>
          <w:sz w:val="28"/>
          <w:szCs w:val="28"/>
        </w:rPr>
        <w:t>乙方：</w:t>
      </w:r>
    </w:p>
    <w:p>
      <w:pPr>
        <w:spacing w:line="520" w:lineRule="exact"/>
        <w:ind w:firstLine="482"/>
        <w:rPr>
          <w:rFonts w:hint="eastAsia" w:ascii="仿宋_GB2312" w:eastAsia="仿宋_GB2312"/>
          <w:sz w:val="28"/>
          <w:szCs w:val="28"/>
        </w:rPr>
      </w:pPr>
      <w:r>
        <w:rPr>
          <w:rFonts w:hint="eastAsia" w:ascii="仿宋_GB2312" w:eastAsia="仿宋_GB2312"/>
          <w:sz w:val="28"/>
          <w:szCs w:val="28"/>
        </w:rPr>
        <w:t>为持续做好常态化疫情防控工作，加强“外防输入、内防反弹”各项防控措施，进一步明确甲乙双方疫情防控工作中的责任和权利，根据国务院《关于印发全国机场疫情防控工作方案的通知》和民航局《运输机场疫情防控技术指南（最新版）》等上级文件相关规定，经双方协商，现甲乙双方签订疫情防控责任协议书如下:</w:t>
      </w:r>
    </w:p>
    <w:p>
      <w:pPr>
        <w:spacing w:line="520" w:lineRule="exact"/>
        <w:ind w:firstLine="482"/>
        <w:jc w:val="center"/>
        <w:rPr>
          <w:rFonts w:hint="eastAsia" w:ascii="仿宋_GB2312" w:eastAsia="仿宋_GB2312"/>
          <w:b/>
          <w:bCs/>
          <w:sz w:val="28"/>
          <w:szCs w:val="28"/>
        </w:rPr>
      </w:pPr>
      <w:r>
        <w:rPr>
          <w:rFonts w:hint="eastAsia" w:ascii="仿宋_GB2312" w:eastAsia="仿宋_GB2312"/>
          <w:b/>
          <w:bCs/>
          <w:sz w:val="28"/>
          <w:szCs w:val="28"/>
        </w:rPr>
        <w:t>第一章  总则</w:t>
      </w:r>
    </w:p>
    <w:p>
      <w:pPr>
        <w:spacing w:line="520" w:lineRule="exact"/>
        <w:ind w:firstLine="482"/>
        <w:rPr>
          <w:rFonts w:hint="eastAsia" w:ascii="仿宋_GB2312" w:eastAsia="仿宋_GB2312"/>
          <w:sz w:val="28"/>
          <w:szCs w:val="28"/>
        </w:rPr>
      </w:pPr>
      <w:r>
        <w:rPr>
          <w:rFonts w:hint="eastAsia" w:ascii="仿宋_GB2312" w:eastAsia="仿宋_GB2312"/>
          <w:sz w:val="28"/>
          <w:szCs w:val="28"/>
        </w:rPr>
        <w:t>1.1宗旨</w:t>
      </w:r>
    </w:p>
    <w:p>
      <w:pPr>
        <w:spacing w:line="520" w:lineRule="exact"/>
        <w:ind w:firstLine="482"/>
        <w:rPr>
          <w:rFonts w:hint="eastAsia" w:ascii="仿宋_GB2312" w:eastAsia="仿宋_GB2312"/>
          <w:sz w:val="28"/>
          <w:szCs w:val="28"/>
        </w:rPr>
      </w:pPr>
      <w:r>
        <w:rPr>
          <w:rFonts w:hint="eastAsia" w:ascii="仿宋_GB2312" w:eastAsia="仿宋_GB2312"/>
          <w:sz w:val="28"/>
          <w:szCs w:val="28"/>
        </w:rPr>
        <w:t>签署本协议，旨在明确甲乙双方在新冠肺炎疫情防控工作中的责任和权利，各自履行职责，以实现机场疫情防控工作平稳可控。</w:t>
      </w:r>
    </w:p>
    <w:p>
      <w:pPr>
        <w:spacing w:line="520" w:lineRule="exact"/>
        <w:ind w:firstLine="482"/>
        <w:rPr>
          <w:rFonts w:hint="eastAsia" w:ascii="仿宋_GB2312" w:eastAsia="仿宋_GB2312"/>
          <w:sz w:val="28"/>
          <w:szCs w:val="28"/>
        </w:rPr>
      </w:pPr>
      <w:r>
        <w:rPr>
          <w:rFonts w:hint="eastAsia" w:ascii="仿宋_GB2312" w:eastAsia="仿宋_GB2312"/>
          <w:sz w:val="28"/>
          <w:szCs w:val="28"/>
        </w:rPr>
        <w:t>1.2基本原则</w:t>
      </w:r>
    </w:p>
    <w:p>
      <w:pPr>
        <w:spacing w:line="520" w:lineRule="exact"/>
        <w:ind w:firstLine="482"/>
        <w:rPr>
          <w:rFonts w:hint="eastAsia" w:ascii="仿宋_GB2312" w:eastAsia="仿宋_GB2312"/>
          <w:sz w:val="28"/>
          <w:szCs w:val="28"/>
        </w:rPr>
      </w:pPr>
      <w:r>
        <w:rPr>
          <w:rFonts w:hint="eastAsia" w:ascii="仿宋_GB2312" w:eastAsia="仿宋_GB2312"/>
          <w:sz w:val="28"/>
          <w:szCs w:val="28"/>
        </w:rPr>
        <w:t>公平原则和诚实信用原则，是订立和履行本协议的基本原则。在签订和履行本协议的过程中，甲乙双方应当自觉遵守公平原则和诚实信用原则，以善意的方式理解本协议及协议履行过程中的分歧与矛盾，通过协商解决争议。</w:t>
      </w:r>
    </w:p>
    <w:p>
      <w:pPr>
        <w:spacing w:line="520" w:lineRule="exact"/>
        <w:ind w:firstLine="482"/>
        <w:jc w:val="center"/>
        <w:rPr>
          <w:rFonts w:hint="eastAsia" w:ascii="仿宋_GB2312" w:eastAsia="仿宋_GB2312"/>
          <w:b/>
          <w:bCs/>
          <w:sz w:val="28"/>
          <w:szCs w:val="28"/>
        </w:rPr>
      </w:pPr>
      <w:r>
        <w:rPr>
          <w:rFonts w:hint="eastAsia" w:ascii="仿宋_GB2312" w:eastAsia="仿宋_GB2312"/>
          <w:b/>
          <w:bCs/>
          <w:sz w:val="28"/>
          <w:szCs w:val="28"/>
        </w:rPr>
        <w:t>第二章  甲方的责任和权利</w:t>
      </w:r>
    </w:p>
    <w:p>
      <w:pPr>
        <w:spacing w:line="520" w:lineRule="exact"/>
        <w:ind w:firstLine="482"/>
        <w:rPr>
          <w:rFonts w:hint="eastAsia" w:ascii="仿宋_GB2312" w:eastAsia="仿宋_GB2312"/>
          <w:sz w:val="28"/>
          <w:szCs w:val="28"/>
        </w:rPr>
      </w:pPr>
      <w:r>
        <w:rPr>
          <w:rFonts w:hint="eastAsia" w:ascii="仿宋_GB2312" w:eastAsia="仿宋_GB2312"/>
          <w:sz w:val="28"/>
          <w:szCs w:val="28"/>
        </w:rPr>
        <w:t>2.1甲方负责向乙方传达机场疫情防控方面的政策和要求。</w:t>
      </w:r>
    </w:p>
    <w:p>
      <w:pPr>
        <w:spacing w:line="520" w:lineRule="exact"/>
        <w:ind w:firstLine="482"/>
        <w:rPr>
          <w:rFonts w:hint="eastAsia" w:ascii="仿宋_GB2312" w:eastAsia="仿宋_GB2312"/>
          <w:sz w:val="28"/>
          <w:szCs w:val="28"/>
        </w:rPr>
      </w:pPr>
      <w:r>
        <w:rPr>
          <w:rFonts w:hint="eastAsia" w:ascii="仿宋_GB2312" w:eastAsia="仿宋_GB2312"/>
          <w:sz w:val="28"/>
          <w:szCs w:val="28"/>
        </w:rPr>
        <w:t>2.2甲方根据实际情况，可要求乙方建立疫情防控机构或确定疫情防控专（兼）职联络员。</w:t>
      </w:r>
    </w:p>
    <w:p>
      <w:pPr>
        <w:spacing w:line="520" w:lineRule="exact"/>
        <w:ind w:firstLine="482"/>
        <w:rPr>
          <w:rFonts w:hint="eastAsia" w:ascii="仿宋_GB2312" w:eastAsia="仿宋_GB2312"/>
          <w:sz w:val="28"/>
          <w:szCs w:val="28"/>
        </w:rPr>
      </w:pPr>
      <w:r>
        <w:rPr>
          <w:rFonts w:hint="eastAsia" w:ascii="仿宋_GB2312" w:eastAsia="仿宋_GB2312"/>
          <w:sz w:val="28"/>
          <w:szCs w:val="28"/>
        </w:rPr>
        <w:t>2.3甲方应根据疫情防控形势，定期/非定期召集乙方疫情防控负责人、专（兼）职联络员召开疫情防控协调会。</w:t>
      </w:r>
    </w:p>
    <w:p>
      <w:pPr>
        <w:spacing w:line="520" w:lineRule="exact"/>
        <w:ind w:firstLine="482"/>
        <w:rPr>
          <w:rFonts w:hint="eastAsia" w:ascii="仿宋_GB2312" w:eastAsia="仿宋_GB2312"/>
          <w:sz w:val="28"/>
          <w:szCs w:val="28"/>
        </w:rPr>
      </w:pPr>
      <w:r>
        <w:rPr>
          <w:rFonts w:hint="eastAsia" w:ascii="仿宋_GB2312" w:eastAsia="仿宋_GB2312"/>
          <w:sz w:val="28"/>
          <w:szCs w:val="28"/>
        </w:rPr>
        <w:t>2.4针对保障国际业务的高风险岗位，甲方应要求乙方建立专门团队，纳入甲方管理体系直接管理，如工作考勤、工作安排、培训教育等，甲方负责高风险岗位闭环期间的人员食宿、通勤车辆、证照办理、核酸检测、作业场所等安排工作。</w:t>
      </w:r>
    </w:p>
    <w:p>
      <w:pPr>
        <w:spacing w:line="520" w:lineRule="exact"/>
        <w:ind w:firstLine="482"/>
        <w:rPr>
          <w:rFonts w:hint="eastAsia" w:ascii="仿宋_GB2312" w:eastAsia="仿宋_GB2312"/>
          <w:sz w:val="28"/>
          <w:szCs w:val="28"/>
        </w:rPr>
      </w:pPr>
      <w:r>
        <w:rPr>
          <w:rFonts w:hint="eastAsia" w:ascii="仿宋_GB2312" w:eastAsia="仿宋_GB2312"/>
          <w:sz w:val="28"/>
          <w:szCs w:val="28"/>
        </w:rPr>
        <w:t>2.5甲方应在符合机场空防安全的前提下保证乙方的防疫物资按机场处置流程进入规定区域。</w:t>
      </w:r>
    </w:p>
    <w:p>
      <w:pPr>
        <w:spacing w:line="520" w:lineRule="exact"/>
        <w:ind w:firstLine="482"/>
        <w:rPr>
          <w:rFonts w:hint="eastAsia" w:ascii="仿宋_GB2312" w:eastAsia="仿宋_GB2312"/>
          <w:sz w:val="28"/>
          <w:szCs w:val="28"/>
        </w:rPr>
      </w:pPr>
      <w:r>
        <w:rPr>
          <w:rFonts w:hint="eastAsia" w:ascii="仿宋_GB2312" w:eastAsia="仿宋_GB2312"/>
          <w:sz w:val="28"/>
          <w:szCs w:val="28"/>
        </w:rPr>
        <w:t>2.6甲方为乙方提供相应岗位工作所需的疫情防控标准、防疫操作流程及文件资料等。</w:t>
      </w:r>
    </w:p>
    <w:p>
      <w:pPr>
        <w:spacing w:line="520" w:lineRule="exact"/>
        <w:ind w:firstLine="482"/>
        <w:rPr>
          <w:rFonts w:hint="eastAsia" w:ascii="仿宋_GB2312" w:eastAsia="仿宋_GB2312"/>
          <w:sz w:val="28"/>
          <w:szCs w:val="28"/>
        </w:rPr>
      </w:pPr>
      <w:r>
        <w:rPr>
          <w:rFonts w:hint="eastAsia" w:ascii="仿宋_GB2312" w:eastAsia="仿宋_GB2312"/>
          <w:sz w:val="28"/>
          <w:szCs w:val="28"/>
        </w:rPr>
        <w:t>2.7甲方应当为乙方的疫情防控管理提供必要的帮助，并协调处理双方工作中的配合关系。</w:t>
      </w:r>
    </w:p>
    <w:p>
      <w:pPr>
        <w:spacing w:line="520" w:lineRule="exact"/>
        <w:ind w:firstLine="482"/>
        <w:rPr>
          <w:rFonts w:hint="eastAsia" w:ascii="仿宋_GB2312" w:eastAsia="仿宋_GB2312"/>
          <w:sz w:val="28"/>
          <w:szCs w:val="28"/>
        </w:rPr>
      </w:pPr>
      <w:r>
        <w:rPr>
          <w:rFonts w:hint="eastAsia" w:ascii="仿宋_GB2312" w:eastAsia="仿宋_GB2312"/>
          <w:sz w:val="28"/>
          <w:szCs w:val="28"/>
        </w:rPr>
        <w:t>2.8甲方有权要求乙方进行疫情防控专项保障和有权调动指挥乙方进行疫情突发事件处置。</w:t>
      </w:r>
    </w:p>
    <w:p>
      <w:pPr>
        <w:spacing w:line="520" w:lineRule="exact"/>
        <w:ind w:firstLine="482"/>
        <w:rPr>
          <w:rFonts w:hint="eastAsia" w:ascii="仿宋_GB2312" w:eastAsia="仿宋_GB2312"/>
          <w:sz w:val="28"/>
          <w:szCs w:val="28"/>
        </w:rPr>
      </w:pPr>
      <w:r>
        <w:rPr>
          <w:rFonts w:hint="eastAsia" w:ascii="仿宋_GB2312" w:eastAsia="仿宋_GB2312"/>
          <w:sz w:val="28"/>
          <w:szCs w:val="28"/>
        </w:rPr>
        <w:t>2.9甲方有权督促、检查、指导乙方做好疫情防控工作，对乙方疫情防控工作中存在的问题和风险隐患，发出整改要求。</w:t>
      </w:r>
    </w:p>
    <w:p>
      <w:pPr>
        <w:spacing w:line="520" w:lineRule="exact"/>
        <w:ind w:firstLine="482"/>
        <w:rPr>
          <w:rFonts w:ascii="仿宋_GB2312" w:eastAsia="仿宋_GB2312"/>
          <w:sz w:val="28"/>
          <w:szCs w:val="28"/>
        </w:rPr>
      </w:pPr>
      <w:r>
        <w:rPr>
          <w:rFonts w:hint="eastAsia" w:ascii="仿宋_GB2312" w:eastAsia="仿宋_GB2312"/>
          <w:sz w:val="28"/>
          <w:szCs w:val="28"/>
        </w:rPr>
        <w:t>2.10针对乙方高风险岗位人员（保障国际入境客货机业务）薪酬管理要求，甲方定期检查乙方执行情况，包含但不限于薪酬发放、足额缴纳社保等。</w:t>
      </w:r>
    </w:p>
    <w:p>
      <w:pPr>
        <w:spacing w:line="520" w:lineRule="exact"/>
        <w:ind w:firstLine="482"/>
        <w:jc w:val="center"/>
        <w:rPr>
          <w:rFonts w:hint="eastAsia" w:ascii="仿宋_GB2312" w:eastAsia="仿宋_GB2312"/>
          <w:b/>
          <w:bCs/>
          <w:sz w:val="28"/>
          <w:szCs w:val="28"/>
        </w:rPr>
      </w:pPr>
      <w:r>
        <w:rPr>
          <w:rFonts w:hint="eastAsia" w:ascii="仿宋_GB2312" w:eastAsia="仿宋_GB2312"/>
          <w:b/>
          <w:bCs/>
          <w:sz w:val="28"/>
          <w:szCs w:val="28"/>
        </w:rPr>
        <w:t>第三章  乙方的责任和权利</w:t>
      </w:r>
    </w:p>
    <w:p>
      <w:pPr>
        <w:spacing w:line="520" w:lineRule="exact"/>
        <w:ind w:firstLine="482"/>
        <w:rPr>
          <w:rFonts w:hint="eastAsia" w:ascii="仿宋_GB2312" w:eastAsia="仿宋_GB2312"/>
          <w:sz w:val="28"/>
          <w:szCs w:val="28"/>
        </w:rPr>
      </w:pPr>
      <w:r>
        <w:rPr>
          <w:rFonts w:hint="eastAsia" w:ascii="仿宋_GB2312" w:eastAsia="仿宋_GB2312"/>
          <w:sz w:val="28"/>
          <w:szCs w:val="28"/>
        </w:rPr>
        <w:t>3.1人员资质</w:t>
      </w:r>
    </w:p>
    <w:p>
      <w:pPr>
        <w:spacing w:line="520" w:lineRule="exact"/>
        <w:ind w:firstLine="482"/>
        <w:rPr>
          <w:rFonts w:hint="eastAsia" w:ascii="仿宋_GB2312" w:eastAsia="仿宋_GB2312"/>
          <w:sz w:val="28"/>
          <w:szCs w:val="28"/>
        </w:rPr>
      </w:pPr>
      <w:r>
        <w:rPr>
          <w:rFonts w:hint="eastAsia" w:ascii="仿宋_GB2312" w:eastAsia="仿宋_GB2312"/>
          <w:sz w:val="28"/>
          <w:szCs w:val="28"/>
        </w:rPr>
        <w:t>3.1.1乙方选派机场工作人员必须完成全程疫苗接种，未完成全程疫苗接种的，不得参与机场保障业务，以保护员工、降低染疫风险。</w:t>
      </w:r>
    </w:p>
    <w:p>
      <w:pPr>
        <w:spacing w:line="520" w:lineRule="exact"/>
        <w:ind w:firstLine="482"/>
        <w:rPr>
          <w:rFonts w:hint="eastAsia" w:ascii="仿宋_GB2312" w:eastAsia="仿宋_GB2312"/>
          <w:sz w:val="28"/>
          <w:szCs w:val="28"/>
        </w:rPr>
      </w:pPr>
      <w:r>
        <w:rPr>
          <w:rFonts w:hint="eastAsia" w:ascii="仿宋_GB2312" w:eastAsia="仿宋_GB2312"/>
          <w:sz w:val="28"/>
          <w:szCs w:val="28"/>
        </w:rPr>
        <w:t>3.1.2乙方如参与入境国际客货航班保障，应安排专门团队参与，纳入甲方管理体系直接管理，并与其他保障人员严格区分，不得交叉。对保障入境国际客货航班的专门团队登记造册、清单实名制管理，并将名册提交甲方备案，名册若有变更第一时间报备甲方。</w:t>
      </w:r>
    </w:p>
    <w:p>
      <w:pPr>
        <w:spacing w:line="520" w:lineRule="exact"/>
        <w:ind w:firstLine="482"/>
        <w:rPr>
          <w:rFonts w:hint="eastAsia" w:ascii="仿宋_GB2312" w:eastAsia="仿宋_GB2312"/>
          <w:sz w:val="28"/>
          <w:szCs w:val="28"/>
        </w:rPr>
      </w:pPr>
      <w:r>
        <w:rPr>
          <w:rFonts w:hint="eastAsia" w:ascii="仿宋_GB2312" w:eastAsia="仿宋_GB2312"/>
          <w:sz w:val="28"/>
          <w:szCs w:val="28"/>
        </w:rPr>
        <w:t>3.1.3结合机场防控要求，乙方从满足3.1.1和3.1.2两个条件的工作人员中选派思想稳定、身体状况、心理状况和行为习惯良好的工作人员作为入境国际客货航班保障闭环人员。</w:t>
      </w:r>
    </w:p>
    <w:p>
      <w:pPr>
        <w:spacing w:line="520" w:lineRule="exact"/>
        <w:ind w:firstLine="482"/>
        <w:rPr>
          <w:rFonts w:hint="eastAsia" w:ascii="仿宋_GB2312" w:eastAsia="仿宋_GB2312"/>
          <w:sz w:val="28"/>
          <w:szCs w:val="28"/>
        </w:rPr>
      </w:pPr>
      <w:r>
        <w:rPr>
          <w:rFonts w:hint="eastAsia" w:ascii="仿宋_GB2312" w:eastAsia="仿宋_GB2312"/>
          <w:sz w:val="28"/>
          <w:szCs w:val="28"/>
        </w:rPr>
        <w:t>3.2培训考核</w:t>
      </w:r>
    </w:p>
    <w:p>
      <w:pPr>
        <w:spacing w:line="520" w:lineRule="exact"/>
        <w:ind w:firstLine="482"/>
        <w:rPr>
          <w:rFonts w:hint="eastAsia" w:ascii="仿宋_GB2312" w:eastAsia="仿宋_GB2312"/>
          <w:sz w:val="28"/>
          <w:szCs w:val="28"/>
        </w:rPr>
      </w:pPr>
      <w:r>
        <w:rPr>
          <w:rFonts w:hint="eastAsia" w:ascii="仿宋_GB2312" w:eastAsia="仿宋_GB2312"/>
          <w:sz w:val="28"/>
          <w:szCs w:val="28"/>
        </w:rPr>
        <w:t>3.2.1为提高员工防疫知识和技能，提升疫情防控意识，乙方应确保所有涉及防疫相关的工作人员均接受疫情防控培训。</w:t>
      </w:r>
    </w:p>
    <w:p>
      <w:pPr>
        <w:spacing w:line="520" w:lineRule="exact"/>
        <w:ind w:firstLine="482"/>
        <w:rPr>
          <w:rFonts w:hint="eastAsia" w:ascii="仿宋_GB2312" w:eastAsia="仿宋_GB2312"/>
          <w:sz w:val="28"/>
          <w:szCs w:val="28"/>
        </w:rPr>
      </w:pPr>
      <w:r>
        <w:rPr>
          <w:rFonts w:hint="eastAsia" w:ascii="仿宋_GB2312" w:eastAsia="仿宋_GB2312"/>
          <w:sz w:val="28"/>
          <w:szCs w:val="28"/>
        </w:rPr>
        <w:t>3.2.2乙方选派机场的工作人员在疫情防控专业知识培训结束考核合格后方能上岗。</w:t>
      </w:r>
    </w:p>
    <w:p>
      <w:pPr>
        <w:spacing w:line="520" w:lineRule="exact"/>
        <w:ind w:firstLine="482"/>
        <w:rPr>
          <w:rFonts w:hint="eastAsia" w:ascii="仿宋_GB2312" w:eastAsia="仿宋_GB2312"/>
          <w:sz w:val="28"/>
          <w:szCs w:val="28"/>
        </w:rPr>
      </w:pPr>
      <w:r>
        <w:rPr>
          <w:rFonts w:hint="eastAsia" w:ascii="仿宋_GB2312" w:eastAsia="仿宋_GB2312"/>
          <w:sz w:val="28"/>
          <w:szCs w:val="28"/>
        </w:rPr>
        <w:t>3.2.3乙方自行组织员工开展疫情防控专业知识培训及考核，每年至少组织4次复训考核，以检验复训培训工作的效果。考核不合格者由乙方安排补考，补考不合格者，乙方应对其进行处罚并安排参加补训。</w:t>
      </w:r>
    </w:p>
    <w:p>
      <w:pPr>
        <w:spacing w:line="520" w:lineRule="exact"/>
        <w:ind w:firstLine="482"/>
        <w:rPr>
          <w:rFonts w:hint="eastAsia" w:ascii="仿宋_GB2312" w:eastAsia="仿宋_GB2312"/>
          <w:sz w:val="28"/>
          <w:szCs w:val="28"/>
        </w:rPr>
      </w:pPr>
      <w:r>
        <w:rPr>
          <w:rFonts w:hint="eastAsia" w:ascii="仿宋_GB2312" w:eastAsia="仿宋_GB2312"/>
          <w:sz w:val="28"/>
          <w:szCs w:val="28"/>
        </w:rPr>
        <w:t>3.2.4 乙方要参与甲方或者机场管理机构牵头组织的各类防控培训和应急演练，并将相关内容更新至各类岗位操作人员。</w:t>
      </w:r>
    </w:p>
    <w:p>
      <w:pPr>
        <w:spacing w:line="520" w:lineRule="exact"/>
        <w:ind w:firstLine="482"/>
        <w:rPr>
          <w:rFonts w:hint="eastAsia" w:ascii="仿宋_GB2312" w:eastAsia="仿宋_GB2312"/>
          <w:sz w:val="28"/>
          <w:szCs w:val="28"/>
        </w:rPr>
      </w:pPr>
      <w:r>
        <w:rPr>
          <w:rFonts w:hint="eastAsia" w:ascii="仿宋_GB2312" w:eastAsia="仿宋_GB2312"/>
          <w:sz w:val="28"/>
          <w:szCs w:val="28"/>
        </w:rPr>
        <w:t>3.3个人防护</w:t>
      </w:r>
    </w:p>
    <w:p>
      <w:pPr>
        <w:spacing w:line="520" w:lineRule="exact"/>
        <w:ind w:firstLine="482"/>
        <w:rPr>
          <w:rFonts w:hint="eastAsia" w:ascii="仿宋_GB2312" w:eastAsia="仿宋_GB2312"/>
          <w:sz w:val="28"/>
          <w:szCs w:val="28"/>
        </w:rPr>
      </w:pPr>
      <w:r>
        <w:rPr>
          <w:rFonts w:hint="eastAsia" w:ascii="仿宋_GB2312" w:eastAsia="仿宋_GB2312"/>
          <w:sz w:val="28"/>
          <w:szCs w:val="28"/>
        </w:rPr>
        <w:t>3.3.1乙方员工应知晓本岗位防护用品穿戴标准。</w:t>
      </w:r>
    </w:p>
    <w:p>
      <w:pPr>
        <w:spacing w:line="520" w:lineRule="exact"/>
        <w:ind w:firstLine="482"/>
        <w:rPr>
          <w:rFonts w:hint="eastAsia" w:ascii="仿宋_GB2312" w:eastAsia="仿宋_GB2312"/>
          <w:sz w:val="28"/>
          <w:szCs w:val="28"/>
        </w:rPr>
      </w:pPr>
      <w:r>
        <w:rPr>
          <w:rFonts w:hint="eastAsia" w:ascii="仿宋_GB2312" w:eastAsia="仿宋_GB2312"/>
          <w:sz w:val="28"/>
          <w:szCs w:val="28"/>
        </w:rPr>
        <w:t>3.3.2乙方员工应熟练掌握防护用品穿脱流程。</w:t>
      </w:r>
    </w:p>
    <w:p>
      <w:pPr>
        <w:spacing w:line="520" w:lineRule="exact"/>
        <w:ind w:firstLine="482"/>
        <w:rPr>
          <w:rFonts w:hint="eastAsia" w:ascii="仿宋_GB2312" w:eastAsia="仿宋_GB2312"/>
          <w:sz w:val="28"/>
          <w:szCs w:val="28"/>
        </w:rPr>
      </w:pPr>
      <w:r>
        <w:rPr>
          <w:rFonts w:hint="eastAsia" w:ascii="仿宋_GB2312" w:eastAsia="仿宋_GB2312"/>
          <w:sz w:val="28"/>
          <w:szCs w:val="28"/>
        </w:rPr>
        <w:t>3.3.3乙方高风险岗位员工应知晓防护解除管理规定。</w:t>
      </w:r>
    </w:p>
    <w:p>
      <w:pPr>
        <w:spacing w:line="520" w:lineRule="exact"/>
        <w:ind w:firstLine="482"/>
        <w:rPr>
          <w:rFonts w:hint="eastAsia" w:ascii="仿宋_GB2312" w:eastAsia="仿宋_GB2312"/>
          <w:sz w:val="28"/>
          <w:szCs w:val="28"/>
        </w:rPr>
      </w:pPr>
      <w:r>
        <w:rPr>
          <w:rFonts w:hint="eastAsia" w:ascii="仿宋_GB2312" w:eastAsia="仿宋_GB2312"/>
          <w:sz w:val="28"/>
          <w:szCs w:val="28"/>
        </w:rPr>
        <w:t>3.3.4岗位个人防护标准参考《运输航空公司、机场疫情防控技术指南》（最新版）和《重庆空港航空地面服务有限公司疫情防控指南》（最新版）中的相关要求执行。</w:t>
      </w:r>
    </w:p>
    <w:p>
      <w:pPr>
        <w:spacing w:line="520" w:lineRule="exact"/>
        <w:ind w:firstLine="482"/>
        <w:rPr>
          <w:rFonts w:hint="eastAsia" w:ascii="仿宋_GB2312" w:eastAsia="仿宋_GB2312"/>
          <w:sz w:val="28"/>
          <w:szCs w:val="28"/>
        </w:rPr>
      </w:pPr>
      <w:r>
        <w:rPr>
          <w:rFonts w:hint="eastAsia" w:ascii="仿宋_GB2312" w:eastAsia="仿宋_GB2312"/>
          <w:sz w:val="28"/>
          <w:szCs w:val="28"/>
        </w:rPr>
        <w:t>3.3.5具体防护服穿脱流程参考《运输航空公司、机场疫情防控技术指南》（最新版）和机场管理机构制定的《个人防护穿脱及就地解除和集中解除操作规范》(最新版）。</w:t>
      </w:r>
    </w:p>
    <w:p>
      <w:pPr>
        <w:spacing w:line="520" w:lineRule="exact"/>
        <w:ind w:firstLine="482"/>
        <w:rPr>
          <w:rFonts w:hint="eastAsia" w:ascii="仿宋_GB2312" w:eastAsia="仿宋_GB2312"/>
          <w:sz w:val="28"/>
          <w:szCs w:val="28"/>
        </w:rPr>
      </w:pPr>
      <w:r>
        <w:rPr>
          <w:rFonts w:hint="eastAsia" w:ascii="仿宋_GB2312" w:eastAsia="仿宋_GB2312"/>
          <w:sz w:val="28"/>
          <w:szCs w:val="28"/>
        </w:rPr>
        <w:t>3.4核酸检测</w:t>
      </w:r>
    </w:p>
    <w:p>
      <w:pPr>
        <w:spacing w:line="520" w:lineRule="exact"/>
        <w:ind w:firstLine="482"/>
        <w:rPr>
          <w:rFonts w:hint="eastAsia" w:ascii="仿宋_GB2312" w:eastAsia="仿宋_GB2312"/>
          <w:sz w:val="28"/>
          <w:szCs w:val="28"/>
        </w:rPr>
      </w:pPr>
      <w:r>
        <w:rPr>
          <w:rFonts w:hint="eastAsia" w:ascii="仿宋_GB2312" w:eastAsia="仿宋_GB2312"/>
          <w:sz w:val="28"/>
          <w:szCs w:val="28"/>
        </w:rPr>
        <w:t>3.4.1乙方员工在岗集中封闭管理期间的闭环管理人员（直接从事国际旅客、进口货物和国际航班航空器相关服务的一线工作人员）每天开展1次检测。</w:t>
      </w:r>
    </w:p>
    <w:p>
      <w:pPr>
        <w:spacing w:line="520" w:lineRule="exact"/>
        <w:ind w:firstLine="482"/>
        <w:rPr>
          <w:rFonts w:hint="eastAsia" w:ascii="仿宋_GB2312" w:eastAsia="仿宋_GB2312"/>
          <w:sz w:val="28"/>
          <w:szCs w:val="28"/>
        </w:rPr>
      </w:pPr>
      <w:r>
        <w:rPr>
          <w:rFonts w:hint="eastAsia" w:ascii="仿宋_GB2312" w:eastAsia="仿宋_GB2312"/>
          <w:sz w:val="28"/>
          <w:szCs w:val="28"/>
        </w:rPr>
        <w:t>3.4.2乙方员工参与国际进港航班保障流程中未直接接触旅客、货物、航空器和垃圾的工作人员，与闭环管理人员有直接接触或近距离接触的人员每隔1天开展1次检测。</w:t>
      </w:r>
    </w:p>
    <w:p>
      <w:pPr>
        <w:spacing w:line="520" w:lineRule="exact"/>
        <w:ind w:firstLine="482"/>
        <w:rPr>
          <w:rFonts w:hint="eastAsia" w:ascii="仿宋_GB2312" w:eastAsia="仿宋_GB2312"/>
          <w:sz w:val="28"/>
          <w:szCs w:val="28"/>
        </w:rPr>
      </w:pPr>
      <w:r>
        <w:rPr>
          <w:rFonts w:hint="eastAsia" w:ascii="仿宋_GB2312" w:eastAsia="仿宋_GB2312"/>
          <w:sz w:val="28"/>
          <w:szCs w:val="28"/>
        </w:rPr>
        <w:t>3.4.3乙方员工国内航班保障人员，接触闭环管理人员的各类生活后勤服务及管理人员，直接接触旅客、货主、货物的一线工作人员每7天开展2次检测，每次间隔2天以上。</w:t>
      </w:r>
    </w:p>
    <w:p>
      <w:pPr>
        <w:spacing w:line="520" w:lineRule="exact"/>
        <w:ind w:firstLine="482"/>
        <w:rPr>
          <w:rFonts w:hint="eastAsia" w:ascii="仿宋_GB2312" w:eastAsia="仿宋_GB2312"/>
          <w:sz w:val="28"/>
          <w:szCs w:val="28"/>
        </w:rPr>
      </w:pPr>
      <w:r>
        <w:rPr>
          <w:rFonts w:hint="eastAsia" w:ascii="仿宋_GB2312" w:eastAsia="仿宋_GB2312"/>
          <w:sz w:val="28"/>
          <w:szCs w:val="28"/>
        </w:rPr>
        <w:t>3.4.4以上检测频次若有变动，以机场管理机构制定的《关于印发江北机场高风险岗位人员闭环管理指南（试行）的通知》（最新版）和《重庆机场集团有限公司常态化核酸检测工作方案》（最新版）为准。</w:t>
      </w:r>
    </w:p>
    <w:p>
      <w:pPr>
        <w:spacing w:line="520" w:lineRule="exact"/>
        <w:ind w:firstLine="482"/>
        <w:rPr>
          <w:rFonts w:hint="eastAsia" w:ascii="仿宋_GB2312" w:eastAsia="仿宋_GB2312"/>
          <w:sz w:val="28"/>
          <w:szCs w:val="28"/>
        </w:rPr>
      </w:pPr>
      <w:r>
        <w:rPr>
          <w:rFonts w:hint="eastAsia" w:ascii="仿宋_GB2312" w:eastAsia="仿宋_GB2312"/>
          <w:sz w:val="28"/>
          <w:szCs w:val="28"/>
        </w:rPr>
        <w:t>3.5健康监测</w:t>
      </w:r>
    </w:p>
    <w:p>
      <w:pPr>
        <w:spacing w:line="520" w:lineRule="exact"/>
        <w:ind w:firstLine="482"/>
        <w:rPr>
          <w:rFonts w:hint="eastAsia" w:ascii="仿宋_GB2312" w:eastAsia="仿宋_GB2312"/>
          <w:sz w:val="28"/>
          <w:szCs w:val="28"/>
        </w:rPr>
      </w:pPr>
      <w:r>
        <w:rPr>
          <w:rFonts w:hint="eastAsia" w:ascii="仿宋_GB2312" w:eastAsia="仿宋_GB2312"/>
          <w:sz w:val="28"/>
          <w:szCs w:val="28"/>
        </w:rPr>
        <w:t>3.5.1乙方应持续落实各岗位员工个人防护措施，重点岗位员工岗前测温等健康检测管理，员工出现发热等症状第一时间就医并向相应甲方监管部门报备。闭环管理人员应每日开展健康监测，至少每天上、下午各开展一次体温和症状监测，并做好记录。对所有发热(≥37.3℃ )开展新冠病毒核酸检测。对无发热但有干咳、乏力、咽痛、嗅（味）觉减退、腹泻等症状者等症状者,立即开展核酸检测和排查诊断等应急处置。如发现疑似病例、确诊病例或无症状感染者,立即严格按照国家和重庆市疫情防控相关要求处置。</w:t>
      </w:r>
    </w:p>
    <w:p>
      <w:pPr>
        <w:spacing w:line="520" w:lineRule="exact"/>
        <w:ind w:firstLine="482"/>
        <w:rPr>
          <w:rFonts w:hint="eastAsia" w:ascii="仿宋_GB2312" w:eastAsia="仿宋_GB2312"/>
          <w:sz w:val="28"/>
          <w:szCs w:val="28"/>
        </w:rPr>
      </w:pPr>
      <w:r>
        <w:rPr>
          <w:rFonts w:hint="eastAsia" w:ascii="仿宋_GB2312" w:eastAsia="仿宋_GB2312"/>
          <w:sz w:val="28"/>
          <w:szCs w:val="28"/>
        </w:rPr>
        <w:t>3.6高风险岗位管理（保障国际入境客货机业务）</w:t>
      </w:r>
    </w:p>
    <w:p>
      <w:pPr>
        <w:spacing w:line="520" w:lineRule="exact"/>
        <w:ind w:firstLine="482"/>
        <w:rPr>
          <w:rFonts w:hint="eastAsia" w:ascii="仿宋_GB2312" w:eastAsia="仿宋_GB2312"/>
          <w:sz w:val="28"/>
          <w:szCs w:val="28"/>
        </w:rPr>
      </w:pPr>
      <w:r>
        <w:rPr>
          <w:rFonts w:hint="eastAsia" w:ascii="仿宋_GB2312" w:eastAsia="仿宋_GB2312"/>
          <w:sz w:val="28"/>
          <w:szCs w:val="28"/>
        </w:rPr>
        <w:t>3.6.1乙方应建立《高风险岗位员工疫情管理制度》，制度中应明确对高风险岗位人员的日常管理要求，并向甲方备案。</w:t>
      </w:r>
    </w:p>
    <w:p>
      <w:pPr>
        <w:spacing w:line="520" w:lineRule="exact"/>
        <w:ind w:firstLine="482"/>
        <w:rPr>
          <w:rFonts w:hint="eastAsia" w:ascii="仿宋_GB2312" w:eastAsia="仿宋_GB2312"/>
          <w:sz w:val="28"/>
          <w:szCs w:val="28"/>
        </w:rPr>
      </w:pPr>
      <w:r>
        <w:rPr>
          <w:rFonts w:hint="eastAsia" w:ascii="仿宋_GB2312" w:eastAsia="仿宋_GB2312"/>
          <w:sz w:val="28"/>
          <w:szCs w:val="28"/>
        </w:rPr>
        <w:t>3.6.2乙方应将每日岗位排班情况和考勤情况报备甲方监管部门，并接受甲方监管部门的统筹调配。</w:t>
      </w:r>
    </w:p>
    <w:p>
      <w:pPr>
        <w:spacing w:line="520" w:lineRule="exact"/>
        <w:ind w:firstLine="482"/>
        <w:rPr>
          <w:rFonts w:ascii="仿宋_GB2312" w:eastAsia="仿宋_GB2312"/>
          <w:sz w:val="28"/>
          <w:szCs w:val="28"/>
        </w:rPr>
      </w:pPr>
      <w:r>
        <w:rPr>
          <w:rFonts w:hint="eastAsia" w:ascii="仿宋_GB2312" w:eastAsia="仿宋_GB2312"/>
          <w:sz w:val="28"/>
          <w:szCs w:val="28"/>
        </w:rPr>
        <w:t>3.6.3乙方应建立高风险岗位人员薪酬保障制度（涵盖闭环人员津补贴），并提交甲方备案。乙方应每月5日前将上月高风险岗位人员薪酬发放清单报甲方备案。</w:t>
      </w:r>
    </w:p>
    <w:p>
      <w:pPr>
        <w:spacing w:line="520" w:lineRule="exact"/>
        <w:ind w:firstLine="482"/>
        <w:rPr>
          <w:rFonts w:hint="eastAsia" w:ascii="仿宋_GB2312" w:eastAsia="仿宋_GB2312"/>
          <w:sz w:val="28"/>
          <w:szCs w:val="28"/>
        </w:rPr>
      </w:pPr>
      <w:r>
        <w:rPr>
          <w:rFonts w:hint="eastAsia" w:ascii="仿宋_GB2312" w:eastAsia="仿宋_GB2312"/>
          <w:sz w:val="28"/>
          <w:szCs w:val="28"/>
        </w:rPr>
        <w:t>3.7监督检查</w:t>
      </w:r>
    </w:p>
    <w:p>
      <w:pPr>
        <w:spacing w:line="520" w:lineRule="exact"/>
        <w:ind w:firstLine="482"/>
        <w:rPr>
          <w:rFonts w:hint="eastAsia" w:ascii="仿宋_GB2312" w:eastAsia="仿宋_GB2312"/>
          <w:sz w:val="28"/>
          <w:szCs w:val="28"/>
        </w:rPr>
      </w:pPr>
      <w:r>
        <w:rPr>
          <w:rFonts w:hint="eastAsia" w:ascii="仿宋_GB2312" w:eastAsia="仿宋_GB2312"/>
          <w:sz w:val="28"/>
          <w:szCs w:val="28"/>
        </w:rPr>
        <w:t>3.7.1乙方应落实疫情防控责任，强化监督自查，应采用现场检查、远程检查等方式，定期组织各岗位开展疫情防控风险排查和措施检查。至少每周开展一次疫情防控专项检查，重点检查岗位人员资质、疫情防控知识培训、岗位人员防护用品穿戴、操作流程等，对发现的问题及时督促整改到位。</w:t>
      </w:r>
    </w:p>
    <w:p>
      <w:pPr>
        <w:spacing w:line="520" w:lineRule="exact"/>
        <w:ind w:firstLine="482"/>
        <w:rPr>
          <w:rFonts w:hint="eastAsia" w:ascii="仿宋_GB2312" w:eastAsia="仿宋_GB2312"/>
          <w:sz w:val="28"/>
          <w:szCs w:val="28"/>
        </w:rPr>
      </w:pPr>
      <w:r>
        <w:rPr>
          <w:rFonts w:hint="eastAsia" w:ascii="仿宋_GB2312" w:eastAsia="仿宋_GB2312"/>
          <w:sz w:val="28"/>
          <w:szCs w:val="28"/>
        </w:rPr>
        <w:t>3.8应急处置</w:t>
      </w:r>
    </w:p>
    <w:p>
      <w:pPr>
        <w:spacing w:line="520" w:lineRule="exact"/>
        <w:ind w:firstLine="482"/>
        <w:rPr>
          <w:rFonts w:hint="eastAsia" w:ascii="仿宋_GB2312" w:eastAsia="仿宋_GB2312"/>
          <w:sz w:val="28"/>
          <w:szCs w:val="28"/>
        </w:rPr>
      </w:pPr>
      <w:r>
        <w:rPr>
          <w:rFonts w:hint="eastAsia" w:ascii="仿宋_GB2312" w:eastAsia="仿宋_GB2312"/>
          <w:sz w:val="28"/>
          <w:szCs w:val="28"/>
        </w:rPr>
        <w:t>3.8.1 乙方日常工作和员工管理过程中突发与防疫防控相关的事件应在第一时间向甲方上报，做好涉疫员工的就地管控。</w:t>
      </w:r>
    </w:p>
    <w:p>
      <w:pPr>
        <w:spacing w:line="520" w:lineRule="exact"/>
        <w:ind w:firstLine="482"/>
        <w:rPr>
          <w:rFonts w:ascii="仿宋_GB2312" w:eastAsia="仿宋_GB2312"/>
          <w:sz w:val="28"/>
          <w:szCs w:val="28"/>
        </w:rPr>
      </w:pPr>
      <w:r>
        <w:rPr>
          <w:rFonts w:hint="eastAsia" w:ascii="仿宋_GB2312" w:eastAsia="仿宋_GB2312"/>
          <w:sz w:val="28"/>
          <w:szCs w:val="28"/>
        </w:rPr>
        <w:t>3.8.2 乙方应按照机场管理机构制定的《重庆江北国际机场新冠肺炎疫情防控应急预案》来开展实施，由甲方来统一安排，服从现场的调配和指挥，实现协同共防、联动群防的目标。</w:t>
      </w:r>
    </w:p>
    <w:p>
      <w:pPr>
        <w:spacing w:line="520" w:lineRule="exact"/>
        <w:ind w:firstLine="482"/>
        <w:jc w:val="center"/>
        <w:rPr>
          <w:rFonts w:hint="eastAsia" w:ascii="仿宋_GB2312" w:eastAsia="仿宋_GB2312"/>
          <w:b/>
          <w:bCs/>
          <w:sz w:val="28"/>
          <w:szCs w:val="28"/>
        </w:rPr>
      </w:pPr>
      <w:r>
        <w:rPr>
          <w:rFonts w:hint="eastAsia" w:ascii="仿宋_GB2312" w:eastAsia="仿宋_GB2312"/>
          <w:b/>
          <w:bCs/>
          <w:sz w:val="28"/>
          <w:szCs w:val="28"/>
        </w:rPr>
        <w:t>第四章</w:t>
      </w:r>
      <w:r>
        <w:rPr>
          <w:rFonts w:hint="eastAsia" w:ascii="仿宋_GB2312" w:eastAsia="仿宋_GB2312"/>
          <w:b/>
          <w:bCs/>
          <w:sz w:val="28"/>
          <w:szCs w:val="28"/>
        </w:rPr>
        <w:tab/>
      </w:r>
      <w:r>
        <w:rPr>
          <w:rFonts w:hint="eastAsia" w:ascii="仿宋_GB2312" w:eastAsia="仿宋_GB2312"/>
          <w:b/>
          <w:bCs/>
          <w:sz w:val="28"/>
          <w:szCs w:val="28"/>
        </w:rPr>
        <w:t>检查与验收</w:t>
      </w:r>
    </w:p>
    <w:p>
      <w:pPr>
        <w:spacing w:line="520" w:lineRule="exact"/>
        <w:ind w:firstLine="482"/>
        <w:rPr>
          <w:rFonts w:hint="eastAsia" w:ascii="仿宋_GB2312" w:eastAsia="仿宋_GB2312"/>
          <w:sz w:val="28"/>
          <w:szCs w:val="28"/>
        </w:rPr>
      </w:pPr>
      <w:r>
        <w:rPr>
          <w:rFonts w:hint="eastAsia" w:ascii="仿宋_GB2312" w:eastAsia="仿宋_GB2312"/>
          <w:sz w:val="28"/>
          <w:szCs w:val="28"/>
        </w:rPr>
        <w:t>4.1 甲方有权在协议生效后，对乙方在业务范围内的疫情防控工作落实情况，包含但不限于疫情防控安全责任落实、人员、设备、培训、管理等方面进行检查。乙方必须接受甲方的监督和检查，并提供甲方所需的有关资料和数据。</w:t>
      </w:r>
    </w:p>
    <w:p>
      <w:pPr>
        <w:spacing w:line="520" w:lineRule="exact"/>
        <w:ind w:firstLine="482"/>
        <w:rPr>
          <w:rFonts w:hint="eastAsia" w:ascii="仿宋_GB2312" w:eastAsia="仿宋_GB2312"/>
          <w:sz w:val="28"/>
          <w:szCs w:val="28"/>
        </w:rPr>
      </w:pPr>
      <w:r>
        <w:rPr>
          <w:rFonts w:hint="eastAsia" w:ascii="仿宋_GB2312" w:eastAsia="仿宋_GB2312"/>
          <w:sz w:val="28"/>
          <w:szCs w:val="28"/>
        </w:rPr>
        <w:t>4.2 甲方对在疫情防控专项检查中发现的问题，将及时地以书面（整改单/提示单）或口头方式通知乙方。乙方应调查原因、分析问题，根据有关规定进行处置，并在72小时内将处理结果以书面（整改通知回复单/工作提示回复单）或口头方式回复给甲方。甲、乙双方均应做好记录存档工作。</w:t>
      </w:r>
    </w:p>
    <w:p>
      <w:pPr>
        <w:spacing w:line="520" w:lineRule="exact"/>
        <w:ind w:firstLine="482"/>
        <w:rPr>
          <w:rFonts w:hint="eastAsia" w:ascii="仿宋_GB2312" w:eastAsia="仿宋_GB2312"/>
          <w:sz w:val="28"/>
          <w:szCs w:val="28"/>
        </w:rPr>
      </w:pPr>
      <w:r>
        <w:rPr>
          <w:rFonts w:hint="eastAsia" w:ascii="仿宋_GB2312" w:eastAsia="仿宋_GB2312"/>
          <w:sz w:val="28"/>
          <w:szCs w:val="28"/>
        </w:rPr>
        <w:t>4.3 甲、乙双方均应对检查出的问题经处置后进行验证，以检查处理结果的有效性。如结果不符合要求与标准的，乙方需重新进行整改，直至达到防疫要求标准。</w:t>
      </w:r>
    </w:p>
    <w:p>
      <w:pPr>
        <w:spacing w:line="520" w:lineRule="exact"/>
        <w:ind w:firstLine="482"/>
        <w:jc w:val="center"/>
        <w:rPr>
          <w:rFonts w:hint="eastAsia" w:ascii="仿宋_GB2312" w:eastAsia="仿宋_GB2312"/>
          <w:b/>
          <w:bCs/>
          <w:sz w:val="28"/>
          <w:szCs w:val="28"/>
        </w:rPr>
      </w:pPr>
      <w:r>
        <w:rPr>
          <w:rFonts w:hint="eastAsia" w:ascii="仿宋_GB2312" w:eastAsia="仿宋_GB2312"/>
          <w:b/>
          <w:bCs/>
          <w:sz w:val="28"/>
          <w:szCs w:val="28"/>
        </w:rPr>
        <w:t>第五章  违约处理</w:t>
      </w:r>
    </w:p>
    <w:p>
      <w:pPr>
        <w:spacing w:line="520" w:lineRule="exact"/>
        <w:ind w:firstLine="482"/>
        <w:rPr>
          <w:rFonts w:hint="eastAsia" w:ascii="仿宋_GB2312" w:eastAsia="仿宋_GB2312"/>
          <w:sz w:val="28"/>
          <w:szCs w:val="28"/>
        </w:rPr>
      </w:pPr>
      <w:r>
        <w:rPr>
          <w:rFonts w:hint="eastAsia" w:ascii="仿宋_GB2312" w:eastAsia="仿宋_GB2312"/>
          <w:sz w:val="28"/>
          <w:szCs w:val="28"/>
        </w:rPr>
        <w:t>5.1乙方在协议期内违反本协议内容，未造成严重后果的，甲方按双方签订的外包合同相关绩效条款进行处罚。</w:t>
      </w:r>
    </w:p>
    <w:p>
      <w:pPr>
        <w:spacing w:line="520" w:lineRule="exact"/>
        <w:ind w:firstLine="482"/>
        <w:rPr>
          <w:rFonts w:hint="eastAsia"/>
          <w:lang w:val="en-US" w:eastAsia="zh-CN"/>
        </w:rPr>
      </w:pPr>
      <w:r>
        <w:rPr>
          <w:rFonts w:hint="eastAsia" w:ascii="仿宋_GB2312" w:eastAsia="仿宋_GB2312"/>
          <w:sz w:val="28"/>
          <w:szCs w:val="28"/>
        </w:rPr>
        <w:t>5.2甲乙双方因疏于管理或者摸排工作不及时造成疫情扩散等严重情况，应依法依规承担相应责任。</w:t>
      </w:r>
    </w:p>
    <w:p>
      <w:pPr>
        <w:rPr>
          <w:rFonts w:hint="eastAsia" w:eastAsia="仿宋_GB2312"/>
          <w:b/>
          <w:bCs/>
          <w:color w:val="000000" w:themeColor="text1"/>
          <w:sz w:val="28"/>
          <w:szCs w:val="28"/>
          <w14:textFill>
            <w14:solidFill>
              <w14:schemeClr w14:val="tx1"/>
            </w14:solidFill>
          </w14:textFill>
        </w:rPr>
      </w:pPr>
      <w:r>
        <w:rPr>
          <w:rFonts w:hint="eastAsia" w:eastAsia="仿宋_GB2312"/>
          <w:b/>
          <w:bCs/>
          <w:color w:val="000000" w:themeColor="text1"/>
          <w:sz w:val="28"/>
          <w:szCs w:val="28"/>
          <w14:textFill>
            <w14:solidFill>
              <w14:schemeClr w14:val="tx1"/>
            </w14:solidFill>
          </w14:textFill>
        </w:rPr>
        <w:br w:type="page"/>
      </w:r>
    </w:p>
    <w:p>
      <w:pPr>
        <w:spacing w:line="560" w:lineRule="exact"/>
        <w:rPr>
          <w:rFonts w:eastAsia="仿宋_GB2312"/>
          <w:b/>
          <w:bCs/>
          <w:color w:val="000000" w:themeColor="text1"/>
          <w:sz w:val="28"/>
          <w:szCs w:val="28"/>
          <w14:textFill>
            <w14:solidFill>
              <w14:schemeClr w14:val="tx1"/>
            </w14:solidFill>
          </w14:textFill>
        </w:rPr>
      </w:pPr>
      <w:r>
        <w:rPr>
          <w:rFonts w:hint="eastAsia" w:eastAsia="仿宋_GB2312"/>
          <w:b/>
          <w:bCs/>
          <w:color w:val="000000" w:themeColor="text1"/>
          <w:sz w:val="28"/>
          <w:szCs w:val="28"/>
          <w14:textFill>
            <w14:solidFill>
              <w14:schemeClr w14:val="tx1"/>
            </w14:solidFill>
          </w14:textFill>
        </w:rPr>
        <w:t>比选响应文件格式:</w:t>
      </w:r>
    </w:p>
    <w:p>
      <w:pPr>
        <w:tabs>
          <w:tab w:val="left" w:pos="450"/>
          <w:tab w:val="left" w:pos="8280"/>
        </w:tabs>
        <w:rPr>
          <w:rFonts w:ascii="仿宋_GB2312" w:hAnsi="仿宋" w:eastAsia="仿宋_GB2312"/>
          <w:b/>
          <w:color w:val="000000"/>
          <w:sz w:val="28"/>
          <w:szCs w:val="28"/>
        </w:rPr>
      </w:pPr>
      <w:r>
        <w:rPr>
          <w:rFonts w:hint="eastAsia" w:ascii="仿宋_GB2312" w:hAnsi="仿宋" w:eastAsia="仿宋_GB2312"/>
          <w:b/>
          <w:color w:val="000000"/>
          <w:sz w:val="28"/>
          <w:szCs w:val="28"/>
        </w:rPr>
        <w:t>封面</w:t>
      </w:r>
    </w:p>
    <w:p>
      <w:pPr>
        <w:tabs>
          <w:tab w:val="left" w:pos="450"/>
          <w:tab w:val="left" w:pos="8280"/>
        </w:tabs>
        <w:jc w:val="center"/>
        <w:rPr>
          <w:rFonts w:ascii="仿宋_GB2312" w:hAnsi="仿宋" w:eastAsia="仿宋_GB2312"/>
          <w:b/>
          <w:color w:val="000000"/>
          <w:sz w:val="32"/>
          <w:szCs w:val="32"/>
          <w:lang w:val="zh-CN"/>
        </w:rPr>
      </w:pPr>
      <w:r>
        <w:rPr>
          <w:rFonts w:hint="eastAsia" w:ascii="仿宋_GB2312" w:hAnsi="仿宋" w:eastAsia="仿宋_GB2312"/>
          <w:b/>
          <w:color w:val="000000"/>
          <w:sz w:val="32"/>
          <w:szCs w:val="32"/>
          <w:lang w:val="zh-CN"/>
        </w:rPr>
        <w:t>重庆空港航空地面服务有限公司</w:t>
      </w:r>
    </w:p>
    <w:p>
      <w:pPr>
        <w:tabs>
          <w:tab w:val="left" w:pos="450"/>
          <w:tab w:val="left" w:pos="8280"/>
        </w:tabs>
        <w:jc w:val="center"/>
        <w:rPr>
          <w:rFonts w:ascii="仿宋_GB2312" w:hAnsi="仿宋" w:eastAsia="仿宋_GB2312"/>
          <w:b/>
          <w:color w:val="000000"/>
          <w:sz w:val="32"/>
          <w:szCs w:val="32"/>
          <w:lang w:val="zh-CN"/>
        </w:rPr>
      </w:pPr>
      <w:r>
        <w:rPr>
          <w:rFonts w:hint="eastAsia" w:ascii="仿宋_GB2312" w:hAnsi="仿宋" w:eastAsia="仿宋_GB2312"/>
          <w:b/>
          <w:color w:val="000000"/>
          <w:sz w:val="32"/>
          <w:szCs w:val="32"/>
          <w:lang w:val="zh-CN"/>
        </w:rPr>
        <w:t>国际（地区）航班机坪装卸业务增加装卸人员外包项目</w:t>
      </w:r>
    </w:p>
    <w:p>
      <w:pPr>
        <w:tabs>
          <w:tab w:val="left" w:pos="450"/>
          <w:tab w:val="left" w:pos="8280"/>
        </w:tabs>
        <w:jc w:val="center"/>
        <w:rPr>
          <w:rFonts w:ascii="仿宋_GB2312" w:hAnsi="仿宋" w:eastAsia="仿宋_GB2312"/>
          <w:b/>
          <w:color w:val="000000"/>
          <w:sz w:val="32"/>
          <w:szCs w:val="32"/>
        </w:rPr>
      </w:pPr>
      <w:r>
        <w:rPr>
          <w:rFonts w:hint="eastAsia" w:ascii="仿宋_GB2312" w:hAnsi="仿宋" w:eastAsia="仿宋_GB2312"/>
          <w:b/>
          <w:color w:val="000000"/>
          <w:sz w:val="32"/>
          <w:szCs w:val="32"/>
          <w:lang w:val="zh-CN"/>
        </w:rPr>
        <w:t>比选</w:t>
      </w:r>
      <w:r>
        <w:rPr>
          <w:rFonts w:hint="eastAsia" w:ascii="仿宋_GB2312" w:hAnsi="仿宋" w:eastAsia="仿宋_GB2312"/>
          <w:b/>
          <w:color w:val="000000"/>
          <w:sz w:val="32"/>
          <w:szCs w:val="32"/>
        </w:rPr>
        <w:t>响应文件</w:t>
      </w:r>
    </w:p>
    <w:p>
      <w:pPr>
        <w:tabs>
          <w:tab w:val="left" w:pos="8280"/>
        </w:tabs>
        <w:jc w:val="center"/>
        <w:rPr>
          <w:rFonts w:ascii="仿宋_GB2312" w:hAnsi="仿宋" w:eastAsia="仿宋_GB2312"/>
          <w:b/>
          <w:color w:val="000000"/>
          <w:sz w:val="32"/>
          <w:szCs w:val="32"/>
        </w:rPr>
      </w:pPr>
    </w:p>
    <w:p>
      <w:pPr>
        <w:tabs>
          <w:tab w:val="left" w:pos="8280"/>
        </w:tabs>
        <w:jc w:val="center"/>
        <w:rPr>
          <w:rFonts w:ascii="仿宋_GB2312" w:hAnsi="仿宋" w:eastAsia="仿宋_GB2312"/>
          <w:b/>
          <w:color w:val="000000"/>
          <w:sz w:val="32"/>
          <w:szCs w:val="32"/>
        </w:rPr>
      </w:pPr>
      <w:r>
        <w:rPr>
          <w:rFonts w:hint="eastAsia" w:ascii="仿宋_GB2312" w:hAnsi="仿宋" w:eastAsia="仿宋_GB2312"/>
          <w:b/>
          <w:color w:val="000000"/>
          <w:sz w:val="32"/>
          <w:szCs w:val="32"/>
        </w:rPr>
        <w:t>（正本或副本）</w:t>
      </w:r>
    </w:p>
    <w:p>
      <w:pPr>
        <w:tabs>
          <w:tab w:val="left" w:pos="8280"/>
        </w:tabs>
        <w:jc w:val="center"/>
        <w:rPr>
          <w:rFonts w:ascii="仿宋_GB2312" w:hAnsi="仿宋" w:eastAsia="仿宋_GB2312"/>
          <w:b/>
          <w:color w:val="000000"/>
          <w:sz w:val="32"/>
          <w:szCs w:val="32"/>
        </w:rPr>
      </w:pPr>
    </w:p>
    <w:p>
      <w:pPr>
        <w:tabs>
          <w:tab w:val="left" w:pos="765"/>
          <w:tab w:val="left" w:pos="8280"/>
        </w:tabs>
        <w:rPr>
          <w:rFonts w:ascii="仿宋_GB2312" w:hAnsi="仿宋" w:eastAsia="仿宋_GB2312"/>
          <w:b/>
          <w:color w:val="000000"/>
          <w:sz w:val="32"/>
          <w:szCs w:val="32"/>
        </w:rPr>
      </w:pPr>
    </w:p>
    <w:p>
      <w:pPr>
        <w:tabs>
          <w:tab w:val="left" w:pos="0"/>
          <w:tab w:val="left" w:pos="8280"/>
        </w:tabs>
        <w:ind w:firstLine="315" w:firstLineChars="98"/>
        <w:rPr>
          <w:rFonts w:ascii="仿宋_GB2312" w:hAnsi="仿宋" w:eastAsia="仿宋_GB2312"/>
          <w:b/>
          <w:color w:val="000000"/>
          <w:sz w:val="32"/>
          <w:szCs w:val="32"/>
        </w:rPr>
      </w:pPr>
    </w:p>
    <w:p>
      <w:pPr>
        <w:tabs>
          <w:tab w:val="left" w:pos="0"/>
          <w:tab w:val="left" w:pos="8280"/>
        </w:tabs>
        <w:ind w:firstLine="315" w:firstLineChars="98"/>
        <w:rPr>
          <w:rFonts w:ascii="仿宋_GB2312" w:hAnsi="仿宋" w:eastAsia="仿宋_GB2312"/>
          <w:b/>
          <w:color w:val="000000"/>
          <w:sz w:val="32"/>
          <w:szCs w:val="32"/>
        </w:rPr>
      </w:pPr>
    </w:p>
    <w:p>
      <w:pPr>
        <w:tabs>
          <w:tab w:val="left" w:pos="0"/>
          <w:tab w:val="left" w:pos="8280"/>
        </w:tabs>
        <w:ind w:firstLine="315" w:firstLineChars="98"/>
        <w:rPr>
          <w:rFonts w:ascii="仿宋_GB2312" w:hAnsi="仿宋" w:eastAsia="仿宋_GB2312"/>
          <w:b/>
          <w:color w:val="000000"/>
          <w:sz w:val="32"/>
          <w:szCs w:val="32"/>
        </w:rPr>
      </w:pPr>
    </w:p>
    <w:p>
      <w:pPr>
        <w:tabs>
          <w:tab w:val="left" w:pos="0"/>
          <w:tab w:val="left" w:pos="8280"/>
        </w:tabs>
        <w:ind w:firstLine="315" w:firstLineChars="98"/>
        <w:rPr>
          <w:rFonts w:ascii="仿宋_GB2312" w:hAnsi="仿宋" w:eastAsia="仿宋_GB2312"/>
          <w:b/>
          <w:color w:val="000000"/>
          <w:sz w:val="32"/>
          <w:szCs w:val="32"/>
        </w:rPr>
      </w:pPr>
    </w:p>
    <w:p>
      <w:pPr>
        <w:tabs>
          <w:tab w:val="left" w:pos="0"/>
          <w:tab w:val="left" w:pos="8280"/>
        </w:tabs>
        <w:ind w:firstLine="315" w:firstLineChars="98"/>
        <w:rPr>
          <w:rFonts w:ascii="仿宋_GB2312" w:hAnsi="仿宋" w:eastAsia="仿宋_GB2312"/>
          <w:b/>
          <w:color w:val="000000"/>
          <w:sz w:val="32"/>
          <w:szCs w:val="32"/>
        </w:rPr>
      </w:pPr>
      <w:r>
        <w:rPr>
          <w:rFonts w:hint="eastAsia" w:ascii="仿宋_GB2312" w:hAnsi="仿宋" w:eastAsia="仿宋_GB2312"/>
          <w:b/>
          <w:color w:val="000000"/>
          <w:sz w:val="32"/>
          <w:szCs w:val="32"/>
        </w:rPr>
        <w:t>比选响应人名称（加盖公章）：</w:t>
      </w:r>
      <w:r>
        <w:rPr>
          <w:rFonts w:hint="eastAsia" w:ascii="仿宋_GB2312" w:hAnsi="仿宋" w:eastAsia="仿宋_GB2312"/>
          <w:b/>
          <w:color w:val="000000"/>
          <w:sz w:val="32"/>
          <w:szCs w:val="32"/>
          <w:u w:val="single"/>
        </w:rPr>
        <w:t xml:space="preserve">                                </w:t>
      </w:r>
    </w:p>
    <w:p>
      <w:pPr>
        <w:tabs>
          <w:tab w:val="left" w:pos="8280"/>
        </w:tabs>
        <w:rPr>
          <w:rFonts w:ascii="仿宋_GB2312" w:hAnsi="仿宋" w:eastAsia="仿宋_GB2312"/>
          <w:b/>
          <w:color w:val="000000"/>
          <w:sz w:val="32"/>
          <w:szCs w:val="32"/>
        </w:rPr>
      </w:pPr>
    </w:p>
    <w:p>
      <w:pPr>
        <w:tabs>
          <w:tab w:val="left" w:pos="8280"/>
        </w:tabs>
        <w:rPr>
          <w:rFonts w:ascii="仿宋_GB2312" w:hAnsi="仿宋" w:eastAsia="仿宋_GB2312"/>
          <w:b/>
          <w:color w:val="000000"/>
          <w:sz w:val="32"/>
          <w:szCs w:val="32"/>
        </w:rPr>
      </w:pPr>
    </w:p>
    <w:p>
      <w:pPr>
        <w:tabs>
          <w:tab w:val="left" w:pos="8280"/>
        </w:tabs>
        <w:rPr>
          <w:rFonts w:ascii="仿宋_GB2312" w:hAnsi="仿宋" w:eastAsia="仿宋_GB2312"/>
          <w:b/>
          <w:color w:val="000000"/>
          <w:sz w:val="32"/>
          <w:szCs w:val="32"/>
        </w:rPr>
      </w:pPr>
    </w:p>
    <w:p>
      <w:pPr>
        <w:tabs>
          <w:tab w:val="left" w:pos="8280"/>
        </w:tabs>
        <w:ind w:firstLine="3196" w:firstLineChars="995"/>
        <w:rPr>
          <w:rFonts w:ascii="仿宋_GB2312" w:hAnsi="仿宋" w:eastAsia="仿宋_GB2312"/>
          <w:b/>
          <w:color w:val="000000"/>
          <w:sz w:val="32"/>
          <w:szCs w:val="32"/>
          <w:lang w:val="zh-CN"/>
        </w:rPr>
      </w:pPr>
      <w:r>
        <w:rPr>
          <w:rFonts w:hint="eastAsia" w:ascii="仿宋_GB2312" w:hAnsi="仿宋" w:eastAsia="仿宋_GB2312"/>
          <w:b/>
          <w:color w:val="000000"/>
          <w:sz w:val="32"/>
          <w:szCs w:val="32"/>
        </w:rPr>
        <w:t xml:space="preserve">       年     月     日</w:t>
      </w:r>
    </w:p>
    <w:p>
      <w:pPr>
        <w:autoSpaceDE w:val="0"/>
        <w:autoSpaceDN w:val="0"/>
        <w:adjustRightInd w:val="0"/>
        <w:spacing w:line="360" w:lineRule="auto"/>
        <w:rPr>
          <w:rFonts w:ascii="仿宋_GB2312" w:hAnsi="仿宋" w:eastAsia="仿宋_GB2312"/>
          <w:b/>
          <w:color w:val="000000"/>
          <w:sz w:val="32"/>
          <w:szCs w:val="32"/>
          <w:lang w:val="zh-CN"/>
        </w:rPr>
      </w:pPr>
    </w:p>
    <w:p>
      <w:pPr>
        <w:autoSpaceDE w:val="0"/>
        <w:autoSpaceDN w:val="0"/>
        <w:adjustRightInd w:val="0"/>
        <w:spacing w:line="360" w:lineRule="auto"/>
        <w:ind w:firstLine="315" w:firstLineChars="98"/>
        <w:jc w:val="center"/>
        <w:rPr>
          <w:rFonts w:ascii="仿宋_GB2312" w:hAnsi="仿宋" w:eastAsia="仿宋_GB2312"/>
          <w:b/>
          <w:color w:val="000000"/>
          <w:sz w:val="32"/>
          <w:szCs w:val="32"/>
          <w:lang w:val="zh-CN"/>
        </w:rPr>
      </w:pPr>
    </w:p>
    <w:p>
      <w:pPr>
        <w:autoSpaceDE w:val="0"/>
        <w:autoSpaceDN w:val="0"/>
        <w:adjustRightInd w:val="0"/>
        <w:spacing w:line="360" w:lineRule="auto"/>
        <w:rPr>
          <w:rFonts w:ascii="仿宋_GB2312" w:hAnsi="仿宋" w:eastAsia="仿宋_GB2312"/>
          <w:b/>
          <w:color w:val="000000"/>
          <w:sz w:val="32"/>
          <w:szCs w:val="32"/>
          <w:lang w:val="zh-CN"/>
        </w:rPr>
      </w:pPr>
    </w:p>
    <w:p>
      <w:pPr>
        <w:spacing w:line="560" w:lineRule="exact"/>
        <w:rPr>
          <w:rFonts w:eastAsia="仿宋_GB2312"/>
          <w:b/>
          <w:bCs/>
          <w:color w:val="000000" w:themeColor="text1"/>
          <w:sz w:val="44"/>
          <w:szCs w:val="44"/>
          <w14:textFill>
            <w14:solidFill>
              <w14:schemeClr w14:val="tx1"/>
            </w14:solidFill>
          </w14:textFill>
        </w:rPr>
      </w:pPr>
    </w:p>
    <w:p>
      <w:pPr>
        <w:spacing w:line="560" w:lineRule="exact"/>
        <w:rPr>
          <w:rFonts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一、投标函部分</w:t>
      </w:r>
    </w:p>
    <w:p>
      <w:pPr>
        <w:spacing w:line="560" w:lineRule="exact"/>
        <w:rPr>
          <w:rFonts w:eastAsia="仿宋_GB2312"/>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二、</w:t>
      </w:r>
      <w:r>
        <w:rPr>
          <w:rFonts w:hint="eastAsia" w:eastAsia="仿宋_GB2312"/>
          <w:color w:val="000000" w:themeColor="text1"/>
          <w:sz w:val="32"/>
          <w:szCs w:val="32"/>
          <w:lang w:eastAsia="zh-CN"/>
          <w14:textFill>
            <w14:solidFill>
              <w14:schemeClr w14:val="tx1"/>
            </w14:solidFill>
          </w14:textFill>
        </w:rPr>
        <w:t>技术</w:t>
      </w:r>
      <w:r>
        <w:rPr>
          <w:rFonts w:hint="eastAsia" w:eastAsia="仿宋_GB2312"/>
          <w:color w:val="000000" w:themeColor="text1"/>
          <w:sz w:val="32"/>
          <w:szCs w:val="32"/>
          <w14:textFill>
            <w14:solidFill>
              <w14:schemeClr w14:val="tx1"/>
            </w14:solidFill>
          </w14:textFill>
        </w:rPr>
        <w:t>部分</w:t>
      </w:r>
    </w:p>
    <w:p>
      <w:pPr>
        <w:spacing w:line="560" w:lineRule="exact"/>
        <w:rPr>
          <w:rFonts w:hint="eastAsia" w:eastAsia="仿宋_GB2312"/>
          <w:color w:val="000000" w:themeColor="text1"/>
          <w:sz w:val="32"/>
          <w:szCs w:val="32"/>
          <w:lang w:eastAsia="zh-CN"/>
          <w14:textFill>
            <w14:solidFill>
              <w14:schemeClr w14:val="tx1"/>
            </w14:solidFill>
          </w14:textFill>
        </w:rPr>
      </w:pPr>
      <w:r>
        <w:rPr>
          <w:rFonts w:hint="eastAsia" w:eastAsia="仿宋_GB2312"/>
          <w:color w:val="000000" w:themeColor="text1"/>
          <w:sz w:val="32"/>
          <w:szCs w:val="32"/>
          <w14:textFill>
            <w14:solidFill>
              <w14:schemeClr w14:val="tx1"/>
            </w14:solidFill>
          </w14:textFill>
        </w:rPr>
        <w:t>三、</w:t>
      </w:r>
      <w:r>
        <w:rPr>
          <w:rFonts w:hint="eastAsia" w:eastAsia="仿宋_GB2312"/>
          <w:color w:val="000000" w:themeColor="text1"/>
          <w:sz w:val="32"/>
          <w:szCs w:val="32"/>
          <w:lang w:eastAsia="zh-CN"/>
          <w14:textFill>
            <w14:solidFill>
              <w14:schemeClr w14:val="tx1"/>
            </w14:solidFill>
          </w14:textFill>
        </w:rPr>
        <w:t>商务</w:t>
      </w:r>
      <w:r>
        <w:rPr>
          <w:rFonts w:hint="eastAsia" w:eastAsia="仿宋_GB2312"/>
          <w:color w:val="000000" w:themeColor="text1"/>
          <w:sz w:val="32"/>
          <w:szCs w:val="32"/>
          <w14:textFill>
            <w14:solidFill>
              <w14:schemeClr w14:val="tx1"/>
            </w14:solidFill>
          </w14:textFill>
        </w:rPr>
        <w:t>部分</w:t>
      </w:r>
      <w:r>
        <w:rPr>
          <w:rFonts w:hint="eastAsia" w:eastAsia="仿宋_GB2312"/>
          <w:color w:val="000000" w:themeColor="text1"/>
          <w:sz w:val="32"/>
          <w:szCs w:val="32"/>
          <w:lang w:eastAsia="zh-CN"/>
          <w14:textFill>
            <w14:solidFill>
              <w14:schemeClr w14:val="tx1"/>
            </w14:solidFill>
          </w14:textFill>
        </w:rPr>
        <w:t>（含资格审查部分材料）</w:t>
      </w:r>
    </w:p>
    <w:p>
      <w:pPr>
        <w:spacing w:line="560" w:lineRule="exact"/>
        <w:rPr>
          <w:rFonts w:eastAsia="仿宋"/>
          <w:b/>
          <w:bCs/>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pStyle w:val="15"/>
        <w:spacing w:line="560" w:lineRule="exact"/>
        <w:outlineLvl w:val="9"/>
        <w:rPr>
          <w:rFonts w:eastAsia="仿宋"/>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pStyle w:val="15"/>
        <w:spacing w:line="560" w:lineRule="exact"/>
        <w:outlineLvl w:val="9"/>
        <w:rPr>
          <w:rFonts w:eastAsia="仿宋"/>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pStyle w:val="15"/>
        <w:spacing w:line="560" w:lineRule="exact"/>
        <w:outlineLvl w:val="9"/>
        <w:rPr>
          <w:rFonts w:eastAsia="仿宋"/>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pStyle w:val="15"/>
        <w:spacing w:line="560" w:lineRule="exact"/>
        <w:outlineLvl w:val="9"/>
      </w:pPr>
    </w:p>
    <w:p>
      <w:pPr>
        <w:spacing w:line="560" w:lineRule="exact"/>
        <w:rPr>
          <w:rFonts w:eastAsia="仿宋"/>
          <w:b/>
          <w:bCs/>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spacing w:line="560" w:lineRule="exact"/>
        <w:rPr>
          <w:rFonts w:eastAsia="仿宋"/>
          <w:b/>
          <w:bCs/>
          <w:color w:val="000000" w:themeColor="text1"/>
          <w:sz w:val="28"/>
          <w:szCs w:val="28"/>
          <w14:textFill>
            <w14:solidFill>
              <w14:schemeClr w14:val="tx1"/>
            </w14:solidFill>
          </w14:textFill>
        </w:rPr>
      </w:pPr>
    </w:p>
    <w:p>
      <w:pPr>
        <w:pStyle w:val="15"/>
        <w:outlineLvl w:val="9"/>
        <w:rPr>
          <w:rFonts w:eastAsia="仿宋"/>
          <w:color w:val="000000" w:themeColor="text1"/>
          <w:sz w:val="28"/>
          <w:szCs w:val="28"/>
          <w14:textFill>
            <w14:solidFill>
              <w14:schemeClr w14:val="tx1"/>
            </w14:solidFill>
          </w14:textFill>
        </w:rPr>
      </w:pPr>
    </w:p>
    <w:p>
      <w:pPr>
        <w:rPr>
          <w:rFonts w:eastAsia="仿宋"/>
          <w:b/>
          <w:bCs/>
          <w:color w:val="000000" w:themeColor="text1"/>
          <w:sz w:val="28"/>
          <w:szCs w:val="28"/>
          <w14:textFill>
            <w14:solidFill>
              <w14:schemeClr w14:val="tx1"/>
            </w14:solidFill>
          </w14:textFill>
        </w:rPr>
      </w:pPr>
    </w:p>
    <w:p>
      <w:pPr>
        <w:pStyle w:val="15"/>
        <w:outlineLvl w:val="9"/>
      </w:pPr>
    </w:p>
    <w:p/>
    <w:p>
      <w:pPr>
        <w:pStyle w:val="15"/>
        <w:outlineLvl w:val="9"/>
      </w:pPr>
    </w:p>
    <w:p>
      <w:pPr>
        <w:numPr>
          <w:ilvl w:val="0"/>
          <w:numId w:val="5"/>
        </w:numPr>
        <w:spacing w:line="560" w:lineRule="exact"/>
        <w:rPr>
          <w:rFonts w:eastAsia="仿宋"/>
          <w:b/>
          <w:bCs/>
          <w:color w:val="000000" w:themeColor="text1"/>
          <w:sz w:val="28"/>
          <w:szCs w:val="28"/>
          <w14:textFill>
            <w14:solidFill>
              <w14:schemeClr w14:val="tx1"/>
            </w14:solidFill>
          </w14:textFill>
        </w:rPr>
      </w:pPr>
      <w:r>
        <w:rPr>
          <w:rFonts w:hint="eastAsia" w:eastAsia="仿宋"/>
          <w:b/>
          <w:bCs/>
          <w:color w:val="000000" w:themeColor="text1"/>
          <w:sz w:val="28"/>
          <w:szCs w:val="28"/>
          <w14:textFill>
            <w14:solidFill>
              <w14:schemeClr w14:val="tx1"/>
            </w14:solidFill>
          </w14:textFill>
        </w:rPr>
        <w:t>报价函部分</w:t>
      </w:r>
    </w:p>
    <w:p>
      <w:pPr>
        <w:spacing w:line="560" w:lineRule="exact"/>
        <w:jc w:val="center"/>
        <w:rPr>
          <w:rFonts w:eastAsia="方正仿宋_GBK"/>
          <w:bCs/>
          <w:color w:val="000000" w:themeColor="text1"/>
          <w:sz w:val="28"/>
          <w:szCs w:val="28"/>
          <w14:textFill>
            <w14:solidFill>
              <w14:schemeClr w14:val="tx1"/>
            </w14:solidFill>
          </w14:textFill>
        </w:rPr>
      </w:pPr>
      <w:r>
        <w:rPr>
          <w:rFonts w:eastAsia="方正小标宋_GBK"/>
          <w:bCs/>
          <w:color w:val="000000" w:themeColor="text1"/>
          <w:sz w:val="28"/>
          <w:szCs w:val="28"/>
          <w14:textFill>
            <w14:solidFill>
              <w14:schemeClr w14:val="tx1"/>
            </w14:solidFill>
          </w14:textFill>
        </w:rPr>
        <w:t>报价函</w:t>
      </w:r>
    </w:p>
    <w:p>
      <w:pPr>
        <w:pStyle w:val="6"/>
        <w:spacing w:after="0" w:line="560" w:lineRule="exact"/>
        <w:rPr>
          <w:rFonts w:eastAsia="方正仿宋_GBK"/>
          <w:bCs/>
          <w:color w:val="000000" w:themeColor="text1"/>
          <w:sz w:val="28"/>
          <w:szCs w:val="28"/>
          <w14:textFill>
            <w14:solidFill>
              <w14:schemeClr w14:val="tx1"/>
            </w14:solidFill>
          </w14:textFill>
        </w:rPr>
      </w:pPr>
      <w:r>
        <w:rPr>
          <w:rFonts w:hint="eastAsia" w:eastAsia="方正仿宋_GBK"/>
          <w:bCs/>
          <w:color w:val="000000" w:themeColor="text1"/>
          <w:sz w:val="28"/>
          <w:szCs w:val="28"/>
          <w:u w:val="single"/>
          <w14:textFill>
            <w14:solidFill>
              <w14:schemeClr w14:val="tx1"/>
            </w14:solidFill>
          </w14:textFill>
        </w:rPr>
        <w:t>重庆空港航空地面服务有限</w:t>
      </w:r>
      <w:r>
        <w:rPr>
          <w:rFonts w:eastAsia="方正仿宋_GBK"/>
          <w:bCs/>
          <w:color w:val="000000" w:themeColor="text1"/>
          <w:sz w:val="28"/>
          <w:szCs w:val="28"/>
          <w:u w:val="single"/>
          <w14:textFill>
            <w14:solidFill>
              <w14:schemeClr w14:val="tx1"/>
            </w14:solidFill>
          </w14:textFill>
        </w:rPr>
        <w:t>公司</w:t>
      </w:r>
      <w:r>
        <w:rPr>
          <w:rFonts w:eastAsia="方正仿宋_GBK"/>
          <w:bCs/>
          <w:color w:val="000000" w:themeColor="text1"/>
          <w:sz w:val="28"/>
          <w:szCs w:val="28"/>
          <w14:textFill>
            <w14:solidFill>
              <w14:schemeClr w14:val="tx1"/>
            </w14:solidFill>
          </w14:textFill>
        </w:rPr>
        <w:t>：</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1．我方已仔细研究</w:t>
      </w:r>
      <w:r>
        <w:rPr>
          <w:rFonts w:hint="eastAsia" w:eastAsia="方正仿宋_GBK"/>
          <w:bCs/>
          <w:color w:val="000000" w:themeColor="text1"/>
          <w:sz w:val="28"/>
          <w:szCs w:val="28"/>
          <w:u w:val="single"/>
          <w14:textFill>
            <w14:solidFill>
              <w14:schemeClr w14:val="tx1"/>
            </w14:solidFill>
          </w14:textFill>
        </w:rPr>
        <w:t>重庆空港航空地面服务有限</w:t>
      </w:r>
      <w:r>
        <w:rPr>
          <w:rFonts w:eastAsia="方正仿宋_GBK"/>
          <w:bCs/>
          <w:color w:val="000000" w:themeColor="text1"/>
          <w:sz w:val="28"/>
          <w:szCs w:val="28"/>
          <w:u w:val="single"/>
          <w14:textFill>
            <w14:solidFill>
              <w14:schemeClr w14:val="tx1"/>
            </w14:solidFill>
          </w14:textFill>
        </w:rPr>
        <w:t>公司</w:t>
      </w:r>
      <w:r>
        <w:rPr>
          <w:rFonts w:hint="eastAsia" w:eastAsia="方正仿宋_GBK"/>
          <w:bCs/>
          <w:color w:val="000000" w:themeColor="text1"/>
          <w:sz w:val="28"/>
          <w:szCs w:val="28"/>
          <w:u w:val="single"/>
          <w:lang w:eastAsia="zh-CN"/>
          <w14:textFill>
            <w14:solidFill>
              <w14:schemeClr w14:val="tx1"/>
            </w14:solidFill>
          </w14:textFill>
        </w:rPr>
        <w:t>国际货站</w:t>
      </w:r>
      <w:r>
        <w:rPr>
          <w:rFonts w:hint="eastAsia" w:eastAsia="方正仿宋_GBK"/>
          <w:bCs/>
          <w:color w:val="000000" w:themeColor="text1"/>
          <w:sz w:val="28"/>
          <w:szCs w:val="28"/>
          <w:u w:val="single"/>
          <w:lang w:val="en-US" w:eastAsia="zh-CN"/>
          <w14:textFill>
            <w14:solidFill>
              <w14:schemeClr w14:val="tx1"/>
            </w14:solidFill>
          </w14:textFill>
        </w:rPr>
        <w:t>业务增补驾驶员</w:t>
      </w:r>
      <w:r>
        <w:rPr>
          <w:rFonts w:hint="eastAsia" w:eastAsia="方正仿宋_GBK"/>
          <w:bCs/>
          <w:color w:val="000000" w:themeColor="text1"/>
          <w:sz w:val="28"/>
          <w:szCs w:val="28"/>
          <w:u w:val="single"/>
          <w14:textFill>
            <w14:solidFill>
              <w14:schemeClr w14:val="tx1"/>
            </w14:solidFill>
          </w14:textFill>
        </w:rPr>
        <w:t>外包项目</w:t>
      </w:r>
      <w:r>
        <w:rPr>
          <w:rFonts w:eastAsia="方正仿宋_GBK"/>
          <w:bCs/>
          <w:color w:val="000000" w:themeColor="text1"/>
          <w:sz w:val="28"/>
          <w:szCs w:val="28"/>
          <w14:textFill>
            <w14:solidFill>
              <w14:schemeClr w14:val="tx1"/>
            </w14:solidFill>
          </w14:textFill>
        </w:rPr>
        <w:t>比选</w:t>
      </w:r>
      <w:r>
        <w:rPr>
          <w:rFonts w:hint="eastAsia" w:eastAsia="方正仿宋_GBK"/>
          <w:bCs/>
          <w:color w:val="000000" w:themeColor="text1"/>
          <w:sz w:val="28"/>
          <w:szCs w:val="28"/>
          <w14:textFill>
            <w14:solidFill>
              <w14:schemeClr w14:val="tx1"/>
            </w14:solidFill>
          </w14:textFill>
        </w:rPr>
        <w:t>采购</w:t>
      </w:r>
      <w:r>
        <w:rPr>
          <w:rFonts w:eastAsia="方正仿宋_GBK"/>
          <w:bCs/>
          <w:color w:val="000000" w:themeColor="text1"/>
          <w:sz w:val="28"/>
          <w:szCs w:val="28"/>
          <w14:textFill>
            <w14:solidFill>
              <w14:schemeClr w14:val="tx1"/>
            </w14:solidFill>
          </w14:textFill>
        </w:rPr>
        <w:t>文件的全部内容，并承诺响应比选</w:t>
      </w:r>
      <w:r>
        <w:rPr>
          <w:rFonts w:hint="eastAsia" w:eastAsia="方正仿宋_GBK"/>
          <w:bCs/>
          <w:color w:val="000000" w:themeColor="text1"/>
          <w:sz w:val="28"/>
          <w:szCs w:val="28"/>
          <w14:textFill>
            <w14:solidFill>
              <w14:schemeClr w14:val="tx1"/>
            </w14:solidFill>
          </w14:textFill>
        </w:rPr>
        <w:t>采购</w:t>
      </w:r>
      <w:r>
        <w:rPr>
          <w:rFonts w:eastAsia="方正仿宋_GBK"/>
          <w:bCs/>
          <w:color w:val="000000" w:themeColor="text1"/>
          <w:sz w:val="28"/>
          <w:szCs w:val="28"/>
          <w14:textFill>
            <w14:solidFill>
              <w14:schemeClr w14:val="tx1"/>
            </w14:solidFill>
          </w14:textFill>
        </w:rPr>
        <w:t>文件</w:t>
      </w:r>
      <w:r>
        <w:rPr>
          <w:rFonts w:hint="eastAsia" w:eastAsia="方正仿宋_GBK"/>
          <w:bCs/>
          <w:color w:val="000000" w:themeColor="text1"/>
          <w:sz w:val="28"/>
          <w:szCs w:val="28"/>
          <w14:textFill>
            <w14:solidFill>
              <w14:schemeClr w14:val="tx1"/>
            </w14:solidFill>
          </w14:textFill>
        </w:rPr>
        <w:t>的</w:t>
      </w:r>
      <w:r>
        <w:rPr>
          <w:rFonts w:eastAsia="方正仿宋_GBK"/>
          <w:bCs/>
          <w:color w:val="000000" w:themeColor="text1"/>
          <w:sz w:val="28"/>
          <w:szCs w:val="28"/>
          <w14:textFill>
            <w14:solidFill>
              <w14:schemeClr w14:val="tx1"/>
            </w14:solidFill>
          </w14:textFill>
        </w:rPr>
        <w:t>所有要求，</w:t>
      </w:r>
      <w:r>
        <w:rPr>
          <w:rFonts w:hint="eastAsia" w:eastAsia="方正仿宋_GBK"/>
          <w:bCs/>
          <w:color w:val="000000" w:themeColor="text1"/>
          <w:sz w:val="28"/>
          <w:szCs w:val="28"/>
          <w14:textFill>
            <w14:solidFill>
              <w14:schemeClr w14:val="tx1"/>
            </w14:solidFill>
          </w14:textFill>
        </w:rPr>
        <w:t>我方的不含增值税报价为：每</w:t>
      </w:r>
      <w:r>
        <w:rPr>
          <w:rFonts w:hint="eastAsia" w:eastAsia="方正仿宋_GBK"/>
          <w:bCs/>
          <w:color w:val="000000" w:themeColor="text1"/>
          <w:sz w:val="28"/>
          <w:szCs w:val="28"/>
          <w:lang w:eastAsia="zh-CN"/>
          <w14:textFill>
            <w14:solidFill>
              <w14:schemeClr w14:val="tx1"/>
            </w14:solidFill>
          </w14:textFill>
        </w:rPr>
        <w:t>个点位</w:t>
      </w:r>
      <w:r>
        <w:rPr>
          <w:rFonts w:hint="eastAsia" w:eastAsia="方正仿宋_GBK"/>
          <w:bCs/>
          <w:color w:val="000000" w:themeColor="text1"/>
          <w:sz w:val="28"/>
          <w:szCs w:val="28"/>
          <w14:textFill>
            <w14:solidFill>
              <w14:schemeClr w14:val="tx1"/>
            </w14:solidFill>
          </w14:textFill>
        </w:rPr>
        <w:t>每月</w:t>
      </w:r>
      <w:r>
        <w:rPr>
          <w:rFonts w:hint="eastAsia" w:eastAsia="方正仿宋_GBK"/>
          <w:bCs/>
          <w:color w:val="000000" w:themeColor="text1"/>
          <w:sz w:val="28"/>
          <w:szCs w:val="28"/>
          <w:u w:val="single"/>
          <w:lang w:eastAsia="zh-CN"/>
          <w14:textFill>
            <w14:solidFill>
              <w14:schemeClr w14:val="tx1"/>
            </w14:solidFill>
          </w14:textFill>
        </w:rPr>
        <w:t>人民币（大写）</w:t>
      </w:r>
      <w:r>
        <w:rPr>
          <w:rFonts w:hint="eastAsia" w:eastAsia="方正仿宋_GBK"/>
          <w:bCs/>
          <w:color w:val="000000" w:themeColor="text1"/>
          <w:sz w:val="28"/>
          <w:szCs w:val="28"/>
          <w:u w:val="single"/>
          <w:lang w:val="en-US" w:eastAsia="zh-CN"/>
          <w14:textFill>
            <w14:solidFill>
              <w14:schemeClr w14:val="tx1"/>
            </w14:solidFill>
          </w14:textFill>
        </w:rPr>
        <w:t xml:space="preserve">          </w:t>
      </w:r>
      <w:r>
        <w:rPr>
          <w:rFonts w:hint="eastAsia" w:eastAsia="方正仿宋_GBK"/>
          <w:bCs/>
          <w:color w:val="000000" w:themeColor="text1"/>
          <w:sz w:val="28"/>
          <w:szCs w:val="28"/>
          <w:u w:val="single"/>
          <w14:textFill>
            <w14:solidFill>
              <w14:schemeClr w14:val="tx1"/>
            </w14:solidFill>
          </w14:textFill>
        </w:rPr>
        <w:t xml:space="preserve"> </w:t>
      </w:r>
      <w:r>
        <w:rPr>
          <w:rFonts w:eastAsia="方正仿宋_GBK"/>
          <w:bCs/>
          <w:color w:val="000000" w:themeColor="text1"/>
          <w:sz w:val="28"/>
          <w:szCs w:val="28"/>
          <w:u w:val="single"/>
          <w14:textFill>
            <w14:solidFill>
              <w14:schemeClr w14:val="tx1"/>
            </w14:solidFill>
          </w14:textFill>
        </w:rPr>
        <w:t xml:space="preserve">    </w:t>
      </w:r>
      <w:r>
        <w:rPr>
          <w:rFonts w:hint="eastAsia" w:eastAsia="方正仿宋_GBK"/>
          <w:bCs/>
          <w:color w:val="000000" w:themeColor="text1"/>
          <w:sz w:val="28"/>
          <w:szCs w:val="28"/>
          <w:u w:val="single"/>
          <w:lang w:val="en-US" w:eastAsia="zh-CN"/>
          <w14:textFill>
            <w14:solidFill>
              <w14:schemeClr w14:val="tx1"/>
            </w14:solidFill>
          </w14:textFill>
        </w:rPr>
        <w:t xml:space="preserve">     </w:t>
      </w:r>
      <w:r>
        <w:rPr>
          <w:rFonts w:hint="eastAsia" w:eastAsia="方正仿宋_GBK"/>
          <w:bCs/>
          <w:color w:val="000000" w:themeColor="text1"/>
          <w:sz w:val="28"/>
          <w:szCs w:val="28"/>
          <w:u w:val="single"/>
          <w:lang w:eastAsia="zh-CN"/>
          <w14:textFill>
            <w14:solidFill>
              <w14:schemeClr w14:val="tx1"/>
            </w14:solidFill>
          </w14:textFill>
        </w:rPr>
        <w:t>（小写：</w:t>
      </w:r>
      <w:r>
        <w:rPr>
          <w:rFonts w:hint="eastAsia" w:eastAsia="方正仿宋_GBK"/>
          <w:bCs/>
          <w:color w:val="000000" w:themeColor="text1"/>
          <w:sz w:val="28"/>
          <w:szCs w:val="28"/>
          <w:u w:val="single"/>
          <w:lang w:val="en-US" w:eastAsia="zh-CN"/>
          <w14:textFill>
            <w14:solidFill>
              <w14:schemeClr w14:val="tx1"/>
            </w14:solidFill>
          </w14:textFill>
        </w:rPr>
        <w:t xml:space="preserve">        </w:t>
      </w:r>
      <w:r>
        <w:rPr>
          <w:rFonts w:hint="eastAsia" w:eastAsia="方正仿宋_GBK"/>
          <w:bCs/>
          <w:color w:val="000000" w:themeColor="text1"/>
          <w:sz w:val="28"/>
          <w:szCs w:val="28"/>
          <w:u w:val="single"/>
          <w:lang w:eastAsia="zh-CN"/>
          <w14:textFill>
            <w14:solidFill>
              <w14:schemeClr w14:val="tx1"/>
            </w14:solidFill>
          </w14:textFill>
        </w:rPr>
        <w:t>）</w:t>
      </w:r>
      <w:r>
        <w:rPr>
          <w:rFonts w:hint="eastAsia" w:eastAsia="方正仿宋_GBK"/>
          <w:bCs/>
          <w:color w:val="000000" w:themeColor="text1"/>
          <w:sz w:val="28"/>
          <w:szCs w:val="28"/>
          <w14:textFill>
            <w14:solidFill>
              <w14:schemeClr w14:val="tx1"/>
            </w14:solidFill>
          </w14:textFill>
        </w:rPr>
        <w:t>；我方自愿</w:t>
      </w:r>
      <w:r>
        <w:rPr>
          <w:rFonts w:eastAsia="方正仿宋_GBK"/>
          <w:bCs/>
          <w:color w:val="000000" w:themeColor="text1"/>
          <w:sz w:val="28"/>
          <w:szCs w:val="28"/>
          <w14:textFill>
            <w14:solidFill>
              <w14:schemeClr w14:val="tx1"/>
            </w14:solidFill>
          </w14:textFill>
        </w:rPr>
        <w:t>按合同约定实施和完成项目的全部工作。</w:t>
      </w:r>
      <w:r>
        <w:rPr>
          <w:rFonts w:hint="eastAsia" w:eastAsia="方正仿宋_GBK"/>
          <w:bCs/>
          <w:color w:val="000000" w:themeColor="text1"/>
          <w:sz w:val="28"/>
          <w:szCs w:val="28"/>
          <w14:textFill>
            <w14:solidFill>
              <w14:schemeClr w14:val="tx1"/>
            </w14:solidFill>
          </w14:textFill>
        </w:rPr>
        <w:t xml:space="preserve"> </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2．我方承诺在比选有效期内</w:t>
      </w:r>
      <w:r>
        <w:rPr>
          <w:rFonts w:hint="eastAsia" w:eastAsia="方正仿宋_GBK"/>
          <w:bCs/>
          <w:color w:val="000000" w:themeColor="text1"/>
          <w:sz w:val="28"/>
          <w:szCs w:val="28"/>
          <w14:textFill>
            <w14:solidFill>
              <w14:schemeClr w14:val="tx1"/>
            </w14:solidFill>
          </w14:textFill>
        </w:rPr>
        <w:t>（90天）</w:t>
      </w:r>
      <w:r>
        <w:rPr>
          <w:rFonts w:eastAsia="方正仿宋_GBK"/>
          <w:bCs/>
          <w:color w:val="000000" w:themeColor="text1"/>
          <w:sz w:val="28"/>
          <w:szCs w:val="28"/>
          <w14:textFill>
            <w14:solidFill>
              <w14:schemeClr w14:val="tx1"/>
            </w14:solidFill>
          </w14:textFill>
        </w:rPr>
        <w:t>不修改、撤销比选响应文件。</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3．如我方成交：</w:t>
      </w:r>
    </w:p>
    <w:p>
      <w:pPr>
        <w:pStyle w:val="6"/>
        <w:spacing w:after="0" w:line="560" w:lineRule="exact"/>
        <w:ind w:firstLine="280" w:firstLineChars="1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（1）我方承诺在收到成交通知后，在规定的期限内与你方签订合同。</w:t>
      </w:r>
    </w:p>
    <w:p>
      <w:pPr>
        <w:pStyle w:val="6"/>
        <w:spacing w:after="0" w:line="560" w:lineRule="exact"/>
        <w:ind w:firstLine="280" w:firstLineChars="1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（2）随同本报价函递交的报价函附录属于合同文件的组成部分。</w:t>
      </w:r>
    </w:p>
    <w:p>
      <w:pPr>
        <w:pStyle w:val="6"/>
        <w:spacing w:after="0" w:line="560" w:lineRule="exact"/>
        <w:ind w:firstLine="280" w:firstLineChars="1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（3）我方承诺在约定的期限内完成并移交全部合同项目和成果。</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4．我方在此声明，所递交的比选响应文件及有关资料内容完整、真实和准确。</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hint="eastAsia" w:eastAsia="方正仿宋_GBK"/>
          <w:bCs/>
          <w:color w:val="000000" w:themeColor="text1"/>
          <w:sz w:val="28"/>
          <w:szCs w:val="28"/>
          <w14:textFill>
            <w14:solidFill>
              <w14:schemeClr w14:val="tx1"/>
            </w14:solidFill>
          </w14:textFill>
        </w:rPr>
        <w:t>5.</w:t>
      </w:r>
      <w:r>
        <w:rPr>
          <w:rFonts w:eastAsia="方正仿宋_GBK"/>
          <w:bCs/>
          <w:color w:val="000000" w:themeColor="text1"/>
          <w:sz w:val="28"/>
          <w:szCs w:val="28"/>
          <w14:textFill>
            <w14:solidFill>
              <w14:schemeClr w14:val="tx1"/>
            </w14:solidFill>
          </w14:textFill>
        </w:rPr>
        <w:t>除非达到另外协议并生效，你方的成交通知书和本比选响应文件将成为约束双方的合同文件组成部分。</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比选</w:t>
      </w:r>
      <w:r>
        <w:rPr>
          <w:rFonts w:hint="eastAsia" w:eastAsia="方正仿宋_GBK"/>
          <w:bCs/>
          <w:color w:val="000000" w:themeColor="text1"/>
          <w:sz w:val="28"/>
          <w:szCs w:val="28"/>
          <w14:textFill>
            <w14:solidFill>
              <w14:schemeClr w14:val="tx1"/>
            </w14:solidFill>
          </w14:textFill>
        </w:rPr>
        <w:t>响应</w:t>
      </w:r>
      <w:r>
        <w:rPr>
          <w:rFonts w:eastAsia="方正仿宋_GBK"/>
          <w:bCs/>
          <w:color w:val="000000" w:themeColor="text1"/>
          <w:sz w:val="28"/>
          <w:szCs w:val="28"/>
          <w14:textFill>
            <w14:solidFill>
              <w14:schemeClr w14:val="tx1"/>
            </w14:solidFill>
          </w14:textFill>
        </w:rPr>
        <w:t>人：（盖单位公章）</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法定代表人或其委托代理人： （签字）</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地址：                        网址：　　　　　　　　　　　　　　</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pPr>
      <w:r>
        <w:rPr>
          <w:rFonts w:eastAsia="方正仿宋_GBK"/>
          <w:bCs/>
          <w:color w:val="000000" w:themeColor="text1"/>
          <w:sz w:val="28"/>
          <w:szCs w:val="28"/>
          <w14:textFill>
            <w14:solidFill>
              <w14:schemeClr w14:val="tx1"/>
            </w14:solidFill>
          </w14:textFill>
        </w:rPr>
        <w:t>电话：　　　　　　　　　　　　传真：　　　　　　　　　　　　　　</w:t>
      </w:r>
    </w:p>
    <w:p>
      <w:pPr>
        <w:pStyle w:val="6"/>
        <w:spacing w:after="0" w:line="560" w:lineRule="exact"/>
        <w:ind w:firstLine="560" w:firstLineChars="200"/>
        <w:rPr>
          <w:rFonts w:eastAsia="方正仿宋_GBK"/>
          <w:bCs/>
          <w:color w:val="000000" w:themeColor="text1"/>
          <w:sz w:val="28"/>
          <w:szCs w:val="28"/>
          <w14:textFill>
            <w14:solidFill>
              <w14:schemeClr w14:val="tx1"/>
            </w14:solidFill>
          </w14:textFill>
        </w:rPr>
        <w:sectPr>
          <w:headerReference r:id="rId7" w:type="default"/>
          <w:footerReference r:id="rId8" w:type="default"/>
          <w:pgSz w:w="11906" w:h="16838"/>
          <w:pgMar w:top="1560" w:right="1800" w:bottom="1440" w:left="1800" w:header="851" w:footer="992" w:gutter="0"/>
          <w:cols w:space="425" w:num="1"/>
          <w:docGrid w:type="lines" w:linePitch="312" w:charSpace="0"/>
        </w:sectPr>
      </w:pPr>
      <w:r>
        <w:rPr>
          <w:rFonts w:eastAsia="方正仿宋_GBK"/>
          <w:bCs/>
          <w:color w:val="000000" w:themeColor="text1"/>
          <w:sz w:val="28"/>
          <w:szCs w:val="28"/>
          <w14:textFill>
            <w14:solidFill>
              <w14:schemeClr w14:val="tx1"/>
            </w14:solidFill>
          </w14:textFill>
        </w:rPr>
        <w:t>邮政编码：　　</w:t>
      </w:r>
      <w:r>
        <w:rPr>
          <w:rFonts w:hint="eastAsia" w:eastAsia="方正仿宋_GBK"/>
          <w:bCs/>
          <w:color w:val="000000" w:themeColor="text1"/>
          <w:sz w:val="28"/>
          <w:szCs w:val="28"/>
          <w14:textFill>
            <w14:solidFill>
              <w14:schemeClr w14:val="tx1"/>
            </w14:solidFill>
          </w14:textFill>
        </w:rPr>
        <w:t xml:space="preserve">              </w:t>
      </w:r>
      <w:r>
        <w:rPr>
          <w:rFonts w:eastAsia="方正仿宋_GBK"/>
          <w:bCs/>
          <w:color w:val="000000" w:themeColor="text1"/>
          <w:sz w:val="28"/>
          <w:szCs w:val="28"/>
          <w14:textFill>
            <w14:solidFill>
              <w14:schemeClr w14:val="tx1"/>
            </w14:solidFill>
          </w14:textFill>
        </w:rPr>
        <w:t>     年   月   日</w:t>
      </w:r>
    </w:p>
    <w:p>
      <w:pPr>
        <w:spacing w:line="560" w:lineRule="exact"/>
        <w:ind w:firstLine="3080" w:firstLineChars="1100"/>
        <w:rPr>
          <w:rFonts w:eastAsia="方正小标宋_GBK"/>
          <w:bCs/>
          <w:color w:val="000000" w:themeColor="text1"/>
          <w:sz w:val="28"/>
          <w:szCs w:val="28"/>
          <w14:textFill>
            <w14:solidFill>
              <w14:schemeClr w14:val="tx1"/>
            </w14:solidFill>
          </w14:textFill>
        </w:rPr>
      </w:pPr>
      <w:r>
        <w:rPr>
          <w:rFonts w:eastAsia="方正小标宋_GBK"/>
          <w:bCs/>
          <w:color w:val="000000" w:themeColor="text1"/>
          <w:sz w:val="28"/>
          <w:szCs w:val="28"/>
          <w14:textFill>
            <w14:solidFill>
              <w14:schemeClr w14:val="tx1"/>
            </w14:solidFill>
          </w14:textFill>
        </w:rPr>
        <w:t>授权</w:t>
      </w:r>
      <w:r>
        <w:rPr>
          <w:rFonts w:hint="eastAsia" w:eastAsia="方正小标宋_GBK"/>
          <w:bCs/>
          <w:color w:val="000000" w:themeColor="text1"/>
          <w:sz w:val="28"/>
          <w:szCs w:val="28"/>
          <w14:textFill>
            <w14:solidFill>
              <w14:schemeClr w14:val="tx1"/>
            </w14:solidFill>
          </w14:textFill>
        </w:rPr>
        <w:t>委托</w:t>
      </w:r>
      <w:r>
        <w:rPr>
          <w:rFonts w:eastAsia="方正小标宋_GBK"/>
          <w:bCs/>
          <w:color w:val="000000" w:themeColor="text1"/>
          <w:sz w:val="28"/>
          <w:szCs w:val="28"/>
          <w14:textFill>
            <w14:solidFill>
              <w14:schemeClr w14:val="tx1"/>
            </w14:solidFill>
          </w14:textFill>
        </w:rPr>
        <w:t>书</w:t>
      </w:r>
    </w:p>
    <w:p>
      <w:pPr>
        <w:spacing w:line="560" w:lineRule="exact"/>
        <w:ind w:right="-694"/>
        <w:rPr>
          <w:rFonts w:eastAsia="方正仿宋_GBK"/>
          <w:color w:val="000000" w:themeColor="text1"/>
          <w:sz w:val="28"/>
          <w:szCs w:val="28"/>
          <w14:textFill>
            <w14:solidFill>
              <w14:schemeClr w14:val="tx1"/>
            </w14:solidFill>
          </w14:textFill>
        </w:rPr>
      </w:pPr>
    </w:p>
    <w:p>
      <w:pPr>
        <w:spacing w:line="560" w:lineRule="exact"/>
        <w:ind w:firstLine="700" w:firstLineChars="250"/>
        <w:rPr>
          <w:rFonts w:eastAsia="方正仿宋_GBK"/>
          <w:color w:val="000000" w:themeColor="text1"/>
          <w:sz w:val="28"/>
          <w:szCs w:val="28"/>
          <w14:textFill>
            <w14:solidFill>
              <w14:schemeClr w14:val="tx1"/>
            </w14:solidFill>
          </w14:textFill>
        </w:rPr>
      </w:pPr>
      <w:r>
        <w:rPr>
          <w:rFonts w:eastAsia="方正仿宋_GBK"/>
          <w:color w:val="000000" w:themeColor="text1"/>
          <w:sz w:val="28"/>
          <w:szCs w:val="28"/>
          <w14:textFill>
            <w14:solidFill>
              <w14:schemeClr w14:val="tx1"/>
            </w14:solidFill>
          </w14:textFill>
        </w:rPr>
        <w:t>本授权书申明______________(</w:t>
      </w:r>
      <w:r>
        <w:rPr>
          <w:rFonts w:hint="eastAsia" w:eastAsia="方正仿宋_GBK"/>
          <w:color w:val="000000" w:themeColor="text1"/>
          <w:sz w:val="28"/>
          <w:szCs w:val="28"/>
          <w14:textFill>
            <w14:solidFill>
              <w14:schemeClr w14:val="tx1"/>
            </w14:solidFill>
          </w14:textFill>
        </w:rPr>
        <w:t>比选响应人</w:t>
      </w:r>
      <w:r>
        <w:rPr>
          <w:rFonts w:eastAsia="方正仿宋_GBK"/>
          <w:color w:val="000000" w:themeColor="text1"/>
          <w:sz w:val="28"/>
          <w:szCs w:val="28"/>
          <w14:textFill>
            <w14:solidFill>
              <w14:schemeClr w14:val="tx1"/>
            </w14:solidFill>
          </w14:textFill>
        </w:rPr>
        <w:t>名称)</w:t>
      </w:r>
      <w:r>
        <w:rPr>
          <w:rFonts w:hint="eastAsia" w:eastAsia="方正仿宋_GBK"/>
          <w:color w:val="000000" w:themeColor="text1"/>
          <w:sz w:val="28"/>
          <w:szCs w:val="28"/>
          <w14:textFill>
            <w14:solidFill>
              <w14:schemeClr w14:val="tx1"/>
            </w14:solidFill>
          </w14:textFill>
        </w:rPr>
        <w:t>在此合法授权我单位</w:t>
      </w:r>
      <w:r>
        <w:rPr>
          <w:rFonts w:eastAsia="方正仿宋_GBK"/>
          <w:color w:val="000000" w:themeColor="text1"/>
          <w:sz w:val="28"/>
          <w:szCs w:val="28"/>
          <w14:textFill>
            <w14:solidFill>
              <w14:schemeClr w14:val="tx1"/>
            </w14:solidFill>
          </w14:textFill>
        </w:rPr>
        <w:t>_________(</w:t>
      </w:r>
      <w:r>
        <w:rPr>
          <w:rFonts w:hint="eastAsia" w:eastAsia="方正仿宋_GBK"/>
          <w:color w:val="000000" w:themeColor="text1"/>
          <w:sz w:val="28"/>
          <w:szCs w:val="28"/>
          <w14:textFill>
            <w14:solidFill>
              <w14:schemeClr w14:val="tx1"/>
            </w14:solidFill>
          </w14:textFill>
        </w:rPr>
        <w:t>姓名</w:t>
      </w:r>
      <w:r>
        <w:rPr>
          <w:rFonts w:eastAsia="方正仿宋_GBK"/>
          <w:color w:val="000000" w:themeColor="text1"/>
          <w:sz w:val="28"/>
          <w:szCs w:val="28"/>
          <w14:textFill>
            <w14:solidFill>
              <w14:schemeClr w14:val="tx1"/>
            </w14:solidFill>
          </w14:textFill>
        </w:rPr>
        <w:t>)</w:t>
      </w:r>
      <w:r>
        <w:rPr>
          <w:rFonts w:hint="eastAsia" w:eastAsia="方正仿宋_GBK"/>
          <w:color w:val="000000" w:themeColor="text1"/>
          <w:sz w:val="28"/>
          <w:szCs w:val="28"/>
          <w14:textFill>
            <w14:solidFill>
              <w14:schemeClr w14:val="tx1"/>
            </w14:solidFill>
          </w14:textFill>
        </w:rPr>
        <w:t>为本所合法代理人，</w:t>
      </w:r>
      <w:r>
        <w:rPr>
          <w:rFonts w:eastAsia="方正仿宋_GBK"/>
          <w:color w:val="000000" w:themeColor="text1"/>
          <w:sz w:val="28"/>
          <w:szCs w:val="28"/>
          <w14:textFill>
            <w14:solidFill>
              <w14:schemeClr w14:val="tx1"/>
            </w14:solidFill>
          </w14:textFill>
        </w:rPr>
        <w:t>在</w:t>
      </w:r>
      <w:r>
        <w:rPr>
          <w:rFonts w:hint="eastAsia" w:eastAsia="方正仿宋_GBK"/>
          <w:color w:val="000000" w:themeColor="text1"/>
          <w:sz w:val="28"/>
          <w:szCs w:val="28"/>
          <w14:textFill>
            <w14:solidFill>
              <w14:schemeClr w14:val="tx1"/>
            </w14:solidFill>
          </w14:textFill>
        </w:rPr>
        <w:t>重庆空港航空地面服务有限公司</w:t>
      </w:r>
      <w:r>
        <w:rPr>
          <w:rFonts w:hint="eastAsia" w:eastAsia="方正仿宋_GBK"/>
          <w:color w:val="000000" w:themeColor="text1"/>
          <w:sz w:val="28"/>
          <w:szCs w:val="28"/>
          <w:lang w:eastAsia="zh-CN"/>
          <w14:textFill>
            <w14:solidFill>
              <w14:schemeClr w14:val="tx1"/>
            </w14:solidFill>
          </w14:textFill>
        </w:rPr>
        <w:t>国际货站业务增补驾驶员外包项目</w:t>
      </w:r>
      <w:r>
        <w:rPr>
          <w:rFonts w:eastAsia="方正仿宋_GBK"/>
          <w:color w:val="000000" w:themeColor="text1"/>
          <w:sz w:val="28"/>
          <w:szCs w:val="28"/>
          <w14:textFill>
            <w14:solidFill>
              <w14:schemeClr w14:val="tx1"/>
            </w14:solidFill>
          </w14:textFill>
        </w:rPr>
        <w:t>的比选活动中，以我</w:t>
      </w:r>
      <w:r>
        <w:rPr>
          <w:rFonts w:hint="eastAsia" w:eastAsia="方正仿宋_GBK"/>
          <w:color w:val="000000" w:themeColor="text1"/>
          <w:sz w:val="28"/>
          <w:szCs w:val="28"/>
          <w14:textFill>
            <w14:solidFill>
              <w14:schemeClr w14:val="tx1"/>
            </w14:solidFill>
          </w14:textFill>
        </w:rPr>
        <w:t>所</w:t>
      </w:r>
      <w:r>
        <w:rPr>
          <w:rFonts w:eastAsia="方正仿宋_GBK"/>
          <w:color w:val="000000" w:themeColor="text1"/>
          <w:sz w:val="28"/>
          <w:szCs w:val="28"/>
          <w14:textFill>
            <w14:solidFill>
              <w14:schemeClr w14:val="tx1"/>
            </w14:solidFill>
          </w14:textFill>
        </w:rPr>
        <w:t>的名义签署比选响应文件，与</w:t>
      </w:r>
      <w:r>
        <w:rPr>
          <w:rFonts w:hint="eastAsia" w:eastAsia="方正仿宋_GBK"/>
          <w:color w:val="000000" w:themeColor="text1"/>
          <w:sz w:val="28"/>
          <w:szCs w:val="28"/>
          <w14:textFill>
            <w14:solidFill>
              <w14:schemeClr w14:val="tx1"/>
            </w14:solidFill>
          </w14:textFill>
        </w:rPr>
        <w:t>比选人</w:t>
      </w:r>
      <w:r>
        <w:rPr>
          <w:rFonts w:eastAsia="方正仿宋_GBK"/>
          <w:color w:val="000000" w:themeColor="text1"/>
          <w:sz w:val="28"/>
          <w:szCs w:val="28"/>
          <w14:textFill>
            <w14:solidFill>
              <w14:schemeClr w14:val="tx1"/>
            </w14:solidFill>
          </w14:textFill>
        </w:rPr>
        <w:t>协商、签定合同协议书以及执行一切与此有关的事务。</w:t>
      </w:r>
    </w:p>
    <w:p>
      <w:pPr>
        <w:spacing w:line="560" w:lineRule="exact"/>
        <w:rPr>
          <w:rFonts w:eastAsia="方正仿宋_GBK"/>
          <w:color w:val="000000" w:themeColor="text1"/>
          <w:sz w:val="28"/>
          <w:szCs w:val="28"/>
          <w14:textFill>
            <w14:solidFill>
              <w14:schemeClr w14:val="tx1"/>
            </w14:solidFill>
          </w14:textFill>
        </w:rPr>
      </w:pPr>
    </w:p>
    <w:p>
      <w:pPr>
        <w:spacing w:line="560" w:lineRule="exact"/>
        <w:rPr>
          <w:rFonts w:eastAsia="方正仿宋_GBK"/>
          <w:color w:val="000000" w:themeColor="text1"/>
          <w:sz w:val="28"/>
          <w:szCs w:val="28"/>
          <w14:textFill>
            <w14:solidFill>
              <w14:schemeClr w14:val="tx1"/>
            </w14:solidFill>
          </w14:textFill>
        </w:rPr>
      </w:pPr>
      <w:r>
        <w:rPr>
          <w:rFonts w:eastAsia="方正仿宋_GBK"/>
          <w:color w:val="000000" w:themeColor="text1"/>
          <w:sz w:val="28"/>
          <w:szCs w:val="28"/>
          <w14:textFill>
            <w14:solidFill>
              <w14:schemeClr w14:val="tx1"/>
            </w14:solidFill>
          </w14:textFill>
        </w:rPr>
        <w:t>被授权人</w:t>
      </w:r>
      <w:r>
        <w:rPr>
          <w:rFonts w:hint="eastAsia" w:eastAsia="方正仿宋_GBK"/>
          <w:color w:val="000000" w:themeColor="text1"/>
          <w:sz w:val="28"/>
          <w:szCs w:val="28"/>
          <w14:textFill>
            <w14:solidFill>
              <w14:schemeClr w14:val="tx1"/>
            </w14:solidFill>
          </w14:textFill>
        </w:rPr>
        <w:t>（</w:t>
      </w:r>
      <w:r>
        <w:rPr>
          <w:rFonts w:eastAsia="方正仿宋_GBK"/>
          <w:color w:val="000000" w:themeColor="text1"/>
          <w:sz w:val="28"/>
          <w:szCs w:val="28"/>
          <w14:textFill>
            <w14:solidFill>
              <w14:schemeClr w14:val="tx1"/>
            </w14:solidFill>
          </w14:textFill>
        </w:rPr>
        <w:t>代理人</w:t>
      </w:r>
      <w:r>
        <w:rPr>
          <w:rFonts w:hint="eastAsia" w:eastAsia="方正仿宋_GBK"/>
          <w:color w:val="000000" w:themeColor="text1"/>
          <w:sz w:val="28"/>
          <w:szCs w:val="28"/>
          <w14:textFill>
            <w14:solidFill>
              <w14:schemeClr w14:val="tx1"/>
            </w14:solidFill>
          </w14:textFill>
        </w:rPr>
        <w:t>）</w:t>
      </w:r>
      <w:r>
        <w:rPr>
          <w:rFonts w:eastAsia="方正仿宋_GBK"/>
          <w:color w:val="000000" w:themeColor="text1"/>
          <w:sz w:val="28"/>
          <w:szCs w:val="28"/>
          <w14:textFill>
            <w14:solidFill>
              <w14:schemeClr w14:val="tx1"/>
            </w14:solidFill>
          </w14:textFill>
        </w:rPr>
        <w:t>：____________（签章）</w:t>
      </w:r>
    </w:p>
    <w:p>
      <w:pPr>
        <w:pStyle w:val="15"/>
        <w:spacing w:line="560" w:lineRule="exact"/>
        <w:outlineLvl w:val="9"/>
      </w:pPr>
    </w:p>
    <w:p>
      <w:pPr>
        <w:spacing w:line="560" w:lineRule="exact"/>
        <w:rPr>
          <w:rFonts w:eastAsia="方正仿宋_GBK"/>
          <w:color w:val="000000" w:themeColor="text1"/>
          <w:sz w:val="28"/>
          <w:szCs w:val="28"/>
          <w14:textFill>
            <w14:solidFill>
              <w14:schemeClr w14:val="tx1"/>
            </w14:solidFill>
          </w14:textFill>
        </w:rPr>
      </w:pPr>
      <w:r>
        <w:rPr>
          <w:rFonts w:eastAsia="方正仿宋_GBK"/>
          <w:color w:val="000000" w:themeColor="text1"/>
          <w:sz w:val="28"/>
          <w:szCs w:val="28"/>
          <w14:textFill>
            <w14:solidFill>
              <w14:schemeClr w14:val="tx1"/>
            </w14:solidFill>
          </w14:textFill>
        </w:rPr>
        <w:t>比选响应</w:t>
      </w:r>
      <w:r>
        <w:rPr>
          <w:rFonts w:hint="eastAsia" w:eastAsia="方正仿宋_GBK"/>
          <w:color w:val="000000" w:themeColor="text1"/>
          <w:sz w:val="28"/>
          <w:szCs w:val="28"/>
          <w14:textFill>
            <w14:solidFill>
              <w14:schemeClr w14:val="tx1"/>
            </w14:solidFill>
          </w14:textFill>
        </w:rPr>
        <w:t>人</w:t>
      </w:r>
      <w:r>
        <w:rPr>
          <w:rFonts w:eastAsia="方正仿宋_GBK"/>
          <w:color w:val="000000" w:themeColor="text1"/>
          <w:sz w:val="28"/>
          <w:szCs w:val="28"/>
          <w14:textFill>
            <w14:solidFill>
              <w14:schemeClr w14:val="tx1"/>
            </w14:solidFill>
          </w14:textFill>
        </w:rPr>
        <w:t>：____________（盖章）</w:t>
      </w:r>
    </w:p>
    <w:p>
      <w:pPr>
        <w:spacing w:line="560" w:lineRule="exact"/>
        <w:rPr>
          <w:rFonts w:eastAsia="方正仿宋_GBK"/>
          <w:color w:val="000000" w:themeColor="text1"/>
          <w:sz w:val="28"/>
          <w:szCs w:val="28"/>
          <w14:textFill>
            <w14:solidFill>
              <w14:schemeClr w14:val="tx1"/>
            </w14:solidFill>
          </w14:textFill>
        </w:rPr>
      </w:pPr>
    </w:p>
    <w:p>
      <w:pPr>
        <w:spacing w:line="560" w:lineRule="exact"/>
        <w:rPr>
          <w:rFonts w:eastAsia="方正仿宋_GBK"/>
          <w:color w:val="000000" w:themeColor="text1"/>
          <w:sz w:val="28"/>
          <w:szCs w:val="28"/>
          <w14:textFill>
            <w14:solidFill>
              <w14:schemeClr w14:val="tx1"/>
            </w14:solidFill>
          </w14:textFill>
        </w:rPr>
      </w:pPr>
      <w:r>
        <w:rPr>
          <w:rFonts w:eastAsia="方正仿宋_GBK"/>
          <w:color w:val="000000" w:themeColor="text1"/>
          <w:sz w:val="28"/>
          <w:szCs w:val="28"/>
          <w14:textFill>
            <w14:solidFill>
              <w14:schemeClr w14:val="tx1"/>
            </w14:solidFill>
          </w14:textFill>
        </w:rPr>
        <w:t>日期：</w:t>
      </w:r>
      <w:r>
        <w:rPr>
          <w:rFonts w:eastAsia="方正仿宋_GBK"/>
          <w:color w:val="000000" w:themeColor="text1"/>
          <w:sz w:val="28"/>
          <w:szCs w:val="28"/>
          <w:u w:val="single"/>
          <w14:textFill>
            <w14:solidFill>
              <w14:schemeClr w14:val="tx1"/>
            </w14:solidFill>
          </w14:textFill>
        </w:rPr>
        <w:t xml:space="preserve">      </w:t>
      </w:r>
      <w:r>
        <w:rPr>
          <w:rFonts w:eastAsia="方正仿宋_GBK"/>
          <w:color w:val="000000" w:themeColor="text1"/>
          <w:sz w:val="28"/>
          <w:szCs w:val="28"/>
          <w14:textFill>
            <w14:solidFill>
              <w14:schemeClr w14:val="tx1"/>
            </w14:solidFill>
          </w14:textFill>
        </w:rPr>
        <w:t>年</w:t>
      </w:r>
      <w:r>
        <w:rPr>
          <w:rFonts w:eastAsia="方正仿宋_GBK"/>
          <w:color w:val="000000" w:themeColor="text1"/>
          <w:sz w:val="28"/>
          <w:szCs w:val="28"/>
          <w:u w:val="single"/>
          <w14:textFill>
            <w14:solidFill>
              <w14:schemeClr w14:val="tx1"/>
            </w14:solidFill>
          </w14:textFill>
        </w:rPr>
        <w:t xml:space="preserve">     </w:t>
      </w:r>
      <w:r>
        <w:rPr>
          <w:rFonts w:eastAsia="方正仿宋_GBK"/>
          <w:color w:val="000000" w:themeColor="text1"/>
          <w:sz w:val="28"/>
          <w:szCs w:val="28"/>
          <w14:textFill>
            <w14:solidFill>
              <w14:schemeClr w14:val="tx1"/>
            </w14:solidFill>
          </w14:textFill>
        </w:rPr>
        <w:t>月</w:t>
      </w:r>
      <w:r>
        <w:rPr>
          <w:rFonts w:eastAsia="方正仿宋_GBK"/>
          <w:color w:val="000000" w:themeColor="text1"/>
          <w:sz w:val="28"/>
          <w:szCs w:val="28"/>
          <w:u w:val="single"/>
          <w14:textFill>
            <w14:solidFill>
              <w14:schemeClr w14:val="tx1"/>
            </w14:solidFill>
          </w14:textFill>
        </w:rPr>
        <w:t xml:space="preserve">     </w:t>
      </w:r>
      <w:r>
        <w:rPr>
          <w:rFonts w:eastAsia="方正仿宋_GBK"/>
          <w:color w:val="000000" w:themeColor="text1"/>
          <w:sz w:val="28"/>
          <w:szCs w:val="28"/>
          <w14:textFill>
            <w14:solidFill>
              <w14:schemeClr w14:val="tx1"/>
            </w14:solidFill>
          </w14:textFill>
        </w:rPr>
        <w:t>日</w:t>
      </w:r>
    </w:p>
    <w:p>
      <w:pPr>
        <w:spacing w:line="560" w:lineRule="exact"/>
        <w:rPr>
          <w:rFonts w:eastAsia="方正仿宋_GBK"/>
          <w:color w:val="000000" w:themeColor="text1"/>
          <w:sz w:val="28"/>
          <w:szCs w:val="28"/>
          <w14:textFill>
            <w14:solidFill>
              <w14:schemeClr w14:val="tx1"/>
            </w14:solidFill>
          </w14:textFill>
        </w:rPr>
      </w:pPr>
    </w:p>
    <w:p>
      <w:pPr>
        <w:spacing w:line="560" w:lineRule="exact"/>
        <w:rPr>
          <w:rFonts w:eastAsia="方正仿宋_GBK"/>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r>
        <w:rPr>
          <w:rFonts w:eastAsia="方正仿宋_GBK"/>
          <w:b/>
          <w:bCs/>
          <w:color w:val="000000" w:themeColor="text1"/>
          <w:sz w:val="28"/>
          <w:szCs w:val="28"/>
          <w14:textFill>
            <w14:solidFill>
              <w14:schemeClr w14:val="tx1"/>
            </w14:solidFill>
          </w14:textFill>
        </w:rPr>
        <w:t>附</w:t>
      </w:r>
      <w:r>
        <w:rPr>
          <w:rFonts w:hint="eastAsia" w:eastAsia="方正仿宋_GBK"/>
          <w:b/>
          <w:bCs/>
          <w:color w:val="000000" w:themeColor="text1"/>
          <w:sz w:val="28"/>
          <w:szCs w:val="28"/>
          <w14:textFill>
            <w14:solidFill>
              <w14:schemeClr w14:val="tx1"/>
            </w14:solidFill>
          </w14:textFill>
        </w:rPr>
        <w:t>：</w:t>
      </w:r>
      <w:r>
        <w:rPr>
          <w:rFonts w:eastAsia="方正仿宋_GBK"/>
          <w:b/>
          <w:bCs/>
          <w:color w:val="000000" w:themeColor="text1"/>
          <w:sz w:val="28"/>
          <w:szCs w:val="28"/>
          <w14:textFill>
            <w14:solidFill>
              <w14:schemeClr w14:val="tx1"/>
            </w14:solidFill>
          </w14:textFill>
        </w:rPr>
        <w:t>被授权人代理人身份证</w:t>
      </w:r>
      <w:r>
        <w:rPr>
          <w:rFonts w:hint="eastAsia" w:eastAsia="方正仿宋_GBK"/>
          <w:b/>
          <w:bCs/>
          <w:color w:val="000000" w:themeColor="text1"/>
          <w:sz w:val="28"/>
          <w:szCs w:val="28"/>
          <w14:textFill>
            <w14:solidFill>
              <w14:schemeClr w14:val="tx1"/>
            </w14:solidFill>
          </w14:textFill>
        </w:rPr>
        <w:t>复印件</w:t>
      </w:r>
    </w:p>
    <w:p>
      <w:pPr>
        <w:snapToGrid w:val="0"/>
        <w:spacing w:line="560" w:lineRule="exact"/>
        <w:rPr>
          <w:rFonts w:eastAsia="方正仿宋_GBK"/>
          <w:b/>
          <w:bCs/>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p>
    <w:p>
      <w:pPr>
        <w:snapToGrid w:val="0"/>
        <w:spacing w:line="560" w:lineRule="exact"/>
        <w:rPr>
          <w:rFonts w:eastAsia="方正仿宋_GBK"/>
          <w:b/>
          <w:bCs/>
          <w:color w:val="000000" w:themeColor="text1"/>
          <w:sz w:val="28"/>
          <w:szCs w:val="28"/>
          <w14:textFill>
            <w14:solidFill>
              <w14:schemeClr w14:val="tx1"/>
            </w14:solidFill>
          </w14:textFill>
        </w:rPr>
      </w:pPr>
    </w:p>
    <w:p>
      <w:pPr>
        <w:pStyle w:val="15"/>
        <w:spacing w:line="560" w:lineRule="exact"/>
        <w:jc w:val="both"/>
        <w:outlineLvl w:val="9"/>
      </w:pPr>
    </w:p>
    <w:p>
      <w:pPr>
        <w:numPr>
          <w:ilvl w:val="0"/>
          <w:numId w:val="5"/>
        </w:numPr>
        <w:spacing w:line="560" w:lineRule="exact"/>
        <w:rPr>
          <w:rFonts w:eastAsia="仿宋_GB2312"/>
          <w:b/>
          <w:bCs/>
          <w:color w:val="000000" w:themeColor="text1"/>
          <w:sz w:val="32"/>
          <w:szCs w:val="32"/>
          <w14:textFill>
            <w14:solidFill>
              <w14:schemeClr w14:val="tx1"/>
            </w14:solidFill>
          </w14:textFill>
        </w:rPr>
      </w:pPr>
      <w:r>
        <w:rPr>
          <w:rFonts w:hint="eastAsia" w:eastAsia="仿宋_GB2312"/>
          <w:b/>
          <w:bCs/>
          <w:color w:val="000000" w:themeColor="text1"/>
          <w:sz w:val="32"/>
          <w:szCs w:val="32"/>
          <w14:textFill>
            <w14:solidFill>
              <w14:schemeClr w14:val="tx1"/>
            </w14:solidFill>
          </w14:textFill>
        </w:rPr>
        <w:t>技术部分</w:t>
      </w:r>
    </w:p>
    <w:p>
      <w:pPr>
        <w:spacing w:line="560" w:lineRule="exact"/>
        <w:ind w:firstLine="560" w:firstLineChars="200"/>
        <w:rPr>
          <w:rFonts w:eastAsia="方正仿宋_GBK"/>
          <w:color w:val="000000" w:themeColor="text1"/>
          <w:sz w:val="28"/>
          <w:szCs w:val="28"/>
          <w14:textFill>
            <w14:solidFill>
              <w14:schemeClr w14:val="tx1"/>
            </w14:solidFill>
          </w14:textFill>
        </w:rPr>
      </w:pPr>
      <w:r>
        <w:rPr>
          <w:rFonts w:eastAsia="方正仿宋_GBK"/>
          <w:color w:val="000000" w:themeColor="text1"/>
          <w:sz w:val="28"/>
          <w:szCs w:val="28"/>
          <w:lang w:val="zh-CN"/>
          <w14:textFill>
            <w14:solidFill>
              <w14:schemeClr w14:val="tx1"/>
            </w14:solidFill>
          </w14:textFill>
        </w:rPr>
        <w:t>主要</w:t>
      </w:r>
      <w:r>
        <w:rPr>
          <w:rFonts w:hint="eastAsia" w:eastAsia="方正仿宋_GBK"/>
          <w:color w:val="000000" w:themeColor="text1"/>
          <w:sz w:val="28"/>
          <w:szCs w:val="28"/>
          <w14:textFill>
            <w14:solidFill>
              <w14:schemeClr w14:val="tx1"/>
            </w14:solidFill>
          </w14:textFill>
        </w:rPr>
        <w:t>根据附件一、合同条款以及评分办法技术部分内容进行准备。</w:t>
      </w:r>
    </w:p>
    <w:p>
      <w:pPr>
        <w:pStyle w:val="15"/>
        <w:jc w:val="both"/>
        <w:outlineLvl w:val="9"/>
      </w:pPr>
    </w:p>
    <w:p>
      <w:pPr>
        <w:numPr>
          <w:ilvl w:val="0"/>
          <w:numId w:val="5"/>
        </w:numPr>
        <w:spacing w:line="560" w:lineRule="exact"/>
        <w:rPr>
          <w:rFonts w:eastAsia="仿宋_GB2312"/>
          <w:b/>
          <w:bCs/>
          <w:color w:val="000000" w:themeColor="text1"/>
          <w:sz w:val="32"/>
          <w:szCs w:val="32"/>
          <w14:textFill>
            <w14:solidFill>
              <w14:schemeClr w14:val="tx1"/>
            </w14:solidFill>
          </w14:textFill>
        </w:rPr>
      </w:pPr>
      <w:r>
        <w:rPr>
          <w:rFonts w:hint="eastAsia" w:eastAsia="仿宋_GB2312"/>
          <w:b/>
          <w:bCs/>
          <w:color w:val="000000" w:themeColor="text1"/>
          <w:sz w:val="32"/>
          <w:szCs w:val="32"/>
          <w14:textFill>
            <w14:solidFill>
              <w14:schemeClr w14:val="tx1"/>
            </w14:solidFill>
          </w14:textFill>
        </w:rPr>
        <w:t>商务部分</w:t>
      </w: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r>
        <w:rPr>
          <w:rFonts w:eastAsia="方正仿宋_GBK"/>
          <w:color w:val="000000" w:themeColor="text1"/>
          <w:sz w:val="28"/>
          <w:szCs w:val="28"/>
          <w:lang w:val="zh-CN"/>
          <w14:textFill>
            <w14:solidFill>
              <w14:schemeClr w14:val="tx1"/>
            </w14:solidFill>
          </w14:textFill>
        </w:rPr>
        <w:t>主要</w:t>
      </w:r>
      <w:r>
        <w:rPr>
          <w:rFonts w:hint="eastAsia" w:eastAsia="方正仿宋_GBK"/>
          <w:color w:val="000000" w:themeColor="text1"/>
          <w:sz w:val="28"/>
          <w:szCs w:val="28"/>
          <w14:textFill>
            <w14:solidFill>
              <w14:schemeClr w14:val="tx1"/>
            </w14:solidFill>
          </w14:textFill>
        </w:rPr>
        <w:t>根据</w:t>
      </w:r>
      <w:r>
        <w:rPr>
          <w:rFonts w:hint="eastAsia" w:eastAsia="方正仿宋_GBK"/>
          <w:color w:val="000000" w:themeColor="text1"/>
          <w:sz w:val="28"/>
          <w:szCs w:val="28"/>
          <w:lang w:eastAsia="zh-CN"/>
          <w14:textFill>
            <w14:solidFill>
              <w14:schemeClr w14:val="tx1"/>
            </w14:solidFill>
          </w14:textFill>
        </w:rPr>
        <w:t>资格条件、</w:t>
      </w:r>
      <w:r>
        <w:rPr>
          <w:rFonts w:hint="eastAsia" w:eastAsia="方正仿宋_GBK"/>
          <w:color w:val="000000" w:themeColor="text1"/>
          <w:sz w:val="28"/>
          <w:szCs w:val="28"/>
          <w14:textFill>
            <w14:solidFill>
              <w14:schemeClr w14:val="tx1"/>
            </w14:solidFill>
          </w14:textFill>
        </w:rPr>
        <w:t>合同主要条款、商务评分内容进行准备。</w:t>
      </w: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ind w:firstLine="560" w:firstLineChars="200"/>
        <w:rPr>
          <w:rFonts w:eastAsia="方正仿宋_GBK"/>
          <w:color w:val="000000" w:themeColor="text1"/>
          <w:sz w:val="28"/>
          <w:szCs w:val="28"/>
          <w:lang w:val="zh-CN"/>
          <w14:textFill>
            <w14:solidFill>
              <w14:schemeClr w14:val="tx1"/>
            </w14:solidFill>
          </w14:textFill>
        </w:rPr>
      </w:pPr>
    </w:p>
    <w:p>
      <w:pPr>
        <w:spacing w:line="560" w:lineRule="exact"/>
        <w:rPr>
          <w:rFonts w:eastAsia="方正仿宋_GBK"/>
          <w:color w:val="000000" w:themeColor="text1"/>
          <w:sz w:val="28"/>
          <w:szCs w:val="28"/>
          <w14:textFill>
            <w14:solidFill>
              <w14:schemeClr w14:val="tx1"/>
            </w14:solidFill>
          </w14:textFill>
        </w:rPr>
      </w:pPr>
    </w:p>
    <w:sectPr>
      <w:pgSz w:w="11906" w:h="16838"/>
      <w:pgMar w:top="156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imes New Roman Regular">
    <w:altName w:val="Times New Roman"/>
    <w:panose1 w:val="00000000000000000000"/>
    <w:charset w:val="00"/>
    <w:family w:val="auto"/>
    <w:pitch w:val="default"/>
    <w:sig w:usb0="00000000" w:usb1="00000000" w:usb2="00000009" w:usb3="00000000" w:csb0="4000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Light">
    <w:panose1 w:val="020B0502040204020203"/>
    <w:charset w:val="86"/>
    <w:family w:val="swiss"/>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17</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31</w:t>
                          </w:r>
                          <w:r>
                            <w:rPr>
                              <w:rFonts w:hint="eastAsia"/>
                            </w:rP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10"/>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17</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31</w:t>
                    </w:r>
                    <w:r>
                      <w:rPr>
                        <w:rFonts w:hint="eastAsia"/>
                      </w:rPr>
                      <w:fldChar w:fldCharType="end"/>
                    </w:r>
                    <w:r>
                      <w:rPr>
                        <w:rFonts w:hint="eastAsia"/>
                      </w:rPr>
                      <w:t xml:space="preserve"> 页</w:t>
                    </w:r>
                  </w:p>
                </w:txbxContent>
              </v:textbox>
            </v:shape>
          </w:pict>
        </mc:Fallback>
      </mc:AlternateContent>
    </w: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w:rPr>
        <w:sz w:val="2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25095" cy="26479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25095" cy="264795"/>
                      </a:xfrm>
                      <a:prstGeom prst="rect">
                        <a:avLst/>
                      </a:prstGeom>
                      <a:noFill/>
                      <a:ln>
                        <a:noFill/>
                      </a:ln>
                    </wps:spPr>
                    <wps:txbx>
                      <w:txbxContent>
                        <w:p>
                          <w:pPr>
                            <w:pStyle w:val="10"/>
                            <w:rPr>
                              <w:rFonts w:hint="eastAsia" w:eastAsia="微软雅黑"/>
                            </w:rPr>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20.85pt;width:9.85pt;mso-position-horizontal:center;mso-position-horizontal-relative:margin;mso-wrap-style:none;z-index:251660288;mso-width-relative:page;mso-height-relative:page;" filled="f" stroked="f" coordsize="21600,21600" o:gfxdata="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Ze8hn0QAAAAMBAAAPAAAAAAAAAAEAIAAAACIAAABkcnMvZG93&#10;bnJldi54bWxQSwECFAAUAAAACACHTuJAH1fgBgcCAAACBAAADgAAAAAAAAABACAAAAAgAQAAZHJz&#10;L2Uyb0RvYy54bWxQSwUGAAAAAAYABgBZAQAAmQUAAAAA&#10;">
              <v:fill on="f" focussize="0,0"/>
              <v:stroke on="f"/>
              <v:imagedata o:title=""/>
              <o:lock v:ext="edit" aspectratio="f"/>
              <v:textbox inset="0mm,0mm,0mm,0mm" style="mso-fit-shape-to-text:t;">
                <w:txbxContent>
                  <w:p>
                    <w:pPr>
                      <w:pStyle w:val="10"/>
                      <w:rPr>
                        <w:rFonts w:hint="eastAsia" w:eastAsia="微软雅黑"/>
                      </w:rPr>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251000"/>
    <w:multiLevelType w:val="singleLevel"/>
    <w:tmpl w:val="D5251000"/>
    <w:lvl w:ilvl="0" w:tentative="0">
      <w:start w:val="1"/>
      <w:numFmt w:val="decimal"/>
      <w:suff w:val="nothing"/>
      <w:lvlText w:val="%1、"/>
      <w:lvlJc w:val="left"/>
    </w:lvl>
  </w:abstractNum>
  <w:abstractNum w:abstractNumId="1">
    <w:nsid w:val="D78AFCA1"/>
    <w:multiLevelType w:val="singleLevel"/>
    <w:tmpl w:val="D78AFCA1"/>
    <w:lvl w:ilvl="0" w:tentative="0">
      <w:start w:val="1"/>
      <w:numFmt w:val="decimal"/>
      <w:suff w:val="nothing"/>
      <w:lvlText w:val="%1、"/>
      <w:lvlJc w:val="left"/>
    </w:lvl>
  </w:abstractNum>
  <w:abstractNum w:abstractNumId="2">
    <w:nsid w:val="1BA38356"/>
    <w:multiLevelType w:val="singleLevel"/>
    <w:tmpl w:val="1BA38356"/>
    <w:lvl w:ilvl="0" w:tentative="0">
      <w:start w:val="1"/>
      <w:numFmt w:val="chineseCounting"/>
      <w:suff w:val="nothing"/>
      <w:lvlText w:val="%1、"/>
      <w:lvlJc w:val="left"/>
      <w:rPr>
        <w:rFonts w:hint="eastAsia"/>
      </w:rPr>
    </w:lvl>
  </w:abstractNum>
  <w:abstractNum w:abstractNumId="3">
    <w:nsid w:val="60CC1CE1"/>
    <w:multiLevelType w:val="singleLevel"/>
    <w:tmpl w:val="60CC1CE1"/>
    <w:lvl w:ilvl="0" w:tentative="0">
      <w:start w:val="4"/>
      <w:numFmt w:val="chineseCounting"/>
      <w:suff w:val="nothing"/>
      <w:lvlText w:val="%1、"/>
      <w:lvlJc w:val="left"/>
      <w:rPr>
        <w:rFonts w:hint="eastAsia"/>
      </w:rPr>
    </w:lvl>
  </w:abstractNum>
  <w:abstractNum w:abstractNumId="4">
    <w:nsid w:val="7323C3CE"/>
    <w:multiLevelType w:val="singleLevel"/>
    <w:tmpl w:val="7323C3CE"/>
    <w:lvl w:ilvl="0" w:tentative="0">
      <w:start w:val="7"/>
      <w:numFmt w:val="chineseCounting"/>
      <w:suff w:val="nothing"/>
      <w:lvlText w:val="%1、"/>
      <w:lvlJc w:val="left"/>
      <w:rPr>
        <w:rFonts w:hint="eastAsia"/>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RjNmNjNjljN2NhMDFlNGQzMDBjNjYxNTk0OGJjZTcifQ=="/>
  </w:docVars>
  <w:rsids>
    <w:rsidRoot w:val="003566CB"/>
    <w:rsid w:val="000C2907"/>
    <w:rsid w:val="00292BBB"/>
    <w:rsid w:val="002E7E66"/>
    <w:rsid w:val="00344EB4"/>
    <w:rsid w:val="003566CB"/>
    <w:rsid w:val="003C4A54"/>
    <w:rsid w:val="0058318B"/>
    <w:rsid w:val="00BE658E"/>
    <w:rsid w:val="00C030FD"/>
    <w:rsid w:val="00D43BEE"/>
    <w:rsid w:val="01DB0B9A"/>
    <w:rsid w:val="0D396B91"/>
    <w:rsid w:val="1CE30A11"/>
    <w:rsid w:val="348B49DE"/>
    <w:rsid w:val="40931A13"/>
    <w:rsid w:val="44D61400"/>
    <w:rsid w:val="45730CF1"/>
    <w:rsid w:val="48E84279"/>
    <w:rsid w:val="4AC30131"/>
    <w:rsid w:val="4FCF1BC0"/>
    <w:rsid w:val="53DB5C26"/>
    <w:rsid w:val="5A7C34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 w:semiHidden="0" w:name="heading 2" w:locked="1"/>
    <w:lsdException w:qFormat="1" w:unhideWhenUsed="0" w:uiPriority="9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sdException w:uiPriority="99" w:name="footnote text"/>
    <w:lsdException w:qFormat="1"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uiPriority="99" w:name="HTML Typewriter"/>
    <w:lsdException w:qFormat="1"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spacing w:beforeAutospacing="1" w:afterAutospacing="1"/>
      <w:jc w:val="left"/>
      <w:outlineLvl w:val="0"/>
    </w:pPr>
    <w:rPr>
      <w:rFonts w:hint="eastAsia" w:ascii="宋体" w:hAnsi="宋体"/>
      <w:b/>
      <w:kern w:val="44"/>
      <w:sz w:val="48"/>
      <w:szCs w:val="48"/>
    </w:rPr>
  </w:style>
  <w:style w:type="paragraph" w:styleId="4">
    <w:name w:val="heading 2"/>
    <w:basedOn w:val="1"/>
    <w:next w:val="1"/>
    <w:qFormat/>
    <w:locked/>
    <w:uiPriority w:val="9"/>
    <w:pPr>
      <w:keepNext/>
      <w:keepLines/>
      <w:spacing w:before="260" w:after="260" w:line="413" w:lineRule="auto"/>
      <w:outlineLvl w:val="1"/>
    </w:pPr>
    <w:rPr>
      <w:rFonts w:ascii="Arial" w:hAnsi="Arial" w:eastAsia="黑体"/>
      <w:b/>
      <w:bCs/>
      <w:kern w:val="0"/>
      <w:sz w:val="32"/>
      <w:szCs w:val="32"/>
    </w:rPr>
  </w:style>
  <w:style w:type="paragraph" w:styleId="2">
    <w:name w:val="heading 3"/>
    <w:basedOn w:val="1"/>
    <w:next w:val="1"/>
    <w:qFormat/>
    <w:locked/>
    <w:uiPriority w:val="99"/>
    <w:pPr>
      <w:autoSpaceDE w:val="0"/>
      <w:autoSpaceDN w:val="0"/>
      <w:adjustRightInd w:val="0"/>
      <w:spacing w:before="16"/>
      <w:jc w:val="left"/>
      <w:outlineLvl w:val="2"/>
    </w:pPr>
    <w:rPr>
      <w:rFonts w:ascii="仿宋_GB2312" w:eastAsia="仿宋_GB2312"/>
      <w:b/>
      <w:kern w:val="0"/>
      <w:sz w:val="24"/>
      <w:szCs w:val="28"/>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unhideWhenUsed/>
    <w:qFormat/>
    <w:uiPriority w:val="0"/>
    <w:pPr>
      <w:jc w:val="left"/>
    </w:pPr>
  </w:style>
  <w:style w:type="paragraph" w:styleId="6">
    <w:name w:val="Body Text"/>
    <w:basedOn w:val="1"/>
    <w:qFormat/>
    <w:uiPriority w:val="99"/>
    <w:pPr>
      <w:spacing w:after="120"/>
    </w:pPr>
  </w:style>
  <w:style w:type="paragraph" w:styleId="7">
    <w:name w:val="Body Text Indent"/>
    <w:basedOn w:val="1"/>
    <w:qFormat/>
    <w:uiPriority w:val="0"/>
    <w:pPr>
      <w:spacing w:after="120"/>
      <w:ind w:left="420" w:leftChars="200"/>
    </w:pPr>
  </w:style>
  <w:style w:type="paragraph" w:styleId="8">
    <w:name w:val="Plain Text"/>
    <w:basedOn w:val="1"/>
    <w:qFormat/>
    <w:uiPriority w:val="0"/>
    <w:rPr>
      <w:rFonts w:ascii="宋体" w:hAnsi="Courier New"/>
      <w:szCs w:val="20"/>
    </w:rPr>
  </w:style>
  <w:style w:type="paragraph" w:styleId="9">
    <w:name w:val="Balloon Text"/>
    <w:basedOn w:val="1"/>
    <w:link w:val="30"/>
    <w:qFormat/>
    <w:uiPriority w:val="99"/>
    <w:rPr>
      <w:sz w:val="18"/>
      <w:szCs w:val="18"/>
    </w:rPr>
  </w:style>
  <w:style w:type="paragraph" w:styleId="10">
    <w:name w:val="footer"/>
    <w:basedOn w:val="1"/>
    <w:link w:val="31"/>
    <w:qFormat/>
    <w:uiPriority w:val="0"/>
    <w:pPr>
      <w:tabs>
        <w:tab w:val="center" w:pos="4153"/>
        <w:tab w:val="right" w:pos="8306"/>
      </w:tabs>
      <w:snapToGrid w:val="0"/>
      <w:jc w:val="left"/>
    </w:pPr>
    <w:rPr>
      <w:rFonts w:ascii="Calibri" w:hAnsi="Calibri"/>
      <w:kern w:val="0"/>
      <w:sz w:val="18"/>
      <w:szCs w:val="18"/>
    </w:rPr>
  </w:style>
  <w:style w:type="paragraph" w:styleId="11">
    <w:name w:val="header"/>
    <w:basedOn w:val="1"/>
    <w:link w:val="32"/>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olor w:val="000000"/>
      <w:kern w:val="0"/>
      <w:sz w:val="20"/>
      <w:szCs w:val="20"/>
    </w:r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5">
    <w:name w:val="Title"/>
    <w:basedOn w:val="1"/>
    <w:next w:val="1"/>
    <w:link w:val="38"/>
    <w:qFormat/>
    <w:locked/>
    <w:uiPriority w:val="10"/>
    <w:pPr>
      <w:spacing w:before="240" w:after="60" w:line="360" w:lineRule="auto"/>
      <w:jc w:val="center"/>
      <w:outlineLvl w:val="0"/>
    </w:pPr>
    <w:rPr>
      <w:rFonts w:ascii="Calibri" w:hAnsi="Calibri"/>
      <w:b/>
      <w:bCs/>
      <w:sz w:val="32"/>
      <w:szCs w:val="32"/>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page number"/>
    <w:basedOn w:val="18"/>
    <w:qFormat/>
    <w:uiPriority w:val="0"/>
  </w:style>
  <w:style w:type="character" w:styleId="20">
    <w:name w:val="FollowedHyperlink"/>
    <w:basedOn w:val="18"/>
    <w:unhideWhenUsed/>
    <w:qFormat/>
    <w:uiPriority w:val="99"/>
    <w:rPr>
      <w:color w:val="2D64B3"/>
      <w:u w:val="none"/>
    </w:rPr>
  </w:style>
  <w:style w:type="character" w:styleId="21">
    <w:name w:val="Emphasis"/>
    <w:basedOn w:val="18"/>
    <w:qFormat/>
    <w:locked/>
    <w:uiPriority w:val="0"/>
  </w:style>
  <w:style w:type="character" w:styleId="22">
    <w:name w:val="HTML Definition"/>
    <w:basedOn w:val="18"/>
    <w:unhideWhenUsed/>
    <w:qFormat/>
    <w:uiPriority w:val="99"/>
  </w:style>
  <w:style w:type="character" w:styleId="23">
    <w:name w:val="HTML Variable"/>
    <w:basedOn w:val="18"/>
    <w:unhideWhenUsed/>
    <w:qFormat/>
    <w:uiPriority w:val="99"/>
  </w:style>
  <w:style w:type="character" w:styleId="24">
    <w:name w:val="Hyperlink"/>
    <w:basedOn w:val="18"/>
    <w:unhideWhenUsed/>
    <w:qFormat/>
    <w:uiPriority w:val="99"/>
    <w:rPr>
      <w:color w:val="2D64B3"/>
      <w:u w:val="none"/>
    </w:rPr>
  </w:style>
  <w:style w:type="character" w:styleId="25">
    <w:name w:val="HTML Code"/>
    <w:basedOn w:val="18"/>
    <w:unhideWhenUsed/>
    <w:qFormat/>
    <w:uiPriority w:val="99"/>
    <w:rPr>
      <w:rFonts w:hint="eastAsia" w:ascii="Arial" w:hAnsi="Arial" w:cs="Arial"/>
      <w:sz w:val="20"/>
    </w:rPr>
  </w:style>
  <w:style w:type="character" w:styleId="26">
    <w:name w:val="annotation reference"/>
    <w:qFormat/>
    <w:uiPriority w:val="99"/>
    <w:rPr>
      <w:sz w:val="21"/>
      <w:szCs w:val="21"/>
    </w:rPr>
  </w:style>
  <w:style w:type="character" w:styleId="27">
    <w:name w:val="HTML Cite"/>
    <w:basedOn w:val="18"/>
    <w:unhideWhenUsed/>
    <w:qFormat/>
    <w:uiPriority w:val="99"/>
  </w:style>
  <w:style w:type="character" w:styleId="28">
    <w:name w:val="HTML Keyboard"/>
    <w:basedOn w:val="18"/>
    <w:unhideWhenUsed/>
    <w:qFormat/>
    <w:uiPriority w:val="99"/>
    <w:rPr>
      <w:rFonts w:hint="default" w:ascii="Arial" w:hAnsi="Arial" w:cs="Arial"/>
      <w:sz w:val="20"/>
    </w:rPr>
  </w:style>
  <w:style w:type="character" w:styleId="29">
    <w:name w:val="HTML Sample"/>
    <w:basedOn w:val="18"/>
    <w:unhideWhenUsed/>
    <w:qFormat/>
    <w:uiPriority w:val="99"/>
    <w:rPr>
      <w:rFonts w:hint="default" w:ascii="Arial" w:hAnsi="Arial" w:cs="Arial"/>
    </w:rPr>
  </w:style>
  <w:style w:type="character" w:customStyle="1" w:styleId="30">
    <w:name w:val="批注框文本 字符"/>
    <w:basedOn w:val="18"/>
    <w:link w:val="9"/>
    <w:semiHidden/>
    <w:qFormat/>
    <w:locked/>
    <w:uiPriority w:val="99"/>
    <w:rPr>
      <w:rFonts w:ascii="Times New Roman" w:hAnsi="Times New Roman"/>
      <w:kern w:val="2"/>
      <w:sz w:val="18"/>
    </w:rPr>
  </w:style>
  <w:style w:type="character" w:customStyle="1" w:styleId="31">
    <w:name w:val="页脚 字符"/>
    <w:basedOn w:val="18"/>
    <w:link w:val="10"/>
    <w:qFormat/>
    <w:locked/>
    <w:uiPriority w:val="99"/>
    <w:rPr>
      <w:sz w:val="18"/>
    </w:rPr>
  </w:style>
  <w:style w:type="character" w:customStyle="1" w:styleId="32">
    <w:name w:val="页眉 字符"/>
    <w:basedOn w:val="18"/>
    <w:link w:val="11"/>
    <w:qFormat/>
    <w:locked/>
    <w:uiPriority w:val="0"/>
    <w:rPr>
      <w:sz w:val="18"/>
    </w:rPr>
  </w:style>
  <w:style w:type="paragraph" w:customStyle="1" w:styleId="33">
    <w:name w:val="列出段落1"/>
    <w:basedOn w:val="1"/>
    <w:qFormat/>
    <w:uiPriority w:val="0"/>
    <w:pPr>
      <w:ind w:firstLine="420" w:firstLineChars="200"/>
    </w:pPr>
  </w:style>
  <w:style w:type="character" w:customStyle="1" w:styleId="34">
    <w:name w:val="f14w1"/>
    <w:qFormat/>
    <w:uiPriority w:val="99"/>
    <w:rPr>
      <w:b/>
      <w:color w:val="002569"/>
      <w:sz w:val="21"/>
    </w:rPr>
  </w:style>
  <w:style w:type="paragraph" w:customStyle="1" w:styleId="35">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36">
    <w:name w:val="列出段落11"/>
    <w:basedOn w:val="1"/>
    <w:qFormat/>
    <w:uiPriority w:val="99"/>
    <w:pPr>
      <w:ind w:firstLine="420" w:firstLineChars="200"/>
    </w:pPr>
  </w:style>
  <w:style w:type="paragraph" w:customStyle="1" w:styleId="37">
    <w:name w:val="列出段落2"/>
    <w:basedOn w:val="1"/>
    <w:qFormat/>
    <w:uiPriority w:val="99"/>
    <w:pPr>
      <w:ind w:firstLine="420" w:firstLineChars="200"/>
    </w:pPr>
    <w:rPr>
      <w:rFonts w:ascii="Calibri" w:hAnsi="Calibri"/>
      <w:szCs w:val="22"/>
    </w:rPr>
  </w:style>
  <w:style w:type="character" w:customStyle="1" w:styleId="38">
    <w:name w:val="标题 字符"/>
    <w:basedOn w:val="18"/>
    <w:link w:val="15"/>
    <w:qFormat/>
    <w:uiPriority w:val="10"/>
    <w:rPr>
      <w:rFonts w:ascii="Calibri" w:hAnsi="Calibri"/>
      <w:b/>
      <w:bCs/>
      <w:kern w:val="2"/>
      <w:sz w:val="32"/>
      <w:szCs w:val="32"/>
    </w:rPr>
  </w:style>
  <w:style w:type="paragraph" w:customStyle="1" w:styleId="39">
    <w:name w:val="1"/>
    <w:basedOn w:val="1"/>
    <w:next w:val="8"/>
    <w:qFormat/>
    <w:uiPriority w:val="0"/>
    <w:rPr>
      <w:rFonts w:ascii="宋体" w:hAnsi="Courier New"/>
      <w:szCs w:val="20"/>
    </w:rPr>
  </w:style>
  <w:style w:type="paragraph" w:customStyle="1" w:styleId="40">
    <w:name w:val="zjb正文"/>
    <w:basedOn w:val="1"/>
    <w:qFormat/>
    <w:uiPriority w:val="0"/>
    <w:pPr>
      <w:spacing w:line="360" w:lineRule="auto"/>
      <w:ind w:firstLine="200" w:firstLineChars="200"/>
    </w:pPr>
    <w:rPr>
      <w:rFonts w:ascii="仿宋_GB2312" w:hAnsi="仿宋" w:eastAsia="仿宋_GB2312"/>
      <w:color w:val="000000"/>
      <w:sz w:val="30"/>
      <w:szCs w:val="30"/>
    </w:rPr>
  </w:style>
  <w:style w:type="paragraph" w:customStyle="1" w:styleId="41">
    <w:name w:val="Default"/>
    <w:unhideWhenUsed/>
    <w:qFormat/>
    <w:uiPriority w:val="99"/>
    <w:pPr>
      <w:widowControl w:val="0"/>
      <w:autoSpaceDE w:val="0"/>
      <w:autoSpaceDN w:val="0"/>
      <w:adjustRightInd w:val="0"/>
    </w:pPr>
    <w:rPr>
      <w:rFonts w:ascii="宋体" w:hAnsi="宋体" w:eastAsia="宋体" w:cstheme="minorBidi"/>
      <w:color w:val="000000"/>
      <w:sz w:val="24"/>
      <w:lang w:val="en-US" w:eastAsia="zh-CN" w:bidi="ar-SA"/>
    </w:rPr>
  </w:style>
  <w:style w:type="paragraph" w:customStyle="1" w:styleId="42">
    <w:name w:val="_Style 4"/>
    <w:basedOn w:val="1"/>
    <w:next w:val="1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color w:val="000000"/>
      <w:kern w:val="0"/>
      <w:sz w:val="20"/>
      <w:szCs w:val="20"/>
    </w:rPr>
  </w:style>
  <w:style w:type="character" w:customStyle="1" w:styleId="43">
    <w:name w:val="font51"/>
    <w:basedOn w:val="18"/>
    <w:qFormat/>
    <w:uiPriority w:val="0"/>
    <w:rPr>
      <w:rFonts w:ascii="宋体" w:hAnsi="宋体" w:eastAsia="宋体" w:cs="宋体"/>
      <w:color w:val="000000"/>
      <w:sz w:val="22"/>
      <w:szCs w:val="22"/>
      <w:u w:val="none"/>
    </w:rPr>
  </w:style>
  <w:style w:type="character" w:customStyle="1" w:styleId="44">
    <w:name w:val="font01"/>
    <w:basedOn w:val="18"/>
    <w:qFormat/>
    <w:uiPriority w:val="0"/>
    <w:rPr>
      <w:rFonts w:hint="default" w:ascii="Times New Roman Regular" w:hAnsi="Times New Roman Regular" w:eastAsia="Times New Roman Regular" w:cs="Times New Roman Regular"/>
      <w:color w:val="000000"/>
      <w:sz w:val="24"/>
      <w:szCs w:val="24"/>
      <w:u w:val="none"/>
    </w:rPr>
  </w:style>
  <w:style w:type="character" w:customStyle="1" w:styleId="45">
    <w:name w:val="font11"/>
    <w:basedOn w:val="18"/>
    <w:qFormat/>
    <w:uiPriority w:val="0"/>
    <w:rPr>
      <w:rFonts w:hint="eastAsia" w:ascii="宋体" w:hAnsi="宋体" w:eastAsia="宋体" w:cs="宋体"/>
      <w:color w:val="000000"/>
      <w:sz w:val="22"/>
      <w:szCs w:val="22"/>
      <w:u w:val="none"/>
    </w:rPr>
  </w:style>
  <w:style w:type="character" w:customStyle="1" w:styleId="46">
    <w:name w:val="font61"/>
    <w:basedOn w:val="18"/>
    <w:qFormat/>
    <w:uiPriority w:val="99"/>
    <w:rPr>
      <w:rFonts w:ascii="仿宋_GB2312" w:eastAsia="仿宋_GB2312" w:cs="仿宋_GB2312"/>
      <w:color w:val="000000"/>
      <w:sz w:val="32"/>
      <w:szCs w:val="32"/>
      <w:u w:val="none"/>
    </w:rPr>
  </w:style>
  <w:style w:type="character" w:customStyle="1" w:styleId="47">
    <w:name w:val="font31"/>
    <w:qFormat/>
    <w:uiPriority w:val="0"/>
    <w:rPr>
      <w:rFonts w:hint="eastAsia" w:ascii="宋体" w:hAnsi="宋体" w:eastAsia="宋体" w:cs="宋体"/>
      <w:b/>
      <w:color w:val="000000"/>
      <w:sz w:val="24"/>
      <w:szCs w:val="24"/>
      <w:u w:val="none"/>
    </w:rPr>
  </w:style>
  <w:style w:type="character" w:customStyle="1" w:styleId="48">
    <w:name w:val="font41"/>
    <w:qFormat/>
    <w:uiPriority w:val="0"/>
    <w:rPr>
      <w:rFonts w:hint="eastAsia" w:ascii="宋体" w:hAnsi="宋体" w:eastAsia="宋体" w:cs="宋体"/>
      <w:b/>
      <w:color w:val="000000"/>
      <w:sz w:val="24"/>
      <w:szCs w:val="24"/>
      <w:u w:val="none"/>
    </w:rPr>
  </w:style>
  <w:style w:type="paragraph" w:customStyle="1" w:styleId="49">
    <w:name w:val="Body text|1"/>
    <w:basedOn w:val="1"/>
    <w:qFormat/>
    <w:uiPriority w:val="0"/>
    <w:pPr>
      <w:adjustRightInd w:val="0"/>
      <w:snapToGrid w:val="0"/>
      <w:spacing w:after="200" w:line="427" w:lineRule="auto"/>
      <w:ind w:firstLine="400"/>
      <w:jc w:val="left"/>
    </w:pPr>
    <w:rPr>
      <w:rFonts w:ascii="宋体" w:hAnsi="宋体" w:cs="宋体"/>
      <w:kern w:val="0"/>
      <w:sz w:val="22"/>
      <w:szCs w:val="22"/>
      <w:lang w:val="zh-TW" w:eastAsia="zh-TW" w:bidi="zh-TW"/>
    </w:rPr>
  </w:style>
  <w:style w:type="paragraph" w:customStyle="1" w:styleId="50">
    <w:name w:val="Header or footer|1"/>
    <w:basedOn w:val="1"/>
    <w:qFormat/>
    <w:uiPriority w:val="0"/>
    <w:pPr>
      <w:adjustRightInd w:val="0"/>
      <w:snapToGrid w:val="0"/>
      <w:spacing w:after="200"/>
      <w:jc w:val="left"/>
    </w:pPr>
    <w:rPr>
      <w:rFonts w:ascii="宋体" w:hAnsi="宋体" w:cs="宋体"/>
      <w:kern w:val="0"/>
      <w:sz w:val="18"/>
      <w:szCs w:val="18"/>
      <w:lang w:val="zh-TW" w:eastAsia="zh-TW" w:bidi="zh-TW"/>
    </w:rPr>
  </w:style>
  <w:style w:type="paragraph" w:customStyle="1" w:styleId="51">
    <w:name w:val="页眉1"/>
    <w:basedOn w:val="1"/>
    <w:qFormat/>
    <w:uiPriority w:val="0"/>
    <w:pPr>
      <w:widowControl/>
      <w:pBdr>
        <w:bottom w:val="single" w:color="auto" w:sz="6" w:space="1"/>
      </w:pBdr>
      <w:tabs>
        <w:tab w:val="center" w:pos="4153"/>
        <w:tab w:val="right" w:pos="8306"/>
      </w:tabs>
      <w:adjustRightInd w:val="0"/>
      <w:snapToGrid w:val="0"/>
      <w:spacing w:after="200"/>
      <w:jc w:val="center"/>
    </w:pPr>
    <w:rPr>
      <w:rFonts w:ascii="Tahoma" w:hAnsi="Tahoma" w:eastAsia="Times New Roman"/>
      <w:kern w:val="0"/>
      <w:sz w:val="18"/>
      <w:szCs w:val="18"/>
    </w:rPr>
  </w:style>
  <w:style w:type="paragraph" w:customStyle="1" w:styleId="52">
    <w:name w:val="Other|1"/>
    <w:basedOn w:val="1"/>
    <w:qFormat/>
    <w:uiPriority w:val="0"/>
    <w:pPr>
      <w:adjustRightInd w:val="0"/>
      <w:snapToGrid w:val="0"/>
      <w:spacing w:after="200" w:line="455" w:lineRule="exact"/>
      <w:ind w:firstLine="520"/>
      <w:jc w:val="left"/>
    </w:pPr>
    <w:rPr>
      <w:rFonts w:ascii="宋体" w:hAnsi="宋体" w:cs="宋体"/>
      <w:kern w:val="0"/>
      <w:sz w:val="20"/>
      <w:szCs w:val="20"/>
      <w:lang w:val="zh-TW" w:eastAsia="zh-TW" w:bidi="zh-TW"/>
    </w:rPr>
  </w:style>
  <w:style w:type="paragraph" w:customStyle="1" w:styleId="53">
    <w:name w:val="Body text|2"/>
    <w:basedOn w:val="1"/>
    <w:qFormat/>
    <w:uiPriority w:val="0"/>
    <w:pPr>
      <w:adjustRightInd w:val="0"/>
      <w:snapToGrid w:val="0"/>
      <w:spacing w:after="200" w:line="245" w:lineRule="exact"/>
      <w:jc w:val="left"/>
    </w:pPr>
    <w:rPr>
      <w:rFonts w:ascii="宋体" w:hAnsi="宋体" w:cs="宋体"/>
      <w:kern w:val="0"/>
      <w:sz w:val="18"/>
      <w:szCs w:val="18"/>
      <w:lang w:val="zh-TW" w:eastAsia="zh-TW" w:bidi="zh-TW"/>
    </w:rPr>
  </w:style>
  <w:style w:type="paragraph" w:customStyle="1" w:styleId="54">
    <w:name w:val="页脚1"/>
    <w:basedOn w:val="1"/>
    <w:qFormat/>
    <w:uiPriority w:val="0"/>
    <w:pPr>
      <w:widowControl/>
      <w:tabs>
        <w:tab w:val="center" w:pos="4153"/>
        <w:tab w:val="right" w:pos="8306"/>
      </w:tabs>
      <w:adjustRightInd w:val="0"/>
      <w:snapToGrid w:val="0"/>
      <w:spacing w:after="200"/>
      <w:jc w:val="left"/>
    </w:pPr>
    <w:rPr>
      <w:rFonts w:ascii="Tahoma" w:hAnsi="Tahoma" w:eastAsia="Times New Roman"/>
      <w:kern w:val="0"/>
      <w:sz w:val="18"/>
      <w:szCs w:val="18"/>
    </w:rPr>
  </w:style>
  <w:style w:type="paragraph" w:customStyle="1" w:styleId="55">
    <w:name w:val="正文（缩进）"/>
    <w:basedOn w:val="1"/>
    <w:next w:val="1"/>
    <w:qFormat/>
    <w:uiPriority w:val="0"/>
    <w:pPr>
      <w:widowControl/>
      <w:adjustRightInd w:val="0"/>
      <w:snapToGrid w:val="0"/>
      <w:spacing w:before="156" w:after="156" w:line="360" w:lineRule="auto"/>
      <w:ind w:firstLine="480" w:firstLineChars="200"/>
      <w:jc w:val="left"/>
    </w:pPr>
    <w:rPr>
      <w:rFonts w:ascii="仿宋" w:hAnsi="仿宋" w:eastAsia="微软雅黑"/>
      <w:kern w:val="0"/>
      <w:sz w:val="28"/>
      <w:lang w:bidi="th-TH"/>
    </w:rPr>
  </w:style>
  <w:style w:type="paragraph" w:customStyle="1" w:styleId="56">
    <w:name w:val="Heading #1|1"/>
    <w:basedOn w:val="1"/>
    <w:qFormat/>
    <w:uiPriority w:val="0"/>
    <w:pPr>
      <w:adjustRightInd w:val="0"/>
      <w:snapToGrid w:val="0"/>
      <w:spacing w:before="320" w:after="200"/>
      <w:jc w:val="center"/>
      <w:outlineLvl w:val="0"/>
    </w:pPr>
    <w:rPr>
      <w:rFonts w:ascii="宋体" w:hAnsi="宋体" w:cs="宋体"/>
      <w:kern w:val="0"/>
      <w:sz w:val="36"/>
      <w:szCs w:val="36"/>
      <w:lang w:val="zh-TW" w:eastAsia="zh-TW" w:bidi="zh-TW"/>
    </w:rPr>
  </w:style>
  <w:style w:type="paragraph" w:customStyle="1" w:styleId="57">
    <w:name w:val="Body text|3"/>
    <w:basedOn w:val="1"/>
    <w:qFormat/>
    <w:uiPriority w:val="0"/>
    <w:pPr>
      <w:adjustRightInd w:val="0"/>
      <w:snapToGrid w:val="0"/>
      <w:spacing w:after="200"/>
      <w:ind w:hanging="1280"/>
      <w:jc w:val="left"/>
    </w:pPr>
    <w:rPr>
      <w:rFonts w:ascii="Tahoma" w:hAnsi="Tahoma" w:eastAsia="微软雅黑"/>
      <w:kern w:val="0"/>
      <w:sz w:val="20"/>
      <w:szCs w:val="20"/>
      <w:lang w:val="zh-CN"/>
    </w:rPr>
  </w:style>
  <w:style w:type="paragraph" w:customStyle="1" w:styleId="58">
    <w:name w:val="页眉2"/>
    <w:basedOn w:val="1"/>
    <w:qFormat/>
    <w:uiPriority w:val="0"/>
    <w:pPr>
      <w:widowControl/>
      <w:pBdr>
        <w:bottom w:val="single" w:color="auto" w:sz="6" w:space="1"/>
      </w:pBdr>
      <w:tabs>
        <w:tab w:val="center" w:pos="4153"/>
        <w:tab w:val="right" w:pos="8306"/>
      </w:tabs>
      <w:adjustRightInd w:val="0"/>
      <w:snapToGrid w:val="0"/>
      <w:spacing w:after="200"/>
      <w:jc w:val="center"/>
    </w:pPr>
    <w:rPr>
      <w:rFonts w:ascii="Tahoma" w:hAnsi="Tahoma" w:eastAsia="微软雅黑"/>
      <w:kern w:val="0"/>
      <w:sz w:val="18"/>
      <w:szCs w:val="18"/>
    </w:rPr>
  </w:style>
  <w:style w:type="character" w:customStyle="1" w:styleId="59">
    <w:name w:val="font71"/>
    <w:basedOn w:val="18"/>
    <w:qFormat/>
    <w:uiPriority w:val="0"/>
    <w:rPr>
      <w:rFonts w:hint="eastAsia" w:ascii="仿宋_GB2312" w:eastAsia="仿宋_GB2312" w:cs="仿宋_GB2312"/>
      <w:color w:val="000000"/>
      <w:sz w:val="20"/>
      <w:szCs w:val="20"/>
      <w:u w:val="none"/>
    </w:rPr>
  </w:style>
  <w:style w:type="character" w:customStyle="1" w:styleId="60">
    <w:name w:val="font81"/>
    <w:basedOn w:val="18"/>
    <w:qFormat/>
    <w:uiPriority w:val="0"/>
    <w:rPr>
      <w:rFonts w:ascii="宋体" w:hAnsi="宋体" w:eastAsia="宋体" w:cs="宋体"/>
      <w:color w:val="000000"/>
      <w:sz w:val="22"/>
      <w:szCs w:val="22"/>
      <w:u w:val="none"/>
    </w:rPr>
  </w:style>
  <w:style w:type="character" w:customStyle="1" w:styleId="61">
    <w:name w:val="font91"/>
    <w:basedOn w:val="18"/>
    <w:qFormat/>
    <w:uiPriority w:val="0"/>
    <w:rPr>
      <w:rFonts w:ascii="宋体" w:hAnsi="宋体" w:eastAsia="宋体" w:cs="宋体"/>
      <w:color w:val="000000"/>
      <w:sz w:val="22"/>
      <w:szCs w:val="22"/>
      <w:u w:val="none"/>
    </w:rPr>
  </w:style>
  <w:style w:type="character" w:customStyle="1" w:styleId="62">
    <w:name w:val="font21"/>
    <w:basedOn w:val="18"/>
    <w:qFormat/>
    <w:uiPriority w:val="0"/>
    <w:rPr>
      <w:rFonts w:hint="eastAsia" w:ascii="宋体" w:hAnsi="宋体" w:eastAsia="宋体" w:cs="宋体"/>
      <w:color w:val="000000"/>
      <w:sz w:val="20"/>
      <w:szCs w:val="20"/>
      <w:u w:val="none"/>
    </w:rPr>
  </w:style>
  <w:style w:type="paragraph" w:customStyle="1" w:styleId="63">
    <w:name w:val="header"/>
    <w:basedOn w:val="1"/>
    <w:qFormat/>
    <w:uiPriority w:val="0"/>
    <w:pPr>
      <w:pBdr>
        <w:bottom w:val="single" w:color="auto" w:sz="6" w:space="1"/>
      </w:pBdr>
      <w:tabs>
        <w:tab w:val="center" w:pos="4153"/>
        <w:tab w:val="right" w:pos="8306"/>
      </w:tabs>
      <w:snapToGrid w:val="0"/>
      <w:jc w:val="center"/>
    </w:pPr>
    <w:rPr>
      <w:rFonts w:eastAsia="Times New Roman"/>
      <w:kern w:val="0"/>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59</Pages>
  <Words>31834</Words>
  <Characters>34097</Characters>
  <Lines>247</Lines>
  <Paragraphs>69</Paragraphs>
  <TotalTime>37</TotalTime>
  <ScaleCrop>false</ScaleCrop>
  <LinksUpToDate>false</LinksUpToDate>
  <CharactersWithSpaces>34957</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2022-04-27T15:51:00Z</dcterms:created>
  <dc:creator>Avery</dc:creator>
  <cp:lastModifiedBy>Zhengyu</cp:lastModifiedBy>
  <cp:lastPrinted>2022-05-26T01:08:00Z</cp:lastPrinted>
  <dcterms:modified xsi:type="dcterms:W3CDTF">2022-05-26T08:11:03Z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KSOSaveFontToCloudKey">
    <vt:lpwstr>230241869_btnclosed</vt:lpwstr>
  </property>
  <property fmtid="{D5CDD505-2E9C-101B-9397-08002B2CF9AE}" pid="4" name="ICV">
    <vt:lpwstr>7C091D6AD2524D32AE4538C769377D07</vt:lpwstr>
  </property>
</Properties>
</file>