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themeColor="text1"/>
          <w:sz w:val="52"/>
          <w:szCs w:val="52"/>
          <w14:textFill>
            <w14:solidFill>
              <w14:schemeClr w14:val="tx1"/>
            </w14:solidFill>
          </w14:textFill>
        </w:rPr>
      </w:pPr>
    </w:p>
    <w:p>
      <w:pPr>
        <w:jc w:val="center"/>
        <w:rPr>
          <w:rFonts w:hint="eastAsia" w:ascii="仿宋" w:hAnsi="仿宋" w:eastAsia="仿宋"/>
          <w:b/>
          <w:color w:val="000000" w:themeColor="text1"/>
          <w:sz w:val="52"/>
          <w:szCs w:val="52"/>
          <w:lang w:eastAsia="zh-CN"/>
          <w14:textFill>
            <w14:solidFill>
              <w14:schemeClr w14:val="tx1"/>
            </w14:solidFill>
          </w14:textFill>
        </w:rPr>
      </w:pPr>
      <w:r>
        <w:rPr>
          <w:rFonts w:hint="eastAsia" w:ascii="仿宋" w:hAnsi="仿宋" w:eastAsia="仿宋"/>
          <w:b/>
          <w:color w:val="000000" w:themeColor="text1"/>
          <w:sz w:val="48"/>
          <w:szCs w:val="48"/>
          <w14:textFill>
            <w14:solidFill>
              <w14:schemeClr w14:val="tx1"/>
            </w14:solidFill>
          </w14:textFill>
        </w:rPr>
        <w:t>重庆机场集团有限公司</w:t>
      </w:r>
      <w:r>
        <w:rPr>
          <w:rFonts w:hint="eastAsia" w:ascii="仿宋" w:hAnsi="仿宋" w:eastAsia="仿宋"/>
          <w:b/>
          <w:color w:val="000000" w:themeColor="text1"/>
          <w:sz w:val="48"/>
          <w:szCs w:val="48"/>
          <w:lang w:eastAsia="zh-CN"/>
          <w14:textFill>
            <w14:solidFill>
              <w14:schemeClr w14:val="tx1"/>
            </w14:solidFill>
          </w14:textFill>
        </w:rPr>
        <w:t>动力能源分公司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hint="eastAsia" w:ascii="仿宋" w:hAnsi="仿宋" w:eastAsia="仿宋"/>
          <w:b/>
          <w:color w:val="000000" w:themeColor="text1"/>
          <w:sz w:val="44"/>
          <w:szCs w:val="44"/>
          <w:lang w:val="en-US" w:eastAsia="zh-CN"/>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梁燕劳模创新工作室阵地建设</w:t>
      </w:r>
      <w:r>
        <w:rPr>
          <w:rFonts w:hint="eastAsia" w:ascii="仿宋" w:hAnsi="仿宋" w:eastAsia="仿宋"/>
          <w:b/>
          <w:color w:val="000000" w:themeColor="text1"/>
          <w:sz w:val="44"/>
          <w:szCs w:val="44"/>
          <w:lang w:val="en-US" w:eastAsia="zh-CN"/>
          <w14:textFill>
            <w14:solidFill>
              <w14:schemeClr w14:val="tx1"/>
            </w14:solidFill>
          </w14:textFill>
        </w:rPr>
        <w:t>(第一期）</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val="en-US" w:eastAsia="zh-CN"/>
          <w14:textFill>
            <w14:solidFill>
              <w14:schemeClr w14:val="tx1"/>
            </w14:solidFill>
          </w14:textFill>
        </w:rPr>
        <w:t>项目</w:t>
      </w:r>
      <w:r>
        <w:rPr>
          <w:rFonts w:hint="eastAsia" w:ascii="仿宋" w:hAnsi="仿宋" w:eastAsia="仿宋"/>
          <w:b/>
          <w:color w:val="000000" w:themeColor="text1"/>
          <w:sz w:val="44"/>
          <w:szCs w:val="44"/>
          <w:lang w:eastAsia="zh-CN"/>
          <w14:textFill>
            <w14:solidFill>
              <w14:schemeClr w14:val="tx1"/>
            </w14:solidFill>
          </w14:textFill>
        </w:rPr>
        <w:t>竞争性</w:t>
      </w:r>
      <w:r>
        <w:rPr>
          <w:rFonts w:hint="eastAsia" w:ascii="仿宋" w:hAnsi="仿宋" w:eastAsia="仿宋"/>
          <w:b/>
          <w:color w:val="000000" w:themeColor="text1"/>
          <w:sz w:val="44"/>
          <w:szCs w:val="44"/>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9" w:firstLineChars="75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w:t>
      </w:r>
      <w:r>
        <w:rPr>
          <w:rFonts w:hint="eastAsia" w:ascii="仿宋" w:hAnsi="仿宋" w:eastAsia="仿宋"/>
          <w:b/>
          <w:color w:val="000000" w:themeColor="text1"/>
          <w:sz w:val="32"/>
          <w:szCs w:val="32"/>
          <w:lang w:eastAsia="zh-CN"/>
          <w14:textFill>
            <w14:solidFill>
              <w14:schemeClr w14:val="tx1"/>
            </w14:solidFill>
          </w14:textFill>
        </w:rPr>
        <w:t>分公司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w:t>
      </w:r>
      <w:r>
        <w:rPr>
          <w:rFonts w:hint="eastAsia" w:ascii="仿宋" w:hAnsi="仿宋" w:eastAsia="仿宋"/>
          <w:b/>
          <w:color w:val="000000" w:themeColor="text1"/>
          <w:sz w:val="32"/>
          <w:szCs w:val="32"/>
          <w:lang w:eastAsia="zh-CN"/>
          <w14:textFill>
            <w14:solidFill>
              <w14:schemeClr w14:val="tx1"/>
            </w14:solidFill>
          </w14:textFill>
        </w:rPr>
        <w:t>二二</w:t>
      </w:r>
      <w:r>
        <w:rPr>
          <w:rFonts w:hint="eastAsia" w:ascii="仿宋" w:hAnsi="仿宋" w:eastAsia="仿宋"/>
          <w:b/>
          <w:color w:val="000000" w:themeColor="text1"/>
          <w:sz w:val="32"/>
          <w:szCs w:val="32"/>
          <w14:textFill>
            <w14:solidFill>
              <w14:schemeClr w14:val="tx1"/>
            </w14:solidFill>
          </w14:textFill>
        </w:rPr>
        <w:t xml:space="preserve">年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 xml:space="preserve"> 月</w:t>
      </w:r>
    </w:p>
    <w:p>
      <w:pPr>
        <w:widowControl/>
        <w:jc w:val="center"/>
        <w:rPr>
          <w:rFonts w:hint="eastAsia" w:ascii="仿宋" w:hAnsi="仿宋" w:eastAsia="仿宋"/>
          <w:b/>
          <w:color w:val="000000" w:themeColor="text1"/>
          <w:sz w:val="48"/>
          <w:szCs w:val="22"/>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8"/>
          <w:szCs w:val="22"/>
          <w:lang w:eastAsia="zh-CN"/>
          <w14:textFill>
            <w14:solidFill>
              <w14:schemeClr w14:val="tx1"/>
            </w14:solidFill>
          </w14:textFill>
        </w:rPr>
        <w:t>梁燕劳模创新工作室阵地建设（第一期）项目</w:t>
      </w:r>
      <w:r>
        <w:rPr>
          <w:rFonts w:hint="eastAsia" w:ascii="仿宋" w:hAnsi="仿宋" w:eastAsia="仿宋"/>
          <w:b/>
          <w:color w:val="000000" w:themeColor="text1"/>
          <w:sz w:val="48"/>
          <w:szCs w:val="22"/>
          <w14:textFill>
            <w14:solidFill>
              <w14:schemeClr w14:val="tx1"/>
            </w14:solidFill>
          </w14:textFill>
        </w:rPr>
        <w:t>竞争性比选文件</w:t>
      </w:r>
    </w:p>
    <w:p>
      <w:pPr>
        <w:pStyle w:val="2"/>
      </w:pP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eastAsia="zh-CN"/>
          <w14:textFill>
            <w14:solidFill>
              <w14:schemeClr w14:val="tx1"/>
            </w14:solidFill>
          </w14:textFill>
        </w:rPr>
        <w:t>司</w:t>
      </w:r>
      <w:r>
        <w:rPr>
          <w:rFonts w:hint="eastAsia" w:ascii="仿宋" w:hAnsi="仿宋" w:eastAsia="仿宋"/>
          <w:color w:val="000000" w:themeColor="text1"/>
          <w:sz w:val="28"/>
          <w:szCs w:val="28"/>
          <w14:textFill>
            <w14:solidFill>
              <w14:schemeClr w14:val="tx1"/>
            </w14:solidFill>
          </w14:textFill>
        </w:rPr>
        <w:t>决定于近期将对</w:t>
      </w:r>
      <w:r>
        <w:rPr>
          <w:rFonts w:hint="eastAsia" w:ascii="仿宋" w:hAnsi="仿宋" w:eastAsia="仿宋"/>
          <w:color w:val="000000" w:themeColor="text1"/>
          <w:sz w:val="28"/>
          <w:szCs w:val="28"/>
          <w:lang w:eastAsia="zh-CN"/>
          <w14:textFill>
            <w14:solidFill>
              <w14:schemeClr w14:val="tx1"/>
            </w14:solidFill>
          </w14:textFill>
        </w:rPr>
        <w:t>梁燕劳模创新工作室阵地建设（第一期）项目</w:t>
      </w:r>
      <w:r>
        <w:rPr>
          <w:rFonts w:hint="eastAsia" w:ascii="仿宋" w:hAnsi="仿宋" w:eastAsia="仿宋"/>
          <w:color w:val="000000" w:themeColor="text1"/>
          <w:sz w:val="28"/>
          <w:szCs w:val="28"/>
          <w14:textFill>
            <w14:solidFill>
              <w14:schemeClr w14:val="tx1"/>
            </w14:solidFill>
          </w14:textFill>
        </w:rPr>
        <w:t>邀请符合相应条件的潜在供应商就本项目进行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0" w:firstLineChars="0"/>
        <w:textAlignment w:val="auto"/>
        <w:outlineLvl w:val="9"/>
        <w:rPr>
          <w:rFonts w:ascii="楷体" w:hAnsi="楷体" w:eastAsia="楷体" w:cs="楷体"/>
          <w:sz w:val="28"/>
          <w:szCs w:val="28"/>
        </w:rPr>
      </w:pPr>
      <w:r>
        <w:rPr>
          <w:rFonts w:hint="eastAsia" w:ascii="楷体" w:hAnsi="楷体" w:eastAsia="楷体" w:cs="楷体"/>
          <w:sz w:val="28"/>
          <w:szCs w:val="28"/>
        </w:rPr>
        <w:t>项目内容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对梁燕劳模创新工作室阵地建设（第一期）项目进行设计及相应制作。</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0" w:firstLineChars="0"/>
        <w:textAlignment w:val="auto"/>
        <w:outlineLvl w:val="9"/>
        <w:rPr>
          <w:rFonts w:ascii="楷体" w:hAnsi="楷体" w:eastAsia="楷体" w:cs="楷体"/>
          <w:sz w:val="28"/>
          <w:szCs w:val="28"/>
        </w:rPr>
      </w:pPr>
      <w:r>
        <w:rPr>
          <w:rFonts w:hint="eastAsia" w:ascii="楷体" w:hAnsi="楷体" w:eastAsia="楷体" w:cs="楷体"/>
          <w:sz w:val="28"/>
          <w:szCs w:val="28"/>
        </w:rPr>
        <w:t>项目要求</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ascii="楷体" w:hAnsi="楷体" w:eastAsia="楷体" w:cs="楷体"/>
          <w:sz w:val="28"/>
          <w:szCs w:val="28"/>
        </w:rPr>
      </w:pPr>
      <w:r>
        <w:rPr>
          <w:rFonts w:hint="eastAsia" w:ascii="楷体" w:hAnsi="楷体" w:eastAsia="楷体" w:cs="楷体"/>
          <w:sz w:val="28"/>
          <w:szCs w:val="28"/>
          <w:lang w:val="en-US" w:eastAsia="zh-CN"/>
        </w:rPr>
        <w:t>阵地建设要求</w:t>
      </w:r>
    </w:p>
    <w:tbl>
      <w:tblPr>
        <w:tblStyle w:val="18"/>
        <w:tblpPr w:leftFromText="180" w:rightFromText="180" w:vertAnchor="text" w:horzAnchor="page" w:tblpX="1161" w:tblpY="753"/>
        <w:tblOverlap w:val="never"/>
        <w:tblW w:w="9183" w:type="dxa"/>
        <w:tblInd w:w="0" w:type="dxa"/>
        <w:shd w:val="clear" w:color="auto" w:fill="auto"/>
        <w:tblLayout w:type="fixed"/>
        <w:tblCellMar>
          <w:top w:w="0" w:type="dxa"/>
          <w:left w:w="0" w:type="dxa"/>
          <w:bottom w:w="0" w:type="dxa"/>
          <w:right w:w="0" w:type="dxa"/>
        </w:tblCellMar>
      </w:tblPr>
      <w:tblGrid>
        <w:gridCol w:w="475"/>
        <w:gridCol w:w="1108"/>
        <w:gridCol w:w="4633"/>
        <w:gridCol w:w="1550"/>
        <w:gridCol w:w="1417"/>
      </w:tblGrid>
      <w:tr>
        <w:tblPrEx>
          <w:shd w:val="clear" w:color="auto" w:fill="auto"/>
          <w:tblLayout w:type="fixed"/>
          <w:tblCellMar>
            <w:top w:w="0" w:type="dxa"/>
            <w:left w:w="0" w:type="dxa"/>
            <w:bottom w:w="0" w:type="dxa"/>
            <w:right w:w="0" w:type="dxa"/>
          </w:tblCellMar>
        </w:tblPrEx>
        <w:trPr>
          <w:trHeight w:val="4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序号</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项目</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规格及具体内容</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数量</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单位</w:t>
            </w:r>
          </w:p>
        </w:tc>
      </w:tr>
      <w:tr>
        <w:tblPrEx>
          <w:tblLayout w:type="fixed"/>
          <w:tblCellMar>
            <w:top w:w="0" w:type="dxa"/>
            <w:left w:w="0" w:type="dxa"/>
            <w:bottom w:w="0" w:type="dxa"/>
            <w:right w:w="0" w:type="dxa"/>
          </w:tblCellMar>
        </w:tblPrEx>
        <w:trPr>
          <w:trHeight w:val="1371"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工作室整体造型</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工作室整体设计理念具有整体性、逻辑性，设计主题结合水电气风桥业务板块，突出创新成果展示</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项</w:t>
            </w:r>
          </w:p>
        </w:tc>
      </w:tr>
      <w:tr>
        <w:tblPrEx>
          <w:tblLayout w:type="fixed"/>
          <w:tblCellMar>
            <w:top w:w="0" w:type="dxa"/>
            <w:left w:w="0" w:type="dxa"/>
            <w:bottom w:w="0" w:type="dxa"/>
            <w:right w:w="0" w:type="dxa"/>
          </w:tblCellMar>
        </w:tblPrEx>
        <w:trPr>
          <w:trHeight w:val="1094"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进门设计布置</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工作室门口醒目，具有高级感和新意</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项</w:t>
            </w:r>
          </w:p>
        </w:tc>
      </w:tr>
      <w:tr>
        <w:tblPrEx>
          <w:tblLayout w:type="fixed"/>
          <w:tblCellMar>
            <w:top w:w="0" w:type="dxa"/>
            <w:left w:w="0" w:type="dxa"/>
            <w:bottom w:w="0" w:type="dxa"/>
            <w:right w:w="0" w:type="dxa"/>
          </w:tblCellMar>
        </w:tblPrEx>
        <w:trPr>
          <w:trHeight w:val="13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lang w:val="en-US" w:eastAsia="zh-CN" w:bidi="ar"/>
              </w:rPr>
            </w:pPr>
            <w:r>
              <w:rPr>
                <w:rFonts w:hint="eastAsia" w:ascii="仿宋" w:hAnsi="仿宋" w:eastAsia="仿宋" w:cs="仿宋"/>
                <w:i w:val="0"/>
                <w:color w:val="000000"/>
                <w:kern w:val="0"/>
                <w:sz w:val="24"/>
                <w:szCs w:val="24"/>
                <w:lang w:val="en-US" w:eastAsia="zh-CN" w:bidi="ar"/>
              </w:rPr>
              <w:t>3</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室内墙面布置</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根据总体设计做出相应造型所需的屋顶、墙面、地面等改造、装修</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lang w:val="en-US" w:eastAsia="zh-CN" w:bidi="ar"/>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lang w:val="en-US" w:eastAsia="zh-CN" w:bidi="ar"/>
              </w:rPr>
            </w:pPr>
            <w:r>
              <w:rPr>
                <w:rFonts w:hint="eastAsia" w:ascii="仿宋" w:hAnsi="仿宋" w:eastAsia="仿宋" w:cs="仿宋"/>
                <w:i w:val="0"/>
                <w:color w:val="000000"/>
                <w:kern w:val="0"/>
                <w:sz w:val="24"/>
                <w:szCs w:val="24"/>
                <w:lang w:val="en-US" w:eastAsia="zh-CN" w:bidi="ar"/>
              </w:rPr>
              <w:t>项</w:t>
            </w:r>
          </w:p>
        </w:tc>
      </w:tr>
      <w:tr>
        <w:tblPrEx>
          <w:tblLayout w:type="fixed"/>
          <w:tblCellMar>
            <w:top w:w="0" w:type="dxa"/>
            <w:left w:w="0" w:type="dxa"/>
            <w:bottom w:w="0" w:type="dxa"/>
            <w:right w:w="0" w:type="dxa"/>
          </w:tblCellMar>
        </w:tblPrEx>
        <w:trPr>
          <w:trHeight w:val="1215"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4</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陈列展示</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u w:val="none"/>
                <w:lang w:val="en-US" w:eastAsia="zh-CN" w:bidi="ar"/>
              </w:rPr>
              <w:t>定制成品展柜</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w:t>
            </w:r>
          </w:p>
        </w:tc>
      </w:tr>
      <w:tr>
        <w:tblPrEx>
          <w:tblLayout w:type="fixed"/>
          <w:tblCellMar>
            <w:top w:w="0" w:type="dxa"/>
            <w:left w:w="0" w:type="dxa"/>
            <w:bottom w:w="0" w:type="dxa"/>
            <w:right w:w="0" w:type="dxa"/>
          </w:tblCellMar>
        </w:tblPrEx>
        <w:trPr>
          <w:trHeight w:val="1211"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5</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展板展示</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u w:val="none"/>
                <w:lang w:val="en-US" w:eastAsia="zh-CN" w:bidi="ar"/>
              </w:rPr>
              <w:t>墙面广告设计、制作及安装</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w:t>
            </w:r>
          </w:p>
        </w:tc>
      </w:tr>
      <w:tr>
        <w:tblPrEx>
          <w:tblLayout w:type="fixed"/>
          <w:tblCellMar>
            <w:top w:w="0" w:type="dxa"/>
            <w:left w:w="0" w:type="dxa"/>
            <w:bottom w:w="0" w:type="dxa"/>
            <w:right w:w="0" w:type="dxa"/>
          </w:tblCellMar>
        </w:tblPrEx>
        <w:trPr>
          <w:trHeight w:val="1562"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6</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灯光设计布置</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灯杆整体设计及布置安装，营造具有科技感、高级感让人舒服的环境氛围，对工作室重点介绍的文化及成果有突出效果</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w:t>
            </w:r>
          </w:p>
        </w:tc>
      </w:tr>
    </w:tbl>
    <w:p>
      <w:pPr>
        <w:spacing w:line="360" w:lineRule="auto"/>
        <w:ind w:firstLine="600" w:firstLineChars="200"/>
        <w:rPr>
          <w:rFonts w:hint="eastAsia" w:ascii="仿宋" w:hAnsi="仿宋" w:eastAsia="仿宋" w:cs="仿宋"/>
          <w:color w:val="FF0000"/>
          <w:sz w:val="30"/>
          <w:szCs w:val="30"/>
          <w:lang w:val="en-US" w:eastAsia="zh-CN"/>
        </w:rPr>
      </w:pP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安全责任要求</w:t>
      </w:r>
    </w:p>
    <w:p>
      <w:pPr>
        <w:spacing w:line="360" w:lineRule="auto"/>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需遵守重庆机场集团有限公司及动力能源分公司空防、消防、机坪运行、车辆及通行证门禁等管理规定，并接受项目单位监督。</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基本标准：承揽方设计图经项目单位审核同意后开始相关布置工作，送货至项目单位指定地点并进行安装，满足项目单位要求后方可通过验收。</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1.服务态度：责任心强、工作细致、积极主动沟通；</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2.工作效率：在约定的时间内完成指定项目工作，发现问题及时反馈；</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spacing w:line="360" w:lineRule="auto"/>
        <w:ind w:firstLine="560" w:firstLineChars="20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s="Arial"/>
          <w:bCs/>
          <w:color w:val="000000" w:themeColor="text1"/>
          <w:sz w:val="28"/>
          <w:szCs w:val="28"/>
          <w:lang w:val="en-US" w:eastAsia="zh-CN"/>
          <w14:textFill>
            <w14:solidFill>
              <w14:schemeClr w14:val="tx1"/>
            </w14:solidFill>
          </w14:textFill>
        </w:rPr>
        <w:t>1.工期为合同签订之日起30日历天。</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2.质保期：自验收合格之日起6个月。</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3.质保期内出现任何产品质量问题，接到甲方通知后，乙方需派人在24小时内进行响应，并免费更换出现质量问题的产品。</w:t>
      </w:r>
    </w:p>
    <w:p>
      <w:pPr>
        <w:pStyle w:val="30"/>
        <w:widowControl/>
        <w:numPr>
          <w:ilvl w:val="0"/>
          <w:numId w:val="1"/>
        </w:numPr>
        <w:spacing w:line="360" w:lineRule="auto"/>
        <w:ind w:firstLineChars="0"/>
        <w:jc w:val="left"/>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支付方式</w:t>
      </w:r>
    </w:p>
    <w:p>
      <w:pPr>
        <w:spacing w:line="360" w:lineRule="auto"/>
        <w:ind w:firstLine="560" w:firstLineChars="20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1.项目结束并通过甲方验收后，甲方一次性支付100%费用。</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2.付款前承揽方需开具发票，若承揽方提供增值税普通发票，甲</w:t>
      </w:r>
      <w:r>
        <w:rPr>
          <w:rFonts w:hint="eastAsia" w:ascii="仿宋_GB2312" w:hAnsi="宋体" w:eastAsia="仿宋_GB2312"/>
          <w:color w:val="000000" w:themeColor="text1"/>
          <w:sz w:val="28"/>
          <w:szCs w:val="28"/>
          <w14:textFill>
            <w14:solidFill>
              <w14:schemeClr w14:val="tx1"/>
            </w14:solidFill>
          </w14:textFill>
        </w:rPr>
        <w:t>方支付不含增值税金额，若承揽方提供增值税专用发票，甲方实际支付金额=不含增值税金额+增值税税额。</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合格报价供应商</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依法注册的独立法人，具备有效的营业执照。（须提供营业执照复印件并加盖公章）</w:t>
      </w:r>
      <w:r>
        <w:rPr>
          <w:rFonts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.业绩要求</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20</w:t>
      </w:r>
      <w:r>
        <w:rPr>
          <w:rFonts w:hint="eastAsia" w:ascii="仿宋_GB2312" w:eastAsia="仿宋_GB2312"/>
          <w:color w:val="000000" w:themeColor="text1"/>
          <w:sz w:val="28"/>
          <w:szCs w:val="28"/>
          <w:lang w:val="en-US" w:eastAsia="zh-CN"/>
          <w14:textFill>
            <w14:solidFill>
              <w14:schemeClr w14:val="tx1"/>
            </w14:solidFill>
          </w14:textFill>
        </w:rPr>
        <w:t>21</w:t>
      </w:r>
      <w:r>
        <w:rPr>
          <w:rFonts w:hint="eastAsia" w:ascii="仿宋_GB2312" w:eastAsia="仿宋_GB2312"/>
          <w:color w:val="000000" w:themeColor="text1"/>
          <w:sz w:val="28"/>
          <w:szCs w:val="28"/>
          <w14:textFill>
            <w14:solidFill>
              <w14:schemeClr w14:val="tx1"/>
            </w14:solidFill>
          </w14:textFill>
        </w:rPr>
        <w:t>年1月1日至今（以合同签订时间为准），至少具有广告及标识标牌设计、制作、安装</w:t>
      </w:r>
      <w:r>
        <w:rPr>
          <w:rFonts w:hint="eastAsia" w:ascii="仿宋_GB2312" w:eastAsia="仿宋_GB2312"/>
          <w:color w:val="000000" w:themeColor="text1"/>
          <w:sz w:val="28"/>
          <w:szCs w:val="28"/>
          <w:lang w:eastAsia="zh-CN"/>
          <w14:textFill>
            <w14:solidFill>
              <w14:schemeClr w14:val="tx1"/>
            </w14:solidFill>
          </w14:textFill>
        </w:rPr>
        <w:t>等</w:t>
      </w:r>
      <w:r>
        <w:rPr>
          <w:rFonts w:hint="eastAsia" w:ascii="仿宋_GB2312" w:eastAsia="仿宋_GB2312"/>
          <w:color w:val="000000" w:themeColor="text1"/>
          <w:sz w:val="28"/>
          <w:szCs w:val="28"/>
          <w14:textFill>
            <w14:solidFill>
              <w14:schemeClr w14:val="tx1"/>
            </w14:solidFill>
          </w14:textFill>
        </w:rPr>
        <w:t>相关业绩</w:t>
      </w: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个，且合同金额总价在</w:t>
      </w:r>
      <w:r>
        <w:rPr>
          <w:rFonts w:hint="eastAsia" w:ascii="仿宋_GB2312" w:eastAsia="仿宋_GB2312"/>
          <w:color w:val="000000" w:themeColor="text1"/>
          <w:sz w:val="28"/>
          <w:szCs w:val="28"/>
          <w:lang w:val="en-US" w:eastAsia="zh-CN"/>
          <w14:textFill>
            <w14:solidFill>
              <w14:schemeClr w14:val="tx1"/>
            </w14:solidFill>
          </w14:textFill>
        </w:rPr>
        <w:t>9</w:t>
      </w:r>
      <w:r>
        <w:rPr>
          <w:rFonts w:hint="eastAsia" w:ascii="仿宋_GB2312" w:eastAsia="仿宋_GB2312"/>
          <w:color w:val="000000" w:themeColor="text1"/>
          <w:sz w:val="28"/>
          <w:szCs w:val="28"/>
          <w14:textFill>
            <w14:solidFill>
              <w14:schemeClr w14:val="tx1"/>
            </w14:solidFill>
          </w14:textFill>
        </w:rPr>
        <w:t>万元及以上。（须提供完整合同复印件，原件备查）。</w:t>
      </w:r>
    </w:p>
    <w:p>
      <w:pPr>
        <w:spacing w:line="500" w:lineRule="exact"/>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.本项目不接受联合体，不得分包、转包。</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9.8</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玖万捌仟圆</w:t>
      </w:r>
      <w:r>
        <w:rPr>
          <w:rFonts w:hint="eastAsia" w:ascii="仿宋_GB2312" w:hAnsi="宋体" w:eastAsia="仿宋_GB2312"/>
          <w:bCs/>
          <w:sz w:val="28"/>
          <w:szCs w:val="28"/>
        </w:rPr>
        <w:t>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w:t>
      </w:r>
      <w:r>
        <w:rPr>
          <w:rFonts w:hint="eastAsia" w:ascii="仿宋_GB2312" w:hAnsi="宋体" w:eastAsia="仿宋_GB2312"/>
          <w:bCs/>
          <w:color w:val="000000" w:themeColor="text1"/>
          <w:sz w:val="28"/>
          <w:szCs w:val="28"/>
          <w14:textFill>
            <w14:solidFill>
              <w14:schemeClr w14:val="tx1"/>
            </w14:solidFill>
          </w14:textFill>
        </w:rPr>
        <w:t>采用</w:t>
      </w:r>
      <w:r>
        <w:rPr>
          <w:rFonts w:hint="eastAsia" w:ascii="仿宋_GB2312" w:hAnsi="宋体" w:eastAsia="仿宋_GB2312"/>
          <w:b/>
          <w:bCs/>
          <w:color w:val="000000" w:themeColor="text1"/>
          <w:sz w:val="28"/>
          <w:szCs w:val="28"/>
          <w:u w:val="single"/>
          <w14:textFill>
            <w14:solidFill>
              <w14:schemeClr w14:val="tx1"/>
            </w14:solidFill>
          </w14:textFill>
        </w:rPr>
        <w:t>综合</w:t>
      </w:r>
      <w:r>
        <w:rPr>
          <w:rFonts w:hint="eastAsia" w:ascii="仿宋_GB2312" w:hAnsi="宋体" w:eastAsia="仿宋_GB2312"/>
          <w:b/>
          <w:bCs/>
          <w:color w:val="000000" w:themeColor="text1"/>
          <w:sz w:val="28"/>
          <w:szCs w:val="28"/>
          <w:u w:val="single"/>
          <w:lang w:eastAsia="zh-CN"/>
          <w14:textFill>
            <w14:solidFill>
              <w14:schemeClr w14:val="tx1"/>
            </w14:solidFill>
          </w14:textFill>
        </w:rPr>
        <w:t>评估</w:t>
      </w:r>
      <w:r>
        <w:rPr>
          <w:rFonts w:hint="eastAsia" w:ascii="仿宋_GB2312" w:hAnsi="宋体" w:eastAsia="仿宋_GB2312"/>
          <w:b/>
          <w:bCs/>
          <w:color w:val="000000" w:themeColor="text1"/>
          <w:sz w:val="28"/>
          <w:szCs w:val="28"/>
          <w:u w:val="single"/>
          <w14:textFill>
            <w14:solidFill>
              <w14:schemeClr w14:val="tx1"/>
            </w14:solidFill>
          </w14:textFill>
        </w:rPr>
        <w:t>法</w:t>
      </w:r>
      <w:r>
        <w:rPr>
          <w:rFonts w:hint="eastAsia" w:ascii="仿宋_GB2312" w:hAnsi="宋体" w:eastAsia="仿宋_GB2312"/>
          <w:bCs/>
          <w:color w:val="000000" w:themeColor="text1"/>
          <w:sz w:val="28"/>
          <w:szCs w:val="28"/>
          <w14:textFill>
            <w14:solidFill>
              <w14:schemeClr w14:val="tx1"/>
            </w14:solidFill>
          </w14:textFill>
        </w:rPr>
        <w:t>成交。</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lang w:eastAsia="zh-CN"/>
        </w:rPr>
        <w:t>综合评分最高</w:t>
      </w:r>
      <w:r>
        <w:rPr>
          <w:rFonts w:hint="eastAsia" w:ascii="仿宋_GB2312" w:hAnsi="宋体" w:eastAsia="仿宋_GB2312" w:cs="宋体"/>
          <w:kern w:val="0"/>
          <w:sz w:val="28"/>
          <w:szCs w:val="28"/>
          <w:lang w:eastAsia="zh-CN"/>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3.项目重新竞争性比选时，经评审有有效竞争性比选人的，应当按规定程序确定成交候选人。</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评分标准如下表所示：</w:t>
      </w:r>
    </w:p>
    <w:tbl>
      <w:tblPr>
        <w:tblStyle w:val="18"/>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969"/>
        <w:gridCol w:w="550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050"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评分因素</w:t>
            </w:r>
          </w:p>
        </w:tc>
        <w:tc>
          <w:tcPr>
            <w:tcW w:w="969"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分值</w:t>
            </w:r>
          </w:p>
        </w:tc>
        <w:tc>
          <w:tcPr>
            <w:tcW w:w="5505"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评分标准</w:t>
            </w:r>
          </w:p>
        </w:tc>
        <w:tc>
          <w:tcPr>
            <w:tcW w:w="1134" w:type="dxa"/>
            <w:vAlign w:val="center"/>
          </w:tcPr>
          <w:p>
            <w:pPr>
              <w:pStyle w:val="32"/>
              <w:spacing w:line="340" w:lineRule="exact"/>
              <w:rPr>
                <w:rFonts w:ascii="仿宋" w:hAnsi="仿宋" w:eastAsia="仿宋"/>
                <w:color w:val="FF0000"/>
                <w:sz w:val="28"/>
                <w:szCs w:val="28"/>
              </w:rPr>
            </w:pPr>
            <w:r>
              <w:rPr>
                <w:rFonts w:hint="eastAsia" w:ascii="仿宋" w:hAnsi="仿宋" w:eastAsia="仿宋"/>
                <w:color w:val="FF000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1、</w:t>
            </w:r>
          </w:p>
        </w:tc>
        <w:tc>
          <w:tcPr>
            <w:tcW w:w="1050"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评标基准价计算方法</w:t>
            </w:r>
          </w:p>
        </w:tc>
        <w:tc>
          <w:tcPr>
            <w:tcW w:w="969"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5505" w:type="dxa"/>
            <w:vAlign w:val="center"/>
          </w:tcPr>
          <w:p>
            <w:pPr>
              <w:spacing w:line="34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所有通过初步评审合格的投标人的投标总报价中去掉</w:t>
            </w:r>
            <w:r>
              <w:rPr>
                <w:rFonts w:hint="eastAsia" w:ascii="仿宋" w:hAnsi="仿宋" w:eastAsia="仿宋"/>
                <w:color w:val="000000" w:themeColor="text1"/>
                <w:sz w:val="28"/>
                <w:szCs w:val="28"/>
                <w:lang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分之一（不能整除的按小数点前整数取整，不足</w:t>
            </w:r>
            <w:r>
              <w:rPr>
                <w:rFonts w:hint="eastAsia" w:ascii="仿宋" w:hAnsi="仿宋" w:eastAsia="仿宋"/>
                <w:color w:val="000000" w:themeColor="text1"/>
                <w:sz w:val="28"/>
                <w:szCs w:val="28"/>
                <w:lang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家报价则不去掉）的最低价和相同家数的最高价后的平均值</w:t>
            </w:r>
            <w:r>
              <w:rPr>
                <w:rFonts w:hint="eastAsia" w:ascii="仿宋" w:hAnsi="仿宋" w:eastAsia="仿宋"/>
                <w:color w:val="000000" w:themeColor="text1"/>
                <w:sz w:val="28"/>
                <w:szCs w:val="28"/>
                <w:lang w:eastAsia="zh-CN"/>
                <w14:textFill>
                  <w14:solidFill>
                    <w14:schemeClr w14:val="tx1"/>
                  </w14:solidFill>
                </w14:textFill>
              </w:rPr>
              <w:t>，作为</w:t>
            </w:r>
            <w:r>
              <w:rPr>
                <w:rFonts w:hint="eastAsia" w:ascii="仿宋" w:hAnsi="仿宋" w:eastAsia="仿宋"/>
                <w:color w:val="000000" w:themeColor="text1"/>
                <w:sz w:val="28"/>
                <w:szCs w:val="28"/>
                <w14:textFill>
                  <w14:solidFill>
                    <w14:schemeClr w14:val="tx1"/>
                  </w14:solidFill>
                </w14:textFill>
              </w:rPr>
              <w:t>评标基准价，按照下列</w:t>
            </w:r>
            <w:r>
              <w:rPr>
                <w:rFonts w:hint="eastAsia" w:ascii="仿宋" w:hAnsi="仿宋" w:eastAsia="仿宋"/>
                <w:color w:val="000000" w:themeColor="text1"/>
                <w:sz w:val="28"/>
                <w:szCs w:val="28"/>
                <w:lang w:eastAsia="zh-CN"/>
                <w14:textFill>
                  <w14:solidFill>
                    <w14:schemeClr w14:val="tx1"/>
                  </w14:solidFill>
                </w14:textFill>
              </w:rPr>
              <w:t>计算方法</w:t>
            </w:r>
            <w:r>
              <w:rPr>
                <w:rFonts w:hint="eastAsia" w:ascii="仿宋" w:hAnsi="仿宋" w:eastAsia="仿宋"/>
                <w:color w:val="000000" w:themeColor="text1"/>
                <w:sz w:val="28"/>
                <w:szCs w:val="28"/>
                <w14:textFill>
                  <w14:solidFill>
                    <w14:schemeClr w14:val="tx1"/>
                  </w14:solidFill>
                </w14:textFill>
              </w:rPr>
              <w:t>每个投标人的投标价格得分。</w:t>
            </w:r>
            <w:r>
              <w:rPr>
                <w:rFonts w:hint="eastAsia" w:ascii="仿宋" w:hAnsi="仿宋" w:eastAsia="仿宋"/>
                <w:color w:val="000000" w:themeColor="text1"/>
                <w:sz w:val="28"/>
                <w:szCs w:val="28"/>
                <w:lang w:eastAsia="zh-CN"/>
                <w14:textFill>
                  <w14:solidFill>
                    <w14:schemeClr w14:val="tx1"/>
                  </w14:solidFill>
                </w14:textFill>
              </w:rPr>
              <w:t>（评标基准价四舍五入，并取小数点后两位）</w:t>
            </w:r>
          </w:p>
        </w:tc>
        <w:tc>
          <w:tcPr>
            <w:tcW w:w="1134" w:type="dxa"/>
            <w:vAlign w:val="center"/>
          </w:tcPr>
          <w:p>
            <w:pPr>
              <w:pStyle w:val="32"/>
              <w:spacing w:line="340" w:lineRule="exact"/>
              <w:rPr>
                <w:rFonts w:hint="eastAsia"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63" w:hRule="atLeast"/>
          <w:jc w:val="center"/>
        </w:trPr>
        <w:tc>
          <w:tcPr>
            <w:tcW w:w="948" w:type="dxa"/>
            <w:vAlign w:val="center"/>
          </w:tcPr>
          <w:p>
            <w:pPr>
              <w:spacing w:line="340" w:lineRule="exact"/>
              <w:ind w:firstLine="2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p>
        </w:tc>
        <w:tc>
          <w:tcPr>
            <w:tcW w:w="1050"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响应</w:t>
            </w:r>
            <w:r>
              <w:rPr>
                <w:rFonts w:hint="eastAsia" w:ascii="仿宋" w:hAnsi="仿宋" w:eastAsia="仿宋"/>
                <w:color w:val="000000" w:themeColor="text1"/>
                <w:sz w:val="28"/>
                <w:szCs w:val="28"/>
                <w14:textFill>
                  <w14:solidFill>
                    <w14:schemeClr w14:val="tx1"/>
                  </w14:solidFill>
                </w14:textFill>
              </w:rPr>
              <w:t>报价</w:t>
            </w:r>
          </w:p>
        </w:tc>
        <w:tc>
          <w:tcPr>
            <w:tcW w:w="969"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55</w:t>
            </w:r>
            <w:r>
              <w:rPr>
                <w:rFonts w:hint="eastAsia" w:ascii="仿宋" w:hAnsi="仿宋" w:eastAsia="仿宋"/>
                <w:color w:val="000000" w:themeColor="text1"/>
                <w:sz w:val="28"/>
                <w:szCs w:val="28"/>
                <w14:textFill>
                  <w14:solidFill>
                    <w14:schemeClr w14:val="tx1"/>
                  </w14:solidFill>
                </w14:textFill>
              </w:rPr>
              <w:t>分</w:t>
            </w:r>
          </w:p>
        </w:tc>
        <w:tc>
          <w:tcPr>
            <w:tcW w:w="5505" w:type="dxa"/>
            <w:vAlign w:val="center"/>
          </w:tcPr>
          <w:p>
            <w:pPr>
              <w:spacing w:line="340" w:lineRule="exact"/>
              <w:ind w:firstLine="28"/>
              <w:jc w:val="both"/>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所有通过初步评审合格</w:t>
            </w:r>
            <w:r>
              <w:rPr>
                <w:rFonts w:hint="eastAsia" w:ascii="仿宋" w:hAnsi="仿宋" w:eastAsia="仿宋"/>
                <w:color w:val="000000" w:themeColor="text1"/>
                <w:sz w:val="28"/>
                <w:szCs w:val="28"/>
                <w:lang w:eastAsia="zh-CN"/>
                <w14:textFill>
                  <w14:solidFill>
                    <w14:schemeClr w14:val="tx1"/>
                  </w14:solidFill>
                </w14:textFill>
              </w:rPr>
              <w:t>响应单位</w:t>
            </w:r>
            <w:r>
              <w:rPr>
                <w:rFonts w:hint="eastAsia" w:ascii="仿宋" w:hAnsi="仿宋" w:eastAsia="仿宋"/>
                <w:color w:val="000000" w:themeColor="text1"/>
                <w:sz w:val="28"/>
                <w:szCs w:val="28"/>
                <w14:textFill>
                  <w14:solidFill>
                    <w14:schemeClr w14:val="tx1"/>
                  </w14:solidFill>
                </w14:textFill>
              </w:rPr>
              <w:t>的投标总报价与评标基准价相比，每减少1%扣0.5分，每增加1%扣1分，扣完为止。（投标报价四舍五入，并取小数点后两位</w:t>
            </w:r>
            <w:r>
              <w:rPr>
                <w:rFonts w:hint="eastAsia" w:ascii="仿宋" w:hAnsi="仿宋" w:eastAsia="仿宋"/>
                <w:color w:val="000000" w:themeColor="text1"/>
                <w:sz w:val="28"/>
                <w:szCs w:val="28"/>
                <w:lang w:eastAsia="zh-CN"/>
                <w14:textFill>
                  <w14:solidFill>
                    <w14:schemeClr w14:val="tx1"/>
                  </w14:solidFill>
                </w14:textFill>
              </w:rPr>
              <w:t>。若响应单位</w:t>
            </w:r>
            <w:r>
              <w:rPr>
                <w:rFonts w:hint="eastAsia" w:ascii="仿宋" w:hAnsi="仿宋" w:eastAsia="仿宋"/>
                <w:color w:val="000000" w:themeColor="text1"/>
                <w:sz w:val="28"/>
                <w:szCs w:val="28"/>
                <w14:textFill>
                  <w14:solidFill>
                    <w14:schemeClr w14:val="tx1"/>
                  </w14:solidFill>
                </w14:textFill>
              </w:rPr>
              <w:t>的投标总报价与评标基准价相比</w:t>
            </w:r>
            <w:r>
              <w:rPr>
                <w:rFonts w:hint="eastAsia" w:ascii="仿宋" w:hAnsi="仿宋" w:eastAsia="仿宋"/>
                <w:color w:val="000000" w:themeColor="text1"/>
                <w:sz w:val="28"/>
                <w:szCs w:val="28"/>
                <w:lang w:eastAsia="zh-CN"/>
                <w14:textFill>
                  <w14:solidFill>
                    <w14:schemeClr w14:val="tx1"/>
                  </w14:solidFill>
                </w14:textFill>
              </w:rPr>
              <w:t>百分比出现小数点，则四舍五入取整值</w:t>
            </w:r>
            <w:r>
              <w:rPr>
                <w:rFonts w:hint="eastAsia" w:ascii="仿宋" w:hAnsi="仿宋" w:eastAsia="仿宋"/>
                <w:color w:val="000000" w:themeColor="text1"/>
                <w:sz w:val="28"/>
                <w:szCs w:val="28"/>
                <w14:textFill>
                  <w14:solidFill>
                    <w14:schemeClr w14:val="tx1"/>
                  </w14:solidFill>
                </w14:textFill>
              </w:rPr>
              <w:t>）</w:t>
            </w:r>
          </w:p>
        </w:tc>
        <w:tc>
          <w:tcPr>
            <w:tcW w:w="1134" w:type="dxa"/>
            <w:vAlign w:val="center"/>
          </w:tcPr>
          <w:p>
            <w:pPr>
              <w:spacing w:line="340" w:lineRule="exact"/>
              <w:ind w:left="-38"/>
              <w:rPr>
                <w:rFonts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78" w:hRule="atLeast"/>
          <w:jc w:val="center"/>
        </w:trPr>
        <w:tc>
          <w:tcPr>
            <w:tcW w:w="948" w:type="dxa"/>
            <w:vMerge w:val="restart"/>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p>
        </w:tc>
        <w:tc>
          <w:tcPr>
            <w:tcW w:w="1050" w:type="dxa"/>
            <w:vMerge w:val="restart"/>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技术部分</w:t>
            </w:r>
          </w:p>
        </w:tc>
        <w:tc>
          <w:tcPr>
            <w:tcW w:w="969" w:type="dxa"/>
            <w:tcBorders>
              <w:bottom w:val="single" w:color="auto" w:sz="4" w:space="0"/>
            </w:tcBorders>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设计方案</w:t>
            </w:r>
            <w:r>
              <w:rPr>
                <w:rFonts w:hint="eastAsia" w:ascii="仿宋" w:hAnsi="仿宋" w:eastAsia="仿宋"/>
                <w:color w:val="000000" w:themeColor="text1"/>
                <w:sz w:val="28"/>
                <w:szCs w:val="28"/>
                <w14:textFill>
                  <w14:solidFill>
                    <w14:schemeClr w14:val="tx1"/>
                  </w14:solidFill>
                </w14:textFill>
              </w:rPr>
              <w:t>（满分</w:t>
            </w: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方案内容（共</w:t>
            </w:r>
            <w:r>
              <w:rPr>
                <w:rFonts w:hint="eastAsia" w:ascii="仿宋" w:hAnsi="仿宋" w:eastAsia="仿宋"/>
                <w:color w:val="000000" w:themeColor="text1"/>
                <w:sz w:val="28"/>
                <w:szCs w:val="28"/>
                <w:lang w:val="en-US" w:eastAsia="zh-CN"/>
                <w14:textFill>
                  <w14:solidFill>
                    <w14:schemeClr w14:val="tx1"/>
                  </w14:solidFill>
                </w14:textFill>
              </w:rPr>
              <w:t>20分</w:t>
            </w:r>
            <w:r>
              <w:rPr>
                <w:rFonts w:hint="eastAsia" w:ascii="仿宋" w:hAnsi="仿宋" w:eastAsia="仿宋"/>
                <w:color w:val="000000" w:themeColor="text1"/>
                <w:sz w:val="28"/>
                <w:szCs w:val="28"/>
                <w:lang w:eastAsia="zh-CN"/>
                <w14:textFill>
                  <w14:solidFill>
                    <w14:schemeClr w14:val="tx1"/>
                  </w14:solidFill>
                </w14:textFill>
              </w:rPr>
              <w:t>）：贴近作为新时代能源管理部门的文化特色，突出部门水电气风桥五大业务特色，充分展示工作室创新成果特色</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15-20分，比较贴近得5-14分，一般贴近得1-4分，不贴合的不得分。</w:t>
            </w:r>
            <w:r>
              <w:rPr>
                <w:rFonts w:hint="eastAsia" w:ascii="仿宋" w:hAnsi="仿宋" w:eastAsia="仿宋"/>
                <w:color w:val="000000" w:themeColor="text1"/>
                <w:sz w:val="28"/>
                <w:szCs w:val="28"/>
                <w14:textFill>
                  <w14:solidFill>
                    <w14:schemeClr w14:val="tx1"/>
                  </w14:solidFill>
                </w14:textFill>
              </w:rPr>
              <w:t xml:space="preserve">  </w:t>
            </w:r>
          </w:p>
          <w:p>
            <w:pPr>
              <w:spacing w:line="340" w:lineRule="exact"/>
              <w:ind w:firstLine="28"/>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②版面设计</w:t>
            </w:r>
            <w:r>
              <w:rPr>
                <w:rFonts w:hint="eastAsia" w:ascii="仿宋" w:hAnsi="仿宋" w:eastAsia="仿宋"/>
                <w:color w:val="000000" w:themeColor="text1"/>
                <w:sz w:val="28"/>
                <w:szCs w:val="28"/>
                <w:lang w:eastAsia="zh-CN"/>
                <w14:textFill>
                  <w14:solidFill>
                    <w14:schemeClr w14:val="tx1"/>
                  </w14:solidFill>
                </w14:textFill>
              </w:rPr>
              <w:t>及布局（共</w:t>
            </w:r>
            <w:r>
              <w:rPr>
                <w:rFonts w:hint="eastAsia" w:ascii="仿宋" w:hAnsi="仿宋" w:eastAsia="仿宋"/>
                <w:color w:val="000000" w:themeColor="text1"/>
                <w:sz w:val="28"/>
                <w:szCs w:val="28"/>
                <w:lang w:val="en-US" w:eastAsia="zh-CN"/>
                <w14:textFill>
                  <w14:solidFill>
                    <w14:schemeClr w14:val="tx1"/>
                  </w14:solidFill>
                </w14:textFill>
              </w:rPr>
              <w:t>10分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主题突出，布局合理、新颖，</w:t>
            </w:r>
            <w:r>
              <w:rPr>
                <w:rFonts w:hint="eastAsia" w:ascii="仿宋" w:hAnsi="仿宋" w:eastAsia="仿宋"/>
                <w:color w:val="000000" w:themeColor="text1"/>
                <w:sz w:val="28"/>
                <w:szCs w:val="28"/>
                <w14:textFill>
                  <w14:solidFill>
                    <w14:schemeClr w14:val="tx1"/>
                  </w14:solidFill>
                </w14:textFill>
              </w:rPr>
              <w:t>整体上舒适，富有视觉效果。</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7-10分，比较贴近得4-6分，一般贴近得1-3分。不贴合的不得分。</w:t>
            </w:r>
            <w:r>
              <w:rPr>
                <w:rFonts w:hint="eastAsia" w:ascii="仿宋" w:hAnsi="仿宋" w:eastAsia="仿宋"/>
                <w:color w:val="000000" w:themeColor="text1"/>
                <w:sz w:val="28"/>
                <w:szCs w:val="28"/>
                <w14:textFill>
                  <w14:solidFill>
                    <w14:schemeClr w14:val="tx1"/>
                  </w14:solidFill>
                </w14:textFill>
              </w:rPr>
              <w:t xml:space="preserve">  </w:t>
            </w:r>
          </w:p>
        </w:tc>
        <w:tc>
          <w:tcPr>
            <w:tcW w:w="1134" w:type="dxa"/>
            <w:vMerge w:val="restart"/>
            <w:vAlign w:val="center"/>
          </w:tcPr>
          <w:p>
            <w:pPr>
              <w:spacing w:line="340" w:lineRule="exact"/>
              <w:ind w:left="-38"/>
              <w:jc w:val="left"/>
              <w:rPr>
                <w:rFonts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1050"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969" w:type="dxa"/>
            <w:tcBorders>
              <w:top w:val="single" w:color="auto" w:sz="4" w:space="0"/>
              <w:bottom w:val="single" w:color="auto" w:sz="4" w:space="0"/>
            </w:tcBorders>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安装</w:t>
            </w:r>
            <w:r>
              <w:rPr>
                <w:rFonts w:hint="eastAsia" w:ascii="仿宋" w:hAnsi="仿宋" w:eastAsia="仿宋"/>
                <w:color w:val="000000" w:themeColor="text1"/>
                <w:sz w:val="28"/>
                <w:szCs w:val="28"/>
                <w14:textFill>
                  <w14:solidFill>
                    <w14:schemeClr w14:val="tx1"/>
                  </w14:solidFill>
                </w14:textFill>
              </w:rPr>
              <w:t>方案（满分</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jc w:val="both"/>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安装方案合理，能将设计方案完全落地呈现，能满足工作室工期需求。满足需求具有针对性得</w:t>
            </w:r>
            <w:r>
              <w:rPr>
                <w:rFonts w:hint="eastAsia" w:ascii="仿宋" w:hAnsi="仿宋" w:eastAsia="仿宋"/>
                <w:color w:val="000000" w:themeColor="text1"/>
                <w:sz w:val="28"/>
                <w:szCs w:val="28"/>
                <w:lang w:val="en-US" w:eastAsia="zh-CN"/>
                <w14:textFill>
                  <w14:solidFill>
                    <w14:schemeClr w14:val="tx1"/>
                  </w14:solidFill>
                </w14:textFill>
              </w:rPr>
              <w:t>5-10分，</w:t>
            </w:r>
            <w:r>
              <w:rPr>
                <w:rFonts w:hint="eastAsia" w:ascii="仿宋" w:hAnsi="仿宋" w:eastAsia="仿宋"/>
                <w:color w:val="000000" w:themeColor="text1"/>
                <w:sz w:val="28"/>
                <w:szCs w:val="28"/>
                <w14:textFill>
                  <w14:solidFill>
                    <w14:schemeClr w14:val="tx1"/>
                  </w14:solidFill>
                </w14:textFill>
              </w:rPr>
              <w:t>基本满足需要但缺乏针对性的可得1</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不满足需要的不得分。</w:t>
            </w:r>
          </w:p>
        </w:tc>
        <w:tc>
          <w:tcPr>
            <w:tcW w:w="1134" w:type="dxa"/>
            <w:vMerge w:val="continue"/>
            <w:vAlign w:val="center"/>
          </w:tcPr>
          <w:p>
            <w:pPr>
              <w:spacing w:line="340" w:lineRule="exact"/>
              <w:ind w:left="-38"/>
              <w:jc w:val="left"/>
              <w:rPr>
                <w:rFonts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1050"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969" w:type="dxa"/>
            <w:tcBorders>
              <w:top w:val="single" w:color="auto" w:sz="4" w:space="0"/>
              <w:bottom w:val="single" w:color="auto" w:sz="4" w:space="0"/>
            </w:tcBorders>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服务方案（满分</w:t>
            </w:r>
            <w:r>
              <w:rPr>
                <w:rFonts w:hint="eastAsia" w:ascii="仿宋" w:hAnsi="仿宋" w:eastAsia="仿宋"/>
                <w:color w:val="000000" w:themeColor="text1"/>
                <w:sz w:val="28"/>
                <w:szCs w:val="28"/>
                <w:lang w:val="en-US" w:eastAsia="zh-CN"/>
                <w14:textFill>
                  <w14:solidFill>
                    <w14:schemeClr w14:val="tx1"/>
                  </w14:solidFill>
                </w14:textFill>
              </w:rPr>
              <w:t>5分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售前</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2分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w:t>
            </w:r>
            <w:r>
              <w:rPr>
                <w:rFonts w:hint="eastAsia" w:ascii="仿宋" w:hAnsi="仿宋" w:eastAsia="仿宋"/>
                <w:color w:val="000000" w:themeColor="text1"/>
                <w:sz w:val="28"/>
                <w:szCs w:val="28"/>
                <w:lang w:eastAsia="zh-CN"/>
                <w14:textFill>
                  <w14:solidFill>
                    <w14:schemeClr w14:val="tx1"/>
                  </w14:solidFill>
                </w14:textFill>
              </w:rPr>
              <w:t>人员分工安排、服务期限、技术力量支持、</w:t>
            </w:r>
            <w:r>
              <w:rPr>
                <w:rFonts w:hint="eastAsia" w:ascii="仿宋" w:hAnsi="仿宋" w:eastAsia="仿宋"/>
                <w:color w:val="000000" w:themeColor="text1"/>
                <w:sz w:val="28"/>
                <w:szCs w:val="28"/>
                <w14:textFill>
                  <w14:solidFill>
                    <w14:schemeClr w14:val="tx1"/>
                  </w14:solidFill>
                </w14:textFill>
              </w:rPr>
              <w:t>市场现状交流等内容（方案内容完善、易于实施得</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w:t>
            </w:r>
            <w:r>
              <w:rPr>
                <w:rFonts w:hint="eastAsia" w:ascii="仿宋" w:hAnsi="仿宋" w:eastAsia="仿宋"/>
                <w:color w:val="000000" w:themeColor="text1"/>
                <w:sz w:val="28"/>
                <w:szCs w:val="28"/>
                <w:lang w:eastAsia="zh-CN"/>
                <w14:textFill>
                  <w14:solidFill>
                    <w14:schemeClr w14:val="tx1"/>
                  </w14:solidFill>
                </w14:textFill>
              </w:rPr>
              <w:t>售后</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2分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方案内容应包含到售后响应时间</w:t>
            </w:r>
            <w:r>
              <w:rPr>
                <w:rFonts w:hint="eastAsia" w:ascii="仿宋" w:hAnsi="仿宋" w:eastAsia="仿宋"/>
                <w:color w:val="000000" w:themeColor="text1"/>
                <w:sz w:val="28"/>
                <w:szCs w:val="28"/>
                <w:lang w:eastAsia="zh-CN"/>
                <w14:textFill>
                  <w14:solidFill>
                    <w14:schemeClr w14:val="tx1"/>
                  </w14:solidFill>
                </w14:textFill>
              </w:rPr>
              <w:t>、售后服务人员及措施安排等</w:t>
            </w:r>
            <w:r>
              <w:rPr>
                <w:rFonts w:hint="eastAsia" w:ascii="仿宋" w:hAnsi="仿宋" w:eastAsia="仿宋"/>
                <w:color w:val="000000" w:themeColor="text1"/>
                <w:sz w:val="28"/>
                <w:szCs w:val="28"/>
                <w14:textFill>
                  <w14:solidFill>
                    <w14:schemeClr w14:val="tx1"/>
                  </w14:solidFill>
                </w14:textFill>
              </w:rPr>
              <w:t>内容</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方案内容完善得</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宋体"/>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③配备售前服务、售后服务、</w:t>
            </w:r>
            <w:r>
              <w:rPr>
                <w:rFonts w:hint="eastAsia" w:ascii="仿宋" w:hAnsi="仿宋" w:eastAsia="仿宋"/>
                <w:color w:val="000000" w:themeColor="text1"/>
                <w:sz w:val="28"/>
                <w:szCs w:val="28"/>
                <w:lang w:eastAsia="zh-CN"/>
                <w14:textFill>
                  <w14:solidFill>
                    <w14:schemeClr w14:val="tx1"/>
                  </w14:solidFill>
                </w14:textFill>
              </w:rPr>
              <w:t>安装</w:t>
            </w:r>
            <w:r>
              <w:rPr>
                <w:rFonts w:hint="eastAsia" w:ascii="仿宋" w:hAnsi="仿宋" w:eastAsia="仿宋"/>
                <w:color w:val="000000" w:themeColor="text1"/>
                <w:sz w:val="28"/>
                <w:szCs w:val="28"/>
                <w14:textFill>
                  <w14:solidFill>
                    <w14:schemeClr w14:val="tx1"/>
                  </w14:solidFill>
                </w14:textFill>
              </w:rPr>
              <w:t>专员人数</w:t>
            </w:r>
            <w:r>
              <w:rPr>
                <w:rFonts w:hint="eastAsia" w:ascii="仿宋" w:hAnsi="仿宋" w:eastAsia="仿宋"/>
                <w:color w:val="000000" w:themeColor="text1"/>
                <w:sz w:val="28"/>
                <w:szCs w:val="28"/>
                <w:lang w:val="en-US" w:eastAsia="zh-CN"/>
                <w14:textFill>
                  <w14:solidFill>
                    <w14:schemeClr w14:val="tx1"/>
                  </w14:solidFill>
                </w14:textFill>
              </w:rPr>
              <w:t>配置（共1分），配置4</w:t>
            </w:r>
            <w:r>
              <w:rPr>
                <w:rFonts w:hint="eastAsia"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lang w:eastAsia="zh-CN"/>
                <w14:textFill>
                  <w14:solidFill>
                    <w14:schemeClr w14:val="tx1"/>
                  </w14:solidFill>
                </w14:textFill>
              </w:rPr>
              <w:t>及以上</w:t>
            </w:r>
            <w:r>
              <w:rPr>
                <w:rFonts w:hint="eastAsia" w:ascii="仿宋" w:hAnsi="仿宋" w:eastAsia="仿宋"/>
                <w:color w:val="000000" w:themeColor="text1"/>
                <w:sz w:val="28"/>
                <w:szCs w:val="28"/>
                <w14:textFill>
                  <w14:solidFill>
                    <w14:schemeClr w14:val="tx1"/>
                  </w14:solidFill>
                </w14:textFill>
              </w:rPr>
              <w:t>得1分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4人以下不得分。</w:t>
            </w:r>
          </w:p>
        </w:tc>
        <w:tc>
          <w:tcPr>
            <w:tcW w:w="1134" w:type="dxa"/>
            <w:vMerge w:val="continue"/>
            <w:vAlign w:val="center"/>
          </w:tcPr>
          <w:p>
            <w:pPr>
              <w:spacing w:line="340" w:lineRule="exact"/>
              <w:ind w:left="-38"/>
              <w:jc w:val="left"/>
              <w:rPr>
                <w:rFonts w:ascii="仿宋" w:hAnsi="仿宋" w:eastAsia="仿宋"/>
                <w:color w:val="FF0000"/>
                <w:sz w:val="28"/>
                <w:szCs w:val="28"/>
              </w:rPr>
            </w:pPr>
          </w:p>
        </w:tc>
      </w:tr>
    </w:tbl>
    <w:p>
      <w:pPr>
        <w:adjustRightInd w:val="0"/>
        <w:snapToGrid w:val="0"/>
        <w:spacing w:line="360" w:lineRule="auto"/>
        <w:rPr>
          <w:rFonts w:hint="eastAsia" w:ascii="仿宋_GB2312" w:hAnsi="宋体" w:eastAsia="仿宋_GB2312" w:cs="宋体"/>
          <w:color w:val="000000" w:themeColor="text1"/>
          <w:kern w:val="0"/>
          <w:sz w:val="28"/>
          <w:szCs w:val="28"/>
          <w:highlight w:val="yellow"/>
          <w:lang w:val="en-US" w:eastAsia="zh-CN"/>
          <w14:textFill>
            <w14:solidFill>
              <w14:schemeClr w14:val="tx1"/>
            </w14:solidFill>
          </w14:textFill>
        </w:rPr>
      </w:pP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r>
        <w:rPr>
          <w:rFonts w:hint="eastAsia" w:ascii="仿宋_GB2312" w:hAnsi="仿宋" w:eastAsia="仿宋_GB2312"/>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5</w:t>
      </w:r>
      <w:r>
        <w:rPr>
          <w:rFonts w:hint="eastAsia" w:ascii="仿宋" w:hAnsi="仿宋" w:eastAsia="仿宋"/>
          <w:sz w:val="28"/>
          <w:szCs w:val="28"/>
          <w:u w:val="single"/>
        </w:rPr>
        <w:t>月</w:t>
      </w:r>
      <w:r>
        <w:rPr>
          <w:rFonts w:hint="eastAsia" w:ascii="仿宋" w:hAnsi="仿宋" w:eastAsia="仿宋"/>
          <w:sz w:val="28"/>
          <w:szCs w:val="28"/>
          <w:u w:val="single"/>
          <w:lang w:val="en-US" w:eastAsia="zh-CN"/>
        </w:rPr>
        <w:t>24</w:t>
      </w:r>
      <w:r>
        <w:rPr>
          <w:rFonts w:hint="eastAsia" w:ascii="仿宋" w:hAnsi="仿宋" w:eastAsia="仿宋"/>
          <w:sz w:val="28"/>
          <w:szCs w:val="28"/>
          <w:u w:val="single"/>
        </w:rPr>
        <w:t>日</w:t>
      </w:r>
      <w:r>
        <w:rPr>
          <w:rFonts w:ascii="仿宋" w:hAnsi="仿宋" w:eastAsia="仿宋"/>
          <w:sz w:val="28"/>
          <w:szCs w:val="28"/>
          <w:u w:val="single"/>
        </w:rPr>
        <w:t>09</w:t>
      </w:r>
      <w:r>
        <w:rPr>
          <w:rFonts w:hint="eastAsia" w:ascii="仿宋" w:hAnsi="仿宋" w:eastAsia="仿宋"/>
          <w:sz w:val="28"/>
          <w:szCs w:val="28"/>
          <w:u w:val="single"/>
        </w:rPr>
        <w:t>:</w:t>
      </w:r>
      <w:r>
        <w:rPr>
          <w:rFonts w:ascii="仿宋" w:hAnsi="仿宋" w:eastAsia="仿宋"/>
          <w:sz w:val="28"/>
          <w:szCs w:val="28"/>
          <w:u w:val="single"/>
        </w:rPr>
        <w:t>30-</w:t>
      </w:r>
      <w:r>
        <w:rPr>
          <w:rFonts w:hint="eastAsia" w:ascii="仿宋" w:hAnsi="仿宋" w:eastAsia="仿宋"/>
          <w:sz w:val="28"/>
          <w:szCs w:val="28"/>
          <w:u w:val="single"/>
        </w:rPr>
        <w:t>16:</w:t>
      </w:r>
      <w:r>
        <w:rPr>
          <w:rFonts w:ascii="仿宋" w:hAnsi="仿宋" w:eastAsia="仿宋"/>
          <w:sz w:val="28"/>
          <w:szCs w:val="28"/>
          <w:u w:val="single"/>
        </w:rPr>
        <w:t>00</w:t>
      </w:r>
      <w:r>
        <w:rPr>
          <w:rFonts w:hint="eastAsia" w:ascii="仿宋" w:hAnsi="仿宋" w:eastAsia="仿宋"/>
          <w:sz w:val="28"/>
          <w:szCs w:val="28"/>
        </w:rPr>
        <w:t>时，在重庆机场集团有限公司动力能源</w:t>
      </w:r>
      <w:r>
        <w:rPr>
          <w:rFonts w:hint="eastAsia" w:ascii="仿宋" w:hAnsi="仿宋" w:eastAsia="仿宋"/>
          <w:sz w:val="28"/>
          <w:szCs w:val="28"/>
          <w:lang w:eastAsia="zh-CN"/>
        </w:rPr>
        <w:t>分公司</w:t>
      </w:r>
      <w:r>
        <w:rPr>
          <w:rFonts w:hint="eastAsia" w:ascii="仿宋" w:hAnsi="仿宋" w:eastAsia="仿宋"/>
          <w:sz w:val="28"/>
          <w:szCs w:val="28"/>
        </w:rPr>
        <w:t>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22</w:t>
      </w:r>
      <w:r>
        <w:rPr>
          <w:rFonts w:hint="eastAsia" w:ascii="仿宋_GB2312" w:hAnsi="宋体" w:eastAsia="仿宋_GB2312"/>
          <w:b/>
          <w:sz w:val="28"/>
          <w:szCs w:val="28"/>
          <w:u w:val="single"/>
        </w:rPr>
        <w:t>年</w:t>
      </w:r>
      <w:r>
        <w:rPr>
          <w:rFonts w:hint="eastAsia" w:ascii="仿宋_GB2312" w:hAnsi="宋体" w:eastAsia="仿宋_GB2312"/>
          <w:b/>
          <w:sz w:val="28"/>
          <w:szCs w:val="28"/>
          <w:u w:val="single"/>
          <w:lang w:val="en-US" w:eastAsia="zh-CN"/>
        </w:rPr>
        <w:t>5</w:t>
      </w:r>
      <w:r>
        <w:rPr>
          <w:rFonts w:hint="eastAsia" w:ascii="仿宋_GB2312" w:hAnsi="宋体" w:eastAsia="仿宋_GB2312"/>
          <w:b/>
          <w:sz w:val="28"/>
          <w:szCs w:val="28"/>
          <w:u w:val="single"/>
        </w:rPr>
        <w:t>月</w:t>
      </w:r>
      <w:r>
        <w:rPr>
          <w:rFonts w:hint="eastAsia" w:ascii="仿宋_GB2312" w:hAnsi="宋体" w:eastAsia="仿宋_GB2312"/>
          <w:b/>
          <w:sz w:val="28"/>
          <w:szCs w:val="28"/>
          <w:u w:val="single"/>
          <w:lang w:val="en-US" w:eastAsia="zh-CN"/>
        </w:rPr>
        <w:t>26</w:t>
      </w:r>
      <w:r>
        <w:rPr>
          <w:rFonts w:hint="eastAsia" w:ascii="仿宋_GB2312" w:hAnsi="宋体" w:eastAsia="仿宋_GB2312"/>
          <w:b/>
          <w:sz w:val="28"/>
          <w:szCs w:val="28"/>
          <w:u w:val="single"/>
        </w:rPr>
        <w:t>日</w:t>
      </w:r>
      <w:r>
        <w:rPr>
          <w:rFonts w:hint="eastAsia" w:ascii="仿宋_GB2312" w:hAnsi="宋体" w:eastAsia="仿宋_GB2312"/>
          <w:b/>
          <w:sz w:val="28"/>
          <w:szCs w:val="28"/>
          <w:u w:val="single"/>
          <w:lang w:val="en-US" w:eastAsia="zh-CN"/>
        </w:rPr>
        <w:t>10</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color w:val="auto"/>
          <w:kern w:val="0"/>
          <w:sz w:val="28"/>
          <w:szCs w:val="28"/>
        </w:rPr>
        <w:t>：</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r>
        <w:rPr>
          <w:rFonts w:hint="eastAsia" w:ascii="仿宋" w:hAnsi="仿宋" w:eastAsia="仿宋"/>
          <w:b/>
          <w:bCs/>
          <w:color w:val="auto"/>
          <w:kern w:val="0"/>
          <w:sz w:val="28"/>
          <w:szCs w:val="28"/>
        </w:rPr>
        <w:t>（根据实际需求确定）</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5</w:t>
      </w:r>
      <w:r>
        <w:rPr>
          <w:rFonts w:hint="eastAsia" w:ascii="仿宋" w:hAnsi="仿宋" w:eastAsia="仿宋"/>
          <w:sz w:val="28"/>
          <w:szCs w:val="28"/>
          <w:u w:val="single"/>
        </w:rPr>
        <w:t>月</w:t>
      </w:r>
      <w:r>
        <w:rPr>
          <w:rFonts w:hint="eastAsia" w:ascii="仿宋" w:hAnsi="仿宋" w:eastAsia="仿宋"/>
          <w:sz w:val="28"/>
          <w:szCs w:val="28"/>
          <w:u w:val="single"/>
          <w:lang w:val="en-US" w:eastAsia="zh-CN"/>
        </w:rPr>
        <w:t>30</w:t>
      </w:r>
      <w:r>
        <w:rPr>
          <w:rFonts w:hint="eastAsia" w:ascii="仿宋" w:hAnsi="仿宋" w:eastAsia="仿宋"/>
          <w:sz w:val="28"/>
          <w:szCs w:val="28"/>
          <w:u w:val="single"/>
        </w:rPr>
        <w:t>日</w:t>
      </w:r>
      <w:r>
        <w:rPr>
          <w:rFonts w:hint="eastAsia" w:ascii="仿宋" w:hAnsi="仿宋" w:eastAsia="仿宋"/>
          <w:sz w:val="28"/>
          <w:szCs w:val="28"/>
          <w:u w:val="single"/>
          <w:lang w:val="en-US" w:eastAsia="zh-CN"/>
        </w:rPr>
        <w:t>9:30</w:t>
      </w:r>
      <w:r>
        <w:rPr>
          <w:rFonts w:hint="eastAsia" w:ascii="仿宋" w:hAnsi="仿宋" w:eastAsia="仿宋"/>
          <w:sz w:val="28"/>
          <w:szCs w:val="28"/>
        </w:rPr>
        <w:t>时在重庆机场集团公司</w:t>
      </w:r>
      <w:r>
        <w:rPr>
          <w:rFonts w:hint="eastAsia" w:ascii="仿宋" w:hAnsi="仿宋" w:eastAsia="仿宋"/>
          <w:sz w:val="28"/>
          <w:szCs w:val="28"/>
          <w:lang w:eastAsia="zh-CN"/>
        </w:rPr>
        <w:t>动力能源分公司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bookmarkStart w:id="21" w:name="_GoBack"/>
      <w:bookmarkEnd w:id="21"/>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保证金：无。</w:t>
      </w:r>
    </w:p>
    <w:p>
      <w:pPr>
        <w:adjustRightInd w:val="0"/>
        <w:snapToGrid w:val="0"/>
        <w:spacing w:line="360" w:lineRule="auto"/>
        <w:ind w:left="1"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sz w:val="28"/>
          <w:szCs w:val="28"/>
          <w:lang w:eastAsia="zh-CN"/>
        </w:rPr>
        <w:t>成交金额的</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rPr>
        <w:t>，成交人在收到成交通知书10日内</w:t>
      </w:r>
      <w:r>
        <w:rPr>
          <w:rFonts w:hint="eastAsia" w:ascii="方正仿宋_GBK" w:hAnsi="方正仿宋_GBK" w:eastAsia="方正仿宋_GBK" w:cs="方正仿宋_GBK"/>
          <w:sz w:val="28"/>
          <w:szCs w:val="28"/>
          <w:lang w:eastAsia="zh-CN"/>
        </w:rPr>
        <w:t>足额</w:t>
      </w:r>
      <w:r>
        <w:rPr>
          <w:rFonts w:hint="eastAsia" w:ascii="方正仿宋_GBK" w:hAnsi="方正仿宋_GBK" w:eastAsia="方正仿宋_GBK" w:cs="方正仿宋_GBK"/>
          <w:sz w:val="28"/>
          <w:szCs w:val="28"/>
        </w:rPr>
        <w:t>缴纳，履约保证金在</w:t>
      </w:r>
      <w:r>
        <w:rPr>
          <w:rFonts w:hint="eastAsia" w:ascii="方正仿宋_GBK" w:hAnsi="方正仿宋_GBK" w:eastAsia="方正仿宋_GBK" w:cs="方正仿宋_GBK"/>
          <w:sz w:val="28"/>
          <w:szCs w:val="28"/>
          <w:lang w:eastAsia="zh-CN"/>
        </w:rPr>
        <w:t>质保期到期</w:t>
      </w:r>
      <w:r>
        <w:rPr>
          <w:rFonts w:hint="eastAsia" w:ascii="方正仿宋_GBK" w:hAnsi="方正仿宋_GBK" w:eastAsia="方正仿宋_GBK" w:cs="方正仿宋_GBK"/>
          <w:sz w:val="28"/>
          <w:szCs w:val="28"/>
        </w:rPr>
        <w:t>后若无问题，一次性退还（不计利息）</w:t>
      </w:r>
      <w:r>
        <w:rPr>
          <w:rFonts w:hint="eastAsia" w:ascii="方正仿宋_GBK" w:hAnsi="方正仿宋_GBK" w:eastAsia="方正仿宋_GBK" w:cs="方正仿宋_GBK"/>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w:t>
      </w:r>
      <w:r>
        <w:rPr>
          <w:rFonts w:hint="eastAsia" w:ascii="仿宋" w:hAnsi="仿宋" w:eastAsia="仿宋"/>
          <w:b/>
          <w:bCs/>
          <w:kern w:val="0"/>
          <w:sz w:val="28"/>
          <w:szCs w:val="28"/>
          <w:lang w:eastAsia="zh-CN"/>
        </w:rPr>
        <w:t>竞争性</w:t>
      </w:r>
      <w:r>
        <w:rPr>
          <w:rFonts w:hint="eastAsia" w:ascii="仿宋" w:hAnsi="仿宋" w:eastAsia="仿宋"/>
          <w:b/>
          <w:bCs/>
          <w:kern w:val="0"/>
          <w:sz w:val="28"/>
          <w:szCs w:val="28"/>
        </w:rPr>
        <w:t>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文件所确定的全部工作内容的价格体现，报价一次性全额包干、包死，参与</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的承包人报价时须充分考虑人工及材料的涨价因素及履行本项目合同有关的其他风险。</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000000" w:themeColor="text1"/>
          <w:sz w:val="28"/>
          <w:szCs w:val="28"/>
          <w:lang w:val="zh-CN"/>
          <w14:textFill>
            <w14:solidFill>
              <w14:schemeClr w14:val="tx1"/>
            </w14:solidFill>
          </w14:textFill>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000000" w:themeColor="text1"/>
          <w:sz w:val="28"/>
          <w:szCs w:val="28"/>
          <w:lang w:val="zh-CN"/>
          <w14:textFill>
            <w14:solidFill>
              <w14:schemeClr w14:val="tx1"/>
            </w14:solidFill>
          </w14:textFill>
        </w:rPr>
        <w:t>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000000" w:themeColor="text1"/>
          <w:sz w:val="28"/>
          <w:szCs w:val="28"/>
          <w:lang w:val="zh-CN"/>
          <w14:textFill>
            <w14:solidFill>
              <w14:schemeClr w14:val="tx1"/>
            </w14:solidFill>
          </w14:textFill>
        </w:rPr>
        <w:t>（表格</w:t>
      </w:r>
      <w:r>
        <w:rPr>
          <w:rFonts w:ascii="仿宋_GB2312" w:hAnsi="仿宋_GB2312" w:eastAsia="仿宋_GB2312" w:cs="仿宋_GB2312"/>
          <w:b/>
          <w:color w:val="000000" w:themeColor="text1"/>
          <w:sz w:val="28"/>
          <w:szCs w:val="28"/>
          <w:lang w:val="zh-CN"/>
          <w14:textFill>
            <w14:solidFill>
              <w14:schemeClr w14:val="tx1"/>
            </w14:solidFill>
          </w14:textFill>
        </w:rPr>
        <w:t>自制</w:t>
      </w:r>
      <w:r>
        <w:rPr>
          <w:rFonts w:hint="eastAsia" w:ascii="仿宋_GB2312" w:hAnsi="仿宋_GB2312" w:eastAsia="仿宋_GB2312" w:cs="仿宋_GB2312"/>
          <w:b/>
          <w:color w:val="000000" w:themeColor="text1"/>
          <w:sz w:val="28"/>
          <w:szCs w:val="28"/>
          <w:lang w:val="zh-CN"/>
          <w14:textFill>
            <w14:solidFill>
              <w14:schemeClr w14:val="tx1"/>
            </w14:solidFill>
          </w14:textFill>
        </w:rPr>
        <w:t>）</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ascii="仿宋_GB2312" w:eastAsia="仿宋_GB2312"/>
          <w:sz w:val="28"/>
          <w:szCs w:val="28"/>
        </w:rPr>
        <w:t>5.</w:t>
      </w:r>
      <w:r>
        <w:rPr>
          <w:rFonts w:hint="eastAsia" w:ascii="仿宋_GB2312" w:eastAsia="仿宋_GB2312"/>
          <w:sz w:val="28"/>
          <w:szCs w:val="28"/>
          <w:lang w:val="zh-CN"/>
        </w:rPr>
        <w:t>商务部分：（1）必备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eastAsia="zh-CN"/>
        </w:rPr>
        <w:t>6.响应文件可合并装订成册，纸质文件一式3份，其中正本1份，副本2份，正本文件内签字和盖章须为原件。副本可为正本的复印件。</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3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color w:val="FF0000"/>
          <w:kern w:val="0"/>
          <w:sz w:val="28"/>
          <w:szCs w:val="28"/>
          <w:u w:val="single"/>
        </w:rPr>
        <w:t>20</w:t>
      </w:r>
      <w:r>
        <w:rPr>
          <w:rFonts w:hint="eastAsia" w:ascii="仿宋" w:hAnsi="仿宋" w:eastAsia="仿宋"/>
          <w:b/>
          <w:color w:val="FF0000"/>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30</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9:30</w:t>
      </w:r>
      <w:r>
        <w:rPr>
          <w:rFonts w:hint="eastAsia" w:ascii="仿宋" w:hAnsi="仿宋" w:eastAsia="仿宋"/>
          <w:b/>
          <w:kern w:val="0"/>
          <w:sz w:val="28"/>
          <w:szCs w:val="28"/>
        </w:rPr>
        <w:t>时前送到重庆机场有限公司</w:t>
      </w:r>
      <w:r>
        <w:rPr>
          <w:rFonts w:hint="eastAsia" w:ascii="仿宋" w:hAnsi="仿宋" w:eastAsia="仿宋"/>
          <w:b/>
          <w:kern w:val="0"/>
          <w:sz w:val="28"/>
          <w:szCs w:val="28"/>
          <w:lang w:eastAsia="zh-CN"/>
        </w:rPr>
        <w:t>动力能源分公司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0"/>
        <w:widowControl/>
        <w:numPr>
          <w:ilvl w:val="0"/>
          <w:numId w:val="1"/>
        </w:numPr>
        <w:spacing w:line="360" w:lineRule="auto"/>
        <w:ind w:firstLineChars="0"/>
        <w:jc w:val="left"/>
        <w:rPr>
          <w:rFonts w:hint="eastAsia" w:ascii="仿宋" w:hAnsi="仿宋" w:eastAsia="仿宋"/>
          <w:b/>
          <w:bCs/>
          <w:kern w:val="0"/>
          <w:sz w:val="28"/>
          <w:szCs w:val="28"/>
          <w:lang w:val="zh-CN" w:eastAsia="zh-CN"/>
        </w:rPr>
      </w:pPr>
      <w:r>
        <w:rPr>
          <w:rFonts w:hint="eastAsia" w:ascii="仿宋" w:hAnsi="仿宋" w:eastAsia="仿宋"/>
          <w:b/>
          <w:bCs/>
          <w:kern w:val="0"/>
          <w:sz w:val="28"/>
          <w:szCs w:val="28"/>
          <w:lang w:val="zh-CN" w:eastAsia="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12.1</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成交人在收到成交通知书后，无正当理由不与采购人订立合同，在签订合同时向采购人提出附加条件，或者不按照采购文件要求提交履约保证金的，将被列入采购人黑名单。</w:t>
      </w: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60" w:firstLineChars="200"/>
        <w:rPr>
          <w:rFonts w:ascii="仿宋" w:hAnsi="仿宋" w:eastAsia="仿宋"/>
          <w:spacing w:val="-8"/>
          <w:sz w:val="28"/>
          <w:szCs w:val="28"/>
        </w:rPr>
      </w:pPr>
      <w:r>
        <w:rPr>
          <w:rFonts w:ascii="方正仿宋_GBK" w:hAnsi="方正仿宋_GBK" w:eastAsia="方正仿宋_GBK" w:cs="方正仿宋_GBK"/>
          <w:color w:val="000000"/>
          <w:sz w:val="28"/>
          <w:szCs w:val="28"/>
        </w:rPr>
        <w:t>12.</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联系方式</w:t>
      </w:r>
    </w:p>
    <w:p>
      <w:pPr>
        <w:snapToGrid w:val="0"/>
        <w:spacing w:line="360" w:lineRule="auto"/>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业主：</w:t>
      </w:r>
      <w:r>
        <w:rPr>
          <w:rFonts w:hint="eastAsia" w:ascii="仿宋_GB2312" w:hAnsi="宋体" w:eastAsia="仿宋_GB2312"/>
          <w:sz w:val="28"/>
          <w:szCs w:val="28"/>
          <w:lang w:eastAsia="zh-CN"/>
        </w:rPr>
        <w:t>重庆机场集团有限公司</w:t>
      </w:r>
      <w:r>
        <w:rPr>
          <w:rFonts w:hint="eastAsia" w:ascii="仿宋_GB2312" w:hAnsi="宋体" w:eastAsia="仿宋_GB2312"/>
          <w:sz w:val="28"/>
          <w:szCs w:val="28"/>
        </w:rPr>
        <w:t>动力能源</w:t>
      </w:r>
      <w:r>
        <w:rPr>
          <w:rFonts w:hint="eastAsia" w:ascii="仿宋_GB2312" w:hAnsi="宋体" w:eastAsia="仿宋_GB2312"/>
          <w:sz w:val="28"/>
          <w:szCs w:val="28"/>
          <w:lang w:eastAsia="zh-CN"/>
        </w:rPr>
        <w:t>分公司</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lang w:eastAsia="zh-CN"/>
          <w14:textFill>
            <w14:solidFill>
              <w14:schemeClr w14:val="tx1"/>
            </w14:solidFill>
          </w14:textFill>
        </w:rPr>
        <w:t>余</w:t>
      </w:r>
      <w:r>
        <w:rPr>
          <w:rFonts w:hint="eastAsia" w:ascii="仿宋_GB2312" w:hAnsi="宋体" w:eastAsia="仿宋_GB2312"/>
          <w:color w:val="000000" w:themeColor="text1"/>
          <w:sz w:val="28"/>
          <w:szCs w:val="28"/>
          <w14:textFill>
            <w14:solidFill>
              <w14:schemeClr w14:val="tx1"/>
            </w14:solidFill>
          </w14:textFill>
        </w:rPr>
        <w:t>老师</w:t>
      </w:r>
    </w:p>
    <w:p>
      <w:pPr>
        <w:snapToGrid w:val="0"/>
        <w:spacing w:line="360" w:lineRule="auto"/>
        <w:ind w:firstLine="539"/>
        <w:rPr>
          <w:rFonts w:hint="default"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6274</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lang w:eastAsia="zh-CN"/>
        </w:rPr>
        <w:t>重庆机场集团有限公司动力能源分</w:t>
      </w:r>
      <w:r>
        <w:rPr>
          <w:rFonts w:hint="eastAsia" w:ascii="仿宋" w:hAnsi="仿宋" w:eastAsia="仿宋"/>
          <w:sz w:val="28"/>
          <w:szCs w:val="28"/>
        </w:rPr>
        <w:t>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282" w:firstLineChars="1900"/>
        <w:jc w:val="left"/>
        <w:rPr>
          <w:rFonts w:ascii="仿宋" w:hAnsi="仿宋" w:eastAsia="仿宋"/>
          <w:kern w:val="0"/>
        </w:rPr>
      </w:pP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rPr>
          <w:rFonts w:hint="eastAsia" w:ascii="仿宋" w:hAnsi="仿宋" w:eastAsia="仿宋"/>
          <w:kern w:val="0"/>
          <w:sz w:val="28"/>
          <w:szCs w:val="28"/>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jc w:val="right"/>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jc w:val="right"/>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8"/>
        <w:spacing w:line="360" w:lineRule="auto"/>
        <w:rPr>
          <w:rFonts w:hAnsi="宋体" w:cs="宋体"/>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8"/>
        <w:spacing w:line="360" w:lineRule="auto"/>
        <w:rPr>
          <w:rFonts w:hAnsi="宋体" w:cs="宋体"/>
          <w:sz w:val="28"/>
          <w:szCs w:val="28"/>
        </w:rPr>
      </w:pPr>
    </w:p>
    <w:p>
      <w:pPr>
        <w:pStyle w:val="8"/>
        <w:spacing w:line="360" w:lineRule="auto"/>
        <w:rPr>
          <w:rFonts w:hAnsi="宋体" w:cs="宋体"/>
          <w:sz w:val="28"/>
          <w:szCs w:val="28"/>
        </w:rPr>
      </w:pPr>
    </w:p>
    <w:p>
      <w:pPr>
        <w:snapToGrid w:val="0"/>
        <w:spacing w:line="360" w:lineRule="auto"/>
        <w:rPr>
          <w:rFonts w:ascii="仿宋" w:hAnsi="仿宋" w:eastAsia="仿宋"/>
          <w:sz w:val="28"/>
          <w:szCs w:val="28"/>
        </w:rPr>
      </w:pPr>
    </w:p>
    <w:p>
      <w:pPr>
        <w:wordWrap w:val="0"/>
        <w:spacing w:line="300" w:lineRule="exact"/>
        <w:ind w:firstLine="883" w:firstLineChars="200"/>
        <w:jc w:val="right"/>
        <w:rPr>
          <w:rFonts w:ascii="仿宋" w:hAnsi="仿宋" w:eastAsia="仿宋"/>
          <w:b/>
          <w:color w:val="000000"/>
        </w:rPr>
      </w:pPr>
      <w:r>
        <w:rPr>
          <w:rFonts w:ascii="仿宋_GB2312" w:eastAsia="仿宋_GB2312"/>
          <w:b/>
          <w:sz w:val="44"/>
          <w:szCs w:val="44"/>
        </w:rPr>
        <w:br w:type="page"/>
      </w:r>
      <w:r>
        <w:rPr>
          <w:rFonts w:hint="eastAsia" w:ascii="仿宋" w:hAnsi="仿宋" w:eastAsia="仿宋"/>
          <w:b/>
          <w:color w:val="000000"/>
        </w:rPr>
        <w:t xml:space="preserve"> </w:t>
      </w:r>
      <w:r>
        <w:rPr>
          <w:rFonts w:ascii="仿宋" w:hAnsi="仿宋" w:eastAsia="仿宋"/>
          <w:b/>
          <w:color w:val="000000"/>
        </w:rPr>
        <w:t xml:space="preserve">           </w:t>
      </w:r>
    </w:p>
    <w:p>
      <w:pPr>
        <w:pStyle w:val="33"/>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34"/>
        <w:ind w:left="0" w:leftChars="0" w:firstLine="0" w:firstLineChars="0"/>
        <w:jc w:val="center"/>
        <w:rPr>
          <w:sz w:val="40"/>
          <w:szCs w:val="56"/>
        </w:rPr>
      </w:pPr>
      <w:r>
        <w:rPr>
          <w:rFonts w:hint="eastAsia"/>
          <w:sz w:val="56"/>
          <w:szCs w:val="56"/>
          <w:lang w:eastAsia="zh-CN"/>
        </w:rPr>
        <w:t>梁燕劳模创新工作室阵地建设（第一期）项目</w:t>
      </w:r>
      <w:r>
        <w:rPr>
          <w:rFonts w:hint="eastAsia"/>
          <w:sz w:val="56"/>
          <w:szCs w:val="56"/>
        </w:rPr>
        <w:t>承揽合同</w:t>
      </w: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color w:val="0000FF"/>
          <w:sz w:val="32"/>
          <w:szCs w:val="32"/>
        </w:rPr>
      </w:pPr>
      <w:r>
        <w:rPr>
          <w:rFonts w:hint="eastAsia"/>
          <w:b/>
          <w:sz w:val="32"/>
          <w:szCs w:val="32"/>
        </w:rPr>
        <w:t>甲方：</w:t>
      </w:r>
      <w:r>
        <w:rPr>
          <w:rFonts w:hint="eastAsia"/>
          <w:b/>
          <w:sz w:val="32"/>
          <w:szCs w:val="32"/>
          <w:lang w:eastAsia="zh-CN"/>
        </w:rPr>
        <w:t>重庆机场集团有限公司动力能源分公司</w:t>
      </w:r>
    </w:p>
    <w:p>
      <w:pPr>
        <w:snapToGrid w:val="0"/>
        <w:spacing w:line="360" w:lineRule="auto"/>
        <w:rPr>
          <w:rFonts w:cs="宋体"/>
          <w:b/>
          <w:bCs/>
          <w:sz w:val="32"/>
          <w:szCs w:val="32"/>
        </w:rPr>
      </w:pPr>
      <w:r>
        <w:rPr>
          <w:rFonts w:hint="eastAsia"/>
          <w:b/>
          <w:sz w:val="32"/>
          <w:szCs w:val="32"/>
        </w:rPr>
        <w:t xml:space="preserve">      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5"/>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8290"/>
            </w:tabs>
            <w:ind w:left="480"/>
            <w:rPr>
              <w:rFonts w:hint="eastAsia" w:ascii="仿宋_GB2312" w:eastAsia="仿宋_GB2312" w:hAnsiTheme="minorHAnsi" w:cstheme="minorBidi"/>
              <w:sz w:val="30"/>
              <w:szCs w:val="30"/>
              <w:lang w:val="en-US" w:eastAsia="zh-CN"/>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8</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"_Toc24707256" </w:instrText>
          </w:r>
          <w:r>
            <w:fldChar w:fldCharType="separate"/>
          </w:r>
          <w:r>
            <w:rPr>
              <w:rStyle w:val="17"/>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8</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"_Toc24707257" </w:instrText>
          </w:r>
          <w:r>
            <w:fldChar w:fldCharType="separate"/>
          </w:r>
          <w:r>
            <w:rPr>
              <w:rStyle w:val="17"/>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9</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"_Toc24707258" </w:instrText>
          </w:r>
          <w:r>
            <w:fldChar w:fldCharType="separate"/>
          </w:r>
          <w:r>
            <w:rPr>
              <w:rStyle w:val="17"/>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9</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"_Toc24707259" </w:instrText>
          </w:r>
          <w:r>
            <w:fldChar w:fldCharType="separate"/>
          </w:r>
          <w:r>
            <w:rPr>
              <w:rStyle w:val="17"/>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1</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"_Toc24707260" </w:instrText>
          </w:r>
          <w:r>
            <w:fldChar w:fldCharType="separate"/>
          </w:r>
          <w:r>
            <w:rPr>
              <w:rStyle w:val="17"/>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2</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"_Toc24707261" </w:instrText>
          </w:r>
          <w:r>
            <w:fldChar w:fldCharType="separate"/>
          </w:r>
          <w:r>
            <w:rPr>
              <w:rStyle w:val="17"/>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2</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"_Toc24707262" </w:instrText>
          </w:r>
          <w:r>
            <w:fldChar w:fldCharType="separate"/>
          </w:r>
          <w:r>
            <w:rPr>
              <w:rStyle w:val="17"/>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2</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"_Toc24707263" </w:instrText>
          </w:r>
          <w:r>
            <w:fldChar w:fldCharType="separate"/>
          </w:r>
          <w:r>
            <w:rPr>
              <w:rStyle w:val="17"/>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7"/>
            <w:tabs>
              <w:tab w:val="right" w:leader="dot" w:pos="8290"/>
            </w:tabs>
            <w:ind w:left="960"/>
            <w:rPr>
              <w:rFonts w:hint="eastAsia" w:ascii="仿宋_GB2312" w:eastAsia="仿宋_GB2312" w:hAnsiTheme="minorHAnsi" w:cstheme="minorBidi"/>
              <w:sz w:val="30"/>
              <w:szCs w:val="30"/>
              <w:lang w:val="en-US" w:eastAsia="zh-CN"/>
            </w:rPr>
          </w:pPr>
          <w:r>
            <w:fldChar w:fldCharType="begin"/>
          </w:r>
          <w:r>
            <w:instrText xml:space="preserve"> HYPERLINK \l "_Toc24707264" </w:instrText>
          </w:r>
          <w:r>
            <w:fldChar w:fldCharType="separate"/>
          </w:r>
          <w:r>
            <w:rPr>
              <w:rStyle w:val="17"/>
              <w:rFonts w:hint="eastAsia" w:ascii="仿宋_GB2312" w:hAnsi="仿宋" w:eastAsia="仿宋_GB2312"/>
              <w:sz w:val="30"/>
              <w:szCs w:val="30"/>
              <w:shd w:val="clear" w:color="auto" w:fill="FFFFFF"/>
            </w:rPr>
            <w:t>9</w:t>
          </w:r>
          <w:r>
            <w:rPr>
              <w:rStyle w:val="17"/>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7"/>
            <w:tabs>
              <w:tab w:val="right" w:leader="dot" w:pos="8290"/>
            </w:tabs>
            <w:ind w:left="960"/>
            <w:rPr>
              <w:rFonts w:hint="eastAsia" w:ascii="仿宋_GB2312" w:eastAsia="仿宋_GB2312" w:hAnsiTheme="minorHAnsi" w:cstheme="minorBidi"/>
              <w:sz w:val="30"/>
              <w:szCs w:val="30"/>
              <w:lang w:val="en-US" w:eastAsia="zh-CN"/>
            </w:rPr>
          </w:pPr>
          <w:r>
            <w:fldChar w:fldCharType="begin"/>
          </w:r>
          <w:r>
            <w:instrText xml:space="preserve"> HYPERLINK \l "_Toc24707265" </w:instrText>
          </w:r>
          <w:r>
            <w:fldChar w:fldCharType="separate"/>
          </w:r>
          <w:r>
            <w:rPr>
              <w:rStyle w:val="17"/>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"_Toc24707266" </w:instrText>
          </w:r>
          <w:r>
            <w:fldChar w:fldCharType="separate"/>
          </w:r>
          <w:r>
            <w:rPr>
              <w:rStyle w:val="17"/>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lang w:val="en-US" w:eastAsia="zh-CN"/>
            </w:rPr>
            <w:t>24</w:t>
          </w:r>
          <w:r>
            <w:rPr>
              <w:rFonts w:hint="eastAsia" w:ascii="仿宋_GB2312" w:eastAsia="仿宋_GB2312"/>
              <w:sz w:val="30"/>
              <w:szCs w:val="30"/>
            </w:rPr>
            <w:fldChar w:fldCharType="end"/>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"_Toc24707268" </w:instrText>
          </w:r>
          <w:r>
            <w:fldChar w:fldCharType="separate"/>
          </w:r>
          <w:r>
            <w:rPr>
              <w:rStyle w:val="17"/>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4</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"_Toc24707269" </w:instrText>
          </w:r>
          <w:r>
            <w:fldChar w:fldCharType="separate"/>
          </w:r>
          <w:r>
            <w:rPr>
              <w:rStyle w:val="17"/>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4</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"_Toc24707270" </w:instrText>
          </w:r>
          <w:r>
            <w:fldChar w:fldCharType="separate"/>
          </w:r>
          <w:r>
            <w:rPr>
              <w:rStyle w:val="17"/>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5</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"_Toc24707271" </w:instrText>
          </w:r>
          <w:r>
            <w:fldChar w:fldCharType="separate"/>
          </w:r>
          <w:r>
            <w:rPr>
              <w:rStyle w:val="17"/>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5</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"_Toc24707272" </w:instrText>
          </w:r>
          <w:r>
            <w:fldChar w:fldCharType="separate"/>
          </w:r>
          <w:r>
            <w:rPr>
              <w:rStyle w:val="17"/>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5</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"_Toc24707273" </w:instrText>
          </w:r>
          <w:r>
            <w:fldChar w:fldCharType="separate"/>
          </w:r>
          <w:r>
            <w:rPr>
              <w:rStyle w:val="17"/>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"_Toc24707274" </w:instrText>
          </w:r>
          <w:r>
            <w:fldChar w:fldCharType="separate"/>
          </w:r>
          <w:r>
            <w:rPr>
              <w:rStyle w:val="17"/>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r>
            <w:rPr>
              <w:rFonts w:hint="eastAsia" w:ascii="仿宋_GB2312" w:eastAsia="仿宋_GB2312"/>
              <w:b/>
              <w:bCs/>
              <w:sz w:val="30"/>
              <w:szCs w:val="30"/>
              <w:lang w:val="zh-CN"/>
            </w:rPr>
            <w:fldChar w:fldCharType="end"/>
          </w:r>
        </w:p>
      </w:sdtContent>
    </w:sdt>
    <w:p>
      <w:pPr>
        <w:pStyle w:val="33"/>
        <w:ind w:firstLine="602"/>
        <w:rPr>
          <w:rFonts w:hint="eastAsia"/>
          <w:b/>
          <w:bCs/>
        </w:rPr>
      </w:pPr>
    </w:p>
    <w:p>
      <w:pPr>
        <w:adjustRightInd w:val="0"/>
        <w:snapToGrid w:val="0"/>
        <w:spacing w:afterLines="0" w:line="240" w:lineRule="auto"/>
        <w:ind w:firstLine="560"/>
        <w:textAlignment w:val="baseline"/>
        <w:rPr>
          <w:rFonts w:hint="eastAsia"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r>
        <w:rPr>
          <w:rFonts w:hint="eastAsia" w:ascii="仿宋_GB2312" w:hAnsi="仿宋" w:eastAsia="仿宋_GB2312" w:cs="宋体"/>
          <w:b w:val="0"/>
          <w:bCs w:val="0"/>
          <w:color w:val="000000"/>
          <w:kern w:val="2"/>
          <w:sz w:val="30"/>
          <w:szCs w:val="30"/>
          <w:lang w:val="en-US" w:eastAsia="zh-CN" w:bidi="ar-SA"/>
        </w:rPr>
        <w:t>重庆机场集团有限公司动力能源分公司</w:t>
      </w:r>
      <w:r>
        <w:rPr>
          <w:rFonts w:hint="eastAsia" w:ascii="仿宋_GB2312" w:hAnsi="仿宋" w:eastAsia="仿宋_GB2312" w:cs="宋体"/>
          <w:b/>
          <w:bCs/>
          <w:color w:val="000000"/>
          <w:kern w:val="2"/>
          <w:sz w:val="30"/>
          <w:szCs w:val="30"/>
          <w:lang w:val="en-US" w:eastAsia="zh-CN" w:bidi="ar-SA"/>
        </w:rPr>
        <w:t xml:space="preserve"> </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统一社会信用代码：</w:t>
      </w:r>
      <w:r>
        <w:rPr>
          <w:rFonts w:hint="eastAsia" w:ascii="仿宋_GB2312" w:hAnsi="仿宋" w:eastAsia="仿宋_GB2312" w:cs="宋体"/>
          <w:b w:val="0"/>
          <w:bCs w:val="0"/>
          <w:color w:val="000000"/>
          <w:kern w:val="2"/>
          <w:sz w:val="30"/>
          <w:szCs w:val="30"/>
          <w:lang w:val="en-US" w:eastAsia="zh-CN" w:bidi="ar-SA"/>
        </w:rPr>
        <w:t>91500112MAAC3KEC4F</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通讯地址：</w:t>
      </w:r>
      <w:r>
        <w:rPr>
          <w:rFonts w:hint="eastAsia" w:ascii="仿宋_GB2312" w:hAnsi="仿宋" w:eastAsia="仿宋_GB2312" w:cs="宋体"/>
          <w:b w:val="0"/>
          <w:bCs w:val="0"/>
          <w:color w:val="000000"/>
          <w:kern w:val="2"/>
          <w:sz w:val="30"/>
          <w:szCs w:val="30"/>
          <w:lang w:val="en-US" w:eastAsia="zh-CN" w:bidi="ar-SA"/>
        </w:rPr>
        <w:t>重庆市渝北区机场东路30号</w:t>
      </w:r>
    </w:p>
    <w:p>
      <w:pPr>
        <w:adjustRightInd w:val="0"/>
        <w:snapToGrid w:val="0"/>
        <w:spacing w:afterLines="0" w:line="240" w:lineRule="auto"/>
        <w:ind w:firstLine="560"/>
        <w:textAlignment w:val="baseline"/>
        <w:rPr>
          <w:rFonts w:hint="eastAsia"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法定代表人或委托代理人：</w:t>
      </w:r>
      <w:r>
        <w:rPr>
          <w:rFonts w:hint="eastAsia" w:ascii="仿宋_GB2312" w:hAnsi="仿宋" w:eastAsia="仿宋_GB2312" w:cs="宋体"/>
          <w:b w:val="0"/>
          <w:bCs w:val="0"/>
          <w:color w:val="000000"/>
          <w:kern w:val="2"/>
          <w:sz w:val="30"/>
          <w:szCs w:val="30"/>
          <w:lang w:val="en-US" w:eastAsia="zh-CN" w:bidi="ar-SA"/>
        </w:rPr>
        <w:t xml:space="preserve">刘子亚 </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宋体"/>
          <w:b/>
          <w:bCs/>
          <w:color w:val="000000" w:themeColor="text1"/>
          <w:kern w:val="2"/>
          <w:sz w:val="30"/>
          <w:szCs w:val="30"/>
          <w:lang w:val="en-US" w:eastAsia="zh-CN" w:bidi="ar-SA"/>
          <w14:textFill>
            <w14:solidFill>
              <w14:schemeClr w14:val="tx1"/>
            </w14:solidFill>
          </w14:textFill>
        </w:rPr>
        <w:t>邮政编码：</w:t>
      </w:r>
      <w:r>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t>401120</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宋体"/>
          <w:b/>
          <w:bCs/>
          <w:color w:val="000000" w:themeColor="text1"/>
          <w:kern w:val="2"/>
          <w:sz w:val="30"/>
          <w:szCs w:val="30"/>
          <w:lang w:val="en-US" w:eastAsia="zh-CN" w:bidi="ar-SA"/>
          <w14:textFill>
            <w14:solidFill>
              <w14:schemeClr w14:val="tx1"/>
            </w14:solidFill>
          </w14:textFill>
        </w:rPr>
        <w:t>联系电话：</w:t>
      </w:r>
      <w:r>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t xml:space="preserve">023-67152137 </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宋体"/>
          <w:b/>
          <w:bCs/>
          <w:color w:val="000000" w:themeColor="text1"/>
          <w:kern w:val="2"/>
          <w:sz w:val="30"/>
          <w:szCs w:val="30"/>
          <w:lang w:val="en-US" w:eastAsia="zh-CN" w:bidi="ar-SA"/>
          <w14:textFill>
            <w14:solidFill>
              <w14:schemeClr w14:val="tx1"/>
            </w14:solidFill>
          </w14:textFill>
        </w:rPr>
        <w:t>邮箱地址：</w:t>
      </w:r>
      <w:r>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t>786453465@qq.com</w:t>
      </w:r>
    </w:p>
    <w:p>
      <w:pPr>
        <w:pStyle w:val="33"/>
        <w:ind w:firstLine="602"/>
        <w:rPr>
          <w:b/>
          <w:bCs/>
        </w:rPr>
      </w:pPr>
    </w:p>
    <w:p>
      <w:pPr>
        <w:pStyle w:val="33"/>
        <w:ind w:firstLine="602"/>
        <w:rPr>
          <w:b/>
          <w:bCs/>
        </w:rPr>
      </w:pPr>
      <w:r>
        <w:rPr>
          <w:rFonts w:hint="eastAsia"/>
          <w:b/>
          <w:bCs/>
        </w:rPr>
        <w:t>乙方：</w:t>
      </w:r>
      <w:r>
        <w:rPr>
          <w:b/>
          <w:bCs/>
        </w:rPr>
        <w:t xml:space="preserve"> </w:t>
      </w:r>
    </w:p>
    <w:p>
      <w:pPr>
        <w:pStyle w:val="33"/>
        <w:ind w:firstLine="602"/>
        <w:rPr>
          <w:b/>
          <w:bCs/>
        </w:rPr>
      </w:pPr>
      <w:r>
        <w:rPr>
          <w:rFonts w:hint="eastAsia"/>
          <w:b/>
          <w:bCs/>
        </w:rPr>
        <w:t>统一社会信用代码：</w:t>
      </w:r>
    </w:p>
    <w:p>
      <w:pPr>
        <w:pStyle w:val="33"/>
        <w:ind w:firstLine="602"/>
        <w:rPr>
          <w:b/>
          <w:bCs/>
        </w:rPr>
      </w:pPr>
      <w:r>
        <w:rPr>
          <w:b/>
          <w:bCs/>
        </w:rPr>
        <w:t>通讯地址：</w:t>
      </w:r>
    </w:p>
    <w:p>
      <w:pPr>
        <w:pStyle w:val="33"/>
        <w:ind w:firstLine="602"/>
        <w:rPr>
          <w:b/>
          <w:bCs/>
        </w:rPr>
      </w:pPr>
      <w:r>
        <w:rPr>
          <w:b/>
          <w:bCs/>
        </w:rPr>
        <w:t xml:space="preserve">法定代表人或委托代理人： </w:t>
      </w:r>
    </w:p>
    <w:p>
      <w:pPr>
        <w:pStyle w:val="33"/>
        <w:ind w:firstLine="602"/>
        <w:rPr>
          <w:b/>
          <w:bCs/>
        </w:rPr>
      </w:pPr>
      <w:r>
        <w:rPr>
          <w:b/>
          <w:bCs/>
        </w:rPr>
        <w:t>邮政编码：</w:t>
      </w:r>
    </w:p>
    <w:p>
      <w:pPr>
        <w:pStyle w:val="33"/>
        <w:ind w:firstLine="602"/>
        <w:rPr>
          <w:b/>
          <w:bCs/>
        </w:rPr>
      </w:pPr>
      <w:r>
        <w:rPr>
          <w:b/>
          <w:bCs/>
        </w:rPr>
        <w:t>联系电话：</w:t>
      </w:r>
    </w:p>
    <w:p>
      <w:pPr>
        <w:pStyle w:val="33"/>
        <w:ind w:firstLine="602"/>
        <w:rPr>
          <w:b/>
          <w:bCs/>
        </w:rPr>
      </w:pPr>
      <w:r>
        <w:rPr>
          <w:b/>
          <w:bCs/>
        </w:rPr>
        <w:t xml:space="preserve">邮箱地址： </w:t>
      </w: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依照《中华人民共和国</w:t>
      </w:r>
      <w:r>
        <w:rPr>
          <w:rStyle w:val="29"/>
          <w:rFonts w:hint="eastAsia" w:ascii="仿宋_GB2312" w:hAnsi="仿宋" w:eastAsia="仿宋_GB2312" w:cs="宋体"/>
          <w:shd w:val="clear" w:color="auto" w:fill="auto"/>
          <w:lang w:eastAsia="zh-CN"/>
        </w:rPr>
        <w:t>民法典</w:t>
      </w:r>
      <w:r>
        <w:rPr>
          <w:rStyle w:val="29"/>
          <w:rFonts w:hint="eastAsia" w:ascii="仿宋_GB2312" w:hAnsi="仿宋" w:eastAsia="仿宋_GB2312" w:cs="宋体"/>
          <w:shd w:val="clear" w:color="auto" w:fill="auto"/>
        </w:rPr>
        <w:t>》等有关法律、法规，就乙方承揽甲方</w:t>
      </w:r>
      <w:r>
        <w:rPr>
          <w:rStyle w:val="29"/>
          <w:rFonts w:hint="eastAsia" w:ascii="Times New Roman" w:hAnsi="Times New Roman" w:eastAsia="仿宋_GB2312" w:cs="Times New Roman"/>
          <w:u w:val="single"/>
          <w:shd w:val="clear" w:color="auto" w:fill="auto"/>
          <w:lang w:eastAsia="zh-CN"/>
        </w:rPr>
        <w:t>梁燕劳模创新工作室阵地建设（第一期）</w:t>
      </w:r>
      <w:r>
        <w:rPr>
          <w:rStyle w:val="29"/>
          <w:rFonts w:hint="eastAsia" w:ascii="Times New Roman" w:hAnsi="Times New Roman" w:cs="Times New Roman"/>
          <w:u w:val="single"/>
          <w:shd w:val="clear" w:color="auto" w:fill="auto"/>
          <w:lang w:eastAsia="zh-CN"/>
        </w:rPr>
        <w:t>项目</w:t>
      </w:r>
      <w:r>
        <w:rPr>
          <w:rStyle w:val="29"/>
          <w:rFonts w:hint="eastAsia" w:ascii="仿宋_GB2312" w:hAnsi="仿宋" w:eastAsia="仿宋_GB2312" w:cs="宋体"/>
          <w:shd w:val="clear" w:color="auto" w:fill="auto"/>
        </w:rPr>
        <w:t>事宜（以下称项目），双方经充分平等协商，达成本协议。</w:t>
      </w:r>
    </w:p>
    <w:p>
      <w:pPr>
        <w:pStyle w:val="4"/>
        <w:ind w:firstLine="640"/>
        <w:rPr>
          <w:rStyle w:val="29"/>
          <w:rFonts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第一条 项目名称</w:t>
      </w:r>
      <w:bookmarkEnd w:id="0"/>
      <w:bookmarkStart w:id="1" w:name="_Hlk9437057"/>
    </w:p>
    <w:p>
      <w:pPr>
        <w:spacing w:line="360" w:lineRule="auto"/>
        <w:ind w:firstLine="600" w:firstLineChars="200"/>
      </w:pPr>
      <w:r>
        <w:rPr>
          <w:rFonts w:hint="eastAsia" w:ascii="仿宋" w:hAnsi="仿宋" w:eastAsia="仿宋" w:cs="仿宋"/>
          <w:color w:val="000000" w:themeColor="text1"/>
          <w:sz w:val="30"/>
          <w:szCs w:val="30"/>
          <w:lang w:val="en-US" w:eastAsia="zh-CN"/>
          <w14:textFill>
            <w14:solidFill>
              <w14:schemeClr w14:val="tx1"/>
            </w14:solidFill>
          </w14:textFill>
        </w:rPr>
        <w:t>对梁燕劳模创新工作室阵地建设（第一期）项目进行设计及制作</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3"/>
        <w:ind w:firstLine="6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重庆机场集团有限公司动力能源</w:t>
      </w:r>
      <w:r>
        <w:rPr>
          <w:rFonts w:hint="eastAsia" w:ascii="仿宋" w:eastAsia="仿宋" w:cs="仿宋"/>
          <w:color w:val="000000" w:themeColor="text1"/>
          <w:kern w:val="2"/>
          <w:sz w:val="30"/>
          <w:szCs w:val="30"/>
          <w:lang w:val="en-US" w:eastAsia="zh-CN" w:bidi="ar-SA"/>
          <w14:textFill>
            <w14:solidFill>
              <w14:schemeClr w14:val="tx1"/>
            </w14:solidFill>
          </w14:textFill>
        </w:rPr>
        <w:t>分公司</w:t>
      </w:r>
      <w:r>
        <w:rPr>
          <w:rFonts w:hint="eastAsia" w:ascii="仿宋" w:hAnsi="仿宋" w:eastAsia="仿宋" w:cs="仿宋"/>
          <w:color w:val="000000" w:themeColor="text1"/>
          <w:kern w:val="2"/>
          <w:sz w:val="30"/>
          <w:szCs w:val="30"/>
          <w:lang w:val="en-US" w:eastAsia="zh-CN" w:bidi="ar-SA"/>
          <w14:textFill>
            <w14:solidFill>
              <w14:schemeClr w14:val="tx1"/>
            </w14:solidFill>
          </w14:textFill>
        </w:rPr>
        <w:t>能源一号楼一楼会议室。</w:t>
      </w:r>
    </w:p>
    <w:p>
      <w:pPr>
        <w:pStyle w:val="4"/>
        <w:numPr>
          <w:ilvl w:val="0"/>
          <w:numId w:val="6"/>
        </w:numPr>
        <w:ind w:firstLine="640"/>
        <w:rPr>
          <w:rFonts w:hint="eastAsia"/>
        </w:rPr>
      </w:pPr>
      <w:bookmarkStart w:id="3" w:name="_Toc24707257"/>
      <w:r>
        <w:rPr>
          <w:rFonts w:hint="eastAsia"/>
        </w:rPr>
        <w:t>项目内容和范围</w:t>
      </w:r>
      <w:bookmarkEnd w:id="3"/>
    </w:p>
    <w:tbl>
      <w:tblPr>
        <w:tblStyle w:val="18"/>
        <w:tblpPr w:leftFromText="180" w:rightFromText="180" w:vertAnchor="text" w:horzAnchor="page" w:tblpX="1161" w:tblpY="753"/>
        <w:tblOverlap w:val="never"/>
        <w:tblW w:w="9183" w:type="dxa"/>
        <w:tblInd w:w="0" w:type="dxa"/>
        <w:shd w:val="clear" w:color="auto" w:fill="auto"/>
        <w:tblLayout w:type="fixed"/>
        <w:tblCellMar>
          <w:top w:w="0" w:type="dxa"/>
          <w:left w:w="0" w:type="dxa"/>
          <w:bottom w:w="0" w:type="dxa"/>
          <w:right w:w="0" w:type="dxa"/>
        </w:tblCellMar>
      </w:tblPr>
      <w:tblGrid>
        <w:gridCol w:w="475"/>
        <w:gridCol w:w="1108"/>
        <w:gridCol w:w="4633"/>
        <w:gridCol w:w="1550"/>
        <w:gridCol w:w="1417"/>
      </w:tblGrid>
      <w:tr>
        <w:tblPrEx>
          <w:shd w:val="clear" w:color="auto" w:fill="auto"/>
          <w:tblLayout w:type="fixed"/>
          <w:tblCellMar>
            <w:top w:w="0" w:type="dxa"/>
            <w:left w:w="0" w:type="dxa"/>
            <w:bottom w:w="0" w:type="dxa"/>
            <w:right w:w="0" w:type="dxa"/>
          </w:tblCellMar>
        </w:tblPrEx>
        <w:trPr>
          <w:trHeight w:val="4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序号</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项目</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规格及具体内容</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数量</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单位</w:t>
            </w:r>
          </w:p>
        </w:tc>
      </w:tr>
      <w:tr>
        <w:tblPrEx>
          <w:tblLayout w:type="fixed"/>
          <w:tblCellMar>
            <w:top w:w="0" w:type="dxa"/>
            <w:left w:w="0" w:type="dxa"/>
            <w:bottom w:w="0" w:type="dxa"/>
            <w:right w:w="0" w:type="dxa"/>
          </w:tblCellMar>
        </w:tblPrEx>
        <w:trPr>
          <w:trHeight w:val="1371"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工作室整体造型</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工作室整体设计理念具有整体性、逻辑性，设计主题结合水电气风桥业务板块，突出创新成果展示</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项</w:t>
            </w:r>
          </w:p>
        </w:tc>
      </w:tr>
      <w:tr>
        <w:tblPrEx>
          <w:tblLayout w:type="fixed"/>
          <w:tblCellMar>
            <w:top w:w="0" w:type="dxa"/>
            <w:left w:w="0" w:type="dxa"/>
            <w:bottom w:w="0" w:type="dxa"/>
            <w:right w:w="0" w:type="dxa"/>
          </w:tblCellMar>
        </w:tblPrEx>
        <w:trPr>
          <w:trHeight w:val="1094"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进门设计布置</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工作室门口醒目，具有高级感和新意</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项</w:t>
            </w:r>
          </w:p>
        </w:tc>
      </w:tr>
      <w:tr>
        <w:tblPrEx>
          <w:tblLayout w:type="fixed"/>
          <w:tblCellMar>
            <w:top w:w="0" w:type="dxa"/>
            <w:left w:w="0" w:type="dxa"/>
            <w:bottom w:w="0" w:type="dxa"/>
            <w:right w:w="0" w:type="dxa"/>
          </w:tblCellMar>
        </w:tblPrEx>
        <w:trPr>
          <w:trHeight w:val="13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lang w:val="en-US" w:eastAsia="zh-CN" w:bidi="ar"/>
              </w:rPr>
            </w:pPr>
            <w:r>
              <w:rPr>
                <w:rFonts w:hint="eastAsia" w:ascii="仿宋" w:hAnsi="仿宋" w:eastAsia="仿宋" w:cs="仿宋"/>
                <w:i w:val="0"/>
                <w:color w:val="000000"/>
                <w:kern w:val="0"/>
                <w:sz w:val="24"/>
                <w:szCs w:val="24"/>
                <w:lang w:val="en-US" w:eastAsia="zh-CN" w:bidi="ar"/>
              </w:rPr>
              <w:t>3</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室内墙面布置</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根据总体设计做出相应造型所需的屋顶、墙面、地面等改造、装修</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lang w:val="en-US" w:eastAsia="zh-CN" w:bidi="ar"/>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lang w:val="en-US" w:eastAsia="zh-CN" w:bidi="ar"/>
              </w:rPr>
            </w:pPr>
            <w:r>
              <w:rPr>
                <w:rFonts w:hint="eastAsia" w:ascii="仿宋" w:hAnsi="仿宋" w:eastAsia="仿宋" w:cs="仿宋"/>
                <w:i w:val="0"/>
                <w:color w:val="000000"/>
                <w:kern w:val="0"/>
                <w:sz w:val="24"/>
                <w:szCs w:val="24"/>
                <w:lang w:val="en-US" w:eastAsia="zh-CN" w:bidi="ar"/>
              </w:rPr>
              <w:t>项</w:t>
            </w:r>
          </w:p>
        </w:tc>
      </w:tr>
      <w:tr>
        <w:tblPrEx>
          <w:tblLayout w:type="fixed"/>
          <w:tblCellMar>
            <w:top w:w="0" w:type="dxa"/>
            <w:left w:w="0" w:type="dxa"/>
            <w:bottom w:w="0" w:type="dxa"/>
            <w:right w:w="0" w:type="dxa"/>
          </w:tblCellMar>
        </w:tblPrEx>
        <w:trPr>
          <w:trHeight w:val="1215"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4</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陈列展示</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u w:val="none"/>
                <w:lang w:val="en-US" w:eastAsia="zh-CN" w:bidi="ar"/>
              </w:rPr>
              <w:t>定制成品展柜</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w:t>
            </w:r>
          </w:p>
        </w:tc>
      </w:tr>
      <w:tr>
        <w:tblPrEx>
          <w:tblLayout w:type="fixed"/>
          <w:tblCellMar>
            <w:top w:w="0" w:type="dxa"/>
            <w:left w:w="0" w:type="dxa"/>
            <w:bottom w:w="0" w:type="dxa"/>
            <w:right w:w="0" w:type="dxa"/>
          </w:tblCellMar>
        </w:tblPrEx>
        <w:trPr>
          <w:trHeight w:val="1211"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5</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展板展示</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u w:val="none"/>
                <w:lang w:val="en-US" w:eastAsia="zh-CN" w:bidi="ar"/>
              </w:rPr>
              <w:t>墙面广告设计、制作及安装</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w:t>
            </w:r>
          </w:p>
        </w:tc>
      </w:tr>
      <w:tr>
        <w:tblPrEx>
          <w:tblLayout w:type="fixed"/>
          <w:tblCellMar>
            <w:top w:w="0" w:type="dxa"/>
            <w:left w:w="0" w:type="dxa"/>
            <w:bottom w:w="0" w:type="dxa"/>
            <w:right w:w="0" w:type="dxa"/>
          </w:tblCellMar>
        </w:tblPrEx>
        <w:trPr>
          <w:trHeight w:val="1562"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6</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灯光设计布置</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eastAsia="zh-CN"/>
              </w:rPr>
            </w:pPr>
            <w:r>
              <w:rPr>
                <w:rFonts w:hint="eastAsia" w:ascii="仿宋" w:hAnsi="仿宋" w:eastAsia="仿宋" w:cs="仿宋"/>
                <w:i w:val="0"/>
                <w:color w:val="000000"/>
                <w:kern w:val="2"/>
                <w:sz w:val="24"/>
                <w:szCs w:val="24"/>
                <w:lang w:eastAsia="zh-CN"/>
              </w:rPr>
              <w:t>灯杆整体设计及布置安装，营造具有科技感、高级感让人舒服的环境氛围，对工作室重点介绍的文化及成果有突出效果</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lang w:val="en-US" w:eastAsia="zh-CN"/>
              </w:rPr>
            </w:pPr>
            <w:r>
              <w:rPr>
                <w:rFonts w:hint="eastAsia" w:ascii="仿宋" w:hAnsi="仿宋" w:eastAsia="仿宋" w:cs="仿宋"/>
                <w:i w:val="0"/>
                <w:color w:val="000000"/>
                <w:kern w:val="2"/>
                <w:sz w:val="24"/>
                <w:szCs w:val="24"/>
                <w:lang w:val="en-US" w:eastAsia="zh-CN"/>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4"/>
                <w:szCs w:val="24"/>
              </w:rPr>
            </w:pPr>
            <w:r>
              <w:rPr>
                <w:rFonts w:hint="eastAsia" w:ascii="仿宋" w:hAnsi="仿宋" w:eastAsia="仿宋" w:cs="仿宋"/>
                <w:i w:val="0"/>
                <w:color w:val="000000"/>
                <w:kern w:val="0"/>
                <w:sz w:val="24"/>
                <w:szCs w:val="24"/>
                <w:lang w:val="en-US" w:eastAsia="zh-CN" w:bidi="ar"/>
              </w:rPr>
              <w:t>项</w:t>
            </w:r>
          </w:p>
        </w:tc>
      </w:tr>
    </w:tbl>
    <w:p>
      <w:pPr>
        <w:numPr>
          <w:ilvl w:val="0"/>
          <w:numId w:val="0"/>
        </w:numPr>
      </w:pPr>
    </w:p>
    <w:p>
      <w:pPr>
        <w:pStyle w:val="4"/>
        <w:keepNext/>
        <w:keepLines/>
        <w:pageBreakBefore w:val="0"/>
        <w:widowControl w:val="0"/>
        <w:kinsoku/>
        <w:wordWrap/>
        <w:overflowPunct/>
        <w:topLinePunct w:val="0"/>
        <w:autoSpaceDE/>
        <w:autoSpaceDN/>
        <w:bidi w:val="0"/>
        <w:adjustRightInd/>
        <w:snapToGrid/>
        <w:ind w:left="0" w:leftChars="0" w:firstLine="640" w:firstLineChars="200"/>
        <w:textAlignment w:val="auto"/>
        <w:outlineLvl w:val="1"/>
        <w:rPr>
          <w:rStyle w:val="29"/>
          <w:rFonts w:ascii="仿宋" w:hAnsi="仿宋" w:eastAsia="黑体" w:cs="Times New Roman"/>
          <w:sz w:val="32"/>
          <w:szCs w:val="24"/>
          <w:shd w:val="clear" w:color="auto" w:fill="auto"/>
        </w:rPr>
      </w:pPr>
      <w:bookmarkStart w:id="4" w:name="_Toc24707258"/>
      <w:r>
        <w:rPr>
          <w:rStyle w:val="29"/>
          <w:rFonts w:hint="eastAsia" w:ascii="仿宋" w:hAnsi="仿宋" w:eastAsia="黑体" w:cs="Times New Roman"/>
          <w:sz w:val="32"/>
          <w:szCs w:val="24"/>
          <w:shd w:val="clear" w:color="auto" w:fill="auto"/>
        </w:rPr>
        <w:t>第四条 项目工期</w:t>
      </w:r>
      <w:bookmarkEnd w:id="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w:t>
      </w:r>
      <w:r>
        <w:rPr>
          <w:rFonts w:hint="eastAsia" w:ascii="仿宋_GB2312" w:hAnsi="宋体" w:eastAsia="仿宋_GB2312" w:cs="Arial"/>
          <w:bCs/>
          <w:color w:val="000000" w:themeColor="text1"/>
          <w:sz w:val="28"/>
          <w:szCs w:val="28"/>
          <w:lang w:val="en-US" w:eastAsia="zh-CN"/>
          <w14:textFill>
            <w14:solidFill>
              <w14:schemeClr w14:val="tx1"/>
            </w14:solidFill>
          </w14:textFill>
        </w:rPr>
        <w:t>工期为合同签订之日起</w:t>
      </w:r>
      <w:r>
        <w:rPr>
          <w:rFonts w:hint="eastAsia" w:hAnsi="宋体" w:cs="Arial"/>
          <w:bCs/>
          <w:color w:val="000000" w:themeColor="text1"/>
          <w:sz w:val="28"/>
          <w:szCs w:val="28"/>
          <w:lang w:val="en-US" w:eastAsia="zh-CN"/>
          <w14:textFill>
            <w14:solidFill>
              <w14:schemeClr w14:val="tx1"/>
            </w14:solidFill>
          </w14:textFill>
        </w:rPr>
        <w:t>3</w:t>
      </w:r>
      <w:r>
        <w:rPr>
          <w:rFonts w:hint="eastAsia" w:ascii="仿宋_GB2312" w:hAnsi="宋体" w:eastAsia="仿宋_GB2312" w:cs="Arial"/>
          <w:bCs/>
          <w:color w:val="000000" w:themeColor="text1"/>
          <w:sz w:val="28"/>
          <w:szCs w:val="28"/>
          <w:lang w:val="en-US" w:eastAsia="zh-CN"/>
          <w14:textFill>
            <w14:solidFill>
              <w14:schemeClr w14:val="tx1"/>
            </w14:solidFill>
          </w14:textFill>
        </w:rPr>
        <w:t>0日历天</w:t>
      </w:r>
      <w:r>
        <w:rPr>
          <w:rStyle w:val="29"/>
          <w:rFonts w:ascii="仿宋_GB2312" w:hAnsi="仿宋" w:eastAsia="仿宋_GB2312" w:cs="宋体"/>
          <w:shd w:val="clear" w:color="auto" w:fill="auto"/>
        </w:rPr>
        <w:t>。</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7"/>
        </w:numPr>
        <w:ind w:firstLine="640"/>
        <w:rPr>
          <w:rStyle w:val="29"/>
          <w:rFonts w:hint="eastAsia"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 xml:space="preserve"> 履约担保、质量保证</w:t>
      </w:r>
      <w:bookmarkEnd w:id="5"/>
    </w:p>
    <w:p>
      <w:pPr>
        <w:adjustRightInd w:val="0"/>
        <w:snapToGrid w:val="0"/>
        <w:spacing w:line="360" w:lineRule="auto"/>
        <w:ind w:left="1" w:firstLine="600" w:firstLineChars="200"/>
        <w:jc w:val="left"/>
        <w:rPr>
          <w:rStyle w:val="29"/>
          <w:rFonts w:hint="eastAsia" w:ascii="仿宋_GB2312" w:hAnsi="仿宋" w:eastAsia="仿宋_GB2312" w:cs="宋体"/>
          <w:color w:val="000000"/>
          <w:kern w:val="2"/>
          <w:shd w:val="clear" w:fill="auto"/>
          <w:lang w:val="en-US" w:eastAsia="zh-CN" w:bidi="ar-SA"/>
        </w:rPr>
      </w:pPr>
      <w:r>
        <w:rPr>
          <w:rStyle w:val="29"/>
          <w:rFonts w:hint="eastAsia" w:ascii="仿宋_GB2312" w:hAnsi="仿宋" w:eastAsia="仿宋_GB2312" w:cs="宋体"/>
          <w:color w:val="000000"/>
          <w:kern w:val="2"/>
          <w:shd w:val="clear" w:fill="auto"/>
          <w:lang w:val="en-US" w:eastAsia="zh-CN" w:bidi="ar-SA"/>
        </w:rPr>
        <w:t>5.1 履约保证金：</w:t>
      </w: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sz w:val="28"/>
          <w:szCs w:val="28"/>
          <w:lang w:eastAsia="zh-CN"/>
        </w:rPr>
        <w:t>成交金额的</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rPr>
        <w:t>，成交人在收到成交通知书10日内</w:t>
      </w:r>
      <w:r>
        <w:rPr>
          <w:rFonts w:hint="eastAsia" w:ascii="方正仿宋_GBK" w:hAnsi="方正仿宋_GBK" w:eastAsia="方正仿宋_GBK" w:cs="方正仿宋_GBK"/>
          <w:sz w:val="28"/>
          <w:szCs w:val="28"/>
          <w:lang w:eastAsia="zh-CN"/>
        </w:rPr>
        <w:t>足额</w:t>
      </w:r>
      <w:r>
        <w:rPr>
          <w:rFonts w:hint="eastAsia" w:ascii="方正仿宋_GBK" w:hAnsi="方正仿宋_GBK" w:eastAsia="方正仿宋_GBK" w:cs="方正仿宋_GBK"/>
          <w:sz w:val="28"/>
          <w:szCs w:val="28"/>
        </w:rPr>
        <w:t>缴纳，履约保证金在</w:t>
      </w:r>
      <w:r>
        <w:rPr>
          <w:rFonts w:hint="eastAsia" w:ascii="方正仿宋_GBK" w:hAnsi="方正仿宋_GBK" w:eastAsia="方正仿宋_GBK" w:cs="方正仿宋_GBK"/>
          <w:sz w:val="28"/>
          <w:szCs w:val="28"/>
          <w:lang w:eastAsia="zh-CN"/>
        </w:rPr>
        <w:t>质保期到期</w:t>
      </w:r>
      <w:r>
        <w:rPr>
          <w:rFonts w:hint="eastAsia" w:ascii="方正仿宋_GBK" w:hAnsi="方正仿宋_GBK" w:eastAsia="方正仿宋_GBK" w:cs="方正仿宋_GBK"/>
          <w:sz w:val="28"/>
          <w:szCs w:val="28"/>
        </w:rPr>
        <w:t>后若无问题，一次性退还（不计利息）</w:t>
      </w:r>
      <w:r>
        <w:rPr>
          <w:rStyle w:val="29"/>
          <w:rFonts w:hint="eastAsia" w:ascii="仿宋_GB2312" w:hAnsi="仿宋" w:eastAsia="仿宋_GB2312" w:cs="宋体"/>
          <w:color w:val="000000"/>
          <w:kern w:val="2"/>
          <w:shd w:val="clear" w:fill="auto"/>
          <w:lang w:val="en-US" w:eastAsia="zh-CN" w:bidi="ar-SA"/>
        </w:rPr>
        <w:t>。</w:t>
      </w:r>
    </w:p>
    <w:p>
      <w:pPr>
        <w:spacing w:line="360" w:lineRule="auto"/>
        <w:ind w:firstLine="560" w:firstLineChars="200"/>
        <w:rPr>
          <w:rFonts w:hint="eastAsia"/>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5.2  质保期：自验收合格之日起6个月。质保期内出现任何产品质量问题，接到甲方通知后，乙方需派人在24小时内进行响应，并免费更换出现质量问题的产品。</w:t>
      </w:r>
    </w:p>
    <w:p>
      <w:pPr>
        <w:pStyle w:val="4"/>
        <w:ind w:firstLine="640"/>
        <w:rPr>
          <w:rStyle w:val="29"/>
          <w:rFonts w:ascii="仿宋" w:hAnsi="仿宋" w:eastAsia="黑体" w:cs="Times New Roman"/>
          <w:sz w:val="32"/>
          <w:szCs w:val="24"/>
          <w:shd w:val="clear" w:color="auto" w:fill="auto"/>
        </w:rPr>
      </w:pPr>
      <w:bookmarkStart w:id="6" w:name="_Toc24707260"/>
      <w:r>
        <w:rPr>
          <w:rStyle w:val="29"/>
          <w:rFonts w:hint="eastAsia" w:ascii="仿宋" w:hAnsi="仿宋" w:eastAsia="黑体" w:cs="Times New Roman"/>
          <w:sz w:val="32"/>
          <w:szCs w:val="24"/>
          <w:shd w:val="clear" w:color="auto" w:fill="auto"/>
        </w:rPr>
        <w:t>第六条  合同价款</w:t>
      </w:r>
      <w:bookmarkEnd w:id="6"/>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lang w:val="en-US" w:eastAsia="zh-CN"/>
        </w:rPr>
        <w:t>合同</w:t>
      </w:r>
      <w:r>
        <w:rPr>
          <w:rStyle w:val="29"/>
          <w:rFonts w:hint="eastAsia" w:ascii="仿宋_GB2312" w:hAnsi="仿宋" w:eastAsia="仿宋_GB2312" w:cs="宋体"/>
          <w:shd w:val="clear" w:color="auto" w:fill="auto"/>
        </w:rPr>
        <w:t>金额</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不含</w:t>
      </w:r>
      <w:r>
        <w:rPr>
          <w:rStyle w:val="29"/>
          <w:rFonts w:hint="eastAsia" w:ascii="仿宋_GB2312" w:hAnsi="仿宋" w:eastAsia="仿宋_GB2312" w:cs="宋体"/>
          <w:shd w:val="clear" w:color="auto" w:fill="auto"/>
          <w:lang w:val="en-US" w:eastAsia="zh-CN"/>
        </w:rPr>
        <w:t>增值</w:t>
      </w:r>
      <w:r>
        <w:rPr>
          <w:rStyle w:val="29"/>
          <w:rFonts w:hint="eastAsia" w:ascii="仿宋_GB2312" w:hAnsi="仿宋" w:eastAsia="仿宋_GB2312" w:cs="宋体"/>
          <w:shd w:val="clear" w:color="auto" w:fill="auto"/>
        </w:rPr>
        <w:t>税</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元（大写：</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）；含税金额：</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元（大写：</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r>
        <w:rPr>
          <w:rStyle w:val="29"/>
          <w:rFonts w:hint="eastAsia" w:ascii="仿宋_GB2312" w:hAnsi="仿宋" w:eastAsia="仿宋_GB2312" w:cs="宋体"/>
          <w:shd w:val="clear" w:color="auto" w:fill="auto"/>
          <w:lang w:val="en-US" w:eastAsia="zh-CN"/>
        </w:rPr>
        <w:t>增值税税率为</w:t>
      </w:r>
      <w:r>
        <w:rPr>
          <w:rStyle w:val="29"/>
          <w:rFonts w:hint="eastAsia" w:cs="宋体"/>
          <w:u w:val="single"/>
          <w:shd w:val="clear" w:color="auto" w:fill="auto"/>
          <w:lang w:val="en-US" w:eastAsia="zh-CN"/>
        </w:rPr>
        <w:t xml:space="preserve">  </w:t>
      </w:r>
      <w:r>
        <w:rPr>
          <w:rStyle w:val="29"/>
          <w:rFonts w:hint="eastAsia" w:ascii="仿宋_GB2312" w:hAnsi="仿宋" w:eastAsia="仿宋_GB2312" w:cs="宋体"/>
          <w:shd w:val="clear" w:color="auto" w:fill="auto"/>
          <w:lang w:val="en-US" w:eastAsia="zh-CN"/>
        </w:rPr>
        <w:t>%。</w:t>
      </w:r>
      <w:r>
        <w:rPr>
          <w:rStyle w:val="29"/>
          <w:rFonts w:hint="eastAsia" w:ascii="仿宋_GB2312" w:hAnsi="仿宋" w:eastAsia="仿宋_GB2312" w:cs="宋体"/>
          <w:shd w:val="clear" w:color="auto" w:fill="auto"/>
        </w:rPr>
        <w:t>本合同价格为 “总价包干”，包括但不限于材料购买、人工、运输、保险、风险措施费用等一切与项目内容相关的费用。</w:t>
      </w:r>
    </w:p>
    <w:p>
      <w:pPr>
        <w:pStyle w:val="4"/>
        <w:ind w:firstLine="640"/>
        <w:rPr>
          <w:rStyle w:val="29"/>
          <w:rFonts w:ascii="仿宋" w:hAnsi="仿宋" w:eastAsia="黑体" w:cs="Times New Roman"/>
          <w:sz w:val="32"/>
          <w:szCs w:val="24"/>
          <w:shd w:val="clear" w:color="auto" w:fill="auto"/>
        </w:rPr>
      </w:pPr>
      <w:bookmarkStart w:id="7" w:name="_Toc24707261"/>
      <w:r>
        <w:rPr>
          <w:rStyle w:val="29"/>
          <w:rFonts w:hint="eastAsia" w:ascii="仿宋" w:hAnsi="仿宋" w:eastAsia="黑体" w:cs="Times New Roman"/>
          <w:sz w:val="32"/>
          <w:szCs w:val="24"/>
          <w:shd w:val="clear" w:color="auto" w:fill="auto"/>
        </w:rPr>
        <w:t>第七条 付款方式</w:t>
      </w:r>
      <w:bookmarkEnd w:id="7"/>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7.1项目完工验收合格后，乙方</w:t>
      </w:r>
      <w:r>
        <w:rPr>
          <w:rStyle w:val="29"/>
          <w:rFonts w:hint="eastAsia" w:ascii="仿宋_GB2312" w:hAnsi="仿宋" w:eastAsia="仿宋_GB2312" w:cs="宋体"/>
          <w:shd w:val="clear" w:color="auto" w:fill="auto"/>
          <w:lang w:val="en-US" w:eastAsia="zh-CN"/>
        </w:rPr>
        <w:t>向甲方</w:t>
      </w:r>
      <w:r>
        <w:rPr>
          <w:rStyle w:val="29"/>
          <w:rFonts w:hint="eastAsia" w:ascii="仿宋_GB2312" w:hAnsi="仿宋" w:eastAsia="仿宋_GB2312" w:cs="宋体"/>
          <w:shd w:val="clear" w:color="auto" w:fill="auto"/>
        </w:rPr>
        <w:t>开具</w:t>
      </w:r>
      <w:r>
        <w:rPr>
          <w:rStyle w:val="29"/>
          <w:rFonts w:hint="eastAsia" w:ascii="仿宋_GB2312" w:hAnsi="仿宋" w:eastAsia="仿宋_GB2312" w:cs="宋体"/>
          <w:shd w:val="clear" w:color="auto" w:fill="auto"/>
          <w:lang w:val="en-US" w:eastAsia="zh-CN"/>
        </w:rPr>
        <w:t>合同金额的正规增值税发票。甲方在收到</w:t>
      </w:r>
      <w:r>
        <w:rPr>
          <w:rStyle w:val="29"/>
          <w:rFonts w:hint="eastAsia" w:ascii="仿宋_GB2312" w:hAnsi="仿宋" w:eastAsia="仿宋_GB2312" w:cs="宋体"/>
          <w:shd w:val="clear" w:color="auto" w:fill="auto"/>
        </w:rPr>
        <w:t>增值税发票后30个工作日内，向乙方支付合同价款的</w:t>
      </w:r>
      <w:r>
        <w:rPr>
          <w:rStyle w:val="29"/>
          <w:rFonts w:hint="eastAsia" w:ascii="仿宋_GB2312" w:hAnsi="仿宋" w:eastAsia="仿宋_GB2312" w:cs="宋体"/>
          <w:shd w:val="clear" w:color="auto" w:fill="auto"/>
          <w:lang w:val="en-US" w:eastAsia="zh-CN"/>
        </w:rPr>
        <w:t>100</w:t>
      </w:r>
      <w:r>
        <w:rPr>
          <w:rStyle w:val="29"/>
          <w:rFonts w:hint="eastAsia" w:ascii="仿宋_GB2312" w:hAnsi="仿宋" w:eastAsia="仿宋_GB2312" w:cs="宋体"/>
          <w:shd w:val="clear" w:color="auto" w:fill="auto"/>
        </w:rPr>
        <w:t>％。</w:t>
      </w:r>
    </w:p>
    <w:p>
      <w:pPr>
        <w:pStyle w:val="33"/>
        <w:ind w:firstLine="600"/>
        <w:rPr>
          <w:rStyle w:val="36"/>
          <w:color w:val="000000" w:themeColor="text1"/>
          <w:lang w:eastAsia="zh-CN"/>
          <w14:textFill>
            <w14:solidFill>
              <w14:schemeClr w14:val="tx1"/>
            </w14:solidFill>
          </w14:textFill>
        </w:rPr>
      </w:pPr>
      <w:r>
        <w:rPr>
          <w:rStyle w:val="36"/>
          <w:rFonts w:hint="eastAsia"/>
          <w:color w:val="000000" w:themeColor="text1"/>
          <w:lang w:eastAsia="zh-CN"/>
          <w14:textFill>
            <w14:solidFill>
              <w14:schemeClr w14:val="tx1"/>
            </w14:solidFill>
          </w14:textFill>
        </w:rPr>
        <w:t>如果乙方提供增值税普通发票，甲方支付金额为不含增值税金额；如果乙方提供增值税专用发票，甲方支付金额</w:t>
      </w:r>
      <w:r>
        <w:rPr>
          <w:rStyle w:val="36"/>
          <w:color w:val="000000" w:themeColor="text1"/>
          <w:lang w:eastAsia="zh-CN"/>
          <w14:textFill>
            <w14:solidFill>
              <w14:schemeClr w14:val="tx1"/>
            </w14:solidFill>
          </w14:textFill>
        </w:rPr>
        <w:t>=不含增值税金额+增值税税额。</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7.2 支付方式：银行转账。</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7.3 乙方</w:t>
      </w:r>
      <w:r>
        <w:rPr>
          <w:rStyle w:val="29"/>
          <w:rFonts w:hint="eastAsia" w:ascii="仿宋_GB2312" w:hAnsi="仿宋" w:eastAsia="仿宋_GB2312" w:cs="宋体"/>
          <w:shd w:val="clear" w:color="auto" w:fill="auto"/>
          <w:lang w:eastAsia="zh-CN"/>
        </w:rPr>
        <w:t>账户</w:t>
      </w:r>
      <w:r>
        <w:rPr>
          <w:rStyle w:val="29"/>
          <w:rFonts w:hint="eastAsia" w:ascii="仿宋_GB2312" w:hAnsi="仿宋" w:eastAsia="仿宋_GB2312" w:cs="宋体"/>
          <w:shd w:val="clear" w:color="auto" w:fill="auto"/>
        </w:rPr>
        <w:t>信息：</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开户行：</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账号：</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8.1 项目所需材料的提供和使用由乙方负责；</w:t>
      </w:r>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8.2 未经甲方书面同意，乙方不得擅自改变合同约定材料，也不得转包、分包；</w:t>
      </w:r>
    </w:p>
    <w:p>
      <w:pPr>
        <w:pStyle w:val="33"/>
        <w:ind w:firstLine="600"/>
        <w:rPr>
          <w:rStyle w:val="29"/>
          <w:rFonts w:hint="default"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lang w:val="en-US" w:eastAsia="zh-CN"/>
        </w:rPr>
        <w:t>8.3展板安装过程中或质保期内甲方发现任务展板质量问题，乙方需无理由免费更换。</w:t>
      </w:r>
    </w:p>
    <w:p>
      <w:pPr>
        <w:pStyle w:val="4"/>
        <w:ind w:firstLine="640"/>
        <w:rPr>
          <w:rStyle w:val="29"/>
          <w:rFonts w:ascii="仿宋" w:hAnsi="仿宋" w:eastAsia="黑体" w:cs="Times New Roman"/>
          <w:sz w:val="32"/>
          <w:szCs w:val="24"/>
          <w:shd w:val="clear" w:color="auto" w:fill="auto"/>
        </w:rPr>
      </w:pPr>
      <w:bookmarkStart w:id="9" w:name="_Toc24707263"/>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3"/>
        <w:ind w:firstLine="600"/>
      </w:pPr>
      <w:r>
        <w:rPr>
          <w:rStyle w:val="29"/>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29"/>
          <w:rFonts w:ascii="仿宋" w:hAnsi="仿宋" w:eastAsia="黑体" w:cs="Times New Roman"/>
          <w:sz w:val="32"/>
          <w:szCs w:val="24"/>
          <w:shd w:val="clear" w:color="auto" w:fill="auto"/>
        </w:rPr>
      </w:pPr>
      <w:bookmarkStart w:id="12" w:name="_Toc24707266"/>
      <w:r>
        <w:rPr>
          <w:rStyle w:val="29"/>
          <w:rFonts w:hint="eastAsia" w:ascii="仿宋" w:hAnsi="仿宋" w:eastAsia="黑体" w:cs="Times New Roman"/>
          <w:sz w:val="32"/>
          <w:szCs w:val="24"/>
          <w:shd w:val="clear" w:color="auto" w:fill="auto"/>
        </w:rPr>
        <w:t>第十条  成果验收标准和方法</w:t>
      </w:r>
      <w:bookmarkEnd w:id="12"/>
    </w:p>
    <w:p>
      <w:pPr>
        <w:pStyle w:val="33"/>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项目完工后，由乙方向甲方提出验收申请，甲方按</w:t>
      </w:r>
      <w:r>
        <w:rPr>
          <w:rFonts w:hint="eastAsia" w:ascii="Times New Roman" w:hAnsi="Times New Roman"/>
        </w:rPr>
        <w:t>第三条项目内容及范围</w:t>
      </w:r>
      <w:r>
        <w:rPr>
          <w:rStyle w:val="29"/>
          <w:rFonts w:hint="eastAsia" w:ascii="仿宋_GB2312" w:hAnsi="仿宋" w:eastAsia="仿宋_GB2312" w:cs="宋体"/>
          <w:shd w:val="clear" w:color="auto" w:fill="auto"/>
        </w:rPr>
        <w:t>进行验收。</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3"/>
        <w:ind w:firstLine="600"/>
        <w:rPr>
          <w:rFonts w:hint="eastAsia" w:eastAsia="仿宋_GB2312"/>
          <w:lang w:eastAsia="zh-CN"/>
        </w:rPr>
      </w:pPr>
      <w:r>
        <w:rPr>
          <w:rFonts w:hint="eastAsia"/>
        </w:rPr>
        <w:t>12.2.项目验收不合格，乙方应负责无偿修理或返工。因修理或返工而造成的逾期验收的，按12.3约定处理。</w:t>
      </w:r>
    </w:p>
    <w:p>
      <w:pPr>
        <w:pStyle w:val="33"/>
        <w:ind w:firstLine="600"/>
        <w:rPr>
          <w:rFonts w:hint="eastAsia"/>
        </w:rPr>
      </w:pPr>
      <w:r>
        <w:rPr>
          <w:rFonts w:hint="eastAsia"/>
        </w:rPr>
        <w:t>12.3乙方不能</w:t>
      </w:r>
      <w:r>
        <w:rPr>
          <w:rStyle w:val="29"/>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shd w:val="clear" w:color="auto" w:fill="auto"/>
          <w:lang w:val="en-US" w:eastAsia="zh-CN"/>
        </w:rPr>
        <w:t>30</w:t>
      </w:r>
      <w:r>
        <w:rPr>
          <w:rStyle w:val="29"/>
          <w:rFonts w:hint="eastAsia" w:ascii="仿宋_GB2312" w:hAnsi="仿宋" w:eastAsia="仿宋_GB2312" w:cs="宋体"/>
          <w:shd w:val="clear" w:color="auto" w:fill="auto"/>
        </w:rPr>
        <w:t>天的，甲方有权</w:t>
      </w:r>
      <w:r>
        <w:rPr>
          <w:rFonts w:hint="eastAsia"/>
        </w:rPr>
        <w:t>解除合同。</w:t>
      </w:r>
    </w:p>
    <w:p>
      <w:pPr>
        <w:pStyle w:val="33"/>
        <w:ind w:firstLine="600"/>
        <w:rPr>
          <w:rFonts w:hint="eastAsia"/>
        </w:rPr>
      </w:pPr>
      <w:r>
        <w:rPr>
          <w:rFonts w:hint="eastAsia"/>
        </w:rPr>
        <w:t>12.4 乙方擅自改变材料或擅自转、分包的，甲方有权要求改正，并处合同总价款10%的违约金，乙方不能改正的，甲方有权解除合同。</w:t>
      </w:r>
    </w:p>
    <w:p>
      <w:pPr>
        <w:pStyle w:val="33"/>
        <w:ind w:firstLine="600"/>
        <w:rPr>
          <w:rFonts w:hint="eastAsia"/>
        </w:rPr>
      </w:pPr>
      <w:r>
        <w:rPr>
          <w:rFonts w:hint="eastAsia"/>
          <w:lang w:val="en-US" w:eastAsia="zh-CN"/>
        </w:rPr>
        <w:t xml:space="preserve">12.5 </w:t>
      </w:r>
      <w:r>
        <w:rPr>
          <w:rFonts w:hint="eastAsia"/>
        </w:rPr>
        <w:t>成交人收到成交通知书后，无正当理由不与采购人订立合同，在签订合同时向采购人提出附加条件，或者不按照采购文件要求提交履约保证金的，将被列入采购人黑名单。注：黑名单有效期3年，被列入黑名单的单位在黑名单有效期内禁止参与采购人的项目。</w:t>
      </w:r>
    </w:p>
    <w:p>
      <w:pPr>
        <w:pStyle w:val="4"/>
        <w:ind w:firstLine="640"/>
      </w:pPr>
      <w:bookmarkStart w:id="15" w:name="_Toc24707269"/>
      <w:r>
        <w:rPr>
          <w:rFonts w:hint="eastAsia"/>
        </w:rPr>
        <w:t>第十三条  争议解决方式</w:t>
      </w:r>
      <w:bookmarkEnd w:id="15"/>
    </w:p>
    <w:p>
      <w:pPr>
        <w:pStyle w:val="33"/>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33"/>
        <w:ind w:firstLine="600"/>
      </w:pPr>
      <w:r>
        <w:rPr>
          <w:rFonts w:hint="eastAsia"/>
        </w:rPr>
        <w:t>（一）提交重庆仲裁委员会，按照申请仲裁时该会现行有效的仲裁规则进行仲裁。</w:t>
      </w:r>
    </w:p>
    <w:p>
      <w:pPr>
        <w:pStyle w:val="33"/>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33"/>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3"/>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3"/>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3"/>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3"/>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3"/>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3"/>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3"/>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3"/>
        <w:ind w:firstLine="600"/>
        <w:rPr>
          <w:rFonts w:hint="eastAsia"/>
        </w:rPr>
      </w:pPr>
      <w:r>
        <w:rPr>
          <w:rFonts w:hint="eastAsia"/>
        </w:rPr>
        <w:t>本合同履行过程中，如果合同履行条件发生变化，由双方进行协商，并以签订补充合同的方式加以确认，补充合同与本合同具有同等效力。如果补充协议条款与本合同条款产生冲突，以补充协议的条款为准。</w:t>
      </w:r>
      <w:bookmarkStart w:id="19" w:name="_Toc24707273"/>
    </w:p>
    <w:p>
      <w:pPr>
        <w:pStyle w:val="4"/>
        <w:ind w:firstLine="640"/>
        <w:rPr>
          <w:rFonts w:hint="eastAsia"/>
        </w:rPr>
      </w:pPr>
      <w:r>
        <w:rPr>
          <w:rFonts w:hint="eastAsia"/>
        </w:rPr>
        <w:t>第十七条  保密条款</w:t>
      </w:r>
      <w:bookmarkEnd w:id="19"/>
    </w:p>
    <w:p>
      <w:pPr>
        <w:pStyle w:val="33"/>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3"/>
        <w:ind w:firstLine="600"/>
      </w:pPr>
      <w:r>
        <w:rPr>
          <w:rFonts w:hint="eastAsia"/>
        </w:rPr>
        <w:t>18.1本合同自双方法定代表人或委托代理人签字并加盖公司公章或合同专用章后生效。</w:t>
      </w:r>
    </w:p>
    <w:p>
      <w:pPr>
        <w:pStyle w:val="33"/>
        <w:ind w:firstLine="600"/>
      </w:pPr>
      <w:r>
        <w:rPr>
          <w:rFonts w:hint="eastAsia"/>
        </w:rPr>
        <w:t>18.2本合同一式</w:t>
      </w:r>
      <w:r>
        <w:rPr>
          <w:rFonts w:hint="eastAsia"/>
          <w:lang w:eastAsia="zh-CN"/>
        </w:rPr>
        <w:t>柒</w:t>
      </w:r>
      <w:r>
        <w:rPr>
          <w:rFonts w:hint="eastAsia"/>
        </w:rPr>
        <w:t>份，正本</w:t>
      </w:r>
      <w:r>
        <w:rPr>
          <w:rFonts w:hint="eastAsia"/>
          <w:lang w:eastAsia="zh-CN"/>
        </w:rPr>
        <w:t>两</w:t>
      </w:r>
      <w:r>
        <w:rPr>
          <w:rFonts w:hint="eastAsia"/>
        </w:rPr>
        <w:t>份，由甲乙双方各执</w:t>
      </w:r>
      <w:r>
        <w:rPr>
          <w:rFonts w:hint="eastAsia"/>
          <w:lang w:eastAsia="zh-CN"/>
        </w:rPr>
        <w:t>一</w:t>
      </w:r>
      <w:r>
        <w:rPr>
          <w:rFonts w:hint="eastAsia"/>
        </w:rPr>
        <w:t>份，副本</w:t>
      </w:r>
      <w:r>
        <w:rPr>
          <w:rFonts w:hint="eastAsia"/>
          <w:lang w:eastAsia="zh-CN"/>
        </w:rPr>
        <w:t>五</w:t>
      </w:r>
      <w:r>
        <w:rPr>
          <w:rFonts w:hint="eastAsia"/>
        </w:rPr>
        <w:t>份，由甲方执</w:t>
      </w:r>
      <w:r>
        <w:rPr>
          <w:rFonts w:hint="eastAsia"/>
          <w:lang w:eastAsia="zh-CN"/>
        </w:rPr>
        <w:t>四</w:t>
      </w:r>
      <w:r>
        <w:rPr>
          <w:rFonts w:hint="eastAsia"/>
        </w:rPr>
        <w:t>份，乙方执</w:t>
      </w:r>
      <w:r>
        <w:rPr>
          <w:rFonts w:hint="eastAsia"/>
          <w:lang w:eastAsia="zh-CN"/>
        </w:rPr>
        <w:t>一</w:t>
      </w:r>
      <w:r>
        <w:rPr>
          <w:rFonts w:hint="eastAsia"/>
        </w:rPr>
        <w:t>份，正副本均具同等法律效力。</w:t>
      </w:r>
    </w:p>
    <w:p>
      <w:pPr>
        <w:pStyle w:val="33"/>
        <w:ind w:firstLine="600"/>
        <w:rPr>
          <w:rStyle w:val="29"/>
          <w:rFonts w:ascii="仿宋" w:eastAsia="仿宋"/>
          <w:sz w:val="24"/>
          <w:szCs w:val="24"/>
          <w:lang w:val="zh-CN"/>
        </w:rPr>
      </w:pPr>
      <w:r>
        <w:rPr>
          <w:rFonts w:hint="eastAsia"/>
        </w:rPr>
        <w:t>（以下无正文）</w:t>
      </w:r>
    </w:p>
    <w:p>
      <w:pPr>
        <w:pStyle w:val="33"/>
        <w:ind w:firstLine="0" w:firstLineChars="0"/>
        <w:rPr>
          <w:rStyle w:val="29"/>
          <w:rFonts w:hint="eastAsia" w:ascii="仿宋" w:eastAsia="仿宋"/>
          <w:sz w:val="24"/>
          <w:szCs w:val="24"/>
          <w:lang w:val="zh-CN"/>
        </w:rPr>
      </w:pP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乙方：（盖章）         </w:t>
      </w:r>
      <w:r>
        <w:rPr>
          <w:rStyle w:val="29"/>
          <w:rFonts w:ascii="仿宋_GB2312" w:hAnsi="仿宋" w:eastAsia="仿宋_GB2312" w:cs="宋体"/>
          <w:shd w:val="clear" w:color="auto" w:fill="auto"/>
        </w:rPr>
        <w:t xml:space="preserve">     </w:t>
      </w: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3"/>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3"/>
        <w:ind w:firstLine="0" w:firstLineChars="0"/>
      </w:pPr>
      <w:r>
        <w:rPr>
          <w:rFonts w:hint="eastAsia"/>
        </w:rPr>
        <w:t>通讯地址：</w:t>
      </w:r>
      <w:r>
        <w:t xml:space="preserve">                        </w:t>
      </w:r>
      <w:r>
        <w:rPr>
          <w:rFonts w:hint="eastAsia"/>
        </w:rPr>
        <w:t>通讯地址：</w:t>
      </w:r>
    </w:p>
    <w:p>
      <w:pPr>
        <w:pStyle w:val="33"/>
        <w:ind w:firstLine="0" w:firstLineChars="0"/>
      </w:pPr>
      <w:r>
        <w:rPr>
          <w:rFonts w:hint="eastAsia"/>
        </w:rPr>
        <w:t>邮箱：</w:t>
      </w:r>
      <w:r>
        <w:t xml:space="preserve">                            </w:t>
      </w:r>
      <w:r>
        <w:rPr>
          <w:rFonts w:hint="eastAsia"/>
        </w:rPr>
        <w:t>邮箱：</w:t>
      </w:r>
    </w:p>
    <w:p>
      <w:pPr>
        <w:pStyle w:val="33"/>
        <w:ind w:firstLine="0" w:firstLineChars="0"/>
      </w:pPr>
      <w:r>
        <w:rPr>
          <w:rFonts w:hint="eastAsia"/>
        </w:rPr>
        <w:t>联系人</w:t>
      </w:r>
      <w:r>
        <w:rPr>
          <w:rFonts w:hint="eastAsia"/>
          <w:lang w:eastAsia="zh-CN"/>
        </w:rPr>
        <w:t>及电话</w:t>
      </w:r>
      <w:r>
        <w:rPr>
          <w:rFonts w:hint="eastAsia"/>
        </w:rPr>
        <w:t>：</w:t>
      </w:r>
      <w:r>
        <w:t xml:space="preserve">                    联系人</w:t>
      </w:r>
      <w:r>
        <w:rPr>
          <w:rFonts w:hint="eastAsia"/>
          <w:lang w:eastAsia="zh-CN"/>
        </w:rPr>
        <w:t>及电话</w:t>
      </w:r>
      <w:r>
        <w:t xml:space="preserve">： </w:t>
      </w:r>
    </w:p>
    <w:p>
      <w:pPr>
        <w:pStyle w:val="33"/>
        <w:ind w:firstLine="0" w:firstLineChars="0"/>
      </w:pPr>
      <w:r>
        <w:rPr>
          <w:rFonts w:hint="eastAsia"/>
        </w:rPr>
        <w:t>开户银行：</w:t>
      </w:r>
      <w:r>
        <w:t xml:space="preserve">                        开户银行： </w:t>
      </w:r>
    </w:p>
    <w:p>
      <w:pPr>
        <w:pStyle w:val="33"/>
        <w:ind w:firstLine="0" w:firstLineChars="0"/>
        <w:rPr>
          <w:rStyle w:val="29"/>
          <w:rFonts w:hint="eastAsia" w:cs="宋体"/>
          <w:shd w:val="clear" w:color="auto" w:fill="auto"/>
          <w:lang w:val="en-US" w:eastAsia="zh-CN"/>
        </w:rPr>
      </w:pPr>
      <w:r>
        <w:rPr>
          <w:rFonts w:hint="eastAsia"/>
        </w:rPr>
        <w:t>账</w:t>
      </w:r>
      <w:r>
        <w:t xml:space="preserve">    号：                        </w:t>
      </w:r>
      <w:r>
        <w:rPr>
          <w:rFonts w:hint="eastAsia"/>
        </w:rPr>
        <w:t>账</w:t>
      </w:r>
      <w:r>
        <w:t xml:space="preserve">    号：</w:t>
      </w:r>
      <w:r>
        <w:rPr>
          <w:rStyle w:val="29"/>
          <w:rFonts w:hint="eastAsia" w:cs="宋体"/>
          <w:shd w:val="clear" w:color="auto" w:fill="auto"/>
          <w:lang w:val="en-US" w:eastAsia="zh-CN"/>
        </w:rPr>
        <w:t xml:space="preserve"> </w:t>
      </w:r>
    </w:p>
    <w:p>
      <w:pPr>
        <w:pStyle w:val="33"/>
        <w:ind w:firstLine="0" w:firstLineChars="0"/>
        <w:rPr>
          <w:rStyle w:val="29"/>
          <w:rFonts w:hint="eastAsia" w:ascii="仿宋_GB2312" w:hAnsi="仿宋" w:eastAsia="仿宋_GB2312" w:cs="宋体"/>
          <w:shd w:val="clear" w:color="auto" w:fill="auto"/>
          <w:lang w:eastAsia="zh-CN"/>
        </w:rPr>
      </w:pPr>
      <w:r>
        <w:rPr>
          <w:rStyle w:val="29"/>
          <w:rFonts w:hint="eastAsia" w:ascii="仿宋_GB2312" w:hAnsi="仿宋" w:eastAsia="仿宋_GB2312" w:cs="宋体"/>
          <w:shd w:val="clear" w:color="auto" w:fill="auto"/>
        </w:rPr>
        <w:t>合同签订时间：</w:t>
      </w:r>
      <w:r>
        <w:rPr>
          <w:rStyle w:val="29"/>
          <w:rFonts w:hint="eastAsia" w:cs="宋体"/>
          <w:shd w:val="clear" w:color="auto" w:fill="auto"/>
          <w:lang w:val="en-US" w:eastAsia="zh-CN"/>
        </w:rPr>
        <w:t xml:space="preserve">         </w:t>
      </w:r>
      <w:r>
        <w:rPr>
          <w:rStyle w:val="29"/>
          <w:rFonts w:hint="eastAsia" w:ascii="仿宋_GB2312" w:hAnsi="仿宋" w:eastAsia="仿宋_GB2312" w:cs="宋体"/>
          <w:shd w:val="clear" w:color="auto" w:fill="auto"/>
        </w:rPr>
        <w:t>合同签订地点：</w:t>
      </w:r>
      <w:r>
        <w:rPr>
          <w:rStyle w:val="29"/>
          <w:rFonts w:hint="eastAsia" w:ascii="仿宋_GB2312" w:hAnsi="仿宋" w:eastAsia="仿宋_GB2312" w:cs="宋体"/>
          <w:shd w:val="clear" w:color="auto" w:fill="auto"/>
          <w:lang w:eastAsia="zh-CN"/>
        </w:rPr>
        <w:t>重庆江北国际机场</w:t>
      </w:r>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A5ED73"/>
    <w:multiLevelType w:val="singleLevel"/>
    <w:tmpl w:val="E3A5ED73"/>
    <w:lvl w:ilvl="0" w:tentative="0">
      <w:start w:val="3"/>
      <w:numFmt w:val="chineseCounting"/>
      <w:suff w:val="space"/>
      <w:lvlText w:val="第%1条"/>
      <w:lvlJc w:val="left"/>
      <w:rPr>
        <w:rFonts w:hint="eastAsia"/>
      </w:r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6504C2"/>
    <w:multiLevelType w:val="singleLevel"/>
    <w:tmpl w:val="306504C2"/>
    <w:lvl w:ilvl="0" w:tentative="0">
      <w:start w:val="5"/>
      <w:numFmt w:val="chineseCounting"/>
      <w:suff w:val="space"/>
      <w:lvlText w:val="第%1条"/>
      <w:lvlJc w:val="left"/>
      <w:rPr>
        <w:rFonts w:hint="eastAsia"/>
      </w:r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17D4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4963"/>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C3FC2"/>
    <w:rsid w:val="018E717F"/>
    <w:rsid w:val="01C161E9"/>
    <w:rsid w:val="02181EC4"/>
    <w:rsid w:val="0287227D"/>
    <w:rsid w:val="02A46E6D"/>
    <w:rsid w:val="02B3063D"/>
    <w:rsid w:val="03802094"/>
    <w:rsid w:val="03E7101D"/>
    <w:rsid w:val="04665771"/>
    <w:rsid w:val="05A85490"/>
    <w:rsid w:val="05C348AA"/>
    <w:rsid w:val="06303ADD"/>
    <w:rsid w:val="06C224D8"/>
    <w:rsid w:val="06EA53BE"/>
    <w:rsid w:val="074F6318"/>
    <w:rsid w:val="078C7E49"/>
    <w:rsid w:val="079018FC"/>
    <w:rsid w:val="08483E54"/>
    <w:rsid w:val="089F2064"/>
    <w:rsid w:val="09784596"/>
    <w:rsid w:val="099617CC"/>
    <w:rsid w:val="0A4128CC"/>
    <w:rsid w:val="0ABE596D"/>
    <w:rsid w:val="0AF118B6"/>
    <w:rsid w:val="0B8E1510"/>
    <w:rsid w:val="0B901BF7"/>
    <w:rsid w:val="0C602DAE"/>
    <w:rsid w:val="0CE916B0"/>
    <w:rsid w:val="0D0C014F"/>
    <w:rsid w:val="0DFF1D94"/>
    <w:rsid w:val="0E110B9F"/>
    <w:rsid w:val="0E111F50"/>
    <w:rsid w:val="0E2604F9"/>
    <w:rsid w:val="0F006E06"/>
    <w:rsid w:val="0F163E4A"/>
    <w:rsid w:val="0F333F40"/>
    <w:rsid w:val="0FAE70DB"/>
    <w:rsid w:val="0FDF27F8"/>
    <w:rsid w:val="10A9293F"/>
    <w:rsid w:val="10D558E9"/>
    <w:rsid w:val="10F6426C"/>
    <w:rsid w:val="11062AE5"/>
    <w:rsid w:val="11361A20"/>
    <w:rsid w:val="119B32A3"/>
    <w:rsid w:val="11B5427A"/>
    <w:rsid w:val="11BA6016"/>
    <w:rsid w:val="121C516C"/>
    <w:rsid w:val="123011DC"/>
    <w:rsid w:val="1231040E"/>
    <w:rsid w:val="13153DCE"/>
    <w:rsid w:val="13464E0E"/>
    <w:rsid w:val="13700919"/>
    <w:rsid w:val="13D54915"/>
    <w:rsid w:val="14986B18"/>
    <w:rsid w:val="14C450A5"/>
    <w:rsid w:val="14D32EBC"/>
    <w:rsid w:val="14E065C7"/>
    <w:rsid w:val="14F252F4"/>
    <w:rsid w:val="153B1B31"/>
    <w:rsid w:val="15D872F0"/>
    <w:rsid w:val="161A41D1"/>
    <w:rsid w:val="162D1A17"/>
    <w:rsid w:val="16706AA1"/>
    <w:rsid w:val="179557FD"/>
    <w:rsid w:val="17987612"/>
    <w:rsid w:val="17C1228E"/>
    <w:rsid w:val="17E30F01"/>
    <w:rsid w:val="18211F2F"/>
    <w:rsid w:val="18C630DC"/>
    <w:rsid w:val="19010836"/>
    <w:rsid w:val="197C4F26"/>
    <w:rsid w:val="19E0001D"/>
    <w:rsid w:val="1A382BA3"/>
    <w:rsid w:val="1B1B12CE"/>
    <w:rsid w:val="1B604E10"/>
    <w:rsid w:val="1B686E8D"/>
    <w:rsid w:val="1B735AAF"/>
    <w:rsid w:val="1BB26125"/>
    <w:rsid w:val="1C2D30C9"/>
    <w:rsid w:val="1C396B78"/>
    <w:rsid w:val="1CDA02E6"/>
    <w:rsid w:val="1D001212"/>
    <w:rsid w:val="1D8C573A"/>
    <w:rsid w:val="1D8F7F47"/>
    <w:rsid w:val="1DD8674C"/>
    <w:rsid w:val="1E0B4CC2"/>
    <w:rsid w:val="1E2A1A50"/>
    <w:rsid w:val="1E371DA8"/>
    <w:rsid w:val="1E7F37CE"/>
    <w:rsid w:val="1E807EE5"/>
    <w:rsid w:val="1F2A1286"/>
    <w:rsid w:val="1F344700"/>
    <w:rsid w:val="1FDA40DD"/>
    <w:rsid w:val="1FEB26DF"/>
    <w:rsid w:val="20871E46"/>
    <w:rsid w:val="20B03662"/>
    <w:rsid w:val="212D69FF"/>
    <w:rsid w:val="22372DAB"/>
    <w:rsid w:val="22436F24"/>
    <w:rsid w:val="22954336"/>
    <w:rsid w:val="22BD2EC0"/>
    <w:rsid w:val="233E5E03"/>
    <w:rsid w:val="234B339F"/>
    <w:rsid w:val="23783B82"/>
    <w:rsid w:val="23F44062"/>
    <w:rsid w:val="248A0F69"/>
    <w:rsid w:val="24FF0154"/>
    <w:rsid w:val="250D6816"/>
    <w:rsid w:val="25166CFE"/>
    <w:rsid w:val="252A2D06"/>
    <w:rsid w:val="25F65132"/>
    <w:rsid w:val="26495518"/>
    <w:rsid w:val="26642C2D"/>
    <w:rsid w:val="273A061B"/>
    <w:rsid w:val="277E7A8D"/>
    <w:rsid w:val="27A53421"/>
    <w:rsid w:val="28195BA6"/>
    <w:rsid w:val="28B8002B"/>
    <w:rsid w:val="28B8621D"/>
    <w:rsid w:val="29AF216D"/>
    <w:rsid w:val="2A230E1B"/>
    <w:rsid w:val="2A54084B"/>
    <w:rsid w:val="2AB651E5"/>
    <w:rsid w:val="2AF4532D"/>
    <w:rsid w:val="2B0F3E7E"/>
    <w:rsid w:val="2B367F3A"/>
    <w:rsid w:val="2D3F3389"/>
    <w:rsid w:val="2D864F87"/>
    <w:rsid w:val="2FB304D2"/>
    <w:rsid w:val="309A2DD8"/>
    <w:rsid w:val="31577B3D"/>
    <w:rsid w:val="31D66A4E"/>
    <w:rsid w:val="31F72331"/>
    <w:rsid w:val="320B6C86"/>
    <w:rsid w:val="32DD25AA"/>
    <w:rsid w:val="33885122"/>
    <w:rsid w:val="33B57AF6"/>
    <w:rsid w:val="347810FF"/>
    <w:rsid w:val="356E76FF"/>
    <w:rsid w:val="35CB39F9"/>
    <w:rsid w:val="360E3DFD"/>
    <w:rsid w:val="37CE459C"/>
    <w:rsid w:val="38004A1C"/>
    <w:rsid w:val="3848196C"/>
    <w:rsid w:val="38C03DD3"/>
    <w:rsid w:val="3976345B"/>
    <w:rsid w:val="39D17654"/>
    <w:rsid w:val="39EB1183"/>
    <w:rsid w:val="3A6050BC"/>
    <w:rsid w:val="3A7A2A0F"/>
    <w:rsid w:val="3AB17D79"/>
    <w:rsid w:val="3B0E1741"/>
    <w:rsid w:val="3B747DBD"/>
    <w:rsid w:val="3BDB2171"/>
    <w:rsid w:val="3C3B6390"/>
    <w:rsid w:val="3C5073DC"/>
    <w:rsid w:val="3C624880"/>
    <w:rsid w:val="3CB052D8"/>
    <w:rsid w:val="3D6876D5"/>
    <w:rsid w:val="3F0639EB"/>
    <w:rsid w:val="3F1E793B"/>
    <w:rsid w:val="3F203902"/>
    <w:rsid w:val="3F2C7E18"/>
    <w:rsid w:val="3F9D7BA8"/>
    <w:rsid w:val="3FD20193"/>
    <w:rsid w:val="408B511D"/>
    <w:rsid w:val="409E27CE"/>
    <w:rsid w:val="412E42F8"/>
    <w:rsid w:val="41B65EC5"/>
    <w:rsid w:val="425F1F43"/>
    <w:rsid w:val="428C0DE7"/>
    <w:rsid w:val="435035D8"/>
    <w:rsid w:val="43AC5AF0"/>
    <w:rsid w:val="43DC60EF"/>
    <w:rsid w:val="4410450A"/>
    <w:rsid w:val="4463760C"/>
    <w:rsid w:val="44AE284D"/>
    <w:rsid w:val="44AF5A4F"/>
    <w:rsid w:val="45004613"/>
    <w:rsid w:val="45922750"/>
    <w:rsid w:val="45B67D59"/>
    <w:rsid w:val="45C16F0F"/>
    <w:rsid w:val="45FB0E31"/>
    <w:rsid w:val="464C30F1"/>
    <w:rsid w:val="464F71B1"/>
    <w:rsid w:val="46E0157B"/>
    <w:rsid w:val="47545A08"/>
    <w:rsid w:val="481A0AB7"/>
    <w:rsid w:val="48296430"/>
    <w:rsid w:val="482F185E"/>
    <w:rsid w:val="4872612F"/>
    <w:rsid w:val="48AE2A52"/>
    <w:rsid w:val="48D42B38"/>
    <w:rsid w:val="490F6DC9"/>
    <w:rsid w:val="49270B4E"/>
    <w:rsid w:val="497F4582"/>
    <w:rsid w:val="4A0D7B4C"/>
    <w:rsid w:val="4A981808"/>
    <w:rsid w:val="4B116AA8"/>
    <w:rsid w:val="4B13154B"/>
    <w:rsid w:val="4B3E6C8C"/>
    <w:rsid w:val="4BE10BBB"/>
    <w:rsid w:val="4C3F20F8"/>
    <w:rsid w:val="4D6B0605"/>
    <w:rsid w:val="4EA5147F"/>
    <w:rsid w:val="4EE77791"/>
    <w:rsid w:val="4EEF7B4A"/>
    <w:rsid w:val="4F0F3BCD"/>
    <w:rsid w:val="4F8662CB"/>
    <w:rsid w:val="4F99713F"/>
    <w:rsid w:val="50D34CF2"/>
    <w:rsid w:val="51446449"/>
    <w:rsid w:val="5162688D"/>
    <w:rsid w:val="51BD7E67"/>
    <w:rsid w:val="51D01CED"/>
    <w:rsid w:val="521C4028"/>
    <w:rsid w:val="52392F68"/>
    <w:rsid w:val="52787D79"/>
    <w:rsid w:val="52A04BF7"/>
    <w:rsid w:val="52DB4270"/>
    <w:rsid w:val="530A1FAD"/>
    <w:rsid w:val="533066E0"/>
    <w:rsid w:val="559E539F"/>
    <w:rsid w:val="55E43E22"/>
    <w:rsid w:val="55F9159D"/>
    <w:rsid w:val="57523676"/>
    <w:rsid w:val="57A71AC0"/>
    <w:rsid w:val="580E4C35"/>
    <w:rsid w:val="592C572C"/>
    <w:rsid w:val="59B118A3"/>
    <w:rsid w:val="59C679B8"/>
    <w:rsid w:val="59E7564B"/>
    <w:rsid w:val="5AC97986"/>
    <w:rsid w:val="5B045400"/>
    <w:rsid w:val="5B263B94"/>
    <w:rsid w:val="5B4F4773"/>
    <w:rsid w:val="5BD822A2"/>
    <w:rsid w:val="5C81179D"/>
    <w:rsid w:val="5CA1620D"/>
    <w:rsid w:val="5CAD2788"/>
    <w:rsid w:val="5DE153CD"/>
    <w:rsid w:val="5E0602B3"/>
    <w:rsid w:val="5F276905"/>
    <w:rsid w:val="5F847D27"/>
    <w:rsid w:val="5FB06356"/>
    <w:rsid w:val="5FB1564D"/>
    <w:rsid w:val="60681418"/>
    <w:rsid w:val="61B940D2"/>
    <w:rsid w:val="61BC02CC"/>
    <w:rsid w:val="61D40E89"/>
    <w:rsid w:val="629F0C2C"/>
    <w:rsid w:val="62A42FFB"/>
    <w:rsid w:val="62E51B8E"/>
    <w:rsid w:val="637E39F9"/>
    <w:rsid w:val="63830813"/>
    <w:rsid w:val="63D4533E"/>
    <w:rsid w:val="63F36A66"/>
    <w:rsid w:val="641C40B3"/>
    <w:rsid w:val="659D1B2C"/>
    <w:rsid w:val="66485044"/>
    <w:rsid w:val="665F5050"/>
    <w:rsid w:val="66D87FC4"/>
    <w:rsid w:val="67145425"/>
    <w:rsid w:val="67427EDF"/>
    <w:rsid w:val="67735F4F"/>
    <w:rsid w:val="679954FE"/>
    <w:rsid w:val="67A54B70"/>
    <w:rsid w:val="689564E5"/>
    <w:rsid w:val="68E947C1"/>
    <w:rsid w:val="69750E21"/>
    <w:rsid w:val="6A8F7AF2"/>
    <w:rsid w:val="6AC764AF"/>
    <w:rsid w:val="6B486D6E"/>
    <w:rsid w:val="6B823BFF"/>
    <w:rsid w:val="6B827130"/>
    <w:rsid w:val="6BE72370"/>
    <w:rsid w:val="6C730823"/>
    <w:rsid w:val="6CBB1003"/>
    <w:rsid w:val="6D304977"/>
    <w:rsid w:val="6D3F2877"/>
    <w:rsid w:val="6E0932FE"/>
    <w:rsid w:val="6E330B54"/>
    <w:rsid w:val="6E6322D0"/>
    <w:rsid w:val="6E7578B1"/>
    <w:rsid w:val="6EFF2EBA"/>
    <w:rsid w:val="6F12208A"/>
    <w:rsid w:val="6F221C48"/>
    <w:rsid w:val="6F2269C8"/>
    <w:rsid w:val="701B4627"/>
    <w:rsid w:val="70FC70D9"/>
    <w:rsid w:val="711C32B6"/>
    <w:rsid w:val="71474FBA"/>
    <w:rsid w:val="71691C92"/>
    <w:rsid w:val="71770C0D"/>
    <w:rsid w:val="71C205AB"/>
    <w:rsid w:val="7348772A"/>
    <w:rsid w:val="735E4B7F"/>
    <w:rsid w:val="73D87AE5"/>
    <w:rsid w:val="74190DDA"/>
    <w:rsid w:val="74277064"/>
    <w:rsid w:val="74370548"/>
    <w:rsid w:val="74C15EB9"/>
    <w:rsid w:val="74DA6FAD"/>
    <w:rsid w:val="75391A72"/>
    <w:rsid w:val="758D0F38"/>
    <w:rsid w:val="75DD22A0"/>
    <w:rsid w:val="766C6B30"/>
    <w:rsid w:val="769E5974"/>
    <w:rsid w:val="76B5538F"/>
    <w:rsid w:val="76D52C7D"/>
    <w:rsid w:val="76FA00CF"/>
    <w:rsid w:val="772D00BF"/>
    <w:rsid w:val="77D5047C"/>
    <w:rsid w:val="77DB4916"/>
    <w:rsid w:val="78285CF0"/>
    <w:rsid w:val="78421E77"/>
    <w:rsid w:val="78C37FE4"/>
    <w:rsid w:val="78FC4B3F"/>
    <w:rsid w:val="79D824D6"/>
    <w:rsid w:val="79E43803"/>
    <w:rsid w:val="7A415C17"/>
    <w:rsid w:val="7A433BB5"/>
    <w:rsid w:val="7BD931CA"/>
    <w:rsid w:val="7C6D73B3"/>
    <w:rsid w:val="7C8C462F"/>
    <w:rsid w:val="7CCC022A"/>
    <w:rsid w:val="7D6110D0"/>
    <w:rsid w:val="7DE96C2D"/>
    <w:rsid w:val="7DF61BB7"/>
    <w:rsid w:val="7E1E6164"/>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toc 3"/>
    <w:basedOn w:val="1"/>
    <w:next w:val="1"/>
    <w:unhideWhenUsed/>
    <w:qFormat/>
    <w:locked/>
    <w:uiPriority w:val="39"/>
    <w:pPr>
      <w:ind w:left="840" w:leftChars="400"/>
    </w:pPr>
  </w:style>
  <w:style w:type="paragraph" w:styleId="8">
    <w:name w:val="Plain Text"/>
    <w:basedOn w:val="1"/>
    <w:link w:val="31"/>
    <w:qFormat/>
    <w:uiPriority w:val="0"/>
    <w:rPr>
      <w:rFonts w:ascii="宋体" w:hAnsi="Courier New" w:cs="金山简魏碑"/>
      <w:szCs w:val="21"/>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9"/>
    <w:semiHidden/>
    <w:qFormat/>
    <w:locked/>
    <w:uiPriority w:val="99"/>
    <w:rPr>
      <w:rFonts w:ascii="Times New Roman" w:hAnsi="Times New Roman"/>
      <w:kern w:val="2"/>
      <w:sz w:val="18"/>
    </w:rPr>
  </w:style>
  <w:style w:type="character" w:customStyle="1" w:styleId="21">
    <w:name w:val="页脚 字符"/>
    <w:basedOn w:val="16"/>
    <w:link w:val="10"/>
    <w:qFormat/>
    <w:locked/>
    <w:uiPriority w:val="99"/>
    <w:rPr>
      <w:sz w:val="18"/>
    </w:rPr>
  </w:style>
  <w:style w:type="character" w:customStyle="1" w:styleId="22">
    <w:name w:val="页眉 字符"/>
    <w:basedOn w:val="16"/>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6"/>
    <w:link w:val="8"/>
    <w:qFormat/>
    <w:uiPriority w:val="0"/>
    <w:rPr>
      <w:rFonts w:ascii="宋体" w:hAnsi="Courier New" w:cs="金山简魏碑"/>
      <w:kern w:val="2"/>
      <w:sz w:val="21"/>
      <w:szCs w:val="21"/>
    </w:rPr>
  </w:style>
  <w:style w:type="paragraph" w:customStyle="1" w:styleId="32">
    <w:name w:val="图例"/>
    <w:basedOn w:val="1"/>
    <w:qFormat/>
    <w:uiPriority w:val="0"/>
    <w:pPr>
      <w:spacing w:before="120" w:after="120" w:line="360" w:lineRule="auto"/>
      <w:jc w:val="center"/>
    </w:pPr>
    <w:rPr>
      <w:rFonts w:eastAsia="仿宋_GB2312"/>
      <w:b/>
      <w:sz w:val="24"/>
      <w:szCs w:val="20"/>
    </w:rPr>
  </w:style>
  <w:style w:type="paragraph" w:customStyle="1" w:styleId="33">
    <w:name w:val="zjb正文"/>
    <w:basedOn w:val="1"/>
    <w:link w:val="3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zjb正文 字符"/>
    <w:basedOn w:val="16"/>
    <w:link w:val="3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8986</Words>
  <Characters>9731</Characters>
  <Lines>1</Lines>
  <Paragraphs>1</Paragraphs>
  <TotalTime>4</TotalTime>
  <ScaleCrop>false</ScaleCrop>
  <LinksUpToDate>false</LinksUpToDate>
  <CharactersWithSpaces>10718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余松蔚</cp:lastModifiedBy>
  <cp:lastPrinted>2018-07-06T03:01:00Z</cp:lastPrinted>
  <dcterms:modified xsi:type="dcterms:W3CDTF">2022-05-24T01:32:21Z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F423CD103C844D7AB8582FBEAF2B33A3</vt:lpwstr>
  </property>
</Properties>
</file>