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 w:hAnsi="仿宋" w:eastAsia="仿宋"/>
          <w:b/>
          <w:color w:val="000000"/>
          <w:sz w:val="44"/>
          <w:szCs w:val="44"/>
        </w:rPr>
      </w:pPr>
      <w:r>
        <w:rPr>
          <w:rFonts w:hint="eastAsia" w:ascii="仿宋" w:hAnsi="仿宋" w:eastAsia="仿宋"/>
          <w:b/>
          <w:color w:val="000000"/>
          <w:sz w:val="52"/>
          <w:szCs w:val="52"/>
          <w:lang w:eastAsia="zh-CN"/>
        </w:rPr>
        <w:object>
          <v:shape id="_x0000_i1025" o:spt="75" type="#_x0000_t75" style="height:609.75pt;width:438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r>
        <w:rPr>
          <w:rFonts w:hint="eastAsia" w:ascii="仿宋" w:hAnsi="仿宋" w:eastAsia="仿宋"/>
          <w:b/>
          <w:color w:val="000000"/>
          <w:sz w:val="44"/>
          <w:szCs w:val="44"/>
          <w:lang w:val="en-US" w:eastAsia="zh-CN"/>
        </w:rPr>
        <w:t>机坪内消防站</w:t>
      </w:r>
      <w:r>
        <w:rPr>
          <w:rFonts w:hint="eastAsia" w:ascii="仿宋" w:hAnsi="仿宋" w:eastAsia="仿宋"/>
          <w:b/>
          <w:color w:val="000000"/>
          <w:sz w:val="44"/>
          <w:szCs w:val="44"/>
        </w:rPr>
        <w:t>食堂餐饮服务外包项目</w:t>
      </w:r>
    </w:p>
    <w:p>
      <w:pPr>
        <w:jc w:val="center"/>
        <w:rPr>
          <w:rFonts w:ascii="仿宋" w:hAnsi="仿宋" w:eastAsia="仿宋"/>
          <w:b/>
          <w:color w:val="000000"/>
          <w:sz w:val="44"/>
          <w:szCs w:val="44"/>
        </w:rPr>
      </w:pPr>
      <w:r>
        <w:rPr>
          <w:rFonts w:hint="eastAsia" w:ascii="仿宋" w:hAnsi="仿宋" w:eastAsia="仿宋"/>
          <w:b/>
          <w:color w:val="000000"/>
          <w:sz w:val="44"/>
          <w:szCs w:val="44"/>
          <w:lang w:val="en-US" w:eastAsia="zh-CN"/>
        </w:rPr>
        <w:t>比选</w:t>
      </w:r>
      <w:r>
        <w:rPr>
          <w:rFonts w:hint="eastAsia" w:ascii="仿宋" w:hAnsi="仿宋" w:eastAsia="仿宋"/>
          <w:b/>
          <w:color w:val="000000"/>
          <w:sz w:val="44"/>
          <w:szCs w:val="44"/>
        </w:rPr>
        <w:t>文件</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我司决定于近期对</w:t>
      </w:r>
      <w:r>
        <w:rPr>
          <w:rFonts w:hint="eastAsia" w:ascii="仿宋_GB2312" w:hAnsi="仿宋_GB2312" w:eastAsia="仿宋_GB2312" w:cs="仿宋_GB2312"/>
          <w:color w:val="000000"/>
          <w:sz w:val="28"/>
          <w:szCs w:val="28"/>
          <w:u w:val="single"/>
          <w:lang w:val="en-US" w:eastAsia="zh-CN"/>
        </w:rPr>
        <w:t>机场机坪内消防食堂餐饮服务外包项目</w:t>
      </w:r>
      <w:r>
        <w:rPr>
          <w:rFonts w:hint="eastAsia" w:ascii="仿宋_GB2312" w:hAnsi="仿宋_GB2312" w:eastAsia="仿宋_GB2312" w:cs="仿宋_GB2312"/>
          <w:color w:val="000000"/>
          <w:sz w:val="28"/>
          <w:szCs w:val="28"/>
          <w:lang w:val="en-US" w:eastAsia="zh-CN"/>
        </w:rPr>
        <w:t>邀请符合相应条件的供应</w:t>
      </w:r>
      <w:bookmarkStart w:id="20" w:name="_GoBack"/>
      <w:bookmarkEnd w:id="20"/>
      <w:r>
        <w:rPr>
          <w:rFonts w:hint="eastAsia" w:ascii="仿宋_GB2312" w:hAnsi="仿宋_GB2312" w:eastAsia="仿宋_GB2312" w:cs="仿宋_GB2312"/>
          <w:color w:val="000000"/>
          <w:sz w:val="28"/>
          <w:szCs w:val="28"/>
          <w:lang w:val="en-US" w:eastAsia="zh-CN"/>
        </w:rPr>
        <w:t>商就本项目进行比选，确定承包商。</w:t>
      </w:r>
    </w:p>
    <w:p>
      <w:pPr>
        <w:widowControl/>
        <w:spacing w:line="360" w:lineRule="auto"/>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一、项目实施内容及要求：</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eastAsia="zh-CN"/>
        </w:rPr>
        <w:t xml:space="preserve"> </w:t>
      </w:r>
      <w:r>
        <w:rPr>
          <w:rFonts w:hint="eastAsia" w:ascii="仿宋_GB2312" w:hAnsi="仿宋_GB2312" w:eastAsia="仿宋_GB2312" w:cs="仿宋_GB2312"/>
          <w:color w:val="000000"/>
          <w:sz w:val="28"/>
          <w:szCs w:val="28"/>
          <w:lang w:val="en-US" w:eastAsia="zh-CN"/>
        </w:rPr>
        <w:t>项目简介</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1.1.1 消防站食堂概况：</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拟外包2#、3#、4#消防站的3个食堂，位于江北国际机场控制区内，建筑面积分别为1872㎡、1856㎡、1464㎡，共计5192㎡（其中厨房面积分别为108㎡、180㎡、100.5㎡，共计：388.5㎡）。厨房、餐厅设施设备齐全，环境良好。日均用餐人数共约186人，其中：2#站约40人，3#站约130人，4#站约16人。</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1.1.2 经营费用：</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本次拟外包3个食堂均不收取租金。生产产生</w:t>
      </w:r>
      <w:r>
        <w:rPr>
          <w:rFonts w:hint="eastAsia" w:ascii="仿宋_GB2312" w:hAnsi="仿宋_GB2312" w:eastAsia="仿宋_GB2312" w:cs="仿宋_GB2312"/>
          <w:color w:val="000000"/>
          <w:sz w:val="28"/>
          <w:szCs w:val="28"/>
          <w:lang w:val="en-US" w:eastAsia="zh-Hans"/>
        </w:rPr>
        <w:t>的</w:t>
      </w:r>
      <w:r>
        <w:rPr>
          <w:rFonts w:hint="eastAsia" w:ascii="仿宋_GB2312" w:hAnsi="仿宋_GB2312" w:eastAsia="仿宋_GB2312" w:cs="仿宋_GB2312"/>
          <w:color w:val="000000"/>
          <w:sz w:val="28"/>
          <w:szCs w:val="28"/>
          <w:lang w:val="en-US" w:eastAsia="zh-CN"/>
        </w:rPr>
        <w:t>水、电、气费用由甲方承担。</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 资质要求</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1.2.1 比选响应人须为中华人民共和国境内依法注册，具有有效营业执照的企业或其他经济组织，并持有合法有效的餐饮服务许可证或食品经营许可证。（提供复印件加盖鲜章，原件备查）</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1.2.2</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比选响应人须具有2019年1月1日</w:t>
      </w:r>
      <w:r>
        <w:rPr>
          <w:rFonts w:hint="eastAsia" w:ascii="仿宋_GB2312" w:hAnsi="仿宋_GB2312" w:eastAsia="仿宋_GB2312" w:cs="仿宋_GB2312"/>
          <w:color w:val="000000"/>
          <w:sz w:val="28"/>
          <w:szCs w:val="28"/>
          <w:lang w:val="en-US" w:eastAsia="zh-Hans"/>
        </w:rPr>
        <w:t>以后的</w:t>
      </w:r>
      <w:r>
        <w:rPr>
          <w:rFonts w:hint="eastAsia" w:ascii="仿宋_GB2312" w:hAnsi="仿宋_GB2312" w:eastAsia="仿宋_GB2312" w:cs="仿宋_GB2312"/>
          <w:color w:val="000000"/>
          <w:sz w:val="28"/>
          <w:szCs w:val="28"/>
          <w:lang w:val="en-US" w:eastAsia="zh-CN"/>
        </w:rPr>
        <w:t>食堂餐饮运营经验。（提供2019年1月1日以来单个合同金额10万元以上的食堂承包合同及发票</w:t>
      </w:r>
      <w:r>
        <w:rPr>
          <w:rFonts w:hint="eastAsia" w:ascii="仿宋_GB2312" w:hAnsi="仿宋_GB2312" w:eastAsia="仿宋_GB2312" w:cs="仿宋_GB2312"/>
          <w:color w:val="000000"/>
          <w:sz w:val="28"/>
          <w:szCs w:val="28"/>
          <w:lang w:val="en-US" w:eastAsia="zh-Hans"/>
        </w:rPr>
        <w:t>复印件</w:t>
      </w:r>
      <w:r>
        <w:rPr>
          <w:rFonts w:hint="default" w:ascii="仿宋_GB2312" w:hAnsi="仿宋_GB2312" w:eastAsia="仿宋_GB2312" w:cs="仿宋_GB2312"/>
          <w:color w:val="000000"/>
          <w:sz w:val="28"/>
          <w:szCs w:val="28"/>
          <w:lang w:val="en-US" w:eastAsia="zh-Hans"/>
        </w:rPr>
        <w:t>，</w:t>
      </w:r>
      <w:r>
        <w:rPr>
          <w:rFonts w:hint="eastAsia" w:ascii="仿宋_GB2312" w:hAnsi="仿宋_GB2312" w:eastAsia="仿宋_GB2312" w:cs="仿宋_GB2312"/>
          <w:color w:val="000000"/>
          <w:sz w:val="28"/>
          <w:szCs w:val="28"/>
          <w:lang w:val="en-US" w:eastAsia="zh-Hans"/>
        </w:rPr>
        <w:t>加盖鲜章</w:t>
      </w:r>
      <w:r>
        <w:rPr>
          <w:rFonts w:hint="default" w:ascii="仿宋_GB2312" w:hAnsi="仿宋_GB2312" w:eastAsia="仿宋_GB2312" w:cs="仿宋_GB2312"/>
          <w:color w:val="000000"/>
          <w:sz w:val="28"/>
          <w:szCs w:val="28"/>
          <w:lang w:val="en-US" w:eastAsia="zh-Hans"/>
        </w:rPr>
        <w:t>，</w:t>
      </w:r>
      <w:r>
        <w:rPr>
          <w:rFonts w:hint="eastAsia" w:ascii="仿宋_GB2312" w:hAnsi="仿宋_GB2312" w:eastAsia="仿宋_GB2312" w:cs="仿宋_GB2312"/>
          <w:color w:val="000000"/>
          <w:sz w:val="28"/>
          <w:szCs w:val="28"/>
          <w:lang w:val="en-US" w:eastAsia="zh-Hans"/>
        </w:rPr>
        <w:t>原件备查</w:t>
      </w:r>
      <w:r>
        <w:rPr>
          <w:rFonts w:hint="eastAsia" w:ascii="仿宋_GB2312" w:hAnsi="仿宋_GB2312" w:eastAsia="仿宋_GB2312" w:cs="仿宋_GB2312"/>
          <w:color w:val="000000"/>
          <w:sz w:val="28"/>
          <w:szCs w:val="28"/>
          <w:lang w:val="en-US" w:eastAsia="zh-CN"/>
        </w:rPr>
        <w:t>）</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1.2.3</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比选响应人拟派遣的所有工作人员都必须持有符合《食品安全法》</w:t>
      </w:r>
      <w:r>
        <w:rPr>
          <w:rFonts w:hint="eastAsia" w:ascii="仿宋_GB2312" w:hAnsi="仿宋_GB2312" w:eastAsia="仿宋_GB2312" w:cs="仿宋_GB2312"/>
          <w:color w:val="000000"/>
          <w:sz w:val="28"/>
          <w:szCs w:val="28"/>
          <w:lang w:val="en-US" w:eastAsia="zh-Hans"/>
        </w:rPr>
        <w:t>规定且</w:t>
      </w:r>
      <w:r>
        <w:rPr>
          <w:rFonts w:hint="eastAsia" w:ascii="仿宋_GB2312" w:hAnsi="仿宋_GB2312" w:eastAsia="仿宋_GB2312" w:cs="仿宋_GB2312"/>
          <w:color w:val="000000"/>
          <w:sz w:val="28"/>
          <w:szCs w:val="28"/>
          <w:lang w:val="en-US" w:eastAsia="zh-CN"/>
        </w:rPr>
        <w:t>在有效期内的《从业人员健康证》。（提供复印件，原件备查）</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1.2.4 比选响应人在“信用中国”网（www.creditchina.gov.cn）失信惩戒显示为“0”，在响应文件资格审查资料中提供相关查询截图并加盖比选响应人公章。</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1.2.5 法定代表人为同一个人的两个及两个以上法人，母公司、全资子公司及其控股公司，以及其他形式有管理关系的响应人，都不得参与同一比选项目。</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val="en-US" w:eastAsia="zh-Hans"/>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val="en-US" w:eastAsia="zh-Hans"/>
        </w:rPr>
        <w:t xml:space="preserve">.6 </w:t>
      </w:r>
      <w:r>
        <w:rPr>
          <w:rFonts w:hint="eastAsia" w:ascii="仿宋_GB2312" w:hAnsi="仿宋_GB2312" w:eastAsia="仿宋_GB2312" w:cs="仿宋_GB2312"/>
          <w:color w:val="000000"/>
          <w:sz w:val="28"/>
          <w:szCs w:val="28"/>
          <w:lang w:val="en-US" w:eastAsia="zh-CN"/>
        </w:rPr>
        <w:t>本项目不接受联合体参与，不得转包、分包。</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1.3项目要求：</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1.3.1负责重庆机场2#、3#、4#消防站食堂餐饮服务。</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1.3.2负责每周应制定菜谱，根据菜谱备足菜品。</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★1.3.3负责按甲方需求时段供应餐食。同时，必须保证为外出灭火、执行公差勤务等特殊任务后的误餐人员提供补餐服务。（提供拟投标项目厨房工作流程，加盖鲜章，格式自拟。）</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★1.3.4供餐食品价格：每天提前公布菜品名及价格，并应预先征求意见，其食品和菜品价格不得高于甲方公司职工一食堂价格。（提供加盖鲜章承诺书原件，格式自拟。）</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1.3.5比选响应人应根据三个消防站每天的消防队员就餐人数，原则上中晚两餐提供桌餐服务，每桌就餐人员一般为8人，桌餐标准按照六菜一汤（三荤三素一汤），每餐的餐费标准不超过12元/人;早餐品种不少于2种。（提供拟投标项目一周食谱样本，格式自拟，加盖鲜章）</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1.3.6乙方方负责主副食品、蔬菜等商品的采购。</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1.3.7食品安全：</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1.3.7.1承包人提供的餐饮服务应符合《中华人民共和国食品安全法》和《食品安全法实施条例》。</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1.3.7.2承包人派遣的厨师需勤劳认真做事，保证菜肴食品质量，保证所出食品原料新鲜，保证厨房环境卫生清洁。提供的菜品、食品不得危害就餐人员的身体健康，并严格执行食品留样制度。</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1.3.7.3承包人必须通过正规渠道采购食材及主副食品，不能有过期、失效、霉烂、变质的商品；肉类食品必须经过国家质监部门的质量检测，且是合格产品。购回肉类、蔬菜及主副食品后，应通知业主单位委托的人员进行食品质量检验验收，检验人员需签字确认。同时，乙方应将采购食材及主副食品的相关凭证报甲方备案。 </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1.3.7.4承包人需重庆机场海关检验检疫局办理卫生许可证。</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★1.3.7.5承包人派遣的厨房工作人员需持有合法机构颁发的健康证明，且接种了符合防疫要求次数的新冠疫苗。（提供拟投标项目工作方案设定工作人员相应数量的健康证复印件，原件备查）</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1.3.9项目其他要求：</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1.3.9.1承包方须提供工作方案。</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1.3.9.2承包方须派遣工作人员9名以上，其中厨师至少4名。</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1.3.9.3乙方须指定人员，每季度对各食堂油污分离池进行清掏，并做好相关的清掏记录。</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1.3.9.4乙方厨房工作人员应在每日餐食供应结束后，对厨房进行清洁，保持灶台及抽油烟机内外部清洁，避免由此引发火灾事故。</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1.3.9.5甲方因工作需要，可使用其中一个食堂（一般情况使用4#消防站食堂），甲方使用期间，主副食品及蔬菜由甲方自行采购，乙方应安排厨师及工作人员提供加工服务。</w:t>
      </w:r>
    </w:p>
    <w:p>
      <w:pPr>
        <w:spacing w:line="360" w:lineRule="auto"/>
        <w:ind w:firstLine="567"/>
        <w:jc w:val="left"/>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二、工作标准</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2.1所做所有工作均应以维护甲方利益为根本目的，不得有损害甲方利益之行为。</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2.2派遣的厨房工作人员的数量及业务技能需满足做餐需要。</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2.3提供的主、副食价格不得高于公司一食堂，应荤素、粗细高、中、低档搭配，份量、质量不得低于公司一食堂的标准。</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2.4如果要对供应的主副食品价格进行调整，应提前通知，并征得同意后方可实施。</w:t>
      </w:r>
    </w:p>
    <w:p>
      <w:pPr>
        <w:spacing w:line="360" w:lineRule="auto"/>
        <w:ind w:firstLine="567"/>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三、报价要求</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本项目甲方支付的服务费最高限价为17.34万元/年（</w:t>
      </w:r>
      <w:r>
        <w:rPr>
          <w:rFonts w:hint="eastAsia" w:ascii="仿宋_GB2312" w:hAnsi="仿宋_GB2312" w:eastAsia="仿宋_GB2312" w:cs="仿宋_GB2312"/>
          <w:color w:val="000000"/>
          <w:sz w:val="28"/>
          <w:szCs w:val="28"/>
          <w:lang w:val="en-GB" w:eastAsia="zh-CN"/>
        </w:rPr>
        <w:t>不含增值税</w:t>
      </w:r>
      <w:r>
        <w:rPr>
          <w:rFonts w:hint="eastAsia" w:ascii="仿宋_GB2312" w:hAnsi="仿宋_GB2312" w:eastAsia="仿宋_GB2312" w:cs="仿宋_GB2312"/>
          <w:color w:val="000000"/>
          <w:sz w:val="28"/>
          <w:szCs w:val="28"/>
          <w:lang w:val="en-US" w:eastAsia="zh-CN"/>
        </w:rPr>
        <w:t>）（大写金额：壹拾柒万叁仟肆佰元整），报价超过最高限价，将取消比选响应方的报价资格。</w:t>
      </w:r>
    </w:p>
    <w:p>
      <w:pPr>
        <w:spacing w:line="360" w:lineRule="auto"/>
        <w:ind w:firstLine="567"/>
        <w:jc w:val="left"/>
        <w:rPr>
          <w:rFonts w:hint="eastAsia" w:ascii="仿宋_GB2312" w:hAnsi="仿宋_GB2312" w:eastAsia="仿宋_GB2312" w:cs="仿宋_GB2312"/>
          <w:color w:val="000000"/>
          <w:sz w:val="28"/>
          <w:szCs w:val="28"/>
          <w:lang w:val="en-GB" w:eastAsia="zh-CN"/>
        </w:rPr>
      </w:pPr>
      <w:r>
        <w:rPr>
          <w:rFonts w:hint="eastAsia" w:ascii="仿宋_GB2312" w:hAnsi="仿宋_GB2312" w:eastAsia="仿宋_GB2312" w:cs="仿宋_GB2312"/>
          <w:color w:val="000000"/>
          <w:sz w:val="28"/>
          <w:szCs w:val="28"/>
          <w:lang w:val="en-GB" w:eastAsia="zh-CN"/>
        </w:rPr>
        <w:t>在修正范围内的以下情形不作为比选响应文件作废的依据：</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（1）比选响应文件中的大写金额与小写金额不一致的，以大写金额为准；</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（2）数字表示的数额与用文字表示的数额不一致时，以文字数额为准；</w:t>
      </w:r>
    </w:p>
    <w:p>
      <w:pPr>
        <w:spacing w:line="360" w:lineRule="auto"/>
        <w:ind w:firstLine="567"/>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四、成交标准</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本次比选成交人确定办法采用综合评分法成交。</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具体比选规则如下：</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4.1 递交比选响应文件截止时，送达的比选响应文件少于3个的，应停止比选活动，将递交的比选响应文件退还比选响应人，并重新组织比选。重新比选仍然不足3个响应人的，比选项目将可以继续进行比选。</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4.2 如有项目因专业性及特殊性，导致有效比选响应人不足3个的，评审委员会应当否决所有比选响应人。但是有效比选响应人的经济、技术等指标仍然具有市场竞争力，能够满足比选文件要求的，评审委员会可以继续评审，根据采购需求、质量和服务，综合得分最高的原则确定成交候选人。</w:t>
      </w:r>
    </w:p>
    <w:p>
      <w:pPr>
        <w:spacing w:line="360" w:lineRule="auto"/>
        <w:ind w:firstLine="567"/>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4.3 项目重新比选时，经评审有有效比选响应人的，应当按规定程序确定成交候选人，无有效比选响应人的，由标准管理部出具书面说明告知项目单位，由项目单位另行研究。</w:t>
      </w:r>
    </w:p>
    <w:p>
      <w:pPr>
        <w:spacing w:line="360" w:lineRule="auto"/>
        <w:ind w:firstLine="567"/>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五、评分办法</w:t>
      </w:r>
    </w:p>
    <w:p>
      <w:pPr>
        <w:spacing w:line="360" w:lineRule="auto"/>
        <w:ind w:firstLine="567"/>
        <w:jc w:val="left"/>
        <w:rPr>
          <w:rFonts w:hint="eastAsia" w:ascii="仿宋_GB2312" w:hAnsi="仿宋_GB2312" w:eastAsia="仿宋_GB2312" w:cs="仿宋_GB2312"/>
          <w:color w:val="000000"/>
          <w:sz w:val="28"/>
          <w:szCs w:val="28"/>
          <w:lang w:val="en-US" w:eastAsia="zh-CN"/>
        </w:rPr>
      </w:pPr>
      <w:bookmarkStart w:id="0" w:name="_Toc454"/>
      <w:bookmarkStart w:id="1" w:name="_Toc29336"/>
      <w:bookmarkStart w:id="2" w:name="_Toc14615"/>
      <w:bookmarkStart w:id="3" w:name="_Toc15770"/>
      <w:bookmarkStart w:id="4" w:name="_Toc23575"/>
      <w:r>
        <w:rPr>
          <w:rFonts w:hint="eastAsia" w:ascii="仿宋_GB2312" w:hAnsi="仿宋_GB2312" w:eastAsia="仿宋_GB2312" w:cs="仿宋_GB2312"/>
          <w:color w:val="000000"/>
          <w:sz w:val="28"/>
          <w:szCs w:val="28"/>
          <w:lang w:val="en-US" w:eastAsia="zh-CN"/>
        </w:rPr>
        <w:t>本次比选采取综合评分法。在经过初步审查后对符合本文件基本要求的比选响应人进行详细评审，总得分为经济、商务、技术务三种评定因素分别按照相应分值计算分项得分后相加，满分为100分，综合得分从高到底排名前1-3名的比选响应人作为成交候选人，比选响应人得分最高者作为成交供应商。</w:t>
      </w:r>
    </w:p>
    <w:bookmarkEnd w:id="0"/>
    <w:bookmarkEnd w:id="1"/>
    <w:bookmarkEnd w:id="2"/>
    <w:bookmarkEnd w:id="3"/>
    <w:bookmarkEnd w:id="4"/>
    <w:tbl>
      <w:tblPr>
        <w:tblStyle w:val="42"/>
        <w:tblW w:w="9831"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765"/>
        <w:gridCol w:w="1185"/>
        <w:gridCol w:w="797"/>
        <w:gridCol w:w="6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Align w:val="center"/>
          </w:tcPr>
          <w:p>
            <w:pPr>
              <w:spacing w:line="388" w:lineRule="exact"/>
              <w:jc w:val="both"/>
              <w:rPr>
                <w:rFonts w:hint="eastAsia" w:ascii="仿宋" w:hAnsi="仿宋" w:eastAsia="仿宋" w:cs="仿宋"/>
                <w:b/>
                <w:kern w:val="0"/>
              </w:rPr>
            </w:pPr>
            <w:r>
              <w:rPr>
                <w:rFonts w:hint="eastAsia" w:ascii="仿宋" w:hAnsi="仿宋" w:eastAsia="仿宋" w:cs="仿宋"/>
                <w:b/>
                <w:kern w:val="0"/>
              </w:rPr>
              <w:t>条款号</w:t>
            </w:r>
          </w:p>
        </w:tc>
        <w:tc>
          <w:tcPr>
            <w:tcW w:w="2747" w:type="dxa"/>
            <w:gridSpan w:val="3"/>
            <w:vAlign w:val="center"/>
          </w:tcPr>
          <w:p>
            <w:pPr>
              <w:tabs>
                <w:tab w:val="left" w:pos="1875"/>
              </w:tabs>
              <w:spacing w:line="388" w:lineRule="exact"/>
              <w:jc w:val="center"/>
              <w:rPr>
                <w:rFonts w:hint="eastAsia" w:ascii="仿宋" w:hAnsi="仿宋" w:eastAsia="仿宋" w:cs="仿宋"/>
                <w:b/>
                <w:kern w:val="0"/>
              </w:rPr>
            </w:pPr>
            <w:r>
              <w:rPr>
                <w:rFonts w:hint="eastAsia" w:ascii="仿宋" w:hAnsi="仿宋" w:eastAsia="仿宋" w:cs="仿宋"/>
                <w:b/>
                <w:kern w:val="0"/>
              </w:rPr>
              <w:t>条款内容</w:t>
            </w:r>
          </w:p>
        </w:tc>
        <w:tc>
          <w:tcPr>
            <w:tcW w:w="6411" w:type="dxa"/>
            <w:vAlign w:val="center"/>
          </w:tcPr>
          <w:p>
            <w:pPr>
              <w:tabs>
                <w:tab w:val="left" w:pos="1875"/>
              </w:tabs>
              <w:spacing w:line="388" w:lineRule="exact"/>
              <w:jc w:val="center"/>
              <w:rPr>
                <w:rFonts w:hint="eastAsia" w:ascii="仿宋" w:hAnsi="仿宋" w:eastAsia="仿宋" w:cs="仿宋"/>
                <w:b/>
                <w:kern w:val="0"/>
              </w:rPr>
            </w:pPr>
            <w:r>
              <w:rPr>
                <w:rFonts w:hint="eastAsia" w:ascii="仿宋" w:hAnsi="仿宋" w:eastAsia="仿宋" w:cs="仿宋"/>
                <w:b/>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Align w:val="center"/>
          </w:tcPr>
          <w:p>
            <w:pPr>
              <w:spacing w:line="360" w:lineRule="auto"/>
              <w:jc w:val="center"/>
              <w:rPr>
                <w:rFonts w:hint="eastAsia" w:ascii="仿宋" w:hAnsi="仿宋" w:eastAsia="仿宋" w:cs="仿宋"/>
                <w:szCs w:val="21"/>
                <w:lang w:eastAsia="zh-CN"/>
              </w:rPr>
            </w:pPr>
            <w:r>
              <w:rPr>
                <w:rFonts w:hint="eastAsia" w:ascii="仿宋" w:hAnsi="仿宋" w:eastAsia="仿宋" w:cs="仿宋"/>
                <w:szCs w:val="21"/>
                <w:lang w:val="en-US" w:eastAsia="zh-CN"/>
              </w:rPr>
              <w:t>1</w:t>
            </w:r>
          </w:p>
        </w:tc>
        <w:tc>
          <w:tcPr>
            <w:tcW w:w="2747" w:type="dxa"/>
            <w:gridSpan w:val="3"/>
            <w:tcBorders>
              <w:bottom w:val="single" w:color="auto" w:sz="4" w:space="0"/>
            </w:tcBorders>
            <w:vAlign w:val="center"/>
          </w:tcPr>
          <w:p>
            <w:pPr>
              <w:snapToGrid w:val="0"/>
              <w:jc w:val="center"/>
              <w:rPr>
                <w:rFonts w:hint="eastAsia" w:ascii="仿宋" w:hAnsi="仿宋" w:eastAsia="仿宋" w:cs="仿宋"/>
                <w:kern w:val="0"/>
              </w:rPr>
            </w:pPr>
            <w:r>
              <w:rPr>
                <w:rFonts w:hint="eastAsia" w:ascii="仿宋" w:hAnsi="仿宋" w:eastAsia="仿宋" w:cs="仿宋"/>
                <w:kern w:val="0"/>
              </w:rPr>
              <w:t>分值构成</w:t>
            </w:r>
          </w:p>
          <w:p>
            <w:pPr>
              <w:snapToGrid w:val="0"/>
              <w:jc w:val="center"/>
              <w:rPr>
                <w:rFonts w:hint="eastAsia" w:ascii="仿宋" w:hAnsi="仿宋" w:eastAsia="仿宋" w:cs="仿宋"/>
                <w:kern w:val="0"/>
              </w:rPr>
            </w:pPr>
            <w:r>
              <w:rPr>
                <w:rFonts w:hint="eastAsia" w:ascii="仿宋" w:hAnsi="仿宋" w:eastAsia="仿宋" w:cs="仿宋"/>
                <w:kern w:val="0"/>
              </w:rPr>
              <w:t>（总分100分）</w:t>
            </w:r>
          </w:p>
        </w:tc>
        <w:tc>
          <w:tcPr>
            <w:tcW w:w="6411" w:type="dxa"/>
            <w:tcBorders>
              <w:bottom w:val="single" w:color="auto" w:sz="4" w:space="0"/>
            </w:tcBorders>
            <w:vAlign w:val="center"/>
          </w:tcPr>
          <w:p>
            <w:pPr>
              <w:snapToGrid w:val="0"/>
              <w:ind w:firstLine="210" w:firstLineChars="100"/>
              <w:rPr>
                <w:rFonts w:hint="eastAsia" w:ascii="仿宋" w:hAnsi="仿宋" w:eastAsia="仿宋" w:cs="仿宋"/>
                <w:szCs w:val="21"/>
              </w:rPr>
            </w:pPr>
            <w:r>
              <w:rPr>
                <w:rFonts w:hint="eastAsia" w:ascii="仿宋" w:hAnsi="仿宋" w:eastAsia="仿宋" w:cs="仿宋"/>
                <w:szCs w:val="21"/>
              </w:rPr>
              <w:t>总分=</w:t>
            </w:r>
            <w:r>
              <w:rPr>
                <w:rFonts w:hint="eastAsia" w:ascii="仿宋" w:hAnsi="仿宋" w:eastAsia="仿宋" w:cs="仿宋"/>
              </w:rPr>
              <w:t>报价得分+</w:t>
            </w:r>
            <w:r>
              <w:rPr>
                <w:rFonts w:hint="eastAsia" w:ascii="仿宋" w:hAnsi="仿宋" w:eastAsia="仿宋" w:cs="仿宋"/>
                <w:szCs w:val="21"/>
              </w:rPr>
              <w:t>技术得分</w:t>
            </w:r>
            <w:r>
              <w:rPr>
                <w:rFonts w:hint="eastAsia" w:ascii="仿宋" w:hAnsi="仿宋" w:eastAsia="仿宋" w:cs="仿宋"/>
              </w:rPr>
              <w:t>+</w:t>
            </w:r>
            <w:r>
              <w:rPr>
                <w:rFonts w:hint="eastAsia" w:ascii="仿宋" w:hAnsi="仿宋" w:eastAsia="仿宋" w:cs="仿宋"/>
                <w:szCs w:val="21"/>
              </w:rPr>
              <w:t>商务得分</w:t>
            </w:r>
          </w:p>
          <w:p>
            <w:pPr>
              <w:snapToGrid w:val="0"/>
              <w:ind w:firstLine="210" w:firstLineChars="100"/>
              <w:rPr>
                <w:rFonts w:hint="eastAsia" w:ascii="仿宋" w:hAnsi="仿宋" w:eastAsia="仿宋" w:cs="仿宋"/>
                <w:szCs w:val="21"/>
              </w:rPr>
            </w:pPr>
            <w:r>
              <w:rPr>
                <w:rFonts w:hint="eastAsia" w:ascii="仿宋" w:hAnsi="仿宋" w:eastAsia="仿宋" w:cs="仿宋"/>
              </w:rPr>
              <w:t>报价</w:t>
            </w:r>
            <w:r>
              <w:rPr>
                <w:rFonts w:hint="eastAsia" w:ascii="仿宋" w:hAnsi="仿宋" w:eastAsia="仿宋" w:cs="仿宋"/>
                <w:szCs w:val="21"/>
              </w:rPr>
              <w:t>：</w:t>
            </w:r>
            <w:r>
              <w:rPr>
                <w:rFonts w:hint="eastAsia" w:ascii="仿宋" w:hAnsi="仿宋" w:eastAsia="仿宋" w:cs="仿宋"/>
                <w:szCs w:val="21"/>
                <w:u w:val="single"/>
              </w:rPr>
              <w:t>60</w:t>
            </w:r>
            <w:r>
              <w:rPr>
                <w:rFonts w:hint="eastAsia" w:ascii="仿宋" w:hAnsi="仿宋" w:eastAsia="仿宋" w:cs="仿宋"/>
                <w:szCs w:val="21"/>
              </w:rPr>
              <w:t>分。</w:t>
            </w:r>
          </w:p>
          <w:p>
            <w:pPr>
              <w:ind w:firstLine="210" w:firstLineChars="100"/>
              <w:rPr>
                <w:rFonts w:hint="eastAsia" w:ascii="仿宋" w:hAnsi="仿宋" w:eastAsia="仿宋" w:cs="仿宋"/>
                <w:szCs w:val="21"/>
              </w:rPr>
            </w:pPr>
            <w:r>
              <w:rPr>
                <w:rFonts w:hint="eastAsia" w:ascii="仿宋" w:hAnsi="仿宋" w:eastAsia="仿宋" w:cs="仿宋"/>
              </w:rPr>
              <w:t>技术部分</w:t>
            </w:r>
            <w:r>
              <w:rPr>
                <w:rFonts w:hint="eastAsia" w:ascii="仿宋" w:hAnsi="仿宋" w:eastAsia="仿宋" w:cs="仿宋"/>
                <w:szCs w:val="21"/>
              </w:rPr>
              <w:t>：</w:t>
            </w:r>
            <w:r>
              <w:rPr>
                <w:rFonts w:hint="eastAsia" w:ascii="仿宋" w:hAnsi="仿宋" w:eastAsia="仿宋" w:cs="仿宋"/>
                <w:szCs w:val="21"/>
                <w:u w:val="single"/>
                <w:lang w:val="en-US" w:eastAsia="zh-CN"/>
              </w:rPr>
              <w:t>20</w:t>
            </w:r>
            <w:r>
              <w:rPr>
                <w:rFonts w:hint="eastAsia" w:ascii="仿宋" w:hAnsi="仿宋" w:eastAsia="仿宋" w:cs="仿宋"/>
                <w:szCs w:val="21"/>
              </w:rPr>
              <w:t>分。</w:t>
            </w:r>
          </w:p>
          <w:p>
            <w:pPr>
              <w:snapToGrid w:val="0"/>
              <w:ind w:firstLine="210" w:firstLineChars="100"/>
              <w:rPr>
                <w:rFonts w:hint="eastAsia" w:ascii="仿宋" w:hAnsi="仿宋" w:eastAsia="仿宋" w:cs="仿宋"/>
                <w:szCs w:val="21"/>
              </w:rPr>
            </w:pPr>
            <w:r>
              <w:rPr>
                <w:rFonts w:hint="eastAsia" w:ascii="仿宋" w:hAnsi="仿宋" w:eastAsia="仿宋" w:cs="仿宋"/>
                <w:szCs w:val="21"/>
              </w:rPr>
              <w:t>商务部分：</w:t>
            </w:r>
            <w:r>
              <w:rPr>
                <w:rFonts w:hint="eastAsia" w:ascii="仿宋" w:hAnsi="仿宋" w:eastAsia="仿宋" w:cs="仿宋"/>
                <w:szCs w:val="21"/>
                <w:u w:val="single"/>
                <w:lang w:val="en-US" w:eastAsia="zh-CN"/>
              </w:rPr>
              <w:t>20</w:t>
            </w:r>
            <w:r>
              <w:rPr>
                <w:rFonts w:hint="eastAsia" w:ascii="仿宋" w:hAnsi="仿宋" w:eastAsia="仿宋" w:cs="仿宋"/>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38" w:type="dxa"/>
            <w:gridSpan w:val="2"/>
            <w:vAlign w:val="center"/>
          </w:tcPr>
          <w:p>
            <w:pPr>
              <w:spacing w:line="440" w:lineRule="exact"/>
              <w:jc w:val="center"/>
              <w:rPr>
                <w:rFonts w:hint="eastAsia" w:ascii="仿宋" w:hAnsi="仿宋" w:eastAsia="仿宋" w:cs="仿宋"/>
                <w:szCs w:val="21"/>
              </w:rPr>
            </w:pPr>
            <w:r>
              <w:rPr>
                <w:rFonts w:hint="eastAsia" w:ascii="仿宋" w:hAnsi="仿宋" w:eastAsia="仿宋" w:cs="仿宋"/>
                <w:b/>
                <w:szCs w:val="21"/>
              </w:rPr>
              <w:t>条款号</w:t>
            </w:r>
          </w:p>
        </w:tc>
        <w:tc>
          <w:tcPr>
            <w:tcW w:w="1185" w:type="dxa"/>
            <w:tcBorders>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r>
              <w:rPr>
                <w:rFonts w:hint="eastAsia" w:ascii="仿宋" w:hAnsi="仿宋" w:eastAsia="仿宋" w:cs="仿宋"/>
                <w:b/>
                <w:szCs w:val="21"/>
              </w:rPr>
              <w:t>评分因素</w:t>
            </w:r>
          </w:p>
        </w:tc>
        <w:tc>
          <w:tcPr>
            <w:tcW w:w="797" w:type="dxa"/>
            <w:tcBorders>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b/>
                <w:szCs w:val="21"/>
              </w:rPr>
            </w:pPr>
            <w:r>
              <w:rPr>
                <w:rFonts w:hint="eastAsia" w:ascii="仿宋" w:hAnsi="仿宋" w:eastAsia="仿宋" w:cs="仿宋"/>
                <w:b/>
                <w:szCs w:val="21"/>
              </w:rPr>
              <w:t>分值</w:t>
            </w:r>
          </w:p>
        </w:tc>
        <w:tc>
          <w:tcPr>
            <w:tcW w:w="6411" w:type="dxa"/>
            <w:tcBorders>
              <w:left w:val="single" w:color="auto" w:sz="4" w:space="0"/>
              <w:bottom w:val="single" w:color="auto" w:sz="4" w:space="0"/>
            </w:tcBorders>
            <w:vAlign w:val="center"/>
          </w:tcPr>
          <w:p>
            <w:pPr>
              <w:spacing w:line="440" w:lineRule="exact"/>
              <w:jc w:val="center"/>
              <w:rPr>
                <w:rFonts w:hint="eastAsia" w:ascii="仿宋" w:hAnsi="仿宋" w:eastAsia="仿宋" w:cs="仿宋"/>
                <w:b/>
                <w:szCs w:val="21"/>
              </w:rPr>
            </w:pPr>
            <w:r>
              <w:rPr>
                <w:rFonts w:hint="eastAsia" w:ascii="仿宋" w:hAnsi="仿宋" w:eastAsia="仿宋" w:cs="仿宋"/>
                <w:b/>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Align w:val="center"/>
          </w:tcPr>
          <w:p>
            <w:pPr>
              <w:spacing w:line="440" w:lineRule="exact"/>
              <w:jc w:val="cente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2.1</w:t>
            </w:r>
          </w:p>
        </w:tc>
        <w:tc>
          <w:tcPr>
            <w:tcW w:w="765" w:type="dxa"/>
            <w:tcBorders>
              <w:right w:val="single" w:color="auto" w:sz="4" w:space="0"/>
            </w:tcBorders>
            <w:vAlign w:val="center"/>
          </w:tcPr>
          <w:p>
            <w:pPr>
              <w:spacing w:line="440" w:lineRule="exact"/>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技术部分评分标准</w:t>
            </w:r>
          </w:p>
        </w:tc>
        <w:tc>
          <w:tcPr>
            <w:tcW w:w="1185" w:type="dxa"/>
            <w:tcBorders>
              <w:left w:val="single" w:color="auto" w:sz="4" w:space="0"/>
            </w:tcBorders>
            <w:vAlign w:val="center"/>
          </w:tcPr>
          <w:p>
            <w:pPr>
              <w:spacing w:line="360" w:lineRule="auto"/>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（20分）</w:t>
            </w:r>
          </w:p>
        </w:tc>
        <w:tc>
          <w:tcPr>
            <w:tcW w:w="797"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20分</w:t>
            </w:r>
          </w:p>
        </w:tc>
        <w:tc>
          <w:tcPr>
            <w:tcW w:w="6411"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1.所参选项目方案不满足比选文件技术要求的，则在20分的基础上，按以下原则扣分：</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1.3项目要求”加“★”项为比选内容技术部分指标,在响应文件技术部分中每一项响应有偏差，且在响应文件中未做出合理书面解释的，技术部分评分扣5分，20分扣完为止；技术部分评分得零分的的响应文件做废标处理。</w:t>
            </w:r>
          </w:p>
          <w:p>
            <w:pPr>
              <w:keepNext w:val="0"/>
              <w:keepLines w:val="0"/>
              <w:pageBreakBefore w:val="0"/>
              <w:widowControl w:val="0"/>
              <w:kinsoku/>
              <w:wordWrap/>
              <w:overflowPunct/>
              <w:topLinePunct w:val="0"/>
              <w:autoSpaceDE/>
              <w:autoSpaceDN/>
              <w:bidi w:val="0"/>
              <w:spacing w:line="240" w:lineRule="auto"/>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2.评审委员会对响应材料进行合理性评价，从方案的完</w:t>
            </w:r>
            <w:r>
              <w:rPr>
                <w:rFonts w:hint="eastAsia" w:ascii="仿宋" w:hAnsi="仿宋" w:eastAsia="仿宋" w:cs="仿宋"/>
                <w:b w:val="0"/>
                <w:bCs w:val="0"/>
                <w:color w:val="auto"/>
                <w:kern w:val="2"/>
                <w:sz w:val="21"/>
                <w:szCs w:val="21"/>
                <w:lang w:val="en-US" w:eastAsia="zh-CN" w:bidi="ar-SA"/>
              </w:rPr>
              <w:t>整</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性及符合现实条件可操作性等角度给予每个方案1至5分的得分。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Merge w:val="restart"/>
            <w:vAlign w:val="center"/>
          </w:tcPr>
          <w:p>
            <w:pPr>
              <w:spacing w:line="400" w:lineRule="exact"/>
              <w:jc w:val="cente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2.2</w:t>
            </w:r>
          </w:p>
        </w:tc>
        <w:tc>
          <w:tcPr>
            <w:tcW w:w="765" w:type="dxa"/>
            <w:vMerge w:val="restart"/>
            <w:vAlign w:val="center"/>
          </w:tcPr>
          <w:p>
            <w:pPr>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商务部分评分标准</w:t>
            </w:r>
          </w:p>
        </w:tc>
        <w:tc>
          <w:tcPr>
            <w:tcW w:w="1185" w:type="dxa"/>
            <w:vMerge w:val="restart"/>
            <w:tcBorders>
              <w:right w:val="single" w:color="auto" w:sz="4" w:space="0"/>
            </w:tcBorders>
            <w:vAlign w:val="center"/>
          </w:tcPr>
          <w:p>
            <w:pPr>
              <w:tabs>
                <w:tab w:val="left" w:pos="2300"/>
              </w:tabs>
              <w:autoSpaceDE w:val="0"/>
              <w:autoSpaceDN w:val="0"/>
              <w:adjustRightInd w:val="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（20分）</w:t>
            </w:r>
          </w:p>
        </w:tc>
        <w:tc>
          <w:tcPr>
            <w:tcW w:w="79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5.0分</w:t>
            </w:r>
          </w:p>
        </w:tc>
        <w:tc>
          <w:tcPr>
            <w:tcW w:w="6411" w:type="dxa"/>
            <w:tcBorders>
              <w:left w:val="single" w:color="auto" w:sz="4" w:space="0"/>
              <w:bottom w:val="single" w:color="auto" w:sz="4" w:space="0"/>
            </w:tcBorders>
            <w:vAlign w:val="center"/>
          </w:tcPr>
          <w:p>
            <w:pPr>
              <w:pStyle w:val="115"/>
              <w:keepNext w:val="0"/>
              <w:keepLines w:val="0"/>
              <w:pageBreakBefore w:val="0"/>
              <w:widowControl w:val="0"/>
              <w:kinsoku/>
              <w:wordWrap/>
              <w:overflowPunct/>
              <w:topLinePunct w:val="0"/>
              <w:autoSpaceDE/>
              <w:autoSpaceDN/>
              <w:bidi w:val="0"/>
              <w:spacing w:line="240" w:lineRule="auto"/>
              <w:jc w:val="both"/>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管理食堂经验，以从事食堂管理年限为评分依据（以提供的业绩证明合同签订日期与比选评审会议日期之间的年限为准）：3年（含）以上得5分，2年（含）以上3年以下得3分，1年（含）以上2年以下得2分，1年以下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Merge w:val="continue"/>
            <w:vAlign w:val="center"/>
          </w:tcPr>
          <w:p>
            <w:pPr>
              <w:spacing w:line="400" w:lineRule="exact"/>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65" w:type="dxa"/>
            <w:vMerge w:val="continue"/>
            <w:vAlign w:val="center"/>
          </w:tcPr>
          <w:p>
            <w:pPr>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1185" w:type="dxa"/>
            <w:vMerge w:val="continue"/>
            <w:tcBorders>
              <w:right w:val="single" w:color="auto" w:sz="4" w:space="0"/>
            </w:tcBorders>
            <w:vAlign w:val="center"/>
          </w:tcPr>
          <w:p>
            <w:pPr>
              <w:tabs>
                <w:tab w:val="left" w:pos="2300"/>
              </w:tabs>
              <w:autoSpaceDE w:val="0"/>
              <w:autoSpaceDN w:val="0"/>
              <w:adjustRightInd w:val="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9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5.0分</w:t>
            </w:r>
          </w:p>
        </w:tc>
        <w:tc>
          <w:tcPr>
            <w:tcW w:w="6411" w:type="dxa"/>
            <w:tcBorders>
              <w:left w:val="single" w:color="auto" w:sz="4" w:space="0"/>
              <w:bottom w:val="single" w:color="auto" w:sz="4" w:space="0"/>
            </w:tcBorders>
            <w:vAlign w:val="center"/>
          </w:tcPr>
          <w:p>
            <w:pPr>
              <w:keepNext w:val="0"/>
              <w:keepLines w:val="0"/>
              <w:pageBreakBefore w:val="0"/>
              <w:widowControl w:val="0"/>
              <w:numPr>
                <w:ilvl w:val="255"/>
                <w:numId w:val="0"/>
              </w:numPr>
              <w:kinsoku/>
              <w:wordWrap/>
              <w:overflowPunct/>
              <w:topLinePunct w:val="0"/>
              <w:autoSpaceDE/>
              <w:autoSpaceDN/>
              <w:bidi w:val="0"/>
              <w:spacing w:line="240" w:lineRule="auto"/>
              <w:textAlignment w:val="auto"/>
              <w:outlineLvl w:val="9"/>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提供中华人民共和国境内企事业单位、学生食堂等承包合同书三个（含三个）以上的得：5.0分；两个的得3.0分；一个的得1.0分。（提供复印件，原件备查）。不能提供的得0.5分。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673" w:type="dxa"/>
            <w:vMerge w:val="continue"/>
            <w:vAlign w:val="center"/>
          </w:tcPr>
          <w:p>
            <w:pPr>
              <w:spacing w:line="400" w:lineRule="exact"/>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65" w:type="dxa"/>
            <w:vMerge w:val="continue"/>
            <w:vAlign w:val="center"/>
          </w:tcPr>
          <w:p>
            <w:pPr>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1185" w:type="dxa"/>
            <w:vMerge w:val="continue"/>
            <w:tcBorders>
              <w:right w:val="single" w:color="auto" w:sz="4" w:space="0"/>
            </w:tcBorders>
            <w:vAlign w:val="center"/>
          </w:tcPr>
          <w:p>
            <w:pPr>
              <w:tabs>
                <w:tab w:val="left" w:pos="2300"/>
              </w:tabs>
              <w:autoSpaceDE w:val="0"/>
              <w:autoSpaceDN w:val="0"/>
              <w:adjustRightInd w:val="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9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5.0分</w:t>
            </w:r>
          </w:p>
        </w:tc>
        <w:tc>
          <w:tcPr>
            <w:tcW w:w="6411" w:type="dxa"/>
            <w:tcBorders>
              <w:left w:val="single" w:color="auto" w:sz="4" w:space="0"/>
              <w:bottom w:val="single" w:color="auto" w:sz="4" w:space="0"/>
            </w:tcBorders>
            <w:vAlign w:val="center"/>
          </w:tcPr>
          <w:p>
            <w:pPr>
              <w:keepNext w:val="0"/>
              <w:keepLines w:val="0"/>
              <w:pageBreakBefore w:val="0"/>
              <w:widowControl w:val="0"/>
              <w:numPr>
                <w:ilvl w:val="255"/>
                <w:numId w:val="0"/>
              </w:numPr>
              <w:kinsoku/>
              <w:wordWrap/>
              <w:overflowPunct/>
              <w:topLinePunct w:val="0"/>
              <w:autoSpaceDE/>
              <w:autoSpaceDN/>
              <w:bidi w:val="0"/>
              <w:spacing w:line="240" w:lineRule="auto"/>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响应人依据已提供的业绩证明合同，提供对应的卫生许可证，完全符合的得：5.0分；部分符合的得2分，不符合的得0分。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Merge w:val="continue"/>
            <w:vAlign w:val="center"/>
          </w:tcPr>
          <w:p>
            <w:pPr>
              <w:spacing w:line="400" w:lineRule="exact"/>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65" w:type="dxa"/>
            <w:vMerge w:val="continue"/>
            <w:vAlign w:val="center"/>
          </w:tcPr>
          <w:p>
            <w:pPr>
              <w:jc w:val="cente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1185" w:type="dxa"/>
            <w:vMerge w:val="continue"/>
            <w:tcBorders>
              <w:right w:val="single" w:color="auto" w:sz="4" w:space="0"/>
            </w:tcBorders>
            <w:vAlign w:val="center"/>
          </w:tcPr>
          <w:p>
            <w:pPr>
              <w:tabs>
                <w:tab w:val="left" w:pos="2300"/>
              </w:tabs>
              <w:autoSpaceDE w:val="0"/>
              <w:autoSpaceDN w:val="0"/>
              <w:adjustRightInd w:val="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c>
          <w:tcPr>
            <w:tcW w:w="79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5.0分</w:t>
            </w:r>
          </w:p>
        </w:tc>
        <w:tc>
          <w:tcPr>
            <w:tcW w:w="6411" w:type="dxa"/>
            <w:tcBorders>
              <w:left w:val="single" w:color="auto" w:sz="4" w:space="0"/>
              <w:bottom w:val="single" w:color="auto" w:sz="4" w:space="0"/>
            </w:tcBorders>
            <w:vAlign w:val="center"/>
          </w:tcPr>
          <w:p>
            <w:pPr>
              <w:keepNext w:val="0"/>
              <w:keepLines w:val="0"/>
              <w:pageBreakBefore w:val="0"/>
              <w:widowControl w:val="0"/>
              <w:numPr>
                <w:ilvl w:val="255"/>
                <w:numId w:val="0"/>
              </w:numPr>
              <w:kinsoku/>
              <w:wordWrap/>
              <w:overflowPunct/>
              <w:topLinePunct w:val="0"/>
              <w:autoSpaceDE/>
              <w:autoSpaceDN/>
              <w:bidi w:val="0"/>
              <w:spacing w:line="240" w:lineRule="auto"/>
              <w:textAlignment w:val="auto"/>
              <w:outlineLvl w:val="9"/>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提供的拟派遣人员中，持有由中华人民共和国人力和社会保障部统一印制的厨师职业资格证书三个（含三个）以上的的：5.0分；两个的得3.0分；一个的1.0分。（提供复印件，原件备查）。不能提供的得0分。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Align w:val="center"/>
          </w:tcPr>
          <w:p>
            <w:pPr>
              <w:spacing w:line="400" w:lineRule="exact"/>
              <w:jc w:val="center"/>
              <w:rPr>
                <w:rFonts w:hint="default" w:ascii="仿宋" w:hAnsi="仿宋" w:eastAsia="仿宋" w:cs="仿宋"/>
                <w:szCs w:val="21"/>
                <w:lang w:val="en-US"/>
              </w:rPr>
            </w:pPr>
            <w:r>
              <w:rPr>
                <w:rFonts w:hint="eastAsia" w:ascii="仿宋" w:hAnsi="仿宋" w:eastAsia="仿宋" w:cs="仿宋"/>
                <w:szCs w:val="21"/>
                <w:lang w:val="en-US" w:eastAsia="zh-CN"/>
              </w:rPr>
              <w:t>2.3</w:t>
            </w:r>
          </w:p>
        </w:tc>
        <w:tc>
          <w:tcPr>
            <w:tcW w:w="1950" w:type="dxa"/>
            <w:gridSpan w:val="2"/>
            <w:tcBorders>
              <w:right w:val="single" w:color="auto" w:sz="4" w:space="0"/>
            </w:tcBorders>
            <w:vAlign w:val="center"/>
          </w:tcPr>
          <w:p>
            <w:pPr>
              <w:pStyle w:val="114"/>
              <w:rPr>
                <w:rFonts w:hint="eastAsia" w:ascii="仿宋" w:hAnsi="仿宋" w:eastAsia="仿宋" w:cs="仿宋"/>
                <w:kern w:val="0"/>
                <w:szCs w:val="21"/>
                <w:lang w:eastAsia="zh-CN"/>
              </w:rPr>
            </w:pPr>
            <w:r>
              <w:rPr>
                <w:rFonts w:hint="eastAsia" w:eastAsia="仿宋" w:cs="仿宋"/>
                <w:bCs/>
                <w:color w:val="auto"/>
                <w:sz w:val="28"/>
                <w:szCs w:val="28"/>
              </w:rPr>
              <w:t>经济</w:t>
            </w:r>
            <w:r>
              <w:rPr>
                <w:rFonts w:hint="eastAsia" w:eastAsia="仿宋" w:cs="仿宋"/>
                <w:bCs/>
                <w:color w:val="auto"/>
                <w:sz w:val="28"/>
                <w:szCs w:val="28"/>
                <w:lang w:val="en-US" w:eastAsia="zh-CN"/>
              </w:rPr>
              <w:t>部分</w:t>
            </w:r>
            <w:r>
              <w:rPr>
                <w:rFonts w:hint="eastAsia" w:eastAsia="仿宋" w:cs="仿宋"/>
                <w:bCs/>
                <w:color w:val="auto"/>
                <w:sz w:val="28"/>
                <w:szCs w:val="28"/>
              </w:rPr>
              <w:t>评分标准</w:t>
            </w:r>
          </w:p>
        </w:tc>
        <w:tc>
          <w:tcPr>
            <w:tcW w:w="797"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kern w:val="0"/>
                <w:szCs w:val="21"/>
              </w:rPr>
            </w:pPr>
            <w:r>
              <w:rPr>
                <w:rFonts w:hint="eastAsia" w:ascii="仿宋" w:hAnsi="仿宋" w:eastAsia="仿宋" w:cs="仿宋"/>
                <w:lang w:eastAsia="zh-CN"/>
              </w:rPr>
              <w:t>（</w:t>
            </w:r>
            <w:r>
              <w:rPr>
                <w:rFonts w:hint="eastAsia" w:ascii="仿宋" w:hAnsi="仿宋" w:eastAsia="仿宋" w:cs="仿宋"/>
                <w:lang w:val="en-US" w:eastAsia="zh-CN"/>
              </w:rPr>
              <w:t>60分</w:t>
            </w:r>
            <w:r>
              <w:rPr>
                <w:rFonts w:hint="eastAsia" w:ascii="仿宋" w:hAnsi="仿宋" w:eastAsia="仿宋" w:cs="仿宋"/>
                <w:lang w:eastAsia="zh-CN"/>
              </w:rPr>
              <w:t>）</w:t>
            </w:r>
          </w:p>
        </w:tc>
        <w:tc>
          <w:tcPr>
            <w:tcW w:w="6411" w:type="dxa"/>
            <w:tcBorders>
              <w:left w:val="single" w:color="auto" w:sz="4" w:space="0"/>
              <w:bottom w:val="single" w:color="auto" w:sz="4" w:space="0"/>
            </w:tcBorders>
            <w:vAlign w:val="top"/>
          </w:tcPr>
          <w:p>
            <w:pPr>
              <w:pStyle w:val="2"/>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在比选人公布的最高限价以内的所有经初步评审合格的响应人的报价中去掉其中（有效报价不足六家（含）报价则不去掉）的最高价和最低价后进行算术平均，为比选评审基础报价。报价等于比选评审基础报价的，得60分；除60分情况以外的其他报价，按照以下标准计算分值：报价每高于比选评审基础报价的1%，扣2分；报价每低于比选评审基础报价的1%，扣1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3" w:type="dxa"/>
            <w:vAlign w:val="center"/>
          </w:tcPr>
          <w:p>
            <w:pPr>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1950" w:type="dxa"/>
            <w:gridSpan w:val="2"/>
            <w:vAlign w:val="center"/>
          </w:tcPr>
          <w:p>
            <w:pPr>
              <w:adjustRightInd w:val="0"/>
              <w:snapToGrid w:val="0"/>
              <w:rPr>
                <w:rFonts w:hint="eastAsia" w:ascii="仿宋" w:hAnsi="仿宋" w:eastAsia="仿宋" w:cs="仿宋"/>
              </w:rPr>
            </w:pPr>
            <w:r>
              <w:rPr>
                <w:rFonts w:hint="eastAsia" w:ascii="Times New Roman" w:hAnsi="Times New Roman" w:eastAsia="仿宋" w:cs="仿宋"/>
                <w:bCs/>
                <w:color w:val="auto"/>
                <w:kern w:val="2"/>
                <w:sz w:val="28"/>
                <w:szCs w:val="28"/>
                <w:lang w:val="en-US" w:eastAsia="zh-CN" w:bidi="ar-SA"/>
              </w:rPr>
              <w:t>评</w:t>
            </w:r>
            <w:r>
              <w:rPr>
                <w:rFonts w:hint="eastAsia" w:eastAsia="仿宋" w:cs="仿宋"/>
                <w:bCs/>
                <w:color w:val="auto"/>
                <w:kern w:val="2"/>
                <w:sz w:val="28"/>
                <w:szCs w:val="28"/>
                <w:lang w:val="en-US" w:eastAsia="zh-CN" w:bidi="ar-SA"/>
              </w:rPr>
              <w:t>审</w:t>
            </w:r>
            <w:r>
              <w:rPr>
                <w:rFonts w:hint="eastAsia" w:ascii="Times New Roman" w:hAnsi="Times New Roman" w:eastAsia="仿宋" w:cs="仿宋"/>
                <w:bCs/>
                <w:color w:val="auto"/>
                <w:kern w:val="2"/>
                <w:sz w:val="28"/>
                <w:szCs w:val="28"/>
                <w:lang w:val="en-US" w:eastAsia="zh-CN" w:bidi="ar-SA"/>
              </w:rPr>
              <w:t>程序</w:t>
            </w:r>
          </w:p>
        </w:tc>
        <w:tc>
          <w:tcPr>
            <w:tcW w:w="7208" w:type="dxa"/>
            <w:gridSpan w:val="2"/>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szCs w:val="21"/>
              </w:rPr>
            </w:pPr>
            <w:r>
              <w:rPr>
                <w:rFonts w:hint="eastAsia" w:ascii="仿宋" w:hAnsi="仿宋" w:eastAsia="仿宋" w:cs="仿宋"/>
                <w:szCs w:val="21"/>
              </w:rPr>
              <w:t>1.初步评审前，</w:t>
            </w:r>
            <w:r>
              <w:rPr>
                <w:rFonts w:hint="eastAsia" w:ascii="仿宋" w:hAnsi="仿宋" w:eastAsia="仿宋" w:cs="仿宋"/>
                <w:kern w:val="0"/>
                <w:szCs w:val="21"/>
              </w:rPr>
              <w:t>对</w:t>
            </w:r>
            <w:r>
              <w:rPr>
                <w:rFonts w:hint="eastAsia" w:ascii="仿宋" w:hAnsi="仿宋" w:eastAsia="仿宋" w:cs="仿宋"/>
                <w:kern w:val="0"/>
                <w:szCs w:val="21"/>
                <w:lang w:eastAsia="zh-CN"/>
              </w:rPr>
              <w:t>响应</w:t>
            </w:r>
            <w:r>
              <w:rPr>
                <w:rFonts w:hint="eastAsia" w:ascii="仿宋" w:hAnsi="仿宋" w:eastAsia="仿宋" w:cs="仿宋"/>
                <w:kern w:val="0"/>
                <w:szCs w:val="21"/>
              </w:rPr>
              <w:t>报价有算术性错误的进行算术性错误修正.只对</w:t>
            </w:r>
            <w:r>
              <w:rPr>
                <w:rFonts w:hint="eastAsia" w:ascii="仿宋" w:hAnsi="仿宋" w:eastAsia="仿宋" w:cs="仿宋"/>
                <w:szCs w:val="21"/>
              </w:rPr>
              <w:t>经修正后的不高于最高限价的</w:t>
            </w:r>
            <w:r>
              <w:rPr>
                <w:rFonts w:hint="eastAsia" w:ascii="仿宋" w:hAnsi="仿宋" w:eastAsia="仿宋" w:cs="仿宋"/>
                <w:szCs w:val="21"/>
                <w:lang w:eastAsia="zh-CN"/>
              </w:rPr>
              <w:t>响应</w:t>
            </w:r>
            <w:r>
              <w:rPr>
                <w:rFonts w:hint="eastAsia" w:ascii="仿宋" w:hAnsi="仿宋" w:eastAsia="仿宋" w:cs="仿宋"/>
                <w:szCs w:val="21"/>
              </w:rPr>
              <w:t>进行初步评审（形式、资格、响应评审）.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.评分分值计算保留小数点后两位，第三位四舍五入。比选响应人最终得分=技术部分得分+经济部分得分+商务部分得分。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.按照比选文件的规定对所有比选响应文件进行初步评审，只有通过初步评审的比选响应文件才能进行后续评审。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rPr>
            </w:pPr>
            <w:r>
              <w:rPr>
                <w:rFonts w:hint="eastAsia" w:ascii="仿宋" w:hAnsi="仿宋" w:eastAsia="仿宋" w:cs="仿宋"/>
                <w:szCs w:val="21"/>
                <w:lang w:val="en-US" w:eastAsia="zh-CN"/>
              </w:rPr>
              <w:t>4</w:t>
            </w:r>
            <w:r>
              <w:rPr>
                <w:rFonts w:hint="eastAsia" w:ascii="仿宋" w:hAnsi="仿宋" w:eastAsia="仿宋" w:cs="仿宋"/>
                <w:szCs w:val="21"/>
              </w:rPr>
              <w:t>.按比选办法进行评审，得分最高的比选响应人中选。</w:t>
            </w:r>
          </w:p>
        </w:tc>
      </w:tr>
    </w:tbl>
    <w:p>
      <w:pPr>
        <w:rPr>
          <w:rFonts w:hint="eastAsia" w:ascii="仿宋" w:hAnsi="仿宋" w:eastAsia="仿宋" w:cs="仿宋"/>
          <w:b/>
          <w:bCs/>
          <w:sz w:val="28"/>
          <w:szCs w:val="28"/>
          <w:lang w:val="en-US" w:eastAsia="zh-CN"/>
        </w:rPr>
      </w:pPr>
      <w:r>
        <w:rPr>
          <w:rFonts w:hint="eastAsia" w:ascii="仿宋" w:hAnsi="仿宋" w:eastAsia="仿宋"/>
          <w:b/>
          <w:color w:val="000000"/>
          <w:kern w:val="0"/>
          <w:sz w:val="28"/>
          <w:szCs w:val="28"/>
          <w:lang w:eastAsia="zh-CN"/>
        </w:rPr>
        <w:t>六</w:t>
      </w:r>
      <w:r>
        <w:rPr>
          <w:rFonts w:hint="eastAsia" w:ascii="仿宋" w:hAnsi="仿宋" w:eastAsia="仿宋"/>
          <w:b/>
          <w:color w:val="000000"/>
          <w:kern w:val="0"/>
          <w:sz w:val="28"/>
          <w:szCs w:val="28"/>
        </w:rPr>
        <w:t>、</w:t>
      </w:r>
      <w:r>
        <w:rPr>
          <w:rFonts w:hint="eastAsia" w:ascii="仿宋" w:hAnsi="仿宋" w:eastAsia="仿宋" w:cs="仿宋"/>
          <w:b/>
          <w:bCs/>
          <w:sz w:val="28"/>
          <w:szCs w:val="28"/>
          <w:lang w:val="en-US" w:eastAsia="zh-CN"/>
        </w:rPr>
        <w:t>比选时间及地点安排</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6.1 文件发布的时间</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比选文件及相关资料于2022年5月23日在重庆机场集团有限公司官网（www.cqa.cn）发布。</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6.2 提出问题的截止时间及比选采购人澄清时间</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比选响应人对比选采购文件如有疑问，须于2022年5月26日17时前将疑问（需盖单位鲜章）以书面形式送达至重庆机场消防护卫部，并电话告知采购人，过期不再受理。比选采购人将澄清、答疑</w:t>
      </w:r>
      <w:r>
        <w:rPr>
          <w:rFonts w:hint="default" w:ascii="仿宋_GB2312" w:eastAsia="仿宋_GB2312"/>
          <w:color w:val="000000"/>
          <w:sz w:val="28"/>
          <w:szCs w:val="28"/>
          <w:u w:val="none"/>
          <w:lang w:val="en-US" w:eastAsia="zh-CN"/>
        </w:rPr>
        <w:t>、</w:t>
      </w:r>
      <w:r>
        <w:rPr>
          <w:rFonts w:hint="eastAsia" w:ascii="仿宋_GB2312" w:eastAsia="仿宋_GB2312"/>
          <w:color w:val="000000"/>
          <w:sz w:val="28"/>
          <w:szCs w:val="28"/>
          <w:u w:val="none"/>
          <w:lang w:val="en-US" w:eastAsia="zh-CN"/>
        </w:rPr>
        <w:t>补遗的内容在重庆机场集团有限公司官网（www.cqa.cn）以公告形式发布，各比选响应人应随时关注重庆机场集团有限公司官网（www.cqa.cn）所发布的相关信息资料，各比选响应人不管下载与否都将被视为已知晓。由此产生的一切后果由比选响应人自负。</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6.3 比选时间</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6.3.1 比选</w:t>
      </w:r>
      <w:r>
        <w:rPr>
          <w:rFonts w:hint="eastAsia" w:ascii="仿宋_GB2312" w:eastAsia="仿宋_GB2312"/>
          <w:color w:val="000000"/>
          <w:sz w:val="28"/>
          <w:szCs w:val="28"/>
          <w:u w:val="none"/>
          <w:lang w:val="zh-CN" w:eastAsia="zh-CN"/>
        </w:rPr>
        <w:t>响应文件</w:t>
      </w:r>
      <w:r>
        <w:rPr>
          <w:rFonts w:hint="eastAsia" w:ascii="仿宋_GB2312" w:eastAsia="仿宋_GB2312"/>
          <w:color w:val="000000"/>
          <w:sz w:val="28"/>
          <w:szCs w:val="28"/>
          <w:u w:val="none"/>
          <w:lang w:val="en-US" w:eastAsia="zh-CN"/>
        </w:rPr>
        <w:t>必须在2022年6月6日14:00-14:30送到重庆江北国际机场有限公司消防护卫部办公楼210室（机场东一路2号），过期不予受理。</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6.3.2  2022年6月6日14:30在重庆江北国际机场有限公司消防护卫部办公楼211室对本项目进行比选，各响应人须参加。</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6.3.3 参加比选唱价会议的比选响应人的法定代表人或其授权的代理人应当随身携带本人身份证（原件），授权的代理人还应当随身携带法定代表人授权委托书（原件），以备核验其合法身份。</w:t>
      </w:r>
    </w:p>
    <w:p>
      <w:pPr>
        <w:spacing w:line="360" w:lineRule="auto"/>
        <w:ind w:firstLine="560" w:firstLineChars="200"/>
        <w:jc w:val="left"/>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6.4 比选结果通知</w:t>
      </w:r>
    </w:p>
    <w:p>
      <w:pPr>
        <w:spacing w:line="360" w:lineRule="auto"/>
        <w:ind w:firstLine="560" w:firstLineChars="200"/>
        <w:jc w:val="left"/>
        <w:rPr>
          <w:rFonts w:ascii="仿宋_GB2312" w:hAnsi="宋体" w:eastAsia="仿宋_GB2312"/>
          <w:color w:val="00B050"/>
          <w:sz w:val="28"/>
          <w:szCs w:val="28"/>
        </w:rPr>
      </w:pPr>
      <w:r>
        <w:rPr>
          <w:rFonts w:hint="eastAsia" w:ascii="仿宋_GB2312" w:eastAsia="仿宋_GB2312"/>
          <w:color w:val="000000"/>
          <w:sz w:val="28"/>
          <w:szCs w:val="28"/>
          <w:u w:val="none"/>
          <w:lang w:val="en-US" w:eastAsia="zh-CN"/>
        </w:rPr>
        <w:t>拟成交结果将公示在重庆机场集团官网，待结果确定后会及时通知，原则上只通知被选中的比选响应人，对未被选中的比选响应人不通知、不解释，响应文件不予退还。</w:t>
      </w:r>
    </w:p>
    <w:p>
      <w:pPr>
        <w:adjustRightInd w:val="0"/>
        <w:snapToGrid w:val="0"/>
        <w:spacing w:line="360" w:lineRule="auto"/>
        <w:rPr>
          <w:rFonts w:ascii="仿宋" w:hAnsi="仿宋" w:eastAsia="仿宋"/>
          <w:b/>
          <w:bCs w:val="0"/>
          <w:color w:val="auto"/>
          <w:kern w:val="0"/>
          <w:sz w:val="28"/>
          <w:szCs w:val="28"/>
          <w:highlight w:val="none"/>
        </w:rPr>
      </w:pPr>
      <w:r>
        <w:rPr>
          <w:rFonts w:hint="eastAsia" w:ascii="仿宋" w:hAnsi="仿宋" w:eastAsia="仿宋"/>
          <w:b/>
          <w:bCs w:val="0"/>
          <w:color w:val="auto"/>
          <w:kern w:val="0"/>
          <w:sz w:val="28"/>
          <w:szCs w:val="28"/>
          <w:highlight w:val="none"/>
          <w:lang w:eastAsia="zh-CN"/>
        </w:rPr>
        <w:t>七</w:t>
      </w:r>
      <w:r>
        <w:rPr>
          <w:rFonts w:hint="eastAsia" w:ascii="仿宋" w:hAnsi="仿宋" w:eastAsia="仿宋"/>
          <w:b/>
          <w:bCs w:val="0"/>
          <w:color w:val="auto"/>
          <w:kern w:val="0"/>
          <w:sz w:val="28"/>
          <w:szCs w:val="28"/>
          <w:highlight w:val="none"/>
        </w:rPr>
        <w:t>、履约保证金</w:t>
      </w:r>
    </w:p>
    <w:p>
      <w:pPr>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7.1 </w:t>
      </w:r>
      <w:r>
        <w:rPr>
          <w:rFonts w:hint="eastAsia" w:ascii="仿宋_GB2312" w:hAnsi="仿宋_GB2312" w:eastAsia="仿宋_GB2312" w:cs="仿宋_GB2312"/>
          <w:color w:val="000000" w:themeColor="text1"/>
          <w:sz w:val="28"/>
          <w:szCs w:val="28"/>
          <w14:textFill>
            <w14:solidFill>
              <w14:schemeClr w14:val="tx1"/>
            </w14:solidFill>
          </w14:textFill>
        </w:rPr>
        <w:t>履约保证金为合同总价款的10%，在收到成交通知书10日内缴纳</w:t>
      </w:r>
      <w:r>
        <w:rPr>
          <w:rFonts w:hint="eastAsia" w:ascii="仿宋_GB2312" w:hAnsi="仿宋_GB2312" w:eastAsia="仿宋_GB2312" w:cs="仿宋_GB2312"/>
          <w:color w:val="000000" w:themeColor="text1"/>
          <w:sz w:val="28"/>
          <w:szCs w:val="28"/>
          <w:lang w:eastAsia="zh-CN"/>
          <w14:textFill>
            <w14:solidFill>
              <w14:schemeClr w14:val="tx1"/>
            </w14:solidFill>
          </w14:textFill>
        </w:rPr>
        <w:t>。履约结束后，</w:t>
      </w:r>
      <w:r>
        <w:rPr>
          <w:rFonts w:hint="eastAsia" w:ascii="仿宋_GB2312" w:hAnsi="仿宋_GB2312" w:eastAsia="仿宋_GB2312" w:cs="仿宋_GB2312"/>
          <w:color w:val="000000" w:themeColor="text1"/>
          <w:sz w:val="28"/>
          <w:szCs w:val="28"/>
          <w14:textFill>
            <w14:solidFill>
              <w14:schemeClr w14:val="tx1"/>
            </w14:solidFill>
          </w14:textFill>
        </w:rPr>
        <w:t>无违规事件、无劳资纠纷等问题，并妥善处理好善后各项事宜。乙方向甲方提出书面申请，甲方在30个工作日内将履约保证金一次性退还乙方（不记利息）。</w:t>
      </w:r>
    </w:p>
    <w:p>
      <w:pPr>
        <w:snapToGrid w:val="0"/>
        <w:spacing w:line="360" w:lineRule="auto"/>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7.2 </w:t>
      </w:r>
      <w:r>
        <w:rPr>
          <w:rFonts w:hint="eastAsia" w:ascii="仿宋_GB2312" w:hAnsi="仿宋_GB2312" w:eastAsia="仿宋_GB2312" w:cs="仿宋_GB2312"/>
          <w:color w:val="000000" w:themeColor="text1"/>
          <w:sz w:val="28"/>
          <w:szCs w:val="28"/>
          <w:lang w:eastAsia="zh-CN"/>
          <w14:textFill>
            <w14:solidFill>
              <w14:schemeClr w14:val="tx1"/>
            </w14:solidFill>
          </w14:textFill>
        </w:rPr>
        <w:t>履约</w:t>
      </w:r>
      <w:r>
        <w:rPr>
          <w:rFonts w:hint="eastAsia" w:ascii="仿宋_GB2312" w:hAnsi="仿宋_GB2312" w:eastAsia="仿宋_GB2312" w:cs="仿宋_GB2312"/>
          <w:color w:val="000000" w:themeColor="text1"/>
          <w:sz w:val="28"/>
          <w:szCs w:val="28"/>
          <w14:textFill>
            <w14:solidFill>
              <w14:schemeClr w14:val="tx1"/>
            </w14:solidFill>
          </w14:textFill>
        </w:rPr>
        <w:t>保证金提交方式：比选响应人企业基本账户银行转账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并在缴纳后凭银行缴款单据前往计划财务部换取履约保证金收据。</w:t>
      </w:r>
    </w:p>
    <w:p>
      <w:pPr>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户名：重庆江北国际机场有限公司</w:t>
      </w:r>
    </w:p>
    <w:p>
      <w:pPr>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开户行：建行渝北支行机场分理处</w:t>
      </w:r>
    </w:p>
    <w:p>
      <w:pPr>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帐号：50050108380000000060</w:t>
      </w:r>
    </w:p>
    <w:p>
      <w:pPr>
        <w:adjustRightInd w:val="0"/>
        <w:snapToGrid w:val="0"/>
        <w:spacing w:line="360" w:lineRule="auto"/>
        <w:rPr>
          <w:rFonts w:ascii="仿宋" w:hAnsi="仿宋" w:eastAsia="仿宋"/>
          <w:b/>
          <w:color w:val="000000"/>
          <w:sz w:val="28"/>
          <w:szCs w:val="28"/>
        </w:rPr>
      </w:pPr>
      <w:r>
        <w:rPr>
          <w:rFonts w:hint="eastAsia" w:ascii="仿宋" w:hAnsi="仿宋" w:eastAsia="仿宋"/>
          <w:b/>
          <w:color w:val="000000"/>
          <w:kern w:val="0"/>
          <w:sz w:val="28"/>
          <w:szCs w:val="28"/>
          <w:lang w:eastAsia="zh-CN"/>
        </w:rPr>
        <w:t>八</w:t>
      </w:r>
      <w:r>
        <w:rPr>
          <w:rFonts w:hint="eastAsia" w:ascii="仿宋" w:hAnsi="仿宋" w:eastAsia="仿宋"/>
          <w:b/>
          <w:color w:val="000000"/>
          <w:kern w:val="0"/>
          <w:sz w:val="28"/>
          <w:szCs w:val="28"/>
        </w:rPr>
        <w:t>、</w:t>
      </w:r>
      <w:r>
        <w:rPr>
          <w:rFonts w:hint="eastAsia" w:ascii="仿宋" w:hAnsi="仿宋" w:eastAsia="仿宋"/>
          <w:b/>
          <w:color w:val="000000"/>
          <w:sz w:val="28"/>
          <w:szCs w:val="28"/>
        </w:rPr>
        <w:t>支付方式</w:t>
      </w:r>
    </w:p>
    <w:p>
      <w:pPr>
        <w:numPr>
          <w:ilvl w:val="0"/>
          <w:numId w:val="0"/>
        </w:num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8.1 外包费用每合同季支付一次，每次支付金额为全年外包合同金额的1/4。甲方每合同季对乙方服务质量进行评估，经确认无服务质量问题后，乙方出具正规的增值税发票，甲方按报销流程办理付款手续。</w:t>
      </w:r>
    </w:p>
    <w:p>
      <w:pPr>
        <w:numPr>
          <w:ilvl w:val="0"/>
          <w:numId w:val="0"/>
        </w:num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8.2 若乙方出具增值税专用发票，甲方实际支付金额=不含税金额+增值税税额，若乙方出具增值税普通发票，甲方实际支付金额为不含税金额。</w:t>
      </w:r>
      <w:r>
        <w:rPr>
          <w:rFonts w:hint="eastAsia" w:ascii="仿宋_GB2312" w:hAnsi="仿宋_GB2312" w:eastAsia="仿宋_GB2312" w:cs="仿宋_GB2312"/>
          <w:color w:val="000000" w:themeColor="text1"/>
          <w:sz w:val="28"/>
          <w:szCs w:val="28"/>
          <w14:textFill>
            <w14:solidFill>
              <w14:schemeClr w14:val="tx1"/>
            </w14:solidFill>
          </w14:textFill>
        </w:rPr>
        <w:t>如税率发生国家法规调整，折算为不含税价后以新适用税率结算。</w:t>
      </w:r>
    </w:p>
    <w:p>
      <w:pPr>
        <w:numPr>
          <w:ilvl w:val="0"/>
          <w:numId w:val="0"/>
        </w:numPr>
        <w:adjustRightInd w:val="0"/>
        <w:snapToGrid w:val="0"/>
        <w:spacing w:line="360" w:lineRule="auto"/>
        <w:rPr>
          <w:rFonts w:ascii="仿宋" w:hAnsi="仿宋" w:eastAsia="仿宋"/>
          <w:b/>
          <w:color w:val="000000"/>
          <w:sz w:val="28"/>
          <w:szCs w:val="28"/>
        </w:rPr>
      </w:pPr>
      <w:r>
        <w:rPr>
          <w:rFonts w:hint="eastAsia" w:ascii="仿宋" w:hAnsi="仿宋" w:eastAsia="仿宋"/>
          <w:b/>
          <w:color w:val="000000"/>
          <w:sz w:val="28"/>
          <w:szCs w:val="28"/>
          <w:lang w:eastAsia="zh-CN"/>
        </w:rPr>
        <w:t>九</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合同期限</w:t>
      </w:r>
    </w:p>
    <w:p>
      <w:pPr>
        <w:numPr>
          <w:ilvl w:val="0"/>
          <w:numId w:val="0"/>
        </w:num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拟签订合同期限：本项目合同期限为两年，合同到期若甲乙双方对合同履行情况满意，且符合甲方相关管理规定的续约条件，双方签订补充协议后，合同顺延一年。无需重新签订续约期合同，该合同在延长期限内继续有效。</w:t>
      </w:r>
    </w:p>
    <w:p>
      <w:pPr>
        <w:spacing w:line="360" w:lineRule="auto"/>
        <w:rPr>
          <w:rFonts w:hint="eastAsia"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十、比选响应有效期</w:t>
      </w:r>
    </w:p>
    <w:p>
      <w:pPr>
        <w:spacing w:line="360" w:lineRule="auto"/>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90天（自比选响应人提交比选响应文件截止之日起计算）。</w:t>
      </w:r>
    </w:p>
    <w:p>
      <w:pPr>
        <w:spacing w:line="360" w:lineRule="auto"/>
        <w:rPr>
          <w:rFonts w:ascii="仿宋" w:hAnsi="仿宋" w:eastAsia="仿宋"/>
          <w:b/>
          <w:color w:val="000000"/>
          <w:sz w:val="28"/>
          <w:szCs w:val="28"/>
        </w:rPr>
      </w:pPr>
      <w:r>
        <w:rPr>
          <w:rFonts w:hint="eastAsia" w:ascii="仿宋" w:hAnsi="仿宋" w:eastAsia="仿宋"/>
          <w:b/>
          <w:color w:val="000000"/>
          <w:sz w:val="28"/>
          <w:szCs w:val="28"/>
          <w:lang w:val="en-US" w:eastAsia="zh-CN"/>
        </w:rPr>
        <w:t>十一</w:t>
      </w:r>
      <w:r>
        <w:rPr>
          <w:rFonts w:hint="eastAsia" w:ascii="仿宋" w:hAnsi="仿宋" w:eastAsia="仿宋"/>
          <w:b/>
          <w:color w:val="000000"/>
          <w:sz w:val="28"/>
          <w:szCs w:val="28"/>
        </w:rPr>
        <w:t>、报价文件的编制和提交：</w:t>
      </w:r>
    </w:p>
    <w:p>
      <w:pPr>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 xml:space="preserve"> 比选</w:t>
      </w:r>
      <w:r>
        <w:rPr>
          <w:rFonts w:hint="eastAsia" w:ascii="仿宋_GB2312" w:hAnsi="仿宋_GB2312" w:eastAsia="仿宋_GB2312" w:cs="仿宋_GB2312"/>
          <w:color w:val="000000"/>
          <w:sz w:val="28"/>
          <w:szCs w:val="28"/>
        </w:rPr>
        <w:t>响应方应当按照</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rPr>
        <w:t>文件的要求编制</w:t>
      </w:r>
      <w:r>
        <w:rPr>
          <w:rFonts w:hint="eastAsia" w:ascii="仿宋_GB2312" w:hAnsi="仿宋_GB2312" w:eastAsia="仿宋_GB2312" w:cs="仿宋_GB2312"/>
          <w:color w:val="000000"/>
          <w:sz w:val="28"/>
          <w:szCs w:val="28"/>
          <w:lang w:val="en-US" w:eastAsia="zh-CN"/>
        </w:rPr>
        <w:t>响应</w:t>
      </w:r>
      <w:r>
        <w:rPr>
          <w:rFonts w:hint="eastAsia" w:ascii="仿宋_GB2312" w:hAnsi="仿宋_GB2312" w:eastAsia="仿宋_GB2312" w:cs="仿宋_GB2312"/>
          <w:color w:val="000000"/>
          <w:sz w:val="28"/>
          <w:szCs w:val="28"/>
        </w:rPr>
        <w:t>文件，</w:t>
      </w:r>
      <w:r>
        <w:rPr>
          <w:rFonts w:hint="eastAsia" w:ascii="仿宋_GB2312" w:hAnsi="仿宋_GB2312" w:eastAsia="仿宋_GB2312" w:cs="仿宋_GB2312"/>
          <w:color w:val="000000"/>
          <w:sz w:val="28"/>
          <w:szCs w:val="28"/>
          <w:lang w:val="en-US" w:eastAsia="zh-CN"/>
        </w:rPr>
        <w:t>响应</w:t>
      </w:r>
      <w:r>
        <w:rPr>
          <w:rFonts w:hint="eastAsia" w:ascii="仿宋_GB2312" w:hAnsi="仿宋_GB2312" w:eastAsia="仿宋_GB2312" w:cs="仿宋_GB2312"/>
          <w:color w:val="000000"/>
          <w:sz w:val="28"/>
          <w:szCs w:val="28"/>
        </w:rPr>
        <w:t>文件应当对</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文件提出的要求和条件作出实质性应答。</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 xml:space="preserve"> 响应</w:t>
      </w:r>
      <w:r>
        <w:rPr>
          <w:rFonts w:hint="eastAsia" w:ascii="仿宋_GB2312" w:hAnsi="仿宋_GB2312" w:eastAsia="仿宋_GB2312" w:cs="仿宋_GB2312"/>
          <w:color w:val="000000"/>
          <w:sz w:val="28"/>
          <w:szCs w:val="28"/>
          <w:lang w:val="zh-CN"/>
        </w:rPr>
        <w:t>文件应用A4规格纸编制并装订成册，主要由以下几个部分组成：</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.2.1</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封面。</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.2.2</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sz w:val="28"/>
          <w:szCs w:val="28"/>
          <w:lang w:val="zh-CN"/>
        </w:rPr>
        <w:t>加盖公章的</w:t>
      </w:r>
      <w:r>
        <w:rPr>
          <w:rFonts w:hint="eastAsia" w:ascii="仿宋_GB2312" w:hAnsi="仿宋_GB2312" w:eastAsia="仿宋_GB2312" w:cs="仿宋_GB2312"/>
          <w:color w:val="000000"/>
          <w:sz w:val="28"/>
          <w:szCs w:val="28"/>
          <w:lang w:val="zh-CN"/>
        </w:rPr>
        <w:t>报价</w:t>
      </w:r>
      <w:r>
        <w:rPr>
          <w:rFonts w:hint="eastAsia" w:ascii="仿宋_GB2312" w:hAnsi="仿宋_GB2312" w:eastAsia="仿宋_GB2312" w:cs="仿宋_GB2312"/>
          <w:sz w:val="28"/>
          <w:szCs w:val="28"/>
          <w:lang w:val="en-US" w:eastAsia="zh-CN"/>
        </w:rPr>
        <w:t>函</w:t>
      </w:r>
      <w:r>
        <w:rPr>
          <w:rFonts w:hint="eastAsia" w:ascii="仿宋_GB2312" w:hAnsi="仿宋_GB2312" w:eastAsia="仿宋_GB2312" w:cs="仿宋_GB2312"/>
          <w:sz w:val="28"/>
          <w:szCs w:val="28"/>
          <w:lang w:val="zh-CN"/>
        </w:rPr>
        <w:t>及声明。</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.2.3</w:t>
      </w:r>
      <w:r>
        <w:rPr>
          <w:rFonts w:hint="eastAsia" w:ascii="仿宋_GB2312" w:hAnsi="仿宋_GB2312" w:eastAsia="仿宋_GB2312" w:cs="仿宋_GB2312"/>
          <w:color w:val="000000"/>
          <w:sz w:val="28"/>
          <w:szCs w:val="28"/>
          <w:lang w:val="en-US" w:eastAsia="zh-CN"/>
        </w:rPr>
        <w:t xml:space="preserve"> 技术</w:t>
      </w:r>
      <w:r>
        <w:rPr>
          <w:rFonts w:hint="eastAsia" w:ascii="仿宋_GB2312" w:hAnsi="仿宋_GB2312" w:eastAsia="仿宋_GB2312" w:cs="仿宋_GB2312"/>
          <w:color w:val="000000"/>
          <w:sz w:val="28"/>
          <w:szCs w:val="28"/>
          <w:lang w:val="zh-CN"/>
        </w:rPr>
        <w:t>部分。主要包括</w:t>
      </w:r>
      <w:r>
        <w:rPr>
          <w:rFonts w:hint="eastAsia" w:ascii="仿宋_GB2312" w:hAnsi="仿宋_GB2312" w:eastAsia="仿宋_GB2312" w:cs="仿宋_GB2312"/>
          <w:color w:val="000000"/>
          <w:sz w:val="28"/>
          <w:szCs w:val="28"/>
          <w:lang w:val="en-US" w:eastAsia="zh-CN"/>
        </w:rPr>
        <w:t>保障食品安全、安全生产</w:t>
      </w:r>
      <w:r>
        <w:rPr>
          <w:rFonts w:hint="eastAsia" w:ascii="仿宋_GB2312" w:hAnsi="仿宋_GB2312" w:eastAsia="仿宋_GB2312" w:cs="仿宋_GB2312"/>
          <w:color w:val="000000"/>
          <w:sz w:val="28"/>
          <w:szCs w:val="28"/>
          <w:lang w:val="zh-CN"/>
        </w:rPr>
        <w:t>等</w:t>
      </w:r>
      <w:r>
        <w:rPr>
          <w:rFonts w:hint="eastAsia" w:ascii="仿宋_GB2312" w:hAnsi="仿宋_GB2312" w:eastAsia="仿宋_GB2312" w:cs="仿宋_GB2312"/>
          <w:color w:val="000000"/>
          <w:sz w:val="28"/>
          <w:szCs w:val="28"/>
          <w:lang w:val="en-US" w:eastAsia="zh-CN"/>
        </w:rPr>
        <w:t>方面的制度、流程</w:t>
      </w: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lang w:val="en-US" w:eastAsia="zh-CN"/>
        </w:rPr>
        <w:t>按照餐标拟定每周菜品菜单安排等。</w:t>
      </w:r>
      <w:r>
        <w:rPr>
          <w:rFonts w:hint="eastAsia" w:ascii="仿宋_GB2312" w:hAnsi="仿宋_GB2312" w:eastAsia="仿宋_GB2312" w:cs="仿宋_GB2312"/>
          <w:color w:val="000000"/>
          <w:sz w:val="28"/>
          <w:szCs w:val="28"/>
          <w:lang w:val="zh-CN"/>
        </w:rPr>
        <w:t>如果提供</w:t>
      </w:r>
      <w:r>
        <w:rPr>
          <w:rFonts w:hint="eastAsia" w:ascii="仿宋_GB2312" w:hAnsi="仿宋_GB2312" w:eastAsia="仿宋_GB2312" w:cs="仿宋_GB2312"/>
          <w:color w:val="000000"/>
          <w:sz w:val="28"/>
          <w:szCs w:val="28"/>
          <w:lang w:val="en-US" w:eastAsia="zh-CN"/>
        </w:rPr>
        <w:t>的菜品数量</w:t>
      </w:r>
      <w:r>
        <w:rPr>
          <w:rFonts w:hint="eastAsia" w:ascii="仿宋_GB2312" w:hAnsi="仿宋_GB2312" w:eastAsia="仿宋_GB2312" w:cs="仿宋_GB2312"/>
          <w:color w:val="000000"/>
          <w:sz w:val="28"/>
          <w:szCs w:val="28"/>
          <w:lang w:val="zh-CN"/>
        </w:rPr>
        <w:t>等与</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文件要求有偏差，必须详细说明。</w:t>
      </w:r>
      <w:r>
        <w:rPr>
          <w:rFonts w:hint="eastAsia" w:ascii="仿宋_GB2312" w:hAnsi="仿宋_GB2312" w:eastAsia="仿宋_GB2312" w:cs="仿宋_GB2312"/>
          <w:color w:val="000000"/>
          <w:sz w:val="28"/>
          <w:szCs w:val="28"/>
        </w:rPr>
        <w:t>须经</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rPr>
        <w:t>小组评定和采购人许可，才能作为供应商实质性响应。(表格自制)</w:t>
      </w:r>
    </w:p>
    <w:p>
      <w:pPr>
        <w:autoSpaceDE w:val="0"/>
        <w:autoSpaceDN w:val="0"/>
        <w:adjustRightInd w:val="0"/>
        <w:spacing w:line="360" w:lineRule="auto"/>
        <w:ind w:firstLine="630" w:firstLineChars="225"/>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.2.4</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报价部分。</w:t>
      </w:r>
      <w:r>
        <w:rPr>
          <w:rFonts w:hint="eastAsia" w:ascii="仿宋_GB2312" w:hAnsi="仿宋_GB2312" w:eastAsia="仿宋_GB2312" w:cs="仿宋_GB2312"/>
          <w:color w:val="auto"/>
          <w:sz w:val="28"/>
          <w:szCs w:val="28"/>
          <w:lang w:val="zh-CN"/>
        </w:rPr>
        <w:t>报价分为含税报价和不含税报价，增值税税率单列。（表格自制）</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.2.5</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商务部分。主要包括三证合一的营业执照（复印件），法定代表人身份证明（原件盖鲜章并附法定代表人身份证复印件加盖鲜章），法定代表人授权委托书（原件盖鲜章并附委托代理人身份证复印件加盖鲜章）、</w:t>
      </w:r>
      <w:r>
        <w:rPr>
          <w:rFonts w:hint="eastAsia" w:ascii="仿宋_GB2312" w:hAnsi="仿宋_GB2312" w:eastAsia="仿宋_GB2312" w:cs="仿宋_GB2312"/>
          <w:color w:val="000000"/>
          <w:sz w:val="28"/>
          <w:szCs w:val="28"/>
          <w:lang w:val="en-US" w:eastAsia="zh-CN"/>
        </w:rPr>
        <w:t>合同及发票（复印件）、</w:t>
      </w:r>
      <w:r>
        <w:rPr>
          <w:rFonts w:hint="eastAsia" w:ascii="仿宋_GB2312" w:hAnsi="仿宋_GB2312" w:eastAsia="仿宋_GB2312" w:cs="仿宋_GB2312"/>
          <w:color w:val="000000"/>
          <w:sz w:val="28"/>
          <w:szCs w:val="28"/>
          <w:lang w:val="zh-CN"/>
        </w:rPr>
        <w:t>其它资格证明（如</w:t>
      </w:r>
      <w:r>
        <w:rPr>
          <w:rFonts w:hint="eastAsia" w:ascii="仿宋_GB2312" w:hAnsi="仿宋_GB2312" w:eastAsia="仿宋_GB2312" w:cs="仿宋_GB2312"/>
          <w:color w:val="000000"/>
          <w:sz w:val="28"/>
          <w:szCs w:val="28"/>
          <w:lang w:val="en-US" w:eastAsia="zh-CN"/>
        </w:rPr>
        <w:t>卫生许可证</w:t>
      </w: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lang w:val="en-US" w:eastAsia="zh-CN"/>
        </w:rPr>
        <w:t>从业人员健康</w:t>
      </w:r>
      <w:r>
        <w:rPr>
          <w:rFonts w:hint="eastAsia" w:ascii="仿宋_GB2312" w:hAnsi="仿宋_GB2312" w:eastAsia="仿宋_GB2312" w:cs="仿宋_GB2312"/>
          <w:color w:val="000000"/>
          <w:sz w:val="28"/>
          <w:szCs w:val="28"/>
          <w:lang w:val="zh-CN"/>
        </w:rPr>
        <w:t>证等</w:t>
      </w:r>
      <w:r>
        <w:rPr>
          <w:rFonts w:hint="eastAsia" w:ascii="仿宋_GB2312" w:hAnsi="仿宋_GB2312" w:eastAsia="仿宋_GB2312" w:cs="仿宋_GB2312"/>
          <w:color w:val="000000"/>
          <w:sz w:val="28"/>
          <w:szCs w:val="28"/>
          <w:lang w:val="en-US" w:eastAsia="zh-CN"/>
        </w:rPr>
        <w:t>提供复印件，原件备查</w:t>
      </w:r>
      <w:r>
        <w:rPr>
          <w:rFonts w:hint="eastAsia" w:ascii="仿宋_GB2312" w:hAnsi="仿宋_GB2312" w:eastAsia="仿宋_GB2312" w:cs="仿宋_GB2312"/>
          <w:color w:val="000000"/>
          <w:sz w:val="28"/>
          <w:szCs w:val="28"/>
          <w:lang w:val="zh-CN"/>
        </w:rPr>
        <w:t>）以及服务承诺（</w:t>
      </w:r>
      <w:r>
        <w:rPr>
          <w:rFonts w:hint="eastAsia" w:ascii="仿宋_GB2312" w:hAnsi="仿宋_GB2312" w:eastAsia="仿宋_GB2312" w:cs="仿宋_GB2312"/>
          <w:color w:val="000000"/>
          <w:sz w:val="28"/>
          <w:szCs w:val="28"/>
          <w:lang w:val="en-US" w:eastAsia="zh-CN"/>
        </w:rPr>
        <w:t>格式不限，加盖鲜章</w:t>
      </w:r>
      <w:r>
        <w:rPr>
          <w:rFonts w:hint="eastAsia" w:ascii="仿宋_GB2312" w:hAnsi="仿宋_GB2312" w:eastAsia="仿宋_GB2312" w:cs="仿宋_GB2312"/>
          <w:color w:val="000000"/>
          <w:sz w:val="28"/>
          <w:szCs w:val="28"/>
          <w:lang w:val="zh-CN"/>
        </w:rPr>
        <w:t>）等。</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val="zh-CN"/>
        </w:rPr>
        <w:t>.2.6</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auto"/>
          <w:sz w:val="28"/>
          <w:szCs w:val="28"/>
          <w:lang w:val="zh-CN"/>
        </w:rPr>
        <w:t>比选响应文件可合并装订成册，</w:t>
      </w:r>
      <w:r>
        <w:rPr>
          <w:rFonts w:hint="eastAsia" w:ascii="仿宋_GB2312" w:hAnsi="仿宋_GB2312" w:eastAsia="仿宋_GB2312" w:cs="仿宋_GB2312"/>
          <w:color w:val="auto"/>
          <w:sz w:val="28"/>
          <w:szCs w:val="28"/>
          <w:u w:val="single"/>
          <w:lang w:val="zh-CN"/>
        </w:rPr>
        <w:t>纸质</w:t>
      </w:r>
      <w:r>
        <w:rPr>
          <w:rFonts w:hint="eastAsia" w:ascii="仿宋_GB2312" w:hAnsi="仿宋_GB2312" w:eastAsia="仿宋_GB2312" w:cs="仿宋_GB2312"/>
          <w:color w:val="000000"/>
          <w:sz w:val="28"/>
          <w:szCs w:val="28"/>
          <w:u w:val="single"/>
          <w:lang w:val="zh-CN"/>
        </w:rPr>
        <w:t>文件一式2份，其中正本1份，副本1份</w:t>
      </w:r>
      <w:r>
        <w:rPr>
          <w:rFonts w:hint="eastAsia" w:ascii="仿宋_GB2312" w:hAnsi="仿宋_GB2312" w:eastAsia="仿宋_GB2312" w:cs="仿宋_GB2312"/>
          <w:color w:val="000000"/>
          <w:sz w:val="28"/>
          <w:szCs w:val="28"/>
          <w:lang w:val="zh-CN"/>
        </w:rPr>
        <w:t>。</w:t>
      </w:r>
    </w:p>
    <w:p>
      <w:pPr>
        <w:numPr>
          <w:ilvl w:val="0"/>
          <w:numId w:val="0"/>
        </w:numPr>
        <w:rPr>
          <w:rFonts w:hint="eastAsia" w:ascii="仿宋" w:hAnsi="仿宋" w:eastAsia="仿宋" w:cs="仿宋"/>
          <w:b/>
          <w:bCs/>
          <w:sz w:val="28"/>
          <w:szCs w:val="28"/>
          <w:lang w:val="zh-CN" w:eastAsia="zh-CN"/>
        </w:rPr>
      </w:pPr>
      <w:r>
        <w:rPr>
          <w:rFonts w:hint="eastAsia" w:ascii="仿宋" w:hAnsi="仿宋" w:eastAsia="仿宋" w:cs="仿宋"/>
          <w:b/>
          <w:bCs/>
          <w:sz w:val="28"/>
          <w:szCs w:val="28"/>
          <w:lang w:val="en-US" w:eastAsia="zh-CN"/>
        </w:rPr>
        <w:t>十二、比选</w:t>
      </w:r>
      <w:r>
        <w:rPr>
          <w:rFonts w:hint="eastAsia" w:ascii="仿宋" w:hAnsi="仿宋" w:eastAsia="仿宋" w:cs="仿宋"/>
          <w:b/>
          <w:bCs/>
          <w:sz w:val="28"/>
          <w:szCs w:val="28"/>
          <w:lang w:val="zh-CN" w:eastAsia="zh-CN"/>
        </w:rPr>
        <w:t>响应文件作废条款</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比选响应文件有下列情形之一的，视为非实质性响应，应作废。</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12.1 </w:t>
      </w:r>
      <w:r>
        <w:rPr>
          <w:rFonts w:hint="eastAsia" w:ascii="仿宋_GB2312" w:hAnsi="仿宋_GB2312" w:eastAsia="仿宋_GB2312" w:cs="仿宋_GB2312"/>
          <w:sz w:val="28"/>
          <w:szCs w:val="28"/>
          <w:lang w:val="zh-CN" w:eastAsia="zh-CN"/>
        </w:rPr>
        <w:t>无报价或两个以上报价的；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12.2 </w:t>
      </w:r>
      <w:r>
        <w:rPr>
          <w:rFonts w:hint="eastAsia" w:ascii="仿宋_GB2312" w:hAnsi="仿宋_GB2312" w:eastAsia="仿宋_GB2312" w:cs="仿宋_GB2312"/>
          <w:sz w:val="28"/>
          <w:szCs w:val="28"/>
          <w:lang w:val="zh-CN" w:eastAsia="zh-CN"/>
        </w:rPr>
        <w:t>资格条件不符合国家有关规定和</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lang w:val="zh-CN" w:eastAsia="zh-CN"/>
        </w:rPr>
        <w:t>文件要求的，或者拒不按照要求对</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lang w:val="zh-CN" w:eastAsia="zh-CN"/>
        </w:rPr>
        <w:t>文件进行澄清、说明或者补正的；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12.3 </w:t>
      </w:r>
      <w:r>
        <w:rPr>
          <w:rFonts w:hint="eastAsia" w:ascii="仿宋_GB2312" w:hAnsi="仿宋_GB2312" w:eastAsia="仿宋_GB2312" w:cs="仿宋_GB2312"/>
          <w:sz w:val="28"/>
          <w:szCs w:val="28"/>
          <w:lang w:val="zh-CN" w:eastAsia="zh-CN"/>
        </w:rPr>
        <w:t>报价超过比选最高限价的；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12.4 </w:t>
      </w:r>
      <w:r>
        <w:rPr>
          <w:rFonts w:hint="eastAsia" w:ascii="仿宋_GB2312" w:hAnsi="仿宋_GB2312" w:eastAsia="仿宋_GB2312" w:cs="仿宋_GB2312"/>
          <w:sz w:val="28"/>
          <w:szCs w:val="28"/>
          <w:lang w:val="zh-CN" w:eastAsia="zh-CN"/>
        </w:rPr>
        <w:t>比选响应文件封面及密封袋封面上</w:t>
      </w:r>
      <w:r>
        <w:rPr>
          <w:rFonts w:hint="eastAsia" w:ascii="仿宋_GB2312" w:hAnsi="仿宋_GB2312" w:eastAsia="仿宋_GB2312" w:cs="仿宋_GB2312"/>
          <w:sz w:val="28"/>
          <w:szCs w:val="28"/>
          <w:lang w:val="en-US" w:eastAsia="zh-CN"/>
        </w:rPr>
        <w:t>未</w:t>
      </w:r>
      <w:r>
        <w:rPr>
          <w:rFonts w:hint="eastAsia" w:ascii="仿宋_GB2312" w:hAnsi="仿宋_GB2312" w:eastAsia="仿宋_GB2312" w:cs="仿宋_GB2312"/>
          <w:sz w:val="28"/>
          <w:szCs w:val="28"/>
          <w:lang w:val="zh-CN" w:eastAsia="zh-CN"/>
        </w:rPr>
        <w:t>注明“项目名称”“项目编号”“比选响应单位名称”，</w:t>
      </w:r>
      <w:r>
        <w:rPr>
          <w:rFonts w:hint="eastAsia" w:ascii="仿宋_GB2312" w:hAnsi="仿宋_GB2312" w:eastAsia="仿宋_GB2312" w:cs="仿宋_GB2312"/>
          <w:sz w:val="28"/>
          <w:szCs w:val="28"/>
          <w:lang w:val="en-US" w:eastAsia="zh-CN"/>
        </w:rPr>
        <w:t>或未</w:t>
      </w:r>
      <w:r>
        <w:rPr>
          <w:rFonts w:hint="eastAsia" w:ascii="仿宋_GB2312" w:hAnsi="仿宋_GB2312" w:eastAsia="仿宋_GB2312" w:cs="仿宋_GB2312"/>
          <w:sz w:val="28"/>
          <w:szCs w:val="28"/>
          <w:lang w:val="zh-CN" w:eastAsia="zh-CN"/>
        </w:rPr>
        <w:t>加盖单位公章；</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12.5 </w:t>
      </w:r>
      <w:r>
        <w:rPr>
          <w:rFonts w:hint="eastAsia" w:ascii="仿宋_GB2312" w:hAnsi="仿宋_GB2312" w:eastAsia="仿宋_GB2312" w:cs="仿宋_GB2312"/>
          <w:sz w:val="28"/>
          <w:szCs w:val="28"/>
          <w:lang w:val="zh-CN" w:eastAsia="zh-CN"/>
        </w:rPr>
        <w:t>比选响应文件</w:t>
      </w:r>
      <w:r>
        <w:rPr>
          <w:rFonts w:hint="eastAsia" w:ascii="仿宋_GB2312" w:hAnsi="仿宋_GB2312" w:eastAsia="仿宋_GB2312" w:cs="仿宋_GB2312"/>
          <w:sz w:val="28"/>
          <w:szCs w:val="28"/>
          <w:lang w:val="en-US" w:eastAsia="zh-CN"/>
        </w:rPr>
        <w:t>中</w:t>
      </w:r>
      <w:r>
        <w:rPr>
          <w:rFonts w:hint="eastAsia" w:ascii="仿宋_GB2312" w:hAnsi="仿宋_GB2312" w:eastAsia="仿宋_GB2312" w:cs="仿宋_GB2312"/>
          <w:sz w:val="28"/>
          <w:szCs w:val="28"/>
          <w:lang w:val="zh-CN" w:eastAsia="zh-CN"/>
        </w:rPr>
        <w:t>字迹或提供的复印件模糊、无法辨认的；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12.6 </w:t>
      </w:r>
      <w:r>
        <w:rPr>
          <w:rFonts w:hint="eastAsia" w:ascii="仿宋_GB2312" w:hAnsi="仿宋_GB2312" w:eastAsia="仿宋_GB2312" w:cs="仿宋_GB2312"/>
          <w:sz w:val="28"/>
          <w:szCs w:val="28"/>
          <w:lang w:val="zh-CN" w:eastAsia="zh-CN"/>
        </w:rPr>
        <w:t>比选响应文件散装或者活页装订的；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12.7 </w:t>
      </w:r>
      <w:r>
        <w:rPr>
          <w:rFonts w:hint="eastAsia" w:ascii="仿宋_GB2312" w:hAnsi="仿宋_GB2312" w:eastAsia="仿宋_GB2312" w:cs="仿宋_GB2312"/>
          <w:sz w:val="28"/>
          <w:szCs w:val="28"/>
          <w:lang w:val="zh-CN" w:eastAsia="zh-CN"/>
        </w:rPr>
        <w:t>比选响应文件份数不足；</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12.8 </w:t>
      </w:r>
      <w:r>
        <w:rPr>
          <w:rFonts w:hint="eastAsia" w:ascii="仿宋_GB2312" w:hAnsi="仿宋_GB2312" w:eastAsia="仿宋_GB2312" w:cs="仿宋_GB2312"/>
          <w:sz w:val="28"/>
          <w:szCs w:val="28"/>
          <w:lang w:val="zh-CN" w:eastAsia="zh-CN"/>
        </w:rPr>
        <w:t>比选响应文件封面未标注正副本（密封袋封面无需标注正副本）；</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12.9 </w:t>
      </w:r>
      <w:r>
        <w:rPr>
          <w:rFonts w:hint="eastAsia" w:ascii="仿宋_GB2312" w:hAnsi="仿宋_GB2312" w:eastAsia="仿宋_GB2312" w:cs="仿宋_GB2312"/>
          <w:sz w:val="28"/>
          <w:szCs w:val="28"/>
          <w:lang w:val="zh-CN" w:eastAsia="zh-CN"/>
        </w:rPr>
        <w:t>比选响应文件中报价函部分、授权部分未盖章，或无法定代表人签字，或签字人无有效授权书的；</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12.10 </w:t>
      </w:r>
      <w:r>
        <w:rPr>
          <w:rFonts w:hint="eastAsia" w:ascii="仿宋_GB2312" w:hAnsi="仿宋_GB2312" w:eastAsia="仿宋_GB2312" w:cs="仿宋_GB2312"/>
          <w:sz w:val="28"/>
          <w:szCs w:val="28"/>
          <w:lang w:val="zh-CN" w:eastAsia="zh-CN"/>
        </w:rPr>
        <w:t>报价函部分未按规定的格式完整填写（增项填写不作为作废条款）；</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12.11 未</w:t>
      </w:r>
      <w:r>
        <w:rPr>
          <w:rFonts w:hint="eastAsia" w:ascii="仿宋_GB2312" w:hAnsi="仿宋_GB2312" w:eastAsia="仿宋_GB2312" w:cs="仿宋_GB2312"/>
          <w:sz w:val="28"/>
          <w:szCs w:val="28"/>
          <w:lang w:val="zh-CN" w:eastAsia="zh-CN"/>
        </w:rPr>
        <w:t>对</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lang w:val="zh-CN" w:eastAsia="zh-CN"/>
        </w:rPr>
        <w:t>文件有关工期、</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lang w:val="zh-CN" w:eastAsia="zh-CN"/>
        </w:rPr>
        <w:t>有效期、质量要求、</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技术标准和要</w:t>
      </w:r>
      <w:r>
        <w:rPr>
          <w:rFonts w:hint="eastAsia" w:ascii="仿宋_GB2312" w:hAnsi="仿宋_GB2312" w:eastAsia="仿宋_GB2312" w:cs="仿宋_GB2312"/>
          <w:sz w:val="28"/>
          <w:szCs w:val="28"/>
          <w:lang w:val="zh-CN" w:eastAsia="zh-CN"/>
        </w:rPr>
        <w:t>求、</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lang w:val="zh-CN" w:eastAsia="zh-CN"/>
        </w:rPr>
        <w:t>范围等实质性内容响应的；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12.12 未按比选文件要求编制的、明显不符合技术规范和标准的要求、对比选文件中主要条款未响应的；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12.13 比选响应文件附有采购人不能接受的条件；</w:t>
      </w:r>
    </w:p>
    <w:p>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 xml:space="preserve">12.14 </w:t>
      </w:r>
      <w:r>
        <w:rPr>
          <w:rFonts w:hint="eastAsia" w:ascii="仿宋_GB2312" w:hAnsi="仿宋_GB2312" w:eastAsia="仿宋_GB2312" w:cs="仿宋_GB2312"/>
          <w:sz w:val="28"/>
          <w:szCs w:val="28"/>
          <w:lang w:val="zh-CN" w:eastAsia="zh-CN"/>
        </w:rPr>
        <w:t>有串通比选或弄虚作假或有其他违法行为的。</w:t>
      </w:r>
    </w:p>
    <w:p>
      <w:pPr>
        <w:keepNext w:val="0"/>
        <w:keepLines w:val="0"/>
        <w:pageBreakBefore w:val="0"/>
        <w:kinsoku/>
        <w:wordWrap/>
        <w:overflowPunct/>
        <w:topLinePunct w:val="0"/>
        <w:autoSpaceDE w:val="0"/>
        <w:autoSpaceDN w:val="0"/>
        <w:bidi w:val="0"/>
        <w:adjustRightInd w:val="0"/>
        <w:snapToGrid w:val="0"/>
        <w:spacing w:line="460" w:lineRule="exact"/>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十三、响应人违规行为处罚条款</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比选响应人有以下情形之一的，采购人有权取消其比选资格，并纳入重庆江北国际机场有限公司供应商黑名单，其比选保证金不予退还：</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13.1 在比选期间发现比选响应人提供了虚假资料、伪造、变造、借用或者冒用他人资质证书或营业执照等证明材料的。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13.2 比选过程中发现存在贿赂行为的。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13.3 采用非正常手段，干扰评审工作的。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13.4 在比选有效期内，撤销比选响应文件的。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13.5 成交人在合同签订期间违背比选响应文件承诺的。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12.6 在比选有效期内，响应人无故放弃中标候选人资格的或在领取成交通知书后拒签合同，不缴纳履约保证金的。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13.7 </w:t>
      </w:r>
      <w:r>
        <w:rPr>
          <w:rFonts w:hint="default" w:ascii="仿宋_GB2312" w:hAnsi="仿宋_GB2312" w:eastAsia="仿宋_GB2312" w:cs="仿宋_GB2312"/>
          <w:color w:val="000000"/>
          <w:sz w:val="28"/>
          <w:szCs w:val="28"/>
          <w:lang w:val="en-US" w:eastAsia="zh-CN"/>
        </w:rPr>
        <w:t>在</w:t>
      </w:r>
      <w:r>
        <w:rPr>
          <w:rFonts w:hint="eastAsia" w:ascii="仿宋_GB2312" w:hAnsi="仿宋_GB2312" w:eastAsia="仿宋_GB2312" w:cs="仿宋_GB2312"/>
          <w:color w:val="000000"/>
          <w:sz w:val="28"/>
          <w:szCs w:val="28"/>
          <w:lang w:val="en-US" w:eastAsia="zh-CN"/>
        </w:rPr>
        <w:t>比选</w:t>
      </w:r>
      <w:r>
        <w:rPr>
          <w:rFonts w:hint="default" w:ascii="仿宋_GB2312" w:hAnsi="仿宋_GB2312" w:eastAsia="仿宋_GB2312" w:cs="仿宋_GB2312"/>
          <w:color w:val="000000"/>
          <w:sz w:val="28"/>
          <w:szCs w:val="28"/>
          <w:lang w:val="en-US" w:eastAsia="zh-CN"/>
        </w:rPr>
        <w:t>过程中</w:t>
      </w:r>
      <w:r>
        <w:rPr>
          <w:rFonts w:hint="eastAsia" w:ascii="仿宋_GB2312" w:hAnsi="仿宋_GB2312" w:eastAsia="仿宋_GB2312" w:cs="仿宋_GB2312"/>
          <w:color w:val="000000"/>
          <w:sz w:val="28"/>
          <w:szCs w:val="28"/>
          <w:lang w:val="en-US" w:eastAsia="zh-CN"/>
        </w:rPr>
        <w:t>存在围标或</w:t>
      </w:r>
      <w:r>
        <w:rPr>
          <w:rFonts w:hint="default" w:ascii="仿宋_GB2312" w:hAnsi="仿宋_GB2312" w:eastAsia="仿宋_GB2312" w:cs="仿宋_GB2312"/>
          <w:color w:val="000000"/>
          <w:sz w:val="28"/>
          <w:szCs w:val="28"/>
          <w:lang w:val="en-US" w:eastAsia="zh-CN"/>
        </w:rPr>
        <w:t>相互串通</w:t>
      </w:r>
      <w:r>
        <w:rPr>
          <w:rFonts w:hint="eastAsia" w:ascii="仿宋_GB2312" w:hAnsi="仿宋_GB2312" w:eastAsia="仿宋_GB2312" w:cs="仿宋_GB2312"/>
          <w:color w:val="000000"/>
          <w:sz w:val="28"/>
          <w:szCs w:val="28"/>
          <w:lang w:val="en-US" w:eastAsia="zh-CN"/>
        </w:rPr>
        <w:t>响应</w:t>
      </w:r>
      <w:r>
        <w:rPr>
          <w:rFonts w:hint="default" w:ascii="仿宋_GB2312" w:hAnsi="仿宋_GB2312" w:eastAsia="仿宋_GB2312" w:cs="仿宋_GB2312"/>
          <w:color w:val="000000"/>
          <w:sz w:val="28"/>
          <w:szCs w:val="28"/>
          <w:lang w:val="en-US" w:eastAsia="zh-CN"/>
        </w:rPr>
        <w:t>、非法以他人名义</w:t>
      </w:r>
      <w:r>
        <w:rPr>
          <w:rFonts w:hint="eastAsia" w:ascii="仿宋_GB2312" w:hAnsi="仿宋_GB2312" w:eastAsia="仿宋_GB2312" w:cs="仿宋_GB2312"/>
          <w:color w:val="000000"/>
          <w:sz w:val="28"/>
          <w:szCs w:val="28"/>
          <w:lang w:val="en-US" w:eastAsia="zh-CN"/>
        </w:rPr>
        <w:t>参与比选</w:t>
      </w:r>
      <w:r>
        <w:rPr>
          <w:rFonts w:hint="default" w:ascii="仿宋_GB2312" w:hAnsi="仿宋_GB2312" w:eastAsia="仿宋_GB2312" w:cs="仿宋_GB2312"/>
          <w:color w:val="000000"/>
          <w:sz w:val="28"/>
          <w:szCs w:val="28"/>
          <w:lang w:val="en-US" w:eastAsia="zh-CN"/>
        </w:rPr>
        <w:t>或以其他方式</w:t>
      </w:r>
      <w:r>
        <w:rPr>
          <w:rFonts w:hint="eastAsia" w:ascii="仿宋_GB2312" w:hAnsi="仿宋_GB2312" w:eastAsia="仿宋_GB2312" w:cs="仿宋_GB2312"/>
          <w:color w:val="000000"/>
          <w:sz w:val="28"/>
          <w:szCs w:val="28"/>
          <w:lang w:val="en-US" w:eastAsia="zh-CN"/>
        </w:rPr>
        <w:t>影响比选公正性</w:t>
      </w:r>
      <w:r>
        <w:rPr>
          <w:rFonts w:hint="default" w:ascii="仿宋_GB2312" w:hAnsi="仿宋_GB2312" w:eastAsia="仿宋_GB2312" w:cs="仿宋_GB2312"/>
          <w:color w:val="000000"/>
          <w:sz w:val="28"/>
          <w:szCs w:val="28"/>
          <w:lang w:val="en-US" w:eastAsia="zh-CN"/>
        </w:rPr>
        <w:t>的行为。</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13.8 </w:t>
      </w:r>
      <w:r>
        <w:rPr>
          <w:rFonts w:hint="default" w:ascii="仿宋_GB2312" w:hAnsi="仿宋_GB2312" w:eastAsia="仿宋_GB2312" w:cs="仿宋_GB2312"/>
          <w:color w:val="000000"/>
          <w:sz w:val="28"/>
          <w:szCs w:val="28"/>
          <w:lang w:val="en-US" w:eastAsia="zh-CN"/>
        </w:rPr>
        <w:t>严重违反采购承诺或合同约定，提高价格、降低质量、拖延工期或供货时间的不诚信行为</w:t>
      </w:r>
      <w:r>
        <w:rPr>
          <w:rFonts w:hint="default" w:ascii="仿宋_GB2312" w:hAnsi="仿宋_GB2312" w:eastAsia="仿宋_GB2312" w:cs="仿宋_GB2312"/>
          <w:color w:val="000000"/>
          <w:sz w:val="28"/>
          <w:szCs w:val="28"/>
          <w:lang w:val="en-US" w:eastAsia="zh-CN"/>
        </w:rPr>
        <w:tab/>
      </w:r>
      <w:r>
        <w:rPr>
          <w:rFonts w:hint="default" w:ascii="仿宋_GB2312" w:hAnsi="仿宋_GB2312" w:eastAsia="仿宋_GB2312" w:cs="仿宋_GB2312"/>
          <w:color w:val="000000"/>
          <w:sz w:val="28"/>
          <w:szCs w:val="28"/>
          <w:lang w:val="en-US" w:eastAsia="zh-CN"/>
        </w:rPr>
        <w:t>。</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13.9 </w:t>
      </w:r>
      <w:r>
        <w:rPr>
          <w:rFonts w:hint="default" w:ascii="仿宋_GB2312" w:hAnsi="仿宋_GB2312" w:eastAsia="仿宋_GB2312" w:cs="仿宋_GB2312"/>
          <w:color w:val="000000"/>
          <w:sz w:val="28"/>
          <w:szCs w:val="28"/>
          <w:lang w:val="en-US" w:eastAsia="zh-CN"/>
        </w:rPr>
        <w:t>在履行采购承诺或合同过程中，出现</w:t>
      </w:r>
      <w:r>
        <w:rPr>
          <w:rFonts w:hint="eastAsia" w:ascii="仿宋_GB2312" w:hAnsi="仿宋_GB2312" w:eastAsia="仿宋_GB2312" w:cs="仿宋_GB2312"/>
          <w:color w:val="000000"/>
          <w:sz w:val="28"/>
          <w:szCs w:val="28"/>
          <w:lang w:val="en-US" w:eastAsia="zh-CN"/>
        </w:rPr>
        <w:t>食品</w:t>
      </w:r>
      <w:r>
        <w:rPr>
          <w:rFonts w:hint="default" w:ascii="仿宋_GB2312" w:hAnsi="仿宋_GB2312" w:eastAsia="仿宋_GB2312" w:cs="仿宋_GB2312"/>
          <w:color w:val="000000"/>
          <w:sz w:val="28"/>
          <w:szCs w:val="28"/>
          <w:lang w:val="en-US" w:eastAsia="zh-CN"/>
        </w:rPr>
        <w:t>质量问题或给</w:t>
      </w:r>
      <w:r>
        <w:rPr>
          <w:rFonts w:hint="eastAsia" w:ascii="仿宋_GB2312" w:hAnsi="仿宋_GB2312" w:eastAsia="仿宋_GB2312" w:cs="仿宋_GB2312"/>
          <w:color w:val="000000"/>
          <w:sz w:val="28"/>
          <w:szCs w:val="28"/>
          <w:lang w:val="en-US" w:eastAsia="zh-CN"/>
        </w:rPr>
        <w:t>比选</w:t>
      </w:r>
      <w:r>
        <w:rPr>
          <w:rFonts w:hint="default" w:ascii="仿宋_GB2312" w:hAnsi="仿宋_GB2312" w:eastAsia="仿宋_GB2312" w:cs="仿宋_GB2312"/>
          <w:color w:val="000000"/>
          <w:sz w:val="28"/>
          <w:szCs w:val="28"/>
          <w:lang w:val="en-US" w:eastAsia="zh-CN"/>
        </w:rPr>
        <w:t>方造成经济损失、安全事故以及不良社会影响的，或在履约过程中出现严重不诚信情况的。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13.10 </w:t>
      </w:r>
      <w:r>
        <w:rPr>
          <w:rFonts w:hint="default" w:ascii="仿宋_GB2312" w:hAnsi="仿宋_GB2312" w:eastAsia="仿宋_GB2312" w:cs="仿宋_GB2312"/>
          <w:color w:val="000000"/>
          <w:sz w:val="28"/>
          <w:szCs w:val="28"/>
          <w:lang w:val="en-US" w:eastAsia="zh-CN"/>
        </w:rPr>
        <w:t>不遵守招投标法律法规，在采购过程中有恶意诽谤、诬告或陷害其他竟争对手的不良行为的。</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13.11 </w:t>
      </w:r>
      <w:r>
        <w:rPr>
          <w:rFonts w:hint="default" w:ascii="仿宋_GB2312" w:hAnsi="仿宋_GB2312" w:eastAsia="仿宋_GB2312" w:cs="仿宋_GB2312"/>
          <w:color w:val="000000"/>
          <w:sz w:val="28"/>
          <w:szCs w:val="28"/>
          <w:lang w:val="en-US" w:eastAsia="zh-CN"/>
        </w:rPr>
        <w:t>有其他违反国家法律法规或采购文件相关规定的不诚信行为。</w:t>
      </w:r>
    </w:p>
    <w:p>
      <w:pPr>
        <w:autoSpaceDE w:val="0"/>
        <w:autoSpaceDN w:val="0"/>
        <w:adjustRightInd w:val="0"/>
        <w:spacing w:line="36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十四、黑名单供应商惩诫标准及措施</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14.1 列入黑名单的供应商将在重庆江北机场官网（www.cqa.cn）进行公布和公示。</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14.2 被列入黑名单的供应商及相关人员，从被确认之日起3年内，取消其参与重庆江北国际机场有限公司采购项目的资格。</w:t>
      </w:r>
    </w:p>
    <w:p>
      <w:pPr>
        <w:autoSpaceDE w:val="0"/>
        <w:autoSpaceDN w:val="0"/>
        <w:adjustRightInd w:val="0"/>
        <w:spacing w:line="36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十五、异议</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15.2.1 异议提出人的名称、地址及有效联系方式。</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15.2.2 异议事项的基本事实。</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15.2.3 异议请求及主张。</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15.2.4 有效线索和相关证据、证明材料。</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15.5.1 招标投标法第二十二条规定的招标投标保密信息。</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15.5.2 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15.5.3 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15.5.4 其他依法应当保密的信息和资料。</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 有下列情形之一的异议，不予受理：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15.6.1 异议事项不具体，且未提供有效线索、相关证据和证明材料，难以查证。</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15.6.2 未署异议提出人真实姓名、签字和有效联系方式。</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15.6.3 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15.6.4 不在结果公示期内的。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15.6.5 已对异议事项做出答复的。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rPr>
          <w:rFonts w:hint="eastAsia" w:ascii="仿宋" w:hAnsi="仿宋" w:eastAsia="仿宋" w:cs="仿宋"/>
          <w:b/>
          <w:bCs/>
          <w:color w:val="000000"/>
          <w:sz w:val="28"/>
          <w:szCs w:val="28"/>
          <w:lang w:val="en-US" w:eastAsia="zh-CN"/>
        </w:rPr>
      </w:pPr>
      <w:bookmarkStart w:id="5" w:name="_Toc4635"/>
      <w:bookmarkStart w:id="6" w:name="_Toc78202990"/>
      <w:bookmarkStart w:id="7" w:name="_Toc7779"/>
      <w:bookmarkStart w:id="8" w:name="_Toc30932"/>
      <w:bookmarkStart w:id="9" w:name="_Toc31593"/>
      <w:bookmarkStart w:id="10" w:name="_Toc10683"/>
      <w:bookmarkStart w:id="11" w:name="_Toc14920"/>
      <w:bookmarkStart w:id="12" w:name="_Toc27416"/>
      <w:bookmarkStart w:id="13" w:name="_Toc5878"/>
      <w:bookmarkStart w:id="14" w:name="_Toc4831"/>
      <w:bookmarkStart w:id="15" w:name="_Toc29478"/>
      <w:bookmarkStart w:id="16" w:name="_Toc26758"/>
      <w:bookmarkStart w:id="17" w:name="_Toc23506"/>
      <w:bookmarkStart w:id="18" w:name="_Toc9085"/>
      <w:bookmarkStart w:id="19" w:name="_Toc18396"/>
      <w:r>
        <w:rPr>
          <w:rFonts w:hint="eastAsia" w:ascii="仿宋" w:hAnsi="仿宋" w:eastAsia="仿宋" w:cs="仿宋"/>
          <w:b/>
          <w:bCs/>
          <w:color w:val="000000"/>
          <w:sz w:val="28"/>
          <w:szCs w:val="28"/>
          <w:lang w:val="en-US" w:eastAsia="zh-CN"/>
        </w:rPr>
        <w:t>十六、监督部门</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重庆江北国际机场有限公司消防护卫部综合办</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地址：重庆市渝北区机场东一路2号</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电话：023-67153645</w:t>
      </w:r>
    </w:p>
    <w:p>
      <w:pPr>
        <w:autoSpaceDE w:val="0"/>
        <w:autoSpaceDN w:val="0"/>
        <w:adjustRightInd w:val="0"/>
        <w:spacing w:line="360" w:lineRule="auto"/>
        <w:rPr>
          <w:rFonts w:hint="eastAsia" w:ascii="仿宋_GB2312" w:hAnsi="仿宋_GB2312" w:eastAsia="仿宋_GB2312" w:cs="仿宋_GB2312"/>
          <w:color w:val="000000"/>
          <w:sz w:val="28"/>
          <w:szCs w:val="28"/>
          <w:lang w:val="en-US" w:eastAsia="zh-CN"/>
        </w:rPr>
      </w:pPr>
      <w:r>
        <w:rPr>
          <w:rFonts w:hint="eastAsia" w:ascii="仿宋" w:hAnsi="仿宋" w:eastAsia="仿宋" w:cs="仿宋"/>
          <w:b/>
          <w:bCs/>
          <w:color w:val="000000"/>
          <w:sz w:val="28"/>
          <w:szCs w:val="28"/>
          <w:lang w:val="en-US" w:eastAsia="zh-CN"/>
        </w:rPr>
        <w:t>十七、结果异议提交渠道</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正式结果异议函件应同步提交采购人及监督机构。</w:t>
      </w:r>
    </w:p>
    <w:p>
      <w:pPr>
        <w:autoSpaceDE w:val="0"/>
        <w:autoSpaceDN w:val="0"/>
        <w:adjustRightInd w:val="0"/>
        <w:spacing w:line="36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Hans"/>
        </w:rPr>
        <w:t>十</w:t>
      </w:r>
      <w:r>
        <w:rPr>
          <w:rFonts w:hint="eastAsia" w:ascii="仿宋" w:hAnsi="仿宋" w:eastAsia="仿宋" w:cs="仿宋"/>
          <w:b/>
          <w:bCs/>
          <w:color w:val="000000"/>
          <w:sz w:val="28"/>
          <w:szCs w:val="28"/>
          <w:lang w:val="en-US" w:eastAsia="zh-CN"/>
        </w:rPr>
        <w:t>八、联系方式</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采购方：重庆江北国际机场有限公司消防护卫部</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联系人：朱老师</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电话：023-67152931</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邮编：401120</w:t>
      </w:r>
    </w:p>
    <w:p>
      <w:pPr>
        <w:pStyle w:val="2"/>
        <w:rPr>
          <w:rFonts w:hint="eastAsia"/>
          <w:lang w:val="en-US" w:eastAsia="zh-CN"/>
        </w:rPr>
      </w:pPr>
    </w:p>
    <w:p>
      <w:pPr>
        <w:snapToGrid w:val="0"/>
        <w:spacing w:line="360" w:lineRule="auto"/>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重庆江北国际机场</w:t>
      </w:r>
      <w:r>
        <w:rPr>
          <w:rFonts w:hint="eastAsia" w:ascii="仿宋" w:hAnsi="仿宋" w:eastAsia="仿宋"/>
          <w:color w:val="000000" w:themeColor="text1"/>
          <w:sz w:val="28"/>
          <w:szCs w:val="28"/>
          <w14:textFill>
            <w14:solidFill>
              <w14:schemeClr w14:val="tx1"/>
            </w14:solidFill>
          </w14:textFill>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28"/>
          <w:szCs w:val="28"/>
          <w:u w:val="single"/>
          <w:lang w:val="en-US" w:eastAsia="zh-CN"/>
        </w:rPr>
        <w:t>/年</w:t>
      </w:r>
      <w:r>
        <w:rPr>
          <w:rFonts w:hint="eastAsia" w:ascii="仿宋" w:hAnsi="仿宋" w:eastAsia="仿宋"/>
          <w:sz w:val="28"/>
          <w:szCs w:val="28"/>
        </w:rPr>
        <w:t>含增值税发票的总报价，不含增值税发票的总报价：</w:t>
      </w:r>
      <w:r>
        <w:rPr>
          <w:rFonts w:hint="eastAsia" w:ascii="仿宋" w:hAnsi="仿宋" w:eastAsia="仿宋"/>
          <w:sz w:val="28"/>
          <w:szCs w:val="28"/>
          <w:u w:val="single"/>
        </w:rPr>
        <w:t>元（￥）</w:t>
      </w:r>
      <w:r>
        <w:rPr>
          <w:rFonts w:hint="eastAsia" w:ascii="仿宋" w:hAnsi="仿宋" w:eastAsia="仿宋"/>
          <w:sz w:val="28"/>
          <w:szCs w:val="28"/>
          <w:u w:val="single"/>
          <w:lang w:val="en-US" w:eastAsia="zh-CN"/>
        </w:rPr>
        <w:t>/年</w:t>
      </w:r>
      <w:r>
        <w:rPr>
          <w:rFonts w:hint="eastAsia" w:ascii="仿宋" w:hAnsi="仿宋" w:eastAsia="仿宋"/>
          <w:sz w:val="28"/>
          <w:szCs w:val="28"/>
        </w:rPr>
        <w:t>，税率</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color w:val="auto"/>
          <w:sz w:val="28"/>
          <w:szCs w:val="28"/>
          <w:lang w:val="en-US" w:eastAsia="zh-CN"/>
        </w:rPr>
        <w:t>服务期二年</w:t>
      </w:r>
      <w:r>
        <w:rPr>
          <w:rFonts w:hint="eastAsia" w:ascii="仿宋" w:hAnsi="仿宋" w:eastAsia="仿宋"/>
          <w:sz w:val="28"/>
          <w:szCs w:val="28"/>
        </w:rPr>
        <w:t>，按合同约定实施和完成承包项目的全部工作。</w:t>
      </w:r>
    </w:p>
    <w:p>
      <w:pPr>
        <w:autoSpaceDE w:val="0"/>
        <w:autoSpaceDN w:val="0"/>
        <w:adjustRightInd w:val="0"/>
        <w:spacing w:before="15"/>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．我方在此声明，所递交的比选文件及有关资料内容完整、真实和准确。</w:t>
      </w:r>
    </w:p>
    <w:p>
      <w:pPr>
        <w:autoSpaceDE w:val="0"/>
        <w:autoSpaceDN w:val="0"/>
        <w:adjustRightInd w:val="0"/>
        <w:spacing w:line="354" w:lineRule="auto"/>
        <w:ind w:left="120"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565" w:firstLineChars="202"/>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565" w:firstLineChars="202"/>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565" w:firstLineChars="202"/>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360" w:lineRule="auto"/>
        <w:ind w:right="-20" w:firstLine="565" w:firstLineChars="202"/>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360" w:lineRule="auto"/>
        <w:ind w:right="-20" w:firstLine="565" w:firstLineChars="202"/>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360" w:lineRule="auto"/>
        <w:ind w:right="-20" w:firstLine="565" w:firstLineChars="202"/>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360" w:lineRule="auto"/>
        <w:ind w:right="-20" w:firstLine="565" w:firstLineChars="202"/>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 w:hAnsi="仿宋" w:eastAsia="仿宋"/>
          <w:sz w:val="28"/>
          <w:szCs w:val="28"/>
        </w:rPr>
      </w:pPr>
      <w:r>
        <w:rPr>
          <w:rFonts w:hint="eastAsia" w:ascii="仿宋" w:hAnsi="仿宋" w:eastAsia="仿宋"/>
          <w:sz w:val="28"/>
          <w:szCs w:val="28"/>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2</w:t>
      </w:r>
      <w:r>
        <w:rPr>
          <w:rFonts w:hint="eastAsia" w:ascii="仿宋" w:hAnsi="仿宋" w:eastAsia="仿宋"/>
          <w:sz w:val="28"/>
          <w:szCs w:val="28"/>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法定代表人</w:t>
      </w:r>
      <w:r>
        <w:rPr>
          <w:rFonts w:ascii="仿宋" w:hAnsi="仿宋" w:eastAsia="仿宋"/>
          <w:color w:val="auto"/>
          <w:sz w:val="28"/>
          <w:szCs w:val="28"/>
        </w:rPr>
        <w:t>)</w:t>
      </w:r>
      <w:r>
        <w:rPr>
          <w:rFonts w:hint="eastAsia" w:ascii="仿宋" w:hAnsi="仿宋" w:eastAsia="仿宋"/>
          <w:color w:val="auto"/>
          <w:sz w:val="28"/>
          <w:szCs w:val="28"/>
        </w:rPr>
        <w:t>合法授权本公司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附被授权人代理人身份证复印件</w:t>
      </w:r>
    </w:p>
    <w:p>
      <w:pPr>
        <w:widowControl/>
        <w:jc w:val="center"/>
        <w:rPr>
          <w:rFonts w:hint="eastAsia" w:ascii="黑体" w:hAnsi="黑体" w:eastAsia="黑体" w:cs="宋体"/>
          <w:b/>
          <w:kern w:val="0"/>
          <w:sz w:val="44"/>
          <w:szCs w:val="44"/>
        </w:rPr>
      </w:pPr>
      <w:r>
        <w:rPr>
          <w:rFonts w:hint="eastAsia" w:ascii="黑体" w:hAnsi="黑体" w:eastAsia="黑体" w:cs="宋体"/>
          <w:b/>
          <w:kern w:val="0"/>
          <w:sz w:val="44"/>
          <w:szCs w:val="44"/>
          <w:lang w:val="en-US" w:eastAsia="zh-CN"/>
        </w:rPr>
        <w:t>机坪内消防食堂餐饮服务</w:t>
      </w:r>
      <w:r>
        <w:rPr>
          <w:rFonts w:hint="eastAsia" w:ascii="黑体" w:hAnsi="黑体" w:eastAsia="黑体" w:cs="宋体"/>
          <w:b/>
          <w:kern w:val="0"/>
          <w:sz w:val="44"/>
          <w:szCs w:val="44"/>
        </w:rPr>
        <w:t>外包</w:t>
      </w:r>
    </w:p>
    <w:p>
      <w:pPr>
        <w:widowControl/>
        <w:jc w:val="center"/>
        <w:rPr>
          <w:rFonts w:ascii="仿宋_GB2312" w:hAnsi="仿宋_GB2312" w:eastAsia="仿宋_GB2312"/>
          <w:b/>
          <w:bCs/>
          <w:sz w:val="30"/>
        </w:rPr>
      </w:pPr>
      <w:r>
        <w:rPr>
          <w:rFonts w:hint="eastAsia" w:ascii="黑体" w:hAnsi="黑体" w:eastAsia="黑体" w:cs="宋体"/>
          <w:b/>
          <w:kern w:val="0"/>
          <w:sz w:val="44"/>
          <w:szCs w:val="44"/>
        </w:rPr>
        <w:t>合同</w:t>
      </w:r>
      <w:r>
        <w:rPr>
          <w:rFonts w:hint="eastAsia" w:ascii="黑体" w:hAnsi="黑体" w:eastAsia="黑体" w:cs="宋体"/>
          <w:b/>
          <w:kern w:val="0"/>
          <w:sz w:val="44"/>
          <w:szCs w:val="44"/>
          <w:lang w:val="en-US" w:eastAsia="zh-CN"/>
        </w:rPr>
        <w:t>样本</w:t>
      </w:r>
    </w:p>
    <w:p>
      <w:pPr>
        <w:tabs>
          <w:tab w:val="right" w:pos="7700"/>
        </w:tabs>
        <w:spacing w:line="0" w:lineRule="atLeast"/>
        <w:jc w:val="left"/>
        <w:rPr>
          <w:rFonts w:hint="eastAsia" w:ascii="仿宋" w:hAnsi="仿宋" w:eastAsia="仿宋" w:cs="仿宋"/>
          <w:b/>
          <w:bCs w:val="0"/>
          <w:color w:val="FF0000"/>
          <w:sz w:val="30"/>
          <w:szCs w:val="30"/>
        </w:rPr>
      </w:pPr>
    </w:p>
    <w:p>
      <w:pPr>
        <w:tabs>
          <w:tab w:val="right" w:pos="7700"/>
        </w:tabs>
        <w:spacing w:line="0" w:lineRule="atLeast"/>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
          <w:bCs w:val="0"/>
          <w:color w:val="auto"/>
          <w:sz w:val="30"/>
          <w:szCs w:val="30"/>
        </w:rPr>
        <w:t>甲方：重庆江北国际机场有限公司</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统一社会信用代码：91500112MA5U9Q003T</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通讯地址： 重庆市渝北区机场西路26号</w:t>
      </w:r>
    </w:p>
    <w:p>
      <w:pPr>
        <w:pStyle w:val="116"/>
        <w:spacing w:line="0" w:lineRule="atLeast"/>
        <w:ind w:firstLine="0" w:firstLineChars="0"/>
        <w:rPr>
          <w:rFonts w:hint="eastAsia" w:ascii="仿宋_GB2312" w:hAnsi="仿宋_GB2312" w:eastAsia="仿宋_GB2312" w:cs="仿宋_GB2312"/>
          <w:bCs/>
          <w:color w:val="auto"/>
          <w:lang w:val="en-US" w:eastAsia="zh-CN"/>
        </w:rPr>
      </w:pPr>
      <w:r>
        <w:rPr>
          <w:rFonts w:hint="eastAsia" w:ascii="仿宋_GB2312" w:hAnsi="仿宋_GB2312" w:eastAsia="仿宋_GB2312" w:cs="仿宋_GB2312"/>
          <w:bCs/>
          <w:color w:val="auto"/>
        </w:rPr>
        <w:t>联系电话：023-</w:t>
      </w:r>
      <w:r>
        <w:rPr>
          <w:rFonts w:hint="eastAsia" w:ascii="仿宋_GB2312" w:hAnsi="仿宋_GB2312" w:eastAsia="仿宋_GB2312" w:cs="仿宋_GB2312"/>
          <w:bCs/>
          <w:color w:val="auto"/>
          <w:lang w:val="en-US" w:eastAsia="zh-CN"/>
        </w:rPr>
        <w:t>88869959</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开户银行： 中国建设银行股份有限公司重庆渝北机场支行</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开户名称：重庆江北国际机场有限公司</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账号：50050108380000000060</w:t>
      </w:r>
    </w:p>
    <w:p>
      <w:pPr>
        <w:pStyle w:val="116"/>
        <w:spacing w:line="0" w:lineRule="atLeast"/>
        <w:ind w:firstLine="0" w:firstLineChars="0"/>
        <w:rPr>
          <w:rFonts w:hint="eastAsia" w:ascii="仿宋_GB2312" w:hAnsi="仿宋_GB2312" w:eastAsia="仿宋_GB2312" w:cs="仿宋_GB2312"/>
          <w:b/>
          <w:bCs w:val="0"/>
          <w:color w:val="auto"/>
        </w:rPr>
      </w:pPr>
      <w:r>
        <w:rPr>
          <w:rFonts w:hint="eastAsia" w:ascii="仿宋_GB2312" w:hAnsi="仿宋_GB2312" w:eastAsia="仿宋_GB2312" w:cs="仿宋_GB2312"/>
          <w:b/>
          <w:bCs w:val="0"/>
          <w:color w:val="auto"/>
        </w:rPr>
        <w:t>乙方：</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统一社会信用代码：</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通讯地址：</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联系电话：</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开户银行：</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开户名称：</w:t>
      </w:r>
    </w:p>
    <w:p>
      <w:pPr>
        <w:pStyle w:val="116"/>
        <w:spacing w:line="0" w:lineRule="atLeast"/>
        <w:ind w:firstLine="0" w:firstLineChars="0"/>
        <w:rPr>
          <w:rFonts w:hint="eastAsia" w:ascii="仿宋_GB2312" w:hAnsi="仿宋_GB2312" w:eastAsia="仿宋_GB2312" w:cs="仿宋_GB2312"/>
          <w:bCs/>
          <w:color w:val="auto"/>
        </w:rPr>
      </w:pPr>
      <w:r>
        <w:rPr>
          <w:rFonts w:hint="eastAsia" w:ascii="仿宋_GB2312" w:hAnsi="仿宋_GB2312" w:eastAsia="仿宋_GB2312" w:cs="仿宋_GB2312"/>
          <w:bCs/>
          <w:color w:val="auto"/>
        </w:rPr>
        <w:t xml:space="preserve">账号: </w:t>
      </w:r>
    </w:p>
    <w:p>
      <w:pPr>
        <w:ind w:firstLine="600" w:firstLineChars="200"/>
        <w:rPr>
          <w:rFonts w:ascii="仿宋_GB2312" w:eastAsia="仿宋_GB2312"/>
          <w:sz w:val="30"/>
          <w:szCs w:val="30"/>
        </w:rPr>
      </w:pPr>
      <w:r>
        <w:rPr>
          <w:rFonts w:hint="eastAsia" w:ascii="仿宋_GB2312" w:hAnsi="仿宋_GB2312" w:eastAsia="仿宋_GB2312"/>
          <w:sz w:val="30"/>
          <w:szCs w:val="21"/>
          <w:lang w:val="en-US" w:eastAsia="zh-CN"/>
        </w:rPr>
        <w:t>依照《中华人民共和国民法典》等有关法律、法规，就机坪内消防食堂餐饮服务外包达成本协议。</w:t>
      </w:r>
    </w:p>
    <w:p>
      <w:pPr>
        <w:ind w:firstLine="570"/>
        <w:rPr>
          <w:rFonts w:ascii="仿宋_GB2312" w:hAnsi="仿宋_GB2312" w:eastAsia="仿宋_GB2312"/>
          <w:b/>
          <w:sz w:val="30"/>
          <w:szCs w:val="21"/>
        </w:rPr>
      </w:pPr>
      <w:r>
        <w:rPr>
          <w:rFonts w:hint="eastAsia" w:ascii="仿宋_GB2312" w:hAnsi="仿宋_GB2312" w:eastAsia="仿宋_GB2312"/>
          <w:b/>
          <w:sz w:val="30"/>
          <w:szCs w:val="21"/>
        </w:rPr>
        <w:t>一、</w:t>
      </w:r>
      <w:r>
        <w:rPr>
          <w:rFonts w:hint="eastAsia" w:ascii="仿宋_GB2312" w:hAnsi="仿宋_GB2312" w:eastAsia="仿宋_GB2312"/>
          <w:b/>
          <w:sz w:val="30"/>
          <w:szCs w:val="21"/>
          <w:lang w:val="en-US" w:eastAsia="zh-CN"/>
        </w:rPr>
        <w:t>外包服务范围</w:t>
      </w:r>
      <w:r>
        <w:rPr>
          <w:rFonts w:hint="eastAsia" w:ascii="仿宋_GB2312" w:hAnsi="仿宋_GB2312" w:eastAsia="仿宋_GB2312"/>
          <w:b/>
          <w:sz w:val="30"/>
          <w:szCs w:val="21"/>
        </w:rPr>
        <w:t>内容</w:t>
      </w:r>
    </w:p>
    <w:p>
      <w:pPr>
        <w:ind w:firstLine="570"/>
        <w:rPr>
          <w:rFonts w:hint="eastAsia" w:ascii="仿宋_GB2312" w:hAnsi="仿宋_GB2312" w:eastAsia="仿宋_GB2312"/>
          <w:sz w:val="30"/>
          <w:szCs w:val="21"/>
        </w:rPr>
      </w:pPr>
      <w:r>
        <w:rPr>
          <w:rFonts w:hint="eastAsia" w:ascii="仿宋_GB2312" w:hAnsi="仿宋_GB2312" w:eastAsia="仿宋_GB2312"/>
          <w:sz w:val="30"/>
          <w:szCs w:val="21"/>
          <w:lang w:val="en-US" w:eastAsia="zh-CN"/>
        </w:rPr>
        <w:t>乙方在甲方提供的经营场所，使用甲方提供的餐厨具。每天</w:t>
      </w:r>
      <w:r>
        <w:rPr>
          <w:rFonts w:hint="eastAsia" w:ascii="仿宋_GB2312" w:hAnsi="仿宋_GB2312" w:eastAsia="仿宋_GB2312"/>
          <w:sz w:val="30"/>
          <w:szCs w:val="21"/>
        </w:rPr>
        <w:t>为甲方指定部门</w:t>
      </w:r>
      <w:r>
        <w:rPr>
          <w:rFonts w:hint="eastAsia" w:ascii="仿宋_GB2312" w:hAnsi="仿宋_GB2312" w:eastAsia="仿宋_GB2312"/>
          <w:sz w:val="30"/>
          <w:szCs w:val="21"/>
          <w:lang w:val="en-US" w:eastAsia="zh-CN"/>
        </w:rPr>
        <w:t>和人员</w:t>
      </w:r>
      <w:r>
        <w:rPr>
          <w:rFonts w:hint="eastAsia" w:ascii="仿宋_GB2312" w:hAnsi="仿宋_GB2312" w:eastAsia="仿宋_GB2312"/>
          <w:sz w:val="30"/>
          <w:szCs w:val="21"/>
        </w:rPr>
        <w:t>提供餐饮提供早、中、晚餐饮服务</w:t>
      </w:r>
      <w:r>
        <w:rPr>
          <w:rFonts w:hint="eastAsia" w:ascii="仿宋_GB2312" w:hAnsi="仿宋_GB2312" w:eastAsia="仿宋_GB2312"/>
          <w:color w:val="000000" w:themeColor="text1"/>
          <w:sz w:val="30"/>
          <w:szCs w:val="21"/>
          <w14:textFill>
            <w14:solidFill>
              <w14:schemeClr w14:val="tx1"/>
            </w14:solidFill>
          </w14:textFill>
        </w:rPr>
        <w:t>。</w:t>
      </w:r>
    </w:p>
    <w:p>
      <w:pPr>
        <w:ind w:firstLine="570"/>
        <w:rPr>
          <w:rFonts w:ascii="仿宋_GB2312" w:hAnsi="仿宋_GB2312" w:eastAsia="仿宋_GB2312"/>
          <w:b/>
          <w:sz w:val="30"/>
          <w:szCs w:val="21"/>
        </w:rPr>
      </w:pPr>
      <w:r>
        <w:rPr>
          <w:rFonts w:hint="eastAsia" w:ascii="仿宋_GB2312" w:hAnsi="仿宋_GB2312" w:eastAsia="仿宋_GB2312"/>
          <w:b/>
          <w:sz w:val="30"/>
          <w:szCs w:val="21"/>
        </w:rPr>
        <w:t>二、合同期限</w:t>
      </w:r>
    </w:p>
    <w:p>
      <w:pPr>
        <w:ind w:firstLine="570"/>
        <w:rPr>
          <w:rFonts w:hint="eastAsia" w:ascii="仿宋_GB2312" w:hAnsi="仿宋_GB2312" w:eastAsia="仿宋_GB2312"/>
          <w:sz w:val="30"/>
          <w:szCs w:val="21"/>
        </w:rPr>
      </w:pPr>
      <w:r>
        <w:rPr>
          <w:rFonts w:hint="eastAsia" w:ascii="仿宋_GB2312" w:hAnsi="仿宋_GB2312" w:eastAsia="仿宋_GB2312"/>
          <w:sz w:val="30"/>
          <w:szCs w:val="21"/>
        </w:rPr>
        <w:t>本合同从</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u w:val="single"/>
          <w:lang w:val="en-US" w:eastAsia="zh-CN"/>
        </w:rPr>
        <w:t xml:space="preserve"> </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年</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月</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u w:val="single"/>
          <w:lang w:val="en-US" w:eastAsia="zh-CN"/>
        </w:rPr>
        <w:t xml:space="preserve"> </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日至</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u w:val="single"/>
          <w:lang w:val="en-US" w:eastAsia="zh-CN"/>
        </w:rPr>
        <w:t xml:space="preserve"> </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年</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u w:val="single"/>
          <w:lang w:val="en-US" w:eastAsia="zh-CN"/>
        </w:rPr>
        <w:t xml:space="preserve"> </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月</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u w:val="single"/>
          <w:lang w:val="en-US" w:eastAsia="zh-CN"/>
        </w:rPr>
        <w:t xml:space="preserve"> </w:t>
      </w:r>
      <w:r>
        <w:rPr>
          <w:rFonts w:hint="eastAsia" w:ascii="仿宋_GB2312" w:hAnsi="仿宋_GB2312" w:eastAsia="仿宋_GB2312"/>
          <w:sz w:val="30"/>
          <w:szCs w:val="21"/>
          <w:u w:val="single"/>
        </w:rPr>
        <w:t xml:space="preserve"> </w:t>
      </w:r>
      <w:r>
        <w:rPr>
          <w:rFonts w:hint="eastAsia" w:ascii="仿宋_GB2312" w:hAnsi="仿宋_GB2312" w:eastAsia="仿宋_GB2312"/>
          <w:sz w:val="30"/>
          <w:szCs w:val="21"/>
        </w:rPr>
        <w:t>日止。</w:t>
      </w:r>
    </w:p>
    <w:p>
      <w:pPr>
        <w:ind w:firstLine="570"/>
        <w:rPr>
          <w:rFonts w:hint="eastAsia" w:ascii="仿宋_GB2312" w:hAnsi="仿宋_GB2312" w:eastAsia="仿宋_GB2312"/>
          <w:b/>
          <w:sz w:val="30"/>
          <w:szCs w:val="21"/>
          <w:lang w:eastAsia="zh-CN"/>
        </w:rPr>
      </w:pPr>
      <w:r>
        <w:rPr>
          <w:rFonts w:hint="eastAsia" w:ascii="仿宋_GB2312" w:hAnsi="仿宋_GB2312" w:eastAsia="仿宋_GB2312"/>
          <w:b/>
          <w:sz w:val="30"/>
          <w:szCs w:val="21"/>
          <w:lang w:eastAsia="zh-CN"/>
        </w:rPr>
        <w:t>二</w:t>
      </w:r>
      <w:r>
        <w:rPr>
          <w:rFonts w:hint="eastAsia" w:ascii="仿宋_GB2312" w:hAnsi="仿宋_GB2312" w:eastAsia="仿宋_GB2312"/>
          <w:b/>
          <w:sz w:val="30"/>
          <w:szCs w:val="21"/>
        </w:rPr>
        <w:t>、</w:t>
      </w:r>
      <w:r>
        <w:rPr>
          <w:rFonts w:hint="eastAsia" w:ascii="仿宋_GB2312" w:hAnsi="仿宋_GB2312" w:eastAsia="仿宋_GB2312"/>
          <w:b/>
          <w:sz w:val="30"/>
          <w:szCs w:val="21"/>
          <w:lang w:eastAsia="zh-CN"/>
        </w:rPr>
        <w:t>工作内容</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2.</w:t>
      </w:r>
      <w:r>
        <w:rPr>
          <w:rFonts w:hint="eastAsia" w:ascii="仿宋_GB2312" w:hAnsi="仿宋_GB2312" w:eastAsia="仿宋_GB2312"/>
          <w:color w:val="auto"/>
          <w:sz w:val="30"/>
          <w:szCs w:val="30"/>
        </w:rPr>
        <w:t>1</w:t>
      </w:r>
      <w:r>
        <w:rPr>
          <w:rFonts w:hint="eastAsia" w:ascii="仿宋_GB2312" w:hAnsi="仿宋_GB2312" w:eastAsia="仿宋_GB2312"/>
          <w:color w:val="auto"/>
          <w:sz w:val="30"/>
          <w:szCs w:val="30"/>
          <w:lang w:eastAsia="zh-CN"/>
        </w:rPr>
        <w:t>乙方</w:t>
      </w:r>
      <w:r>
        <w:rPr>
          <w:rFonts w:hint="eastAsia" w:ascii="仿宋_GB2312" w:hAnsi="仿宋_GB2312" w:eastAsia="仿宋_GB2312"/>
          <w:color w:val="auto"/>
          <w:sz w:val="30"/>
          <w:szCs w:val="30"/>
        </w:rPr>
        <w:t>每周应制定菜谱，根据菜谱备足菜品。</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3.2乙方</w:t>
      </w:r>
      <w:r>
        <w:rPr>
          <w:rFonts w:hint="eastAsia" w:ascii="仿宋_GB2312" w:hAnsi="仿宋_GB2312" w:eastAsia="仿宋_GB2312"/>
          <w:color w:val="auto"/>
          <w:sz w:val="30"/>
          <w:szCs w:val="30"/>
        </w:rPr>
        <w:t>每天公布菜品名及价格，每周征求</w:t>
      </w:r>
      <w:r>
        <w:rPr>
          <w:rFonts w:hint="eastAsia" w:ascii="仿宋_GB2312" w:hAnsi="仿宋_GB2312" w:eastAsia="仿宋_GB2312"/>
          <w:color w:val="auto"/>
          <w:sz w:val="30"/>
          <w:szCs w:val="30"/>
          <w:lang w:eastAsia="zh-CN"/>
        </w:rPr>
        <w:t>一次</w:t>
      </w:r>
      <w:r>
        <w:rPr>
          <w:rFonts w:hint="eastAsia" w:ascii="仿宋_GB2312" w:hAnsi="仿宋_GB2312" w:eastAsia="仿宋_GB2312"/>
          <w:color w:val="auto"/>
          <w:sz w:val="30"/>
          <w:szCs w:val="30"/>
        </w:rPr>
        <w:t>意见。应尽量调剂伙食的花样品种，主、副食考虑大米、面食的搭配。</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3.3提供餐饮服务时间需满足原则上早餐7：30－8：30，午餐11：30－12：30，晚餐17：30－18：30。同时，必须保证为外出灭火、执行公差勤务等特殊任务后的误餐人员提供补餐服务。</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3.4乙方应根据三个消防站每天的消防队员就餐人数，原则上中晚两餐提供桌餐服务，每桌就餐人员一般为8人，桌餐标准按照六菜一汤（三荤三素一汤），且菜品份量应充足，每餐的餐费标准不超过12元/人。早餐品种不少于2种。如果因甲方原因，消防站就餐人员不足8人，乙方可提供非桌餐服务，供餐种类：大锅菜和小炒兼做。中、晚餐品种不少于5种，要考虑荤、素搭配，中、晚餐分别提供免费汤一种。</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3.5乙方方负责主副食品、蔬菜等商品的采购。</w:t>
      </w:r>
    </w:p>
    <w:p>
      <w:pPr>
        <w:ind w:firstLine="570"/>
        <w:rPr>
          <w:rFonts w:hint="eastAsia" w:ascii="仿宋_GB2312" w:hAnsi="仿宋_GB2312" w:eastAsia="仿宋_GB2312"/>
          <w:b/>
          <w:bCs/>
          <w:sz w:val="30"/>
          <w:szCs w:val="21"/>
          <w:lang w:eastAsia="zh-CN"/>
        </w:rPr>
      </w:pPr>
      <w:r>
        <w:rPr>
          <w:rFonts w:hint="eastAsia" w:ascii="仿宋_GB2312" w:hAnsi="仿宋_GB2312" w:eastAsia="仿宋_GB2312"/>
          <w:b/>
          <w:bCs/>
          <w:sz w:val="30"/>
          <w:szCs w:val="21"/>
          <w:lang w:eastAsia="zh-CN"/>
        </w:rPr>
        <w:t>四、工作标准</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4.1</w:t>
      </w:r>
      <w:r>
        <w:rPr>
          <w:rFonts w:hint="eastAsia" w:ascii="仿宋_GB2312" w:hAnsi="仿宋_GB2312" w:eastAsia="仿宋_GB2312"/>
          <w:color w:val="auto"/>
          <w:sz w:val="30"/>
          <w:szCs w:val="30"/>
        </w:rPr>
        <w:t>所做所有工作均应以维护</w:t>
      </w:r>
      <w:r>
        <w:rPr>
          <w:rFonts w:hint="eastAsia" w:ascii="仿宋_GB2312" w:hAnsi="仿宋_GB2312" w:eastAsia="仿宋_GB2312"/>
          <w:color w:val="auto"/>
          <w:sz w:val="30"/>
          <w:szCs w:val="30"/>
          <w:lang w:eastAsia="zh-CN"/>
        </w:rPr>
        <w:t>甲方</w:t>
      </w:r>
      <w:r>
        <w:rPr>
          <w:rFonts w:hint="eastAsia" w:ascii="仿宋_GB2312" w:hAnsi="仿宋_GB2312" w:eastAsia="仿宋_GB2312"/>
          <w:color w:val="auto"/>
          <w:sz w:val="30"/>
          <w:szCs w:val="30"/>
        </w:rPr>
        <w:t>利益为根本目的，不得有损害</w:t>
      </w:r>
      <w:r>
        <w:rPr>
          <w:rFonts w:hint="eastAsia" w:ascii="仿宋_GB2312" w:hAnsi="仿宋_GB2312" w:eastAsia="仿宋_GB2312"/>
          <w:color w:val="auto"/>
          <w:sz w:val="30"/>
          <w:szCs w:val="30"/>
          <w:lang w:eastAsia="zh-CN"/>
        </w:rPr>
        <w:t>甲方</w:t>
      </w:r>
      <w:r>
        <w:rPr>
          <w:rFonts w:hint="eastAsia" w:ascii="仿宋_GB2312" w:hAnsi="仿宋_GB2312" w:eastAsia="仿宋_GB2312"/>
          <w:color w:val="auto"/>
          <w:sz w:val="30"/>
          <w:szCs w:val="30"/>
        </w:rPr>
        <w:t>利益之行为。</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4.2乙方须按2号消防站2人、3号消防站5人（含项目管理人员）、4号消防站2人标准</w:t>
      </w:r>
      <w:r>
        <w:rPr>
          <w:rFonts w:hint="eastAsia" w:ascii="仿宋_GB2312" w:hAnsi="仿宋_GB2312" w:eastAsia="仿宋_GB2312"/>
          <w:color w:val="auto"/>
          <w:sz w:val="30"/>
          <w:szCs w:val="30"/>
        </w:rPr>
        <w:t>派遣</w:t>
      </w:r>
      <w:r>
        <w:rPr>
          <w:rFonts w:hint="eastAsia" w:ascii="仿宋_GB2312" w:hAnsi="仿宋_GB2312" w:eastAsia="仿宋_GB2312"/>
          <w:color w:val="auto"/>
          <w:sz w:val="30"/>
          <w:szCs w:val="30"/>
          <w:lang w:val="en-US" w:eastAsia="zh-CN"/>
        </w:rPr>
        <w:t>足量</w:t>
      </w:r>
      <w:r>
        <w:rPr>
          <w:rFonts w:hint="eastAsia" w:ascii="仿宋_GB2312" w:hAnsi="仿宋_GB2312" w:eastAsia="仿宋_GB2312"/>
          <w:color w:val="auto"/>
          <w:sz w:val="30"/>
          <w:szCs w:val="30"/>
        </w:rPr>
        <w:t>厨房工作人员</w:t>
      </w:r>
      <w:r>
        <w:rPr>
          <w:rFonts w:hint="eastAsia" w:ascii="仿宋_GB2312" w:hAnsi="仿宋_GB2312" w:eastAsia="仿宋_GB2312"/>
          <w:color w:val="auto"/>
          <w:sz w:val="30"/>
          <w:szCs w:val="30"/>
          <w:lang w:eastAsia="zh-CN"/>
        </w:rPr>
        <w:t>，</w:t>
      </w:r>
      <w:r>
        <w:rPr>
          <w:rFonts w:hint="eastAsia" w:ascii="仿宋_GB2312" w:hAnsi="仿宋_GB2312" w:eastAsia="仿宋_GB2312"/>
          <w:color w:val="auto"/>
          <w:sz w:val="30"/>
          <w:szCs w:val="30"/>
          <w:lang w:val="en-US" w:eastAsia="zh-CN"/>
        </w:rPr>
        <w:t>如因工作需要调整人员分配标准，须与甲方协商并签订纪要予以明确</w:t>
      </w:r>
      <w:r>
        <w:rPr>
          <w:rFonts w:hint="eastAsia" w:ascii="仿宋_GB2312" w:hAnsi="仿宋_GB2312" w:eastAsia="仿宋_GB2312"/>
          <w:color w:val="auto"/>
          <w:sz w:val="30"/>
          <w:szCs w:val="30"/>
        </w:rPr>
        <w:t>。</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4.3</w:t>
      </w:r>
      <w:r>
        <w:rPr>
          <w:rFonts w:hint="eastAsia" w:ascii="仿宋_GB2312" w:hAnsi="仿宋_GB2312" w:eastAsia="仿宋_GB2312"/>
          <w:color w:val="auto"/>
          <w:sz w:val="30"/>
          <w:szCs w:val="30"/>
        </w:rPr>
        <w:t>提供的主、副食价格不得高于</w:t>
      </w:r>
      <w:r>
        <w:rPr>
          <w:rFonts w:hint="eastAsia" w:ascii="仿宋_GB2312" w:hAnsi="仿宋_GB2312" w:eastAsia="仿宋_GB2312"/>
          <w:color w:val="auto"/>
          <w:sz w:val="30"/>
          <w:szCs w:val="30"/>
          <w:lang w:eastAsia="zh-CN"/>
        </w:rPr>
        <w:t>公司一食堂</w:t>
      </w:r>
      <w:r>
        <w:rPr>
          <w:rFonts w:hint="eastAsia" w:ascii="仿宋_GB2312" w:hAnsi="仿宋_GB2312" w:eastAsia="仿宋_GB2312"/>
          <w:color w:val="auto"/>
          <w:sz w:val="30"/>
          <w:szCs w:val="30"/>
        </w:rPr>
        <w:t>，应荤素、高、中、低档搭配，份量、质量不得低于公司</w:t>
      </w:r>
      <w:r>
        <w:rPr>
          <w:rFonts w:hint="eastAsia" w:ascii="仿宋_GB2312" w:hAnsi="仿宋_GB2312" w:eastAsia="仿宋_GB2312"/>
          <w:color w:val="auto"/>
          <w:sz w:val="30"/>
          <w:szCs w:val="30"/>
          <w:lang w:eastAsia="zh-CN"/>
        </w:rPr>
        <w:t>一食堂</w:t>
      </w:r>
      <w:r>
        <w:rPr>
          <w:rFonts w:hint="eastAsia" w:ascii="仿宋_GB2312" w:hAnsi="仿宋_GB2312" w:eastAsia="仿宋_GB2312"/>
          <w:color w:val="auto"/>
          <w:sz w:val="30"/>
          <w:szCs w:val="30"/>
        </w:rPr>
        <w:t>的标准。</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4.4</w:t>
      </w:r>
      <w:r>
        <w:rPr>
          <w:rFonts w:hint="eastAsia" w:ascii="仿宋_GB2312" w:hAnsi="仿宋_GB2312" w:eastAsia="仿宋_GB2312"/>
          <w:color w:val="auto"/>
          <w:sz w:val="30"/>
          <w:szCs w:val="30"/>
        </w:rPr>
        <w:t>如果要对供应的主副食品价格进行调整，应提前</w:t>
      </w:r>
      <w:r>
        <w:rPr>
          <w:rFonts w:hint="eastAsia" w:ascii="仿宋_GB2312" w:hAnsi="仿宋_GB2312" w:eastAsia="仿宋_GB2312"/>
          <w:color w:val="auto"/>
          <w:sz w:val="30"/>
          <w:szCs w:val="30"/>
          <w:lang w:val="en-US" w:eastAsia="zh-CN"/>
        </w:rPr>
        <w:t>与甲方协商</w:t>
      </w:r>
      <w:r>
        <w:rPr>
          <w:rFonts w:hint="eastAsia" w:ascii="仿宋_GB2312" w:hAnsi="仿宋_GB2312" w:eastAsia="仿宋_GB2312"/>
          <w:color w:val="auto"/>
          <w:sz w:val="30"/>
          <w:szCs w:val="30"/>
        </w:rPr>
        <w:t>，并</w:t>
      </w:r>
      <w:r>
        <w:rPr>
          <w:rFonts w:hint="eastAsia" w:ascii="仿宋_GB2312" w:hAnsi="仿宋_GB2312" w:eastAsia="仿宋_GB2312"/>
          <w:color w:val="auto"/>
          <w:sz w:val="30"/>
          <w:szCs w:val="30"/>
          <w:lang w:val="en-US" w:eastAsia="zh-CN"/>
        </w:rPr>
        <w:t>签订纪要予以明确</w:t>
      </w:r>
      <w:r>
        <w:rPr>
          <w:rFonts w:hint="eastAsia" w:ascii="仿宋_GB2312" w:hAnsi="仿宋_GB2312" w:eastAsia="仿宋_GB2312"/>
          <w:color w:val="auto"/>
          <w:sz w:val="30"/>
          <w:szCs w:val="30"/>
        </w:rPr>
        <w:t>后方可实施。</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宋体" w:eastAsia="仿宋_GB2312"/>
          <w:sz w:val="30"/>
          <w:szCs w:val="30"/>
        </w:rPr>
      </w:pPr>
      <w:r>
        <w:rPr>
          <w:rFonts w:hint="eastAsia" w:ascii="仿宋_GB2312" w:hAnsi="仿宋_GB2312" w:eastAsia="仿宋_GB2312"/>
          <w:b/>
          <w:bCs/>
          <w:sz w:val="30"/>
          <w:szCs w:val="21"/>
          <w:lang w:val="en-US" w:eastAsia="zh-CN"/>
        </w:rPr>
        <w:t>五、履约保证金</w:t>
      </w:r>
    </w:p>
    <w:p>
      <w:pPr>
        <w:numPr>
          <w:ilvl w:val="0"/>
          <w:numId w:val="0"/>
        </w:numPr>
        <w:ind w:firstLine="600" w:firstLineChars="200"/>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履约保证金为合同总价款的10%，在收到成交通知书10日内缴纳，户名：重庆江北国际机场有限公司，开户行：建行渝北支行机场分理处，帐号：50050108380000000060，并在缴纳后凭银行缴款单据前往计划财务部换取履约保证金收据。履约结束后，如乙方在本合同有效期内完全履行了本合同条款，服从甲方监督，无违规事件、无劳资纠纷等问题，并妥善处理好善后各项事宜。甲方在30个工作日内将履约保证金一次性退还（不记利息）。</w:t>
      </w:r>
    </w:p>
    <w:p>
      <w:pPr>
        <w:numPr>
          <w:ilvl w:val="0"/>
          <w:numId w:val="0"/>
        </w:numPr>
        <w:snapToGrid w:val="0"/>
        <w:spacing w:line="600" w:lineRule="exact"/>
        <w:ind w:leftChars="0" w:firstLine="602" w:firstLineChars="200"/>
        <w:rPr>
          <w:rFonts w:ascii="仿宋" w:hAnsi="仿宋" w:eastAsia="仿宋"/>
          <w:b/>
          <w:color w:val="000000"/>
          <w:sz w:val="30"/>
          <w:szCs w:val="30"/>
        </w:rPr>
      </w:pPr>
      <w:r>
        <w:rPr>
          <w:rFonts w:hint="eastAsia" w:ascii="仿宋_GB2312" w:hAnsi="宋体" w:eastAsia="仿宋_GB2312"/>
          <w:b/>
          <w:bCs/>
          <w:sz w:val="30"/>
          <w:szCs w:val="30"/>
          <w:lang w:eastAsia="zh-CN"/>
        </w:rPr>
        <w:t>六、</w:t>
      </w:r>
      <w:r>
        <w:rPr>
          <w:rFonts w:hint="eastAsia" w:ascii="仿宋" w:hAnsi="仿宋" w:eastAsia="仿宋"/>
          <w:b/>
          <w:bCs/>
          <w:color w:val="000000"/>
          <w:sz w:val="30"/>
          <w:szCs w:val="30"/>
        </w:rPr>
        <w:t>支付</w:t>
      </w:r>
      <w:r>
        <w:rPr>
          <w:rFonts w:hint="eastAsia" w:ascii="仿宋" w:hAnsi="仿宋" w:eastAsia="仿宋"/>
          <w:b/>
          <w:color w:val="000000"/>
          <w:sz w:val="30"/>
          <w:szCs w:val="30"/>
        </w:rPr>
        <w:t>方式</w:t>
      </w:r>
    </w:p>
    <w:p>
      <w:pPr>
        <w:numPr>
          <w:ilvl w:val="0"/>
          <w:numId w:val="0"/>
        </w:numPr>
        <w:ind w:firstLine="600" w:firstLineChars="200"/>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6.1外包费用每合同季支付一次，每次支付金额为全年外包合同金额的1/4。甲方每合同季对乙方服务质量进行评估，经确认无服务质量问题后，乙方出具正规的增值税发票，甲方按报销流程办理付款手续。若乙方出具增值税专用发票，甲方实际支付金额=不含税金额+增值税税额，若乙方出具增值税普通发票，甲方实际支付金额为不含税金额。</w:t>
      </w:r>
    </w:p>
    <w:p>
      <w:pPr>
        <w:numPr>
          <w:ilvl w:val="0"/>
          <w:numId w:val="0"/>
        </w:numPr>
        <w:ind w:firstLine="600" w:firstLineChars="200"/>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6.2如税率发生国家法规调整，折算为不含税价后以新适用税率结算，税率调整后，合同含税价=当前合同约定的不含税价*（1+调整后的增值税税率）。</w:t>
      </w:r>
    </w:p>
    <w:p>
      <w:pPr>
        <w:pageBreakBefore w:val="0"/>
        <w:widowControl w:val="0"/>
        <w:numPr>
          <w:ilvl w:val="0"/>
          <w:numId w:val="4"/>
        </w:numPr>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b w:val="0"/>
          <w:bCs/>
          <w:color w:val="auto"/>
          <w:sz w:val="30"/>
          <w:szCs w:val="30"/>
          <w:lang w:val="en-US" w:eastAsia="zh-CN"/>
        </w:rPr>
      </w:pPr>
      <w:r>
        <w:rPr>
          <w:rFonts w:hint="eastAsia" w:ascii="仿宋_GB2312" w:hAnsi="仿宋_GB2312" w:eastAsia="仿宋_GB2312"/>
          <w:b/>
          <w:bCs w:val="0"/>
          <w:color w:val="auto"/>
          <w:sz w:val="30"/>
          <w:szCs w:val="30"/>
          <w:lang w:val="en-US" w:eastAsia="zh-CN"/>
        </w:rPr>
        <w:t>食品安全</w:t>
      </w:r>
    </w:p>
    <w:p>
      <w:pPr>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b w:val="0"/>
          <w:bCs/>
          <w:color w:val="auto"/>
          <w:sz w:val="30"/>
          <w:szCs w:val="30"/>
          <w:lang w:val="en-US" w:eastAsia="zh-CN"/>
        </w:rPr>
      </w:pPr>
      <w:r>
        <w:rPr>
          <w:rFonts w:hint="eastAsia" w:ascii="仿宋_GB2312" w:hAnsi="仿宋_GB2312" w:eastAsia="仿宋_GB2312"/>
          <w:b w:val="0"/>
          <w:bCs/>
          <w:color w:val="auto"/>
          <w:sz w:val="30"/>
          <w:szCs w:val="30"/>
          <w:lang w:val="en-US" w:eastAsia="zh-CN"/>
        </w:rPr>
        <w:t>7.1提供的餐饮服务需满足</w:t>
      </w:r>
      <w:r>
        <w:rPr>
          <w:rFonts w:hint="eastAsia" w:ascii="仿宋_GB2312" w:hAnsi="仿宋_GB2312" w:eastAsia="仿宋_GB2312"/>
          <w:b w:val="0"/>
          <w:bCs/>
          <w:color w:val="auto"/>
          <w:sz w:val="30"/>
          <w:szCs w:val="30"/>
        </w:rPr>
        <w:t>食品安全</w:t>
      </w:r>
      <w:r>
        <w:rPr>
          <w:rFonts w:hint="eastAsia" w:ascii="仿宋_GB2312" w:hAnsi="仿宋_GB2312" w:eastAsia="仿宋_GB2312"/>
          <w:b w:val="0"/>
          <w:bCs/>
          <w:color w:val="auto"/>
          <w:sz w:val="30"/>
          <w:szCs w:val="30"/>
          <w:lang w:val="en-US" w:eastAsia="zh-CN"/>
        </w:rPr>
        <w:t>要求，具体标准如下：</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7.1.1</w:t>
      </w:r>
      <w:r>
        <w:rPr>
          <w:rFonts w:hint="eastAsia" w:ascii="仿宋_GB2312" w:hAnsi="仿宋_GB2312" w:eastAsia="仿宋_GB2312"/>
          <w:color w:val="auto"/>
          <w:sz w:val="30"/>
          <w:szCs w:val="30"/>
        </w:rPr>
        <w:t>提供的餐饮服务应符合《中华人民共和国食品安全法》和《食品安全法实施条例》。</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s="宋体"/>
          <w:color w:val="auto"/>
          <w:kern w:val="0"/>
          <w:sz w:val="30"/>
          <w:szCs w:val="30"/>
          <w:lang w:val="en-US" w:eastAsia="zh-CN"/>
        </w:rPr>
        <w:t>7.1.2</w:t>
      </w:r>
      <w:r>
        <w:rPr>
          <w:rFonts w:hint="eastAsia" w:ascii="仿宋_GB2312" w:hAnsi="仿宋_GB2312" w:eastAsia="仿宋_GB2312" w:cs="宋体"/>
          <w:color w:val="auto"/>
          <w:kern w:val="0"/>
          <w:sz w:val="30"/>
          <w:szCs w:val="30"/>
        </w:rPr>
        <w:t>厨师需勤劳认真做事，保证菜肴食品质量，保证所出食品原料新鲜，保证厨房环境卫生清洁。</w:t>
      </w:r>
      <w:r>
        <w:rPr>
          <w:rFonts w:hint="eastAsia" w:ascii="仿宋_GB2312" w:hAnsi="仿宋_GB2312" w:eastAsia="仿宋_GB2312"/>
          <w:color w:val="auto"/>
          <w:sz w:val="30"/>
          <w:szCs w:val="30"/>
          <w:lang w:eastAsia="zh-CN"/>
        </w:rPr>
        <w:t>外包服务商</w:t>
      </w:r>
      <w:r>
        <w:rPr>
          <w:rFonts w:hint="eastAsia" w:ascii="仿宋_GB2312" w:hAnsi="仿宋_GB2312" w:eastAsia="仿宋_GB2312"/>
          <w:color w:val="auto"/>
          <w:sz w:val="30"/>
          <w:szCs w:val="30"/>
        </w:rPr>
        <w:t>提供的菜品、食品不得危害就餐人员的身体健康。</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7.1.3</w:t>
      </w:r>
      <w:r>
        <w:rPr>
          <w:rFonts w:hint="eastAsia" w:ascii="仿宋_GB2312" w:hAnsi="仿宋_GB2312" w:eastAsia="仿宋_GB2312"/>
          <w:color w:val="auto"/>
          <w:sz w:val="30"/>
          <w:szCs w:val="30"/>
          <w:lang w:eastAsia="zh-CN"/>
        </w:rPr>
        <w:t>乙方必须通过正规渠道采购食材及主副食品，</w:t>
      </w:r>
      <w:r>
        <w:rPr>
          <w:rFonts w:hint="eastAsia" w:ascii="仿宋_GB2312" w:hAnsi="仿宋_GB2312" w:eastAsia="仿宋_GB2312"/>
          <w:color w:val="auto"/>
          <w:sz w:val="30"/>
          <w:szCs w:val="30"/>
        </w:rPr>
        <w:t>不能有过期、失效、霉烂、变质的商品；肉类食品必须经过国家质监部门的质量检测，且是合格产品。</w:t>
      </w:r>
      <w:r>
        <w:rPr>
          <w:rFonts w:hint="eastAsia" w:ascii="仿宋_GB2312" w:hAnsi="仿宋_GB2312" w:eastAsia="仿宋_GB2312"/>
          <w:color w:val="auto"/>
          <w:sz w:val="30"/>
          <w:szCs w:val="30"/>
          <w:lang w:eastAsia="zh-CN"/>
        </w:rPr>
        <w:t>同时，乙方应将采购食材及主副食品的相关凭证报甲方备案。</w:t>
      </w:r>
      <w:r>
        <w:rPr>
          <w:rFonts w:hint="eastAsia" w:ascii="仿宋_GB2312" w:hAnsi="仿宋_GB2312" w:eastAsia="仿宋_GB2312"/>
          <w:color w:val="auto"/>
          <w:sz w:val="30"/>
          <w:szCs w:val="30"/>
          <w:lang w:val="en-US" w:eastAsia="zh-CN"/>
        </w:rPr>
        <w:t xml:space="preserve"> </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7.1.4</w:t>
      </w:r>
      <w:r>
        <w:rPr>
          <w:rFonts w:hint="eastAsia" w:ascii="仿宋_GB2312" w:hAnsi="仿宋_GB2312" w:eastAsia="仿宋_GB2312"/>
          <w:color w:val="auto"/>
          <w:sz w:val="30"/>
          <w:szCs w:val="30"/>
        </w:rPr>
        <w:t>采购回蔬菜及主副食品后，应通知</w:t>
      </w:r>
      <w:r>
        <w:rPr>
          <w:rFonts w:hint="eastAsia" w:ascii="仿宋_GB2312" w:hAnsi="仿宋_GB2312" w:eastAsia="仿宋_GB2312"/>
          <w:color w:val="auto"/>
          <w:sz w:val="30"/>
          <w:szCs w:val="30"/>
          <w:lang w:val="en-US" w:eastAsia="zh-CN"/>
        </w:rPr>
        <w:t>甲方指定</w:t>
      </w:r>
      <w:r>
        <w:rPr>
          <w:rFonts w:hint="eastAsia" w:ascii="仿宋_GB2312" w:hAnsi="仿宋_GB2312" w:eastAsia="仿宋_GB2312"/>
          <w:color w:val="auto"/>
          <w:sz w:val="30"/>
          <w:szCs w:val="30"/>
        </w:rPr>
        <w:t>的人员进行食品质量检验验收，检验人员需签字确认。</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highlight w:val="none"/>
        </w:rPr>
      </w:pPr>
      <w:r>
        <w:rPr>
          <w:rFonts w:hint="eastAsia" w:ascii="仿宋_GB2312" w:hAnsi="仿宋_GB2312" w:eastAsia="仿宋_GB2312"/>
          <w:color w:val="auto"/>
          <w:sz w:val="30"/>
          <w:szCs w:val="30"/>
          <w:lang w:val="en-US" w:eastAsia="zh-CN"/>
        </w:rPr>
        <w:t>7.1.5</w:t>
      </w:r>
      <w:r>
        <w:rPr>
          <w:rFonts w:hint="eastAsia" w:ascii="仿宋_GB2312" w:hAnsi="仿宋_GB2312" w:eastAsia="仿宋_GB2312"/>
          <w:color w:val="auto"/>
          <w:sz w:val="30"/>
          <w:szCs w:val="30"/>
          <w:highlight w:val="none"/>
        </w:rPr>
        <w:t>需</w:t>
      </w:r>
      <w:r>
        <w:rPr>
          <w:rFonts w:hint="eastAsia" w:ascii="仿宋_GB2312" w:hAnsi="仿宋_GB2312" w:eastAsia="仿宋_GB2312"/>
          <w:color w:val="auto"/>
          <w:sz w:val="30"/>
          <w:szCs w:val="30"/>
          <w:highlight w:val="none"/>
          <w:lang w:val="en-US" w:eastAsia="zh-CN"/>
        </w:rPr>
        <w:t>重庆机场海关检验检疫局</w:t>
      </w:r>
      <w:r>
        <w:rPr>
          <w:rFonts w:hint="eastAsia" w:ascii="仿宋_GB2312" w:hAnsi="仿宋_GB2312" w:eastAsia="仿宋_GB2312"/>
          <w:color w:val="auto"/>
          <w:sz w:val="30"/>
          <w:szCs w:val="30"/>
          <w:highlight w:val="none"/>
        </w:rPr>
        <w:t>办理餐饮服务许可证（卫生许可证）。</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7.1.6</w:t>
      </w:r>
      <w:r>
        <w:rPr>
          <w:rFonts w:hint="eastAsia" w:ascii="仿宋_GB2312" w:hAnsi="仿宋_GB2312" w:eastAsia="仿宋_GB2312"/>
          <w:color w:val="auto"/>
          <w:sz w:val="30"/>
          <w:szCs w:val="30"/>
        </w:rPr>
        <w:t>派遣的厨房工作人员需</w:t>
      </w:r>
      <w:r>
        <w:rPr>
          <w:rFonts w:hint="eastAsia" w:ascii="仿宋_GB2312" w:hAnsi="仿宋_GB2312" w:eastAsia="仿宋_GB2312"/>
          <w:color w:val="auto"/>
          <w:sz w:val="30"/>
          <w:szCs w:val="30"/>
          <w:lang w:val="en-US" w:eastAsia="zh-CN"/>
        </w:rPr>
        <w:t>持有合法机构颁发的健康证明，且接种了符合防疫要求次数的新冠疫苗</w:t>
      </w:r>
      <w:r>
        <w:rPr>
          <w:rFonts w:hint="eastAsia" w:ascii="仿宋_GB2312" w:hAnsi="仿宋_GB2312" w:eastAsia="仿宋_GB2312"/>
          <w:color w:val="auto"/>
          <w:sz w:val="30"/>
          <w:szCs w:val="30"/>
        </w:rPr>
        <w:t>。</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b/>
          <w:bCs w:val="0"/>
          <w:color w:val="auto"/>
          <w:sz w:val="30"/>
          <w:szCs w:val="30"/>
          <w:lang w:eastAsia="zh-CN"/>
        </w:rPr>
      </w:pPr>
      <w:r>
        <w:rPr>
          <w:rFonts w:hint="eastAsia" w:ascii="仿宋_GB2312" w:hAnsi="仿宋_GB2312" w:eastAsia="仿宋_GB2312"/>
          <w:b/>
          <w:bCs w:val="0"/>
          <w:color w:val="auto"/>
          <w:sz w:val="30"/>
          <w:szCs w:val="30"/>
          <w:lang w:eastAsia="zh-CN"/>
        </w:rPr>
        <w:t>八、</w:t>
      </w:r>
      <w:r>
        <w:rPr>
          <w:rFonts w:hint="eastAsia" w:ascii="仿宋_GB2312" w:hAnsi="仿宋_GB2312" w:eastAsia="仿宋_GB2312"/>
          <w:b/>
          <w:bCs w:val="0"/>
          <w:color w:val="auto"/>
          <w:sz w:val="30"/>
          <w:szCs w:val="30"/>
        </w:rPr>
        <w:t>安全责任</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8.1乙方</w:t>
      </w:r>
      <w:r>
        <w:rPr>
          <w:rFonts w:hint="eastAsia" w:ascii="仿宋_GB2312" w:hAnsi="仿宋_GB2312" w:eastAsia="仿宋_GB2312"/>
          <w:color w:val="auto"/>
          <w:sz w:val="30"/>
          <w:szCs w:val="30"/>
        </w:rPr>
        <w:t>派遣的厨房工作人员的工作区域在机场飞行控制区，工作人员必须严格遵守机场控制区安全管理制度。出现违反机场空防安全的事件，将根据机场空防安全制度给予处罚。</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8.2乙方</w:t>
      </w:r>
      <w:r>
        <w:rPr>
          <w:rFonts w:hint="eastAsia" w:ascii="仿宋_GB2312" w:hAnsi="仿宋_GB2312" w:eastAsia="仿宋_GB2312"/>
          <w:color w:val="auto"/>
          <w:sz w:val="30"/>
          <w:szCs w:val="30"/>
        </w:rPr>
        <w:t>厨房工作人员需严格遵守工作区域内管理单位的相关安全管理制度，不得攀爬动用消防救援设备</w:t>
      </w:r>
      <w:r>
        <w:rPr>
          <w:rFonts w:hint="eastAsia" w:ascii="仿宋_GB2312" w:hAnsi="仿宋_GB2312" w:eastAsia="仿宋_GB2312"/>
          <w:color w:val="auto"/>
          <w:sz w:val="30"/>
          <w:szCs w:val="30"/>
          <w:lang w:eastAsia="zh-CN"/>
        </w:rPr>
        <w:t>和机坪内其他设施设备</w:t>
      </w:r>
      <w:r>
        <w:rPr>
          <w:rFonts w:hint="eastAsia" w:ascii="仿宋_GB2312" w:hAnsi="仿宋_GB2312" w:eastAsia="仿宋_GB2312"/>
          <w:color w:val="auto"/>
          <w:sz w:val="30"/>
          <w:szCs w:val="30"/>
        </w:rPr>
        <w:t>，不得随意进出非工作、生活的区域。发现违反以上相关事项，将根据管理单位的相关制度给予处罚。</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eastAsia="zh-CN"/>
        </w:rPr>
      </w:pPr>
      <w:r>
        <w:rPr>
          <w:rFonts w:hint="eastAsia" w:ascii="仿宋_GB2312" w:hAnsi="仿宋_GB2312" w:eastAsia="仿宋_GB2312"/>
          <w:color w:val="auto"/>
          <w:sz w:val="30"/>
          <w:szCs w:val="30"/>
          <w:lang w:val="en-US" w:eastAsia="zh-CN"/>
        </w:rPr>
        <w:t>8.3乙方</w:t>
      </w:r>
      <w:r>
        <w:rPr>
          <w:rFonts w:hint="eastAsia" w:ascii="仿宋_GB2312" w:hAnsi="仿宋_GB2312" w:eastAsia="仿宋_GB2312"/>
          <w:color w:val="auto"/>
          <w:sz w:val="30"/>
          <w:szCs w:val="30"/>
        </w:rPr>
        <w:t>应根据机场空防安全管理规定为厨房</w:t>
      </w:r>
      <w:r>
        <w:rPr>
          <w:rFonts w:hint="eastAsia" w:ascii="仿宋_GB2312" w:hAnsi="仿宋_GB2312" w:eastAsia="仿宋_GB2312"/>
          <w:color w:val="auto"/>
          <w:sz w:val="30"/>
          <w:szCs w:val="30"/>
          <w:lang w:eastAsia="zh-CN"/>
        </w:rPr>
        <w:t>工作用车及</w:t>
      </w:r>
      <w:r>
        <w:rPr>
          <w:rFonts w:hint="eastAsia" w:ascii="仿宋_GB2312" w:hAnsi="仿宋_GB2312" w:eastAsia="仿宋_GB2312"/>
          <w:color w:val="auto"/>
          <w:sz w:val="30"/>
          <w:szCs w:val="30"/>
        </w:rPr>
        <w:t>工作人员办理</w:t>
      </w:r>
      <w:r>
        <w:rPr>
          <w:rFonts w:hint="eastAsia" w:ascii="仿宋_GB2312" w:hAnsi="仿宋_GB2312" w:eastAsia="仿宋_GB2312"/>
          <w:color w:val="auto"/>
          <w:sz w:val="30"/>
          <w:szCs w:val="30"/>
          <w:lang w:eastAsia="zh-CN"/>
        </w:rPr>
        <w:t>控制区通行证，费用由</w:t>
      </w:r>
      <w:r>
        <w:rPr>
          <w:rFonts w:hint="eastAsia" w:ascii="仿宋_GB2312" w:hAnsi="仿宋_GB2312" w:eastAsia="仿宋_GB2312"/>
          <w:color w:val="auto"/>
          <w:sz w:val="30"/>
          <w:szCs w:val="30"/>
          <w:lang w:val="en-US" w:eastAsia="zh-CN"/>
        </w:rPr>
        <w:t>乙方</w:t>
      </w:r>
      <w:r>
        <w:rPr>
          <w:rFonts w:hint="eastAsia" w:ascii="仿宋_GB2312" w:hAnsi="仿宋_GB2312" w:eastAsia="仿宋_GB2312"/>
          <w:color w:val="auto"/>
          <w:sz w:val="30"/>
          <w:szCs w:val="30"/>
          <w:lang w:eastAsia="zh-CN"/>
        </w:rPr>
        <w:t>承担。</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8.4乙方</w:t>
      </w:r>
      <w:r>
        <w:rPr>
          <w:rFonts w:hint="eastAsia" w:ascii="仿宋_GB2312" w:hAnsi="仿宋_GB2312" w:eastAsia="仿宋_GB2312"/>
          <w:color w:val="auto"/>
          <w:sz w:val="30"/>
          <w:szCs w:val="30"/>
          <w:lang w:eastAsia="zh-CN"/>
        </w:rPr>
        <w:t>应</w:t>
      </w:r>
      <w:r>
        <w:rPr>
          <w:rFonts w:hint="eastAsia" w:ascii="仿宋_GB2312" w:hAnsi="仿宋_GB2312" w:eastAsia="仿宋_GB2312"/>
          <w:color w:val="auto"/>
          <w:sz w:val="30"/>
          <w:szCs w:val="30"/>
          <w:lang w:val="en-US" w:eastAsia="zh-CN"/>
        </w:rPr>
        <w:t>与甲方同步</w:t>
      </w:r>
      <w:r>
        <w:rPr>
          <w:rFonts w:hint="eastAsia" w:ascii="仿宋_GB2312" w:hAnsi="仿宋_GB2312" w:eastAsia="仿宋_GB2312"/>
          <w:color w:val="auto"/>
          <w:sz w:val="30"/>
          <w:szCs w:val="30"/>
          <w:lang w:eastAsia="zh-CN"/>
        </w:rPr>
        <w:t>开展机场安全管理制度培训，教育其员工自觉遵守机场空防安全管理制度；严格执行人离火熄灭规范要求，确保消防安全。甲方协助乙方办理相关通行证。</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b/>
          <w:sz w:val="30"/>
          <w:szCs w:val="30"/>
          <w:lang w:val="en-US" w:eastAsia="zh-CN"/>
        </w:rPr>
      </w:pPr>
      <w:r>
        <w:rPr>
          <w:rFonts w:hint="eastAsia" w:ascii="仿宋_GB2312" w:hAnsi="仿宋_GB2312" w:eastAsia="仿宋_GB2312"/>
          <w:color w:val="auto"/>
          <w:sz w:val="30"/>
          <w:szCs w:val="30"/>
          <w:lang w:val="en-US" w:eastAsia="zh-CN"/>
        </w:rPr>
        <w:t>8.5乙方应严格按国家卫生部门和重庆市卫生防疫部门的饮食卫生标准，接受地方卫生防疫部门和甲方相关管理部门的卫生监管。</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b/>
          <w:color w:val="auto"/>
          <w:sz w:val="32"/>
          <w:szCs w:val="32"/>
        </w:rPr>
      </w:pPr>
      <w:r>
        <w:rPr>
          <w:rFonts w:hint="eastAsia" w:ascii="仿宋_GB2312" w:hAnsi="仿宋_GB2312" w:eastAsia="仿宋_GB2312"/>
          <w:b/>
          <w:sz w:val="30"/>
          <w:szCs w:val="21"/>
          <w:lang w:val="en-US" w:eastAsia="zh-CN"/>
        </w:rPr>
        <w:t>九</w:t>
      </w:r>
      <w:r>
        <w:rPr>
          <w:rFonts w:hint="eastAsia" w:ascii="仿宋_GB2312" w:hAnsi="仿宋_GB2312" w:eastAsia="仿宋_GB2312"/>
          <w:b/>
          <w:sz w:val="30"/>
          <w:szCs w:val="21"/>
        </w:rPr>
        <w:t xml:space="preserve">、 </w:t>
      </w:r>
      <w:r>
        <w:rPr>
          <w:rFonts w:hint="eastAsia" w:ascii="仿宋_GB2312" w:hAnsi="仿宋_GB2312" w:eastAsia="仿宋_GB2312"/>
          <w:b/>
          <w:color w:val="auto"/>
          <w:sz w:val="32"/>
          <w:szCs w:val="32"/>
          <w:lang w:eastAsia="zh-CN"/>
        </w:rPr>
        <w:t>工作</w:t>
      </w:r>
      <w:r>
        <w:rPr>
          <w:rFonts w:hint="eastAsia" w:ascii="仿宋_GB2312" w:hAnsi="仿宋_GB2312" w:eastAsia="仿宋_GB2312"/>
          <w:b/>
          <w:color w:val="auto"/>
          <w:sz w:val="32"/>
          <w:szCs w:val="32"/>
        </w:rPr>
        <w:t>考核</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9.1</w:t>
      </w:r>
      <w:r>
        <w:rPr>
          <w:rFonts w:hint="eastAsia" w:ascii="仿宋_GB2312" w:hAnsi="仿宋_GB2312" w:eastAsia="仿宋_GB2312"/>
          <w:color w:val="auto"/>
          <w:sz w:val="30"/>
          <w:szCs w:val="30"/>
        </w:rPr>
        <w:t>提供的餐饮服务</w:t>
      </w:r>
      <w:r>
        <w:rPr>
          <w:rFonts w:hint="eastAsia" w:ascii="仿宋_GB2312" w:hAnsi="仿宋_GB2312" w:eastAsia="仿宋_GB2312"/>
          <w:color w:val="auto"/>
          <w:sz w:val="30"/>
          <w:szCs w:val="30"/>
          <w:lang w:eastAsia="zh-CN"/>
        </w:rPr>
        <w:t>是否</w:t>
      </w:r>
      <w:r>
        <w:rPr>
          <w:rFonts w:hint="eastAsia" w:ascii="仿宋_GB2312" w:hAnsi="仿宋_GB2312" w:eastAsia="仿宋_GB2312"/>
          <w:color w:val="auto"/>
          <w:sz w:val="30"/>
          <w:szCs w:val="30"/>
        </w:rPr>
        <w:t>符合标准时，</w:t>
      </w:r>
      <w:r>
        <w:rPr>
          <w:rFonts w:hint="eastAsia" w:ascii="仿宋_GB2312" w:hAnsi="仿宋_GB2312" w:eastAsia="仿宋_GB2312"/>
          <w:color w:val="auto"/>
          <w:sz w:val="30"/>
          <w:szCs w:val="30"/>
          <w:lang w:eastAsia="zh-CN"/>
        </w:rPr>
        <w:t>甲方以</w:t>
      </w:r>
      <w:r>
        <w:rPr>
          <w:rFonts w:hint="eastAsia" w:ascii="仿宋_GB2312" w:hAnsi="仿宋_GB2312" w:eastAsia="仿宋_GB2312"/>
          <w:color w:val="auto"/>
          <w:sz w:val="30"/>
          <w:szCs w:val="30"/>
        </w:rPr>
        <w:t>绩效考核作为服务质量评价的依据。</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9.2</w:t>
      </w:r>
      <w:r>
        <w:rPr>
          <w:rFonts w:hint="eastAsia" w:ascii="仿宋_GB2312" w:hAnsi="仿宋_GB2312" w:eastAsia="仿宋_GB2312"/>
          <w:color w:val="auto"/>
          <w:sz w:val="30"/>
          <w:szCs w:val="30"/>
        </w:rPr>
        <w:t>自提供服务之日起，</w:t>
      </w:r>
      <w:r>
        <w:rPr>
          <w:rFonts w:hint="eastAsia" w:ascii="仿宋_GB2312" w:hAnsi="仿宋_GB2312" w:eastAsia="仿宋_GB2312"/>
          <w:color w:val="auto"/>
          <w:sz w:val="30"/>
          <w:szCs w:val="30"/>
          <w:lang w:eastAsia="zh-CN"/>
        </w:rPr>
        <w:t>乙方</w:t>
      </w:r>
      <w:r>
        <w:rPr>
          <w:rFonts w:hint="eastAsia" w:ascii="仿宋_GB2312" w:hAnsi="仿宋_GB2312" w:eastAsia="仿宋_GB2312"/>
          <w:color w:val="auto"/>
          <w:sz w:val="30"/>
          <w:szCs w:val="30"/>
        </w:rPr>
        <w:t>指定其内部相应机构（或就餐人员代表）对提供的餐饮服务进行绩效考核，考核以月为周期（每月第一天到最后一天）。</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9.3</w:t>
      </w:r>
      <w:r>
        <w:rPr>
          <w:rFonts w:hint="eastAsia" w:ascii="仿宋_GB2312" w:hAnsi="仿宋_GB2312" w:eastAsia="仿宋_GB2312"/>
          <w:color w:val="auto"/>
          <w:sz w:val="30"/>
          <w:szCs w:val="30"/>
        </w:rPr>
        <w:t>绩效考核的指标、指标权重、评分标准、考核数据来源等要素参照《</w:t>
      </w:r>
      <w:r>
        <w:rPr>
          <w:rFonts w:hint="eastAsia" w:ascii="仿宋_GB2312" w:hAnsi="仿宋_GB2312" w:eastAsia="仿宋_GB2312"/>
          <w:color w:val="auto"/>
          <w:sz w:val="30"/>
          <w:szCs w:val="30"/>
          <w:lang w:eastAsia="zh-CN"/>
        </w:rPr>
        <w:t>机坪内消防食堂</w:t>
      </w:r>
      <w:r>
        <w:rPr>
          <w:rFonts w:hint="eastAsia" w:ascii="仿宋_GB2312" w:hAnsi="仿宋_GB2312" w:eastAsia="仿宋_GB2312"/>
          <w:color w:val="auto"/>
          <w:sz w:val="30"/>
          <w:szCs w:val="30"/>
        </w:rPr>
        <w:t>餐饮服务考核指标扣分标准》（见附件</w:t>
      </w:r>
      <w:r>
        <w:rPr>
          <w:rFonts w:hint="eastAsia" w:ascii="仿宋_GB2312" w:hAnsi="仿宋_GB2312" w:eastAsia="仿宋_GB2312"/>
          <w:color w:val="auto"/>
          <w:sz w:val="30"/>
          <w:szCs w:val="30"/>
          <w:lang w:val="en-US" w:eastAsia="zh-CN"/>
        </w:rPr>
        <w:t>1</w:t>
      </w:r>
      <w:r>
        <w:rPr>
          <w:rFonts w:hint="eastAsia" w:ascii="仿宋_GB2312" w:hAnsi="仿宋_GB2312" w:eastAsia="仿宋_GB2312"/>
          <w:color w:val="auto"/>
          <w:sz w:val="30"/>
          <w:szCs w:val="30"/>
        </w:rPr>
        <w:t>）及《绩效否定指标扣分标准》（见附件</w:t>
      </w:r>
      <w:r>
        <w:rPr>
          <w:rFonts w:hint="eastAsia" w:ascii="仿宋_GB2312" w:hAnsi="仿宋_GB2312" w:eastAsia="仿宋_GB2312"/>
          <w:color w:val="auto"/>
          <w:sz w:val="30"/>
          <w:szCs w:val="30"/>
          <w:lang w:val="en-US" w:eastAsia="zh-CN"/>
        </w:rPr>
        <w:t>1</w:t>
      </w:r>
      <w:r>
        <w:rPr>
          <w:rFonts w:hint="eastAsia" w:ascii="仿宋_GB2312" w:hAnsi="仿宋_GB2312" w:eastAsia="仿宋_GB2312"/>
          <w:color w:val="auto"/>
          <w:sz w:val="30"/>
          <w:szCs w:val="30"/>
        </w:rPr>
        <w:t>）执行。</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FF0000"/>
          <w:sz w:val="30"/>
          <w:szCs w:val="30"/>
          <w:lang w:val="en-US" w:eastAsia="zh-CN"/>
        </w:rPr>
      </w:pPr>
      <w:r>
        <w:rPr>
          <w:rFonts w:hint="eastAsia" w:ascii="仿宋_GB2312" w:hAnsi="仿宋_GB2312" w:eastAsia="仿宋_GB2312"/>
          <w:color w:val="auto"/>
          <w:sz w:val="30"/>
          <w:szCs w:val="30"/>
          <w:lang w:val="en-US" w:eastAsia="zh-CN"/>
        </w:rPr>
        <w:t>9.4考核结果的运用：季度考核得分100为满分，每扣除1分，对应处罚外包方100.00元。（得分取整数，小数点后数字四舍五入）</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9.5</w:t>
      </w:r>
      <w:r>
        <w:rPr>
          <w:rFonts w:hint="eastAsia" w:ascii="仿宋_GB2312" w:hAnsi="仿宋_GB2312" w:eastAsia="仿宋_GB2312"/>
          <w:color w:val="auto"/>
          <w:sz w:val="30"/>
          <w:szCs w:val="30"/>
        </w:rPr>
        <w:t>作为被考核方，若对考核结果存在异议，可举证申述；若不能出据相应证据，则其申诉应视为无效。</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sz w:val="30"/>
          <w:szCs w:val="21"/>
        </w:rPr>
      </w:pPr>
      <w:r>
        <w:rPr>
          <w:rFonts w:hint="eastAsia" w:ascii="仿宋_GB2312" w:hAnsi="仿宋_GB2312" w:eastAsia="仿宋_GB2312"/>
          <w:color w:val="auto"/>
          <w:sz w:val="30"/>
          <w:szCs w:val="30"/>
          <w:lang w:val="en-US" w:eastAsia="zh-CN"/>
        </w:rPr>
        <w:t>9.6</w:t>
      </w:r>
      <w:r>
        <w:rPr>
          <w:rFonts w:hint="eastAsia" w:ascii="仿宋_GB2312" w:hAnsi="仿宋_GB2312" w:eastAsia="仿宋_GB2312"/>
          <w:color w:val="auto"/>
          <w:sz w:val="30"/>
          <w:szCs w:val="30"/>
          <w:lang w:eastAsia="zh-CN"/>
        </w:rPr>
        <w:t>甲方</w:t>
      </w:r>
      <w:r>
        <w:rPr>
          <w:rFonts w:hint="eastAsia" w:ascii="仿宋_GB2312" w:hAnsi="仿宋_GB2312" w:eastAsia="仿宋_GB2312"/>
          <w:color w:val="auto"/>
          <w:sz w:val="30"/>
          <w:szCs w:val="30"/>
          <w:lang w:val="en-US" w:eastAsia="zh-CN"/>
        </w:rPr>
        <w:t>有权按照《餐饮服务标准》，提出撤换自身条件或工作表现不合标准厨房工作人员。</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9.7甲方对乙方的绩效考核评分作为合同是否终止的依据。每年绩效考核评分在90分（含）以上的，在经甲方相关机构审批后，可顺延合同一年（包括顺延期在内的合同总期限不超过5年）。年度绩效考核评分有一年在60分以下的，可终止外包服务合同。</w:t>
      </w:r>
    </w:p>
    <w:p>
      <w:pPr>
        <w:ind w:firstLine="570"/>
        <w:rPr>
          <w:rFonts w:hint="default"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9.8年度绩效考核时间，最后一个合同年度提前6个月开始进行，其余合同年度提前一个月进行。</w:t>
      </w:r>
    </w:p>
    <w:p>
      <w:pPr>
        <w:ind w:firstLine="570"/>
        <w:rPr>
          <w:rFonts w:hint="eastAsia" w:ascii="仿宋_GB2312" w:hAnsi="仿宋_GB2312" w:eastAsia="仿宋_GB2312"/>
          <w:color w:val="auto"/>
          <w:sz w:val="30"/>
          <w:szCs w:val="30"/>
          <w:lang w:val="en-US" w:eastAsia="zh-CN"/>
        </w:rPr>
      </w:pPr>
      <w:r>
        <w:rPr>
          <w:rFonts w:hint="eastAsia" w:ascii="仿宋_GB2312" w:hAnsi="仿宋_GB2312" w:eastAsia="仿宋_GB2312"/>
          <w:b/>
          <w:sz w:val="30"/>
          <w:szCs w:val="21"/>
        </w:rPr>
        <w:t>十、甲方权利与义务</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10.1甲方提供厨房灶具、厨具、抽油烟系统、餐厅用品等用具，物资所有权属江北机场公司。在外包服务期间，外包方商享有使用权。</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10.2厨房油烟管道一年两次清洗费和厨房设备正常使用产生的单项单次800.00（含）以上维修费由甲方承担；单项单次维修费800.00元（不含）以下由乙方承担。厨房油烟管道的清洗及厨房设备的维修由甲方组织实施，乙方协助配合。</w:t>
      </w:r>
    </w:p>
    <w:p>
      <w:pPr>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10.3甲方承担外包方提供餐饮服务生产所产生的水、电、气等能源消耗费用。</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10.4</w:t>
      </w:r>
      <w:r>
        <w:rPr>
          <w:rFonts w:hint="eastAsia" w:ascii="仿宋_GB2312" w:hAnsi="仿宋_GB2312" w:eastAsia="仿宋_GB2312"/>
          <w:sz w:val="30"/>
          <w:szCs w:val="21"/>
        </w:rPr>
        <w:t>甲方在特殊情况下，有权对乙方厨房工作人员进行现场指挥、协调。</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10.5</w:t>
      </w:r>
      <w:r>
        <w:rPr>
          <w:rFonts w:hint="eastAsia" w:ascii="仿宋_GB2312" w:hAnsi="仿宋_GB2312" w:eastAsia="仿宋_GB2312"/>
          <w:sz w:val="30"/>
          <w:szCs w:val="21"/>
        </w:rPr>
        <w:t>甲方在有紧急情况时，有权要求乙方厨房工作人员调整就餐时间。</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10.6</w:t>
      </w:r>
      <w:r>
        <w:rPr>
          <w:rFonts w:hint="eastAsia" w:ascii="仿宋_GB2312" w:hAnsi="仿宋_GB2312" w:eastAsia="仿宋_GB2312"/>
          <w:sz w:val="30"/>
          <w:szCs w:val="21"/>
        </w:rPr>
        <w:t>甲方有权按照《餐饮服务标准》，提出撤换自身条件或工作表现不合标准厨房工作人员。</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10.7</w:t>
      </w:r>
      <w:r>
        <w:rPr>
          <w:rFonts w:hint="eastAsia" w:ascii="仿宋_GB2312" w:hAnsi="仿宋_GB2312" w:eastAsia="仿宋_GB2312"/>
          <w:sz w:val="30"/>
          <w:szCs w:val="21"/>
        </w:rPr>
        <w:t>甲方在绩效考核时应遵循公正客观原则。</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10.8</w:t>
      </w:r>
      <w:r>
        <w:rPr>
          <w:rFonts w:hint="eastAsia" w:ascii="仿宋_GB2312" w:hAnsi="仿宋_GB2312" w:eastAsia="仿宋_GB2312"/>
          <w:sz w:val="30"/>
          <w:szCs w:val="21"/>
        </w:rPr>
        <w:t>甲方应向乙方提供厨房灶具、厨具、抽油烟系统、餐厅就餐用品等用具，该批物资所有权属甲方，在本合同存续期间，乙方享有使用权。</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10.9</w:t>
      </w:r>
      <w:r>
        <w:rPr>
          <w:rFonts w:hint="eastAsia" w:ascii="仿宋_GB2312" w:hAnsi="仿宋_GB2312" w:eastAsia="仿宋_GB2312"/>
          <w:sz w:val="30"/>
          <w:szCs w:val="21"/>
        </w:rPr>
        <w:t>甲方应向乙方厨房工作人员提供值班休息用房间和床。</w:t>
      </w:r>
    </w:p>
    <w:p>
      <w:pPr>
        <w:ind w:firstLine="570"/>
        <w:rPr>
          <w:rFonts w:hint="eastAsia" w:ascii="仿宋_GB2312" w:hAnsi="仿宋_GB2312" w:eastAsia="仿宋_GB2312"/>
          <w:sz w:val="30"/>
          <w:szCs w:val="21"/>
        </w:rPr>
      </w:pPr>
      <w:r>
        <w:rPr>
          <w:rFonts w:hint="eastAsia" w:ascii="仿宋_GB2312" w:hAnsi="仿宋_GB2312" w:eastAsia="仿宋_GB2312"/>
          <w:sz w:val="30"/>
          <w:szCs w:val="21"/>
          <w:lang w:val="en-US" w:eastAsia="zh-CN"/>
        </w:rPr>
        <w:t>10.10</w:t>
      </w:r>
      <w:r>
        <w:rPr>
          <w:rFonts w:hint="eastAsia" w:ascii="仿宋_GB2312" w:hAnsi="仿宋_GB2312" w:eastAsia="仿宋_GB2312"/>
          <w:sz w:val="30"/>
          <w:szCs w:val="21"/>
        </w:rPr>
        <w:t>甲方提供采购到场的大件物品（如大米、面粉、食用油等）</w:t>
      </w:r>
      <w:r>
        <w:rPr>
          <w:rFonts w:hint="eastAsia" w:ascii="仿宋_GB2312" w:hAnsi="仿宋_GB2312" w:eastAsia="仿宋_GB2312"/>
          <w:sz w:val="30"/>
          <w:szCs w:val="21"/>
          <w:lang w:val="en-US" w:eastAsia="zh-CN"/>
        </w:rPr>
        <w:t>从安检道口到食堂</w:t>
      </w:r>
      <w:r>
        <w:rPr>
          <w:rFonts w:hint="eastAsia" w:ascii="仿宋_GB2312" w:hAnsi="仿宋_GB2312" w:eastAsia="仿宋_GB2312"/>
          <w:sz w:val="30"/>
          <w:szCs w:val="21"/>
        </w:rPr>
        <w:t>的运输工具。</w:t>
      </w:r>
    </w:p>
    <w:p>
      <w:pPr>
        <w:tabs>
          <w:tab w:val="left" w:pos="3508"/>
        </w:tabs>
        <w:ind w:firstLine="570"/>
        <w:rPr>
          <w:rFonts w:ascii="仿宋_GB2312" w:hAnsi="仿宋_GB2312" w:eastAsia="仿宋_GB2312"/>
          <w:b/>
          <w:sz w:val="30"/>
          <w:szCs w:val="21"/>
        </w:rPr>
      </w:pPr>
      <w:r>
        <w:rPr>
          <w:rFonts w:hint="eastAsia" w:ascii="仿宋_GB2312" w:hAnsi="仿宋_GB2312" w:eastAsia="仿宋_GB2312"/>
          <w:b/>
          <w:sz w:val="30"/>
          <w:szCs w:val="21"/>
          <w:lang w:eastAsia="zh-CN"/>
        </w:rPr>
        <w:t>十一</w:t>
      </w:r>
      <w:r>
        <w:rPr>
          <w:rFonts w:hint="eastAsia" w:ascii="仿宋_GB2312" w:hAnsi="仿宋_GB2312" w:eastAsia="仿宋_GB2312"/>
          <w:b/>
          <w:sz w:val="30"/>
          <w:szCs w:val="21"/>
        </w:rPr>
        <w:t>、乙方权利与义务</w:t>
      </w:r>
      <w:r>
        <w:rPr>
          <w:rFonts w:hint="eastAsia" w:ascii="仿宋_GB2312" w:hAnsi="仿宋_GB2312" w:eastAsia="仿宋_GB2312"/>
          <w:b/>
          <w:sz w:val="30"/>
          <w:szCs w:val="21"/>
        </w:rPr>
        <w:tab/>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11.1乙方的经营应接受甲方委托管理人员的监督，经营期满后，食堂经营权归属甲方。</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11.2乙方应是具有法人资格的餐饮企业，具备营业执照和合法的经营资格，有从事本行业的经验。</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11.3乙方工作人员自行办理经营手续，包括年审、体检、抽检等事宜，上述费用由乙方自行负责。由于本合同所涉及的食堂均位于控制区内，人员、车辆需办理控制区通行证件、安装相应管制设备以及参加相关管理部门的准入考试，所产生的相关费用由乙方自行承担。</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11.4</w:t>
      </w:r>
      <w:r>
        <w:rPr>
          <w:rFonts w:hint="eastAsia" w:ascii="仿宋_GB2312" w:eastAsia="仿宋_GB2312"/>
          <w:color w:val="000000"/>
          <w:sz w:val="30"/>
          <w:szCs w:val="30"/>
        </w:rPr>
        <w:t>乙方应严格按国家卫生部门和重庆市卫生防疫部门的饮食卫生标准，接受地方卫生防疫部门和</w:t>
      </w:r>
      <w:r>
        <w:rPr>
          <w:rFonts w:hint="eastAsia" w:ascii="仿宋_GB2312" w:eastAsia="仿宋_GB2312"/>
          <w:color w:val="000000"/>
          <w:sz w:val="30"/>
          <w:szCs w:val="30"/>
          <w:lang w:eastAsia="zh-CN"/>
        </w:rPr>
        <w:t>甲方</w:t>
      </w:r>
      <w:r>
        <w:rPr>
          <w:rFonts w:hint="eastAsia" w:ascii="仿宋_GB2312" w:eastAsia="仿宋_GB2312"/>
          <w:color w:val="000000"/>
          <w:sz w:val="30"/>
          <w:szCs w:val="30"/>
        </w:rPr>
        <w:t>相关管理部门的卫生监管。</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11.5</w:t>
      </w:r>
      <w:r>
        <w:rPr>
          <w:rFonts w:hint="eastAsia" w:ascii="仿宋_GB2312" w:eastAsia="仿宋_GB2312"/>
          <w:color w:val="000000"/>
          <w:sz w:val="30"/>
          <w:szCs w:val="30"/>
        </w:rPr>
        <w:t>乙方在租赁期间是自主经营，独立核算，自负盈亏、食堂人员、食品原料物质由乙方自行解决，人员工资、治安防盗</w:t>
      </w:r>
      <w:r>
        <w:rPr>
          <w:rFonts w:hint="eastAsia" w:ascii="仿宋_GB2312" w:eastAsia="仿宋_GB2312"/>
          <w:color w:val="000000"/>
          <w:sz w:val="30"/>
          <w:szCs w:val="30"/>
          <w:lang w:eastAsia="zh-CN"/>
        </w:rPr>
        <w:t>、</w:t>
      </w:r>
      <w:r>
        <w:rPr>
          <w:rFonts w:hint="eastAsia" w:ascii="仿宋_GB2312" w:eastAsia="仿宋_GB2312"/>
          <w:color w:val="000000"/>
          <w:sz w:val="30"/>
          <w:szCs w:val="30"/>
        </w:rPr>
        <w:t>卫生、劳保、医疗生活、临工管理费、学习培训等费用，均由乙方自行承担。</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11.6</w:t>
      </w:r>
      <w:r>
        <w:rPr>
          <w:rFonts w:hint="eastAsia" w:ascii="仿宋_GB2312" w:eastAsia="仿宋_GB2312"/>
          <w:color w:val="000000"/>
          <w:sz w:val="30"/>
          <w:szCs w:val="30"/>
        </w:rPr>
        <w:t>乙方如需增添食堂设备，改造原有的炉灶，须书面请示甲方，并在得到许可的情况下方可办理，费用由乙方自行解决。乙方在租赁期间所添购的厨房设备，经营期满后归乙方所有。乙方根据实际需要，可对经营场地区域进行改造和装修，改造的方案经甲方确认后方可实施，所需费用由乙方承担。</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11.7</w:t>
      </w:r>
      <w:r>
        <w:rPr>
          <w:rFonts w:hint="eastAsia" w:ascii="仿宋_GB2312" w:eastAsia="仿宋_GB2312"/>
          <w:color w:val="000000"/>
          <w:sz w:val="30"/>
          <w:szCs w:val="30"/>
        </w:rPr>
        <w:t>乙方在经营期内要确保食堂的正常运转，按时开餐，保证饭菜足够供应，如果由于人为事故影响食堂正常运转，不按时开餐，事故责任由乙方负责。</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11.8</w:t>
      </w:r>
      <w:r>
        <w:rPr>
          <w:rFonts w:hint="eastAsia" w:ascii="仿宋_GB2312" w:eastAsia="仿宋_GB2312"/>
          <w:color w:val="000000"/>
          <w:sz w:val="30"/>
          <w:szCs w:val="30"/>
        </w:rPr>
        <w:t>乙方不得将本协议项目转包给第三方或擅自中止经营或私自向旅客进行售卖饭菜。否则作违约处理，甲方有权终止协议，并不退还履约保证金。</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11.9</w:t>
      </w:r>
      <w:r>
        <w:rPr>
          <w:rFonts w:hint="eastAsia" w:ascii="仿宋_GB2312" w:eastAsia="仿宋_GB2312"/>
          <w:color w:val="000000"/>
          <w:sz w:val="30"/>
          <w:szCs w:val="30"/>
        </w:rPr>
        <w:t>在租赁经营期间，若出现食物中毒、被盗、火灾、人员伤害、劳资纠纷等所有安全事故，责任和一切费用全部由乙方承担。</w:t>
      </w:r>
    </w:p>
    <w:p>
      <w:pPr>
        <w:ind w:firstLine="600" w:firstLineChars="200"/>
        <w:rPr>
          <w:rFonts w:hint="default" w:ascii="仿宋_GB2312" w:eastAsia="仿宋_GB2312"/>
          <w:color w:val="000000"/>
          <w:sz w:val="30"/>
          <w:szCs w:val="30"/>
          <w:lang w:val="en-US" w:eastAsia="zh-CN"/>
        </w:rPr>
      </w:pPr>
      <w:r>
        <w:rPr>
          <w:rFonts w:hint="eastAsia" w:ascii="仿宋_GB2312" w:eastAsia="仿宋_GB2312"/>
          <w:color w:val="000000"/>
          <w:sz w:val="30"/>
          <w:szCs w:val="30"/>
          <w:lang w:val="en-US" w:eastAsia="zh-CN"/>
        </w:rPr>
        <w:t>11.10乙方厨房工作人员应在每日餐食供应结束后，对厨房进行清洁，保持灶台及抽油烟机内外部清洁，避免由此引发火灾事故。</w:t>
      </w:r>
    </w:p>
    <w:p>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11.11乙方须指定人员，每季度对各食堂油污分离池进行清掏，并做好相关的清掏记录。</w:t>
      </w:r>
      <w:r>
        <w:rPr>
          <w:rFonts w:hint="eastAsia" w:ascii="仿宋_GB2312" w:eastAsia="仿宋_GB2312"/>
          <w:color w:val="000000"/>
          <w:sz w:val="30"/>
          <w:szCs w:val="30"/>
        </w:rPr>
        <w:t xml:space="preserve">  </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11.12</w:t>
      </w:r>
      <w:r>
        <w:rPr>
          <w:rFonts w:hint="eastAsia" w:ascii="仿宋_GB2312" w:hAnsi="仿宋_GB2312" w:eastAsia="仿宋_GB2312"/>
          <w:sz w:val="30"/>
          <w:szCs w:val="21"/>
        </w:rPr>
        <w:t>合同期内，乙方有权根据实际情况对服务标准提出意见、建议。</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11.13</w:t>
      </w:r>
      <w:r>
        <w:rPr>
          <w:rFonts w:hint="eastAsia" w:ascii="仿宋_GB2312" w:hAnsi="仿宋_GB2312" w:eastAsia="仿宋_GB2312"/>
          <w:sz w:val="30"/>
          <w:szCs w:val="21"/>
        </w:rPr>
        <w:t>合同期内，乙方有权根据实际情况与甲方就《餐饮业务绩效考核表》的具体内容进行商讨。</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11.14</w:t>
      </w:r>
      <w:r>
        <w:rPr>
          <w:rFonts w:hint="eastAsia" w:ascii="仿宋_GB2312" w:hAnsi="仿宋_GB2312" w:eastAsia="仿宋_GB2312"/>
          <w:sz w:val="30"/>
          <w:szCs w:val="21"/>
        </w:rPr>
        <w:t>乙方应自觉维护甲方形象，并恪守保密原则。</w:t>
      </w:r>
    </w:p>
    <w:p>
      <w:pPr>
        <w:ind w:firstLine="570"/>
        <w:rPr>
          <w:rFonts w:hint="eastAsia" w:ascii="仿宋_GB2312" w:hAnsi="仿宋_GB2312" w:eastAsia="仿宋_GB2312"/>
          <w:sz w:val="30"/>
          <w:szCs w:val="21"/>
        </w:rPr>
      </w:pPr>
      <w:r>
        <w:rPr>
          <w:rFonts w:hint="eastAsia" w:ascii="仿宋_GB2312" w:hAnsi="仿宋_GB2312" w:eastAsia="仿宋_GB2312"/>
          <w:sz w:val="30"/>
          <w:szCs w:val="21"/>
          <w:lang w:val="en-US" w:eastAsia="zh-CN"/>
        </w:rPr>
        <w:t>11.15</w:t>
      </w:r>
      <w:r>
        <w:rPr>
          <w:rFonts w:hint="eastAsia" w:ascii="仿宋_GB2312" w:hAnsi="仿宋_GB2312" w:eastAsia="仿宋_GB2312"/>
          <w:sz w:val="30"/>
          <w:szCs w:val="21"/>
        </w:rPr>
        <w:t>乙方负责餐具、灶具、抽油烟系统</w:t>
      </w:r>
      <w:r>
        <w:rPr>
          <w:rFonts w:hint="eastAsia" w:ascii="仿宋_GB2312" w:hAnsi="仿宋_GB2312" w:eastAsia="仿宋_GB2312"/>
          <w:sz w:val="30"/>
          <w:szCs w:val="21"/>
          <w:lang w:eastAsia="zh-CN"/>
        </w:rPr>
        <w:t>质保</w:t>
      </w:r>
      <w:r>
        <w:rPr>
          <w:rFonts w:hint="eastAsia" w:ascii="仿宋_GB2312" w:hAnsi="仿宋_GB2312" w:eastAsia="仿宋_GB2312"/>
          <w:sz w:val="30"/>
          <w:szCs w:val="21"/>
        </w:rPr>
        <w:t>期后的维护、维修和保养（包括在使用过程中出现的故障），所产生的</w:t>
      </w:r>
      <w:r>
        <w:rPr>
          <w:rFonts w:hint="eastAsia" w:ascii="仿宋_GB2312" w:hAnsi="仿宋_GB2312" w:eastAsia="仿宋_GB2312"/>
          <w:sz w:val="30"/>
          <w:szCs w:val="21"/>
          <w:lang w:eastAsia="zh-CN"/>
        </w:rPr>
        <w:t>单项单次</w:t>
      </w:r>
      <w:r>
        <w:rPr>
          <w:rFonts w:hint="eastAsia" w:ascii="仿宋_GB2312" w:hAnsi="仿宋_GB2312" w:eastAsia="仿宋_GB2312"/>
          <w:sz w:val="30"/>
          <w:szCs w:val="21"/>
          <w:lang w:val="en-US" w:eastAsia="zh-CN"/>
        </w:rPr>
        <w:t>800.00元（不含）以下</w:t>
      </w:r>
      <w:r>
        <w:rPr>
          <w:rFonts w:hint="eastAsia" w:ascii="仿宋_GB2312" w:hAnsi="仿宋_GB2312" w:eastAsia="仿宋_GB2312"/>
          <w:sz w:val="30"/>
          <w:szCs w:val="21"/>
        </w:rPr>
        <w:t>费用由乙方</w:t>
      </w:r>
      <w:r>
        <w:rPr>
          <w:rFonts w:hint="eastAsia" w:ascii="仿宋_GB2312" w:hAnsi="仿宋_GB2312" w:eastAsia="仿宋_GB2312"/>
          <w:sz w:val="30"/>
          <w:szCs w:val="21"/>
          <w:lang w:eastAsia="zh-CN"/>
        </w:rPr>
        <w:t>承担</w:t>
      </w:r>
      <w:r>
        <w:rPr>
          <w:rFonts w:hint="eastAsia" w:ascii="仿宋_GB2312" w:hAnsi="仿宋_GB2312" w:eastAsia="仿宋_GB2312"/>
          <w:sz w:val="30"/>
          <w:szCs w:val="21"/>
        </w:rPr>
        <w:t>。</w:t>
      </w:r>
    </w:p>
    <w:p>
      <w:pPr>
        <w:ind w:firstLine="570"/>
        <w:rPr>
          <w:rFonts w:hint="eastAsia" w:ascii="仿宋_GB2312" w:hAnsi="仿宋_GB2312" w:eastAsia="仿宋_GB2312"/>
          <w:sz w:val="30"/>
          <w:szCs w:val="21"/>
        </w:rPr>
      </w:pPr>
      <w:r>
        <w:rPr>
          <w:rFonts w:hint="eastAsia" w:ascii="仿宋_GB2312" w:hAnsi="仿宋_GB2312" w:eastAsia="仿宋_GB2312"/>
          <w:sz w:val="30"/>
          <w:szCs w:val="21"/>
          <w:lang w:val="en-US" w:eastAsia="zh-CN"/>
        </w:rPr>
        <w:t>11.16</w:t>
      </w:r>
      <w:r>
        <w:rPr>
          <w:rFonts w:hint="eastAsia" w:ascii="仿宋_GB2312" w:hAnsi="仿宋_GB2312" w:eastAsia="仿宋_GB2312"/>
          <w:sz w:val="30"/>
          <w:szCs w:val="21"/>
        </w:rPr>
        <w:t>乙方营业期间所产生的营业</w:t>
      </w:r>
      <w:r>
        <w:rPr>
          <w:rFonts w:hint="eastAsia" w:ascii="仿宋_GB2312" w:hAnsi="仿宋_GB2312" w:eastAsia="仿宋_GB2312"/>
          <w:sz w:val="30"/>
          <w:szCs w:val="21"/>
          <w:lang w:val="en-US" w:eastAsia="zh-CN"/>
        </w:rPr>
        <w:t>收入</w:t>
      </w:r>
      <w:r>
        <w:rPr>
          <w:rFonts w:hint="eastAsia" w:ascii="仿宋_GB2312" w:hAnsi="仿宋_GB2312" w:eastAsia="仿宋_GB2312"/>
          <w:sz w:val="30"/>
          <w:szCs w:val="21"/>
        </w:rPr>
        <w:t>自行管理，发生丢失或被盗自行负责。</w:t>
      </w:r>
    </w:p>
    <w:p>
      <w:pPr>
        <w:ind w:firstLine="570"/>
        <w:rPr>
          <w:rFonts w:hint="eastAsia" w:ascii="仿宋_GB2312" w:hAnsi="仿宋_GB2312" w:eastAsia="仿宋_GB2312"/>
          <w:sz w:val="30"/>
          <w:szCs w:val="21"/>
        </w:rPr>
      </w:pPr>
      <w:r>
        <w:rPr>
          <w:rFonts w:hint="eastAsia" w:ascii="仿宋_GB2312" w:hAnsi="仿宋_GB2312" w:eastAsia="仿宋_GB2312"/>
          <w:sz w:val="30"/>
          <w:szCs w:val="21"/>
          <w:lang w:val="en-US" w:eastAsia="zh-CN"/>
        </w:rPr>
        <w:t>11.17</w:t>
      </w:r>
      <w:r>
        <w:rPr>
          <w:rFonts w:hint="eastAsia" w:ascii="仿宋_GB2312" w:hAnsi="仿宋_GB2312" w:eastAsia="仿宋_GB2312"/>
          <w:sz w:val="30"/>
          <w:szCs w:val="21"/>
        </w:rPr>
        <w:t>乙方应当负责食材的采购并承担费用。</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11.18</w:t>
      </w:r>
      <w:r>
        <w:rPr>
          <w:rFonts w:hint="eastAsia" w:ascii="仿宋_GB2312" w:hAnsi="仿宋_GB2312" w:eastAsia="仿宋_GB2312"/>
          <w:sz w:val="30"/>
          <w:szCs w:val="21"/>
        </w:rPr>
        <w:t>甲方只提供食堂场所、就餐场地及部分厨房用具（甲方原配置的厨房用具），需新添置用具由</w:t>
      </w:r>
      <w:r>
        <w:rPr>
          <w:rFonts w:hint="eastAsia" w:ascii="仿宋_GB2312" w:hAnsi="仿宋_GB2312" w:eastAsia="仿宋_GB2312"/>
          <w:sz w:val="30"/>
          <w:szCs w:val="21"/>
          <w:lang w:eastAsia="zh-CN"/>
        </w:rPr>
        <w:t>乙方</w:t>
      </w:r>
      <w:r>
        <w:rPr>
          <w:rFonts w:hint="eastAsia" w:ascii="仿宋_GB2312" w:hAnsi="仿宋_GB2312" w:eastAsia="仿宋_GB2312"/>
          <w:sz w:val="30"/>
          <w:szCs w:val="21"/>
        </w:rPr>
        <w:t>承担费用，合同期满新添置的用具</w:t>
      </w:r>
      <w:r>
        <w:rPr>
          <w:rFonts w:hint="eastAsia" w:ascii="仿宋_GB2312" w:hAnsi="仿宋_GB2312" w:eastAsia="仿宋_GB2312"/>
          <w:sz w:val="30"/>
          <w:szCs w:val="21"/>
          <w:lang w:eastAsia="zh-CN"/>
        </w:rPr>
        <w:t>乙方</w:t>
      </w:r>
      <w:r>
        <w:rPr>
          <w:rFonts w:hint="eastAsia" w:ascii="仿宋_GB2312" w:hAnsi="仿宋_GB2312" w:eastAsia="仿宋_GB2312"/>
          <w:sz w:val="30"/>
          <w:szCs w:val="21"/>
        </w:rPr>
        <w:t>自行带走，甲方不支付任何</w:t>
      </w:r>
      <w:r>
        <w:rPr>
          <w:rFonts w:hint="eastAsia" w:ascii="仿宋_GB2312" w:hAnsi="仿宋_GB2312" w:eastAsia="仿宋_GB2312"/>
          <w:sz w:val="30"/>
          <w:szCs w:val="21"/>
          <w:lang w:val="en-US" w:eastAsia="zh-CN"/>
        </w:rPr>
        <w:t>额外</w:t>
      </w:r>
      <w:r>
        <w:rPr>
          <w:rFonts w:hint="eastAsia" w:ascii="仿宋_GB2312" w:hAnsi="仿宋_GB2312" w:eastAsia="仿宋_GB2312"/>
          <w:sz w:val="30"/>
          <w:szCs w:val="21"/>
        </w:rPr>
        <w:t>费用。</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11.19</w:t>
      </w:r>
      <w:r>
        <w:rPr>
          <w:rFonts w:hint="eastAsia" w:ascii="仿宋_GB2312" w:hAnsi="仿宋_GB2312" w:eastAsia="仿宋_GB2312"/>
          <w:sz w:val="30"/>
          <w:szCs w:val="21"/>
        </w:rPr>
        <w:t>乙方需指定一名专门的工作人员，负责做好各项台账的记录、存档、文件的收发等工作，以便相关职能部门进行检查。</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11.20</w:t>
      </w:r>
      <w:r>
        <w:rPr>
          <w:rFonts w:hint="eastAsia" w:ascii="仿宋_GB2312" w:hAnsi="仿宋_GB2312" w:eastAsia="仿宋_GB2312"/>
          <w:sz w:val="30"/>
          <w:szCs w:val="21"/>
        </w:rPr>
        <w:t>乙方须指定一名专职的安全员，经上报甲方同意后，成为正式的安全员，</w:t>
      </w:r>
      <w:r>
        <w:rPr>
          <w:rFonts w:hint="eastAsia" w:ascii="仿宋_GB2312" w:hAnsi="仿宋_GB2312" w:eastAsia="仿宋_GB2312"/>
          <w:sz w:val="30"/>
          <w:szCs w:val="21"/>
          <w:lang w:eastAsia="zh-CN"/>
        </w:rPr>
        <w:t>负责乙方的空防、治安、消防及疫情防控工作，建立相关台账。</w:t>
      </w:r>
      <w:r>
        <w:rPr>
          <w:rFonts w:hint="eastAsia" w:ascii="仿宋_GB2312" w:hAnsi="仿宋_GB2312" w:eastAsia="仿宋_GB2312"/>
          <w:sz w:val="30"/>
          <w:szCs w:val="21"/>
        </w:rPr>
        <w:t>参加甲方</w:t>
      </w:r>
      <w:r>
        <w:rPr>
          <w:rFonts w:hint="eastAsia" w:ascii="仿宋_GB2312" w:hAnsi="仿宋_GB2312" w:eastAsia="仿宋_GB2312"/>
          <w:sz w:val="30"/>
          <w:szCs w:val="21"/>
          <w:lang w:eastAsia="zh-CN"/>
        </w:rPr>
        <w:t>组织的相关培训</w:t>
      </w:r>
      <w:r>
        <w:rPr>
          <w:rFonts w:hint="eastAsia" w:ascii="仿宋_GB2312" w:hAnsi="仿宋_GB2312" w:eastAsia="仿宋_GB2312"/>
          <w:sz w:val="30"/>
          <w:szCs w:val="21"/>
        </w:rPr>
        <w:t>，不得无故缺席。</w:t>
      </w:r>
      <w:r>
        <w:rPr>
          <w:rFonts w:hint="eastAsia" w:ascii="仿宋_GB2312" w:hAnsi="仿宋_GB2312" w:eastAsia="仿宋_GB2312"/>
          <w:sz w:val="30"/>
          <w:szCs w:val="21"/>
          <w:lang w:val="en-US" w:eastAsia="zh-CN"/>
        </w:rPr>
        <w:t>同时，该乙方员工应每月定时检查各食堂厨房烟道油污积累情况，做好检查记录，并视根据检查结果向甲方提出烟道清洗申请。</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11.21消防站为半军事化管理单位，因工作需要，可临时使用其中一个食堂（原则上使用4#消防站食堂），在使用期间，该食堂原则上仅对消防人员开放，主副食品及蔬菜由甲方自行采购，乙方派遣人员须在岗在位，且不收取就餐人员任何费用。在使用期间，甲方负责食堂餐厅清洁，乙方提供清洁用品，乙方仍负责食堂其它区域清洁。如因乙方原因，不安排厨房工作人员在岗，则甲方按照260.00元/天的标准扣减外包服务费。甲方应提前5个工作日告知乙方临时使用食堂事宜。</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sz w:val="30"/>
          <w:szCs w:val="21"/>
          <w:lang w:val="en-US" w:eastAsia="zh-CN"/>
        </w:rPr>
        <w:t>11.22乙方厨师每季度应在三个消防站食堂轮换。</w:t>
      </w:r>
    </w:p>
    <w:p>
      <w:pPr>
        <w:ind w:firstLine="570"/>
        <w:rPr>
          <w:rFonts w:hint="eastAsia" w:ascii="仿宋_GB2312" w:hAnsi="仿宋_GB2312" w:eastAsia="仿宋_GB2312"/>
          <w:sz w:val="30"/>
          <w:szCs w:val="21"/>
          <w:lang w:val="en-US" w:eastAsia="zh-CN"/>
        </w:rPr>
      </w:pPr>
      <w:r>
        <w:rPr>
          <w:rFonts w:hint="eastAsia" w:ascii="仿宋_GB2312" w:hAnsi="仿宋_GB2312" w:eastAsia="仿宋_GB2312"/>
          <w:b/>
          <w:bCs/>
          <w:sz w:val="30"/>
          <w:szCs w:val="21"/>
          <w:lang w:val="en-US" w:eastAsia="zh-CN"/>
        </w:rPr>
        <w:t>十二、合同终止</w:t>
      </w:r>
    </w:p>
    <w:p>
      <w:pPr>
        <w:ind w:firstLine="570"/>
        <w:rPr>
          <w:rFonts w:hint="default" w:ascii="仿宋_GB2312" w:hAnsi="仿宋_GB2312" w:eastAsia="仿宋_GB2312"/>
          <w:b w:val="0"/>
          <w:bCs w:val="0"/>
          <w:color w:val="auto"/>
          <w:sz w:val="30"/>
          <w:szCs w:val="21"/>
          <w:lang w:val="en-US" w:eastAsia="zh-CN"/>
        </w:rPr>
      </w:pPr>
      <w:r>
        <w:rPr>
          <w:rFonts w:hint="eastAsia" w:ascii="仿宋_GB2312" w:hAnsi="仿宋_GB2312" w:eastAsia="仿宋_GB2312"/>
          <w:sz w:val="30"/>
          <w:szCs w:val="21"/>
          <w:lang w:val="en-US" w:eastAsia="zh-CN"/>
        </w:rPr>
        <w:t>12.1合同到期前，乙方未能通过甲方绩效考核，甲方决定不予</w:t>
      </w:r>
      <w:r>
        <w:rPr>
          <w:rFonts w:hint="eastAsia" w:ascii="仿宋_GB2312" w:hAnsi="仿宋_GB2312" w:eastAsia="仿宋_GB2312"/>
          <w:b w:val="0"/>
          <w:bCs w:val="0"/>
          <w:color w:val="auto"/>
          <w:sz w:val="30"/>
          <w:szCs w:val="21"/>
          <w:lang w:val="en-US" w:eastAsia="zh-CN"/>
        </w:rPr>
        <w:t>以续签合同。则乙方须按照本合同要求，持续经营至合同到期日。若直至合同到期日，甲方未能找到新的经营者，则乙方须按照本合同要求，持续经营至新的经营者入场。自合同到期之日起，其时长不得超过90天。期间产生的服务费用，按日结算。计算标准为：本合同金额</w:t>
      </w:r>
      <w:r>
        <w:rPr>
          <w:rFonts w:hint="default" w:ascii="Arial" w:hAnsi="Arial" w:eastAsia="仿宋_GB2312" w:cs="Arial"/>
          <w:b w:val="0"/>
          <w:bCs w:val="0"/>
          <w:color w:val="auto"/>
          <w:sz w:val="30"/>
          <w:szCs w:val="21"/>
          <w:lang w:val="en-US" w:eastAsia="zh-CN"/>
        </w:rPr>
        <w:t>÷</w:t>
      </w:r>
      <w:r>
        <w:rPr>
          <w:rFonts w:hint="eastAsia" w:ascii="仿宋_GB2312" w:hAnsi="仿宋_GB2312" w:eastAsia="仿宋_GB2312"/>
          <w:b w:val="0"/>
          <w:bCs w:val="0"/>
          <w:color w:val="auto"/>
          <w:sz w:val="30"/>
          <w:szCs w:val="21"/>
          <w:lang w:val="en-US" w:eastAsia="zh-CN"/>
        </w:rPr>
        <w:t>365</w:t>
      </w:r>
      <w:r>
        <w:rPr>
          <w:rFonts w:hint="default" w:ascii="Arial" w:hAnsi="Arial" w:eastAsia="仿宋_GB2312" w:cs="Arial"/>
          <w:b w:val="0"/>
          <w:bCs w:val="0"/>
          <w:color w:val="auto"/>
          <w:sz w:val="30"/>
          <w:szCs w:val="21"/>
          <w:lang w:val="en-US" w:eastAsia="zh-CN"/>
        </w:rPr>
        <w:t>×</w:t>
      </w:r>
      <w:r>
        <w:rPr>
          <w:rFonts w:hint="eastAsia" w:ascii="Arial" w:hAnsi="Arial" w:eastAsia="仿宋_GB2312" w:cs="Arial"/>
          <w:b w:val="0"/>
          <w:bCs w:val="0"/>
          <w:color w:val="auto"/>
          <w:sz w:val="30"/>
          <w:szCs w:val="21"/>
          <w:lang w:val="en-US" w:eastAsia="zh-CN"/>
        </w:rPr>
        <w:t>合同期外</w:t>
      </w:r>
      <w:r>
        <w:rPr>
          <w:rFonts w:hint="eastAsia" w:ascii="仿宋_GB2312" w:hAnsi="仿宋_GB2312" w:eastAsia="仿宋_GB2312"/>
          <w:b w:val="0"/>
          <w:bCs w:val="0"/>
          <w:color w:val="auto"/>
          <w:sz w:val="30"/>
          <w:szCs w:val="21"/>
          <w:lang w:val="en-US" w:eastAsia="zh-CN"/>
        </w:rPr>
        <w:t>实际经营天数。</w:t>
      </w:r>
    </w:p>
    <w:p>
      <w:pPr>
        <w:ind w:firstLine="570"/>
        <w:rPr>
          <w:rFonts w:hint="default" w:ascii="仿宋_GB2312" w:hAnsi="仿宋_GB2312" w:eastAsia="仿宋_GB2312"/>
          <w:sz w:val="30"/>
          <w:szCs w:val="21"/>
          <w:lang w:val="en-US" w:eastAsia="zh-CN"/>
        </w:rPr>
      </w:pPr>
      <w:r>
        <w:rPr>
          <w:rFonts w:hint="eastAsia" w:ascii="仿宋_GB2312" w:hAnsi="仿宋_GB2312" w:eastAsia="仿宋_GB2312"/>
          <w:b w:val="0"/>
          <w:bCs w:val="0"/>
          <w:color w:val="auto"/>
          <w:sz w:val="30"/>
          <w:szCs w:val="21"/>
          <w:lang w:val="en-US" w:eastAsia="zh-CN"/>
        </w:rPr>
        <w:t>12.2</w:t>
      </w:r>
      <w:r>
        <w:rPr>
          <w:rFonts w:hint="eastAsia" w:ascii="仿宋_GB2312" w:hAnsi="仿宋_GB2312" w:eastAsia="仿宋_GB2312"/>
          <w:sz w:val="30"/>
          <w:szCs w:val="21"/>
          <w:lang w:val="en-US" w:eastAsia="zh-CN"/>
        </w:rPr>
        <w:t>合同期内，因乙方自身原因，乙方提出终止合同。经与甲方协商，并得到甲方同意。则乙方须按本合同要求，持续经营至甲方寻找到新的经营单位。</w:t>
      </w:r>
      <w:r>
        <w:rPr>
          <w:rFonts w:hint="eastAsia" w:ascii="仿宋_GB2312" w:hAnsi="仿宋_GB2312" w:eastAsia="仿宋_GB2312"/>
          <w:b w:val="0"/>
          <w:bCs w:val="0"/>
          <w:color w:val="auto"/>
          <w:sz w:val="30"/>
          <w:szCs w:val="21"/>
          <w:lang w:val="en-US" w:eastAsia="zh-CN"/>
        </w:rPr>
        <w:t>自甲方代表在乙方提出的终止合同申请签字之日起，其时长不得超过90天。期间产生的服务费用，按日结算。计算标准为：本合同金额</w:t>
      </w:r>
      <w:r>
        <w:rPr>
          <w:rFonts w:hint="default" w:ascii="Arial" w:hAnsi="Arial" w:eastAsia="仿宋_GB2312" w:cs="Arial"/>
          <w:b w:val="0"/>
          <w:bCs w:val="0"/>
          <w:color w:val="auto"/>
          <w:sz w:val="30"/>
          <w:szCs w:val="21"/>
          <w:lang w:val="en-US" w:eastAsia="zh-CN"/>
        </w:rPr>
        <w:t>÷</w:t>
      </w:r>
      <w:r>
        <w:rPr>
          <w:rFonts w:hint="eastAsia" w:ascii="仿宋_GB2312" w:hAnsi="仿宋_GB2312" w:eastAsia="仿宋_GB2312"/>
          <w:b w:val="0"/>
          <w:bCs w:val="0"/>
          <w:color w:val="auto"/>
          <w:sz w:val="30"/>
          <w:szCs w:val="21"/>
          <w:lang w:val="en-US" w:eastAsia="zh-CN"/>
        </w:rPr>
        <w:t>365</w:t>
      </w:r>
      <w:r>
        <w:rPr>
          <w:rFonts w:hint="default" w:ascii="Arial" w:hAnsi="Arial" w:eastAsia="仿宋_GB2312" w:cs="Arial"/>
          <w:b w:val="0"/>
          <w:bCs w:val="0"/>
          <w:color w:val="auto"/>
          <w:sz w:val="30"/>
          <w:szCs w:val="21"/>
          <w:lang w:val="en-US" w:eastAsia="zh-CN"/>
        </w:rPr>
        <w:t>×</w:t>
      </w:r>
      <w:r>
        <w:rPr>
          <w:rFonts w:hint="eastAsia" w:ascii="仿宋_GB2312" w:hAnsi="仿宋_GB2312" w:eastAsia="仿宋_GB2312"/>
          <w:b w:val="0"/>
          <w:bCs w:val="0"/>
          <w:color w:val="auto"/>
          <w:sz w:val="30"/>
          <w:szCs w:val="21"/>
          <w:lang w:val="en-US" w:eastAsia="zh-CN"/>
        </w:rPr>
        <w:t>实际经营天数。且不退还履约保证金。</w:t>
      </w:r>
    </w:p>
    <w:p>
      <w:pPr>
        <w:ind w:firstLine="570"/>
        <w:rPr>
          <w:rFonts w:ascii="仿宋_GB2312" w:hAnsi="仿宋_GB2312" w:eastAsia="仿宋_GB2312"/>
          <w:b/>
          <w:sz w:val="30"/>
          <w:szCs w:val="21"/>
        </w:rPr>
      </w:pPr>
      <w:r>
        <w:rPr>
          <w:rFonts w:hint="eastAsia" w:ascii="仿宋_GB2312" w:hAnsi="仿宋_GB2312" w:eastAsia="仿宋_GB2312"/>
          <w:b/>
          <w:sz w:val="30"/>
          <w:szCs w:val="21"/>
        </w:rPr>
        <w:t>十</w:t>
      </w:r>
      <w:r>
        <w:rPr>
          <w:rFonts w:hint="eastAsia" w:ascii="仿宋_GB2312" w:hAnsi="仿宋_GB2312" w:eastAsia="仿宋_GB2312"/>
          <w:b/>
          <w:sz w:val="30"/>
          <w:szCs w:val="21"/>
          <w:lang w:eastAsia="zh-CN"/>
        </w:rPr>
        <w:t>三</w:t>
      </w:r>
      <w:r>
        <w:rPr>
          <w:rFonts w:hint="eastAsia" w:ascii="仿宋_GB2312" w:hAnsi="仿宋_GB2312" w:eastAsia="仿宋_GB2312"/>
          <w:b/>
          <w:sz w:val="30"/>
          <w:szCs w:val="21"/>
        </w:rPr>
        <w:t>、违约责任</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13.1</w:t>
      </w:r>
      <w:r>
        <w:rPr>
          <w:rFonts w:hint="eastAsia" w:ascii="仿宋_GB2312" w:hAnsi="仿宋_GB2312" w:eastAsia="仿宋_GB2312"/>
          <w:sz w:val="30"/>
          <w:szCs w:val="21"/>
        </w:rPr>
        <w:t>如因乙方人员怠于履行相关职责而造成甲方的直接经济损失，乙方承担赔偿甲方的相应损失。由于乙方厨房工作人员违反厨具操作使用规程，造成厨具损坏的由乙方承担维修责任。</w:t>
      </w:r>
    </w:p>
    <w:p>
      <w:pPr>
        <w:ind w:firstLine="570"/>
        <w:rPr>
          <w:rFonts w:ascii="仿宋_GB2312" w:hAnsi="仿宋_GB2312" w:eastAsia="仿宋_GB2312"/>
          <w:sz w:val="30"/>
          <w:szCs w:val="21"/>
        </w:rPr>
      </w:pPr>
      <w:r>
        <w:rPr>
          <w:rFonts w:hint="eastAsia" w:ascii="仿宋_GB2312" w:hAnsi="仿宋_GB2312" w:eastAsia="仿宋_GB2312"/>
          <w:sz w:val="30"/>
          <w:szCs w:val="21"/>
          <w:lang w:val="en-US" w:eastAsia="zh-CN"/>
        </w:rPr>
        <w:t>13.3</w:t>
      </w:r>
      <w:r>
        <w:rPr>
          <w:rFonts w:hint="eastAsia" w:ascii="仿宋_GB2312" w:hAnsi="仿宋_GB2312" w:eastAsia="仿宋_GB2312"/>
          <w:sz w:val="30"/>
          <w:szCs w:val="21"/>
        </w:rPr>
        <w:t>本合同甲乙双方均要严格执行，除不可抗拒之因素外，任何一方不得以任何借口违约，若一方违约，致使合同目的不能实现，违约方要以3倍</w:t>
      </w:r>
      <w:r>
        <w:rPr>
          <w:rFonts w:hint="eastAsia" w:ascii="仿宋_GB2312" w:hAnsi="仿宋_GB2312" w:eastAsia="仿宋_GB2312"/>
          <w:sz w:val="30"/>
          <w:szCs w:val="21"/>
          <w:lang w:val="en-US" w:eastAsia="zh-CN"/>
        </w:rPr>
        <w:t>履约</w:t>
      </w:r>
      <w:r>
        <w:rPr>
          <w:rFonts w:hint="eastAsia" w:ascii="仿宋_GB2312" w:hAnsi="仿宋_GB2312" w:eastAsia="仿宋_GB2312"/>
          <w:sz w:val="30"/>
          <w:szCs w:val="21"/>
        </w:rPr>
        <w:t>保证金向对方作赔。</w:t>
      </w:r>
    </w:p>
    <w:p>
      <w:pPr>
        <w:numPr>
          <w:ilvl w:val="0"/>
          <w:numId w:val="5"/>
        </w:numPr>
        <w:ind w:firstLine="602" w:firstLineChars="200"/>
        <w:rPr>
          <w:rFonts w:hint="eastAsia" w:ascii="仿宋_GB2312" w:hAnsi="仿宋_GB2312" w:eastAsia="仿宋_GB2312"/>
          <w:b/>
          <w:sz w:val="30"/>
          <w:szCs w:val="21"/>
        </w:rPr>
      </w:pPr>
      <w:r>
        <w:rPr>
          <w:rFonts w:hint="eastAsia" w:ascii="仿宋_GB2312" w:hAnsi="仿宋_GB2312" w:eastAsia="仿宋_GB2312"/>
          <w:b/>
          <w:sz w:val="30"/>
          <w:szCs w:val="21"/>
        </w:rPr>
        <w:t>其他</w:t>
      </w:r>
    </w:p>
    <w:p>
      <w:pPr>
        <w:numPr>
          <w:ilvl w:val="0"/>
          <w:numId w:val="0"/>
        </w:numPr>
        <w:ind w:firstLine="600" w:firstLineChars="200"/>
        <w:rPr>
          <w:rFonts w:hint="eastAsia" w:ascii="FangSong_GB2312" w:hAnsi="宋体" w:eastAsia="FangSong_GB2312"/>
          <w:sz w:val="30"/>
          <w:szCs w:val="30"/>
        </w:rPr>
      </w:pPr>
      <w:r>
        <w:rPr>
          <w:rFonts w:hint="eastAsia" w:ascii="FangSong_GB2312" w:hAnsi="宋体" w:eastAsia="FangSong_GB2312"/>
          <w:sz w:val="30"/>
          <w:szCs w:val="30"/>
          <w:lang w:val="en-US" w:eastAsia="zh-CN"/>
        </w:rPr>
        <w:t>14.</w:t>
      </w:r>
      <w:r>
        <w:rPr>
          <w:rFonts w:hint="eastAsia" w:ascii="FangSong_GB2312" w:hAnsi="宋体" w:eastAsia="FangSong_GB2312"/>
          <w:sz w:val="30"/>
          <w:szCs w:val="30"/>
        </w:rPr>
        <w:t>1本合同未尽事项，按照《中华人民共和国民法典》及有关规定，双方本着实事求是、平等互利的原则协商解决；</w:t>
      </w:r>
    </w:p>
    <w:p>
      <w:pPr>
        <w:numPr>
          <w:ilvl w:val="0"/>
          <w:numId w:val="0"/>
        </w:numPr>
        <w:ind w:firstLine="600" w:firstLineChars="200"/>
        <w:rPr>
          <w:rFonts w:hint="eastAsia" w:ascii="FangSong_GB2312" w:hAnsi="宋体" w:eastAsia="FangSong_GB2312"/>
          <w:sz w:val="30"/>
          <w:szCs w:val="30"/>
        </w:rPr>
      </w:pPr>
      <w:r>
        <w:rPr>
          <w:rFonts w:hint="eastAsia" w:ascii="FangSong_GB2312" w:hAnsi="宋体" w:eastAsia="FangSong_GB2312"/>
          <w:sz w:val="30"/>
          <w:szCs w:val="30"/>
          <w:lang w:val="en-US" w:eastAsia="zh-CN"/>
        </w:rPr>
        <w:t>14.2</w:t>
      </w:r>
      <w:r>
        <w:rPr>
          <w:rFonts w:hint="eastAsia" w:ascii="FangSong_GB2312" w:hAnsi="宋体" w:eastAsia="FangSong_GB2312"/>
          <w:sz w:val="30"/>
          <w:szCs w:val="30"/>
        </w:rPr>
        <w:t>对合同执行过程中的问题，甲乙双方协商解决，协商不成提请甲方所在地有管辖权的人民法院诉讼解决；</w:t>
      </w:r>
    </w:p>
    <w:p>
      <w:pPr>
        <w:numPr>
          <w:ilvl w:val="0"/>
          <w:numId w:val="0"/>
        </w:numPr>
        <w:ind w:firstLine="600" w:firstLineChars="200"/>
        <w:rPr>
          <w:rFonts w:hint="eastAsia" w:ascii="FangSong_GB2312" w:hAnsi="宋体" w:eastAsia="FangSong_GB2312"/>
          <w:sz w:val="30"/>
          <w:szCs w:val="30"/>
        </w:rPr>
      </w:pPr>
      <w:r>
        <w:rPr>
          <w:rFonts w:hint="eastAsia" w:ascii="FangSong_GB2312" w:hAnsi="宋体" w:eastAsia="FangSong_GB2312"/>
          <w:sz w:val="30"/>
          <w:szCs w:val="30"/>
          <w:lang w:val="en-US" w:eastAsia="zh-CN"/>
        </w:rPr>
        <w:t>14.3</w:t>
      </w:r>
      <w:r>
        <w:rPr>
          <w:rFonts w:hint="eastAsia" w:ascii="FangSong_GB2312" w:hAnsi="宋体" w:eastAsia="FangSong_GB2312"/>
          <w:sz w:val="30"/>
          <w:szCs w:val="30"/>
        </w:rPr>
        <w:t>本合同经双方代表签字并加盖公章或合同专用章后生效；</w:t>
      </w:r>
    </w:p>
    <w:p>
      <w:pPr>
        <w:numPr>
          <w:ilvl w:val="0"/>
          <w:numId w:val="0"/>
        </w:numPr>
        <w:ind w:firstLine="600" w:firstLineChars="200"/>
        <w:rPr>
          <w:rFonts w:ascii="FangSong_GB2312" w:hAnsi="宋体" w:eastAsia="FangSong_GB2312"/>
          <w:sz w:val="30"/>
          <w:szCs w:val="30"/>
        </w:rPr>
      </w:pPr>
      <w:r>
        <w:rPr>
          <w:rFonts w:hint="eastAsia" w:ascii="FangSong_GB2312" w:hAnsi="宋体" w:eastAsia="FangSong_GB2312"/>
          <w:sz w:val="30"/>
          <w:szCs w:val="30"/>
          <w:lang w:val="en-US" w:eastAsia="zh-CN"/>
        </w:rPr>
        <w:t>14.4</w:t>
      </w:r>
      <w:r>
        <w:rPr>
          <w:rFonts w:hint="eastAsia" w:ascii="FangSong_GB2312" w:hAnsi="宋体" w:eastAsia="FangSong_GB2312"/>
          <w:sz w:val="30"/>
          <w:szCs w:val="30"/>
        </w:rPr>
        <w:t>本合同一式六份，二正四副，甲乙双方各持正本一份，甲方持副本三份，乙方持副本一份，均具有同等法律效力。</w:t>
      </w:r>
    </w:p>
    <w:p>
      <w:pPr>
        <w:spacing w:after="156" w:afterLines="50" w:line="600" w:lineRule="exact"/>
        <w:ind w:left="8228" w:hanging="8220" w:hangingChars="2740"/>
        <w:rPr>
          <w:rFonts w:hint="eastAsia" w:ascii="仿宋_GB2312" w:hAnsi="仿宋_GB2312" w:eastAsia="仿宋_GB2312"/>
          <w:sz w:val="30"/>
          <w:szCs w:val="21"/>
          <w:lang w:val="en-US" w:eastAsia="zh-CN"/>
        </w:rPr>
      </w:pPr>
      <w:r>
        <w:rPr>
          <w:rFonts w:hint="eastAsia" w:ascii="仿宋_GB2312" w:hAnsi="仿宋_GB2312" w:eastAsia="仿宋_GB2312"/>
          <w:sz w:val="30"/>
          <w:szCs w:val="21"/>
        </w:rPr>
        <w:t xml:space="preserve"> </w:t>
      </w:r>
      <w:r>
        <w:rPr>
          <w:rFonts w:hint="eastAsia" w:ascii="仿宋_GB2312" w:hAnsi="仿宋_GB2312" w:eastAsia="仿宋_GB2312"/>
          <w:sz w:val="30"/>
          <w:szCs w:val="21"/>
          <w:lang w:val="en-US" w:eastAsia="zh-CN"/>
        </w:rPr>
        <w:t xml:space="preserve">   </w:t>
      </w:r>
    </w:p>
    <w:p>
      <w:pPr>
        <w:spacing w:after="156" w:afterLines="50" w:line="600" w:lineRule="exact"/>
        <w:ind w:left="8263" w:leftChars="295" w:hanging="7644" w:hangingChars="2538"/>
        <w:rPr>
          <w:rFonts w:ascii="FangSong_GB2312" w:hAnsi="宋体" w:eastAsia="FangSong_GB2312"/>
          <w:b/>
          <w:sz w:val="30"/>
          <w:szCs w:val="30"/>
        </w:rPr>
      </w:pPr>
      <w:r>
        <w:rPr>
          <w:rFonts w:hint="eastAsia" w:ascii="FangSong_GB2312" w:hAnsi="宋体" w:eastAsia="FangSong_GB2312"/>
          <w:b/>
          <w:sz w:val="30"/>
          <w:szCs w:val="30"/>
        </w:rPr>
        <w:t>甲 方（盖章）</w:t>
      </w:r>
      <w:r>
        <w:rPr>
          <w:rFonts w:hint="eastAsia" w:ascii="FangSong_GB2312" w:hAnsi="宋体" w:eastAsia="FangSong_GB2312"/>
          <w:sz w:val="30"/>
          <w:szCs w:val="30"/>
        </w:rPr>
        <w:t>：</w:t>
      </w:r>
      <w:r>
        <w:rPr>
          <w:rFonts w:hint="eastAsia" w:ascii="FangSong_GB2312" w:hAnsi="宋体" w:eastAsia="FangSong_GB2312"/>
          <w:b/>
          <w:sz w:val="30"/>
          <w:szCs w:val="30"/>
        </w:rPr>
        <w:t xml:space="preserve">重庆江北国际机场有限公司  </w:t>
      </w:r>
    </w:p>
    <w:p>
      <w:pPr>
        <w:spacing w:after="156" w:afterLines="50" w:line="600" w:lineRule="exact"/>
        <w:ind w:left="8210" w:leftChars="284" w:hanging="7614" w:hangingChars="2538"/>
        <w:rPr>
          <w:rFonts w:hint="eastAsia" w:ascii="FangSong_GB2312" w:hAnsi="宋体" w:eastAsia="FangSong_GB2312"/>
          <w:b/>
          <w:sz w:val="30"/>
          <w:szCs w:val="30"/>
        </w:rPr>
      </w:pPr>
      <w:r>
        <w:rPr>
          <w:rFonts w:hint="eastAsia" w:ascii="FangSong_GB2312" w:hAnsi="宋体" w:eastAsia="FangSong_GB2312"/>
          <w:sz w:val="30"/>
          <w:szCs w:val="30"/>
        </w:rPr>
        <w:t>签约代表：</w:t>
      </w:r>
    </w:p>
    <w:p>
      <w:pPr>
        <w:spacing w:after="156" w:afterLines="50" w:line="600" w:lineRule="exact"/>
        <w:ind w:left="8263" w:leftChars="295" w:hanging="7644" w:hangingChars="2538"/>
        <w:rPr>
          <w:rFonts w:hint="eastAsia" w:ascii="FangSong_GB2312" w:hAnsi="宋体" w:eastAsia="FangSong_GB2312"/>
          <w:b/>
          <w:sz w:val="30"/>
          <w:szCs w:val="30"/>
        </w:rPr>
      </w:pPr>
    </w:p>
    <w:p>
      <w:pPr>
        <w:spacing w:after="156" w:afterLines="50" w:line="600" w:lineRule="exact"/>
        <w:ind w:left="8263" w:leftChars="295" w:hanging="7644" w:hangingChars="2538"/>
        <w:rPr>
          <w:rFonts w:ascii="FangSong_GB2312" w:hAnsi="宋体" w:eastAsia="FangSong_GB2312"/>
          <w:sz w:val="30"/>
          <w:szCs w:val="30"/>
        </w:rPr>
      </w:pPr>
      <w:r>
        <w:rPr>
          <w:rFonts w:hint="eastAsia" w:ascii="FangSong_GB2312" w:hAnsi="宋体" w:eastAsia="FangSong_GB2312"/>
          <w:b/>
          <w:sz w:val="30"/>
          <w:szCs w:val="30"/>
        </w:rPr>
        <w:t>乙方（盖章）：</w:t>
      </w:r>
    </w:p>
    <w:p>
      <w:pPr>
        <w:spacing w:line="600" w:lineRule="exact"/>
        <w:ind w:right="-694" w:firstLine="600" w:firstLineChars="200"/>
        <w:rPr>
          <w:rFonts w:hint="eastAsia" w:ascii="FangSong_GB2312" w:hAnsi="宋体" w:eastAsia="FangSong_GB2312"/>
          <w:sz w:val="30"/>
          <w:szCs w:val="30"/>
        </w:rPr>
      </w:pPr>
      <w:r>
        <w:rPr>
          <w:rFonts w:hint="eastAsia" w:ascii="FangSong_GB2312" w:eastAsia="FangSong_GB2312"/>
          <w:sz w:val="30"/>
          <w:szCs w:val="30"/>
        </w:rPr>
        <w:t>法定代表人或其委托代理人：</w:t>
      </w:r>
    </w:p>
    <w:p>
      <w:pPr>
        <w:spacing w:line="600" w:lineRule="exact"/>
        <w:ind w:right="-694" w:firstLine="2700" w:firstLineChars="900"/>
        <w:rPr>
          <w:rFonts w:hint="eastAsia" w:ascii="FangSong_GB2312" w:hAnsi="宋体" w:eastAsia="FangSong_GB2312"/>
          <w:sz w:val="30"/>
          <w:szCs w:val="30"/>
        </w:rPr>
      </w:pPr>
    </w:p>
    <w:p>
      <w:pPr>
        <w:spacing w:line="600" w:lineRule="exact"/>
        <w:ind w:right="-694" w:firstLine="2700" w:firstLineChars="900"/>
        <w:rPr>
          <w:rFonts w:hint="eastAsia" w:ascii="FangSong_GB2312" w:hAnsi="宋体" w:eastAsia="FangSong_GB2312"/>
          <w:sz w:val="30"/>
          <w:szCs w:val="30"/>
        </w:rPr>
      </w:pPr>
      <w:r>
        <w:rPr>
          <w:rFonts w:hint="eastAsia" w:ascii="FangSong_GB2312" w:hAnsi="宋体" w:eastAsia="FangSong_GB2312"/>
          <w:sz w:val="30"/>
          <w:szCs w:val="30"/>
        </w:rPr>
        <w:t>合同签订时间：    年    月    日</w:t>
      </w:r>
    </w:p>
    <w:p>
      <w:pPr>
        <w:spacing w:line="600" w:lineRule="exact"/>
        <w:ind w:right="-694"/>
        <w:jc w:val="center"/>
        <w:rPr>
          <w:rFonts w:hint="eastAsia" w:ascii="黑体" w:hAnsi="黑体" w:eastAsia="黑体"/>
          <w:b/>
          <w:bCs/>
          <w:sz w:val="32"/>
          <w:lang w:val="en-US" w:eastAsia="zh-CN"/>
        </w:rPr>
      </w:pPr>
      <w:r>
        <w:rPr>
          <w:rFonts w:hint="eastAsia" w:ascii="FangSong_GB2312" w:hAnsi="宋体" w:eastAsia="FangSong_GB2312"/>
          <w:sz w:val="30"/>
          <w:szCs w:val="30"/>
        </w:rPr>
        <w:t>合同签订地点：重庆江北国际机场内</w:t>
      </w:r>
    </w:p>
    <w:p>
      <w:pPr>
        <w:tabs>
          <w:tab w:val="left" w:pos="6958"/>
        </w:tabs>
        <w:jc w:val="both"/>
        <w:rPr>
          <w:rFonts w:hint="eastAsia" w:ascii="黑体" w:hAnsi="黑体" w:eastAsia="黑体"/>
          <w:b/>
          <w:bCs/>
          <w:sz w:val="32"/>
          <w:lang w:val="en-US"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eastAsia="zh-CN"/>
        </w:rPr>
      </w:pP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both"/>
        <w:textAlignment w:val="auto"/>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eastAsia="zh-CN"/>
        </w:rPr>
        <w:t>附件</w:t>
      </w:r>
      <w:r>
        <w:rPr>
          <w:rFonts w:hint="eastAsia" w:ascii="新宋体" w:hAnsi="新宋体" w:eastAsia="新宋体" w:cs="新宋体"/>
          <w:b/>
          <w:bCs/>
          <w:color w:val="auto"/>
          <w:sz w:val="28"/>
          <w:szCs w:val="28"/>
          <w:lang w:val="en-US" w:eastAsia="zh-CN"/>
        </w:rPr>
        <w:t xml:space="preserve">1  </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新宋体" w:hAnsi="新宋体" w:eastAsia="新宋体" w:cs="新宋体"/>
          <w:b/>
          <w:bCs/>
          <w:color w:val="auto"/>
          <w:sz w:val="32"/>
        </w:rPr>
      </w:pPr>
      <w:r>
        <w:rPr>
          <w:rFonts w:hint="eastAsia" w:ascii="新宋体" w:hAnsi="新宋体" w:eastAsia="新宋体" w:cs="新宋体"/>
          <w:b/>
          <w:bCs/>
          <w:color w:val="auto"/>
          <w:sz w:val="32"/>
          <w:lang w:eastAsia="zh-CN"/>
        </w:rPr>
        <w:t>机坪内消防食堂</w:t>
      </w:r>
      <w:r>
        <w:rPr>
          <w:rFonts w:hint="eastAsia" w:ascii="新宋体" w:hAnsi="新宋体" w:eastAsia="新宋体" w:cs="新宋体"/>
          <w:b/>
          <w:bCs/>
          <w:color w:val="auto"/>
          <w:sz w:val="32"/>
        </w:rPr>
        <w:t>餐饮服务考核指标扣分标准</w:t>
      </w:r>
    </w:p>
    <w:tbl>
      <w:tblPr>
        <w:tblStyle w:val="42"/>
        <w:tblpPr w:leftFromText="180" w:rightFromText="180" w:vertAnchor="text" w:horzAnchor="page" w:tblpX="1467" w:tblpY="615"/>
        <w:tblOverlap w:val="never"/>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55"/>
        <w:gridCol w:w="5712"/>
        <w:gridCol w:w="79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考核</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内容</w:t>
            </w: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序号</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序号</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扣分</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标准</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26" w:type="dxa"/>
            <w:vMerge w:val="restart"/>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一票</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否定</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指标</w:t>
            </w: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就餐人员出现食品中毒</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一票否定指标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2</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乙方工作</w:t>
            </w:r>
            <w:r>
              <w:rPr>
                <w:rFonts w:hint="eastAsia" w:ascii="仿宋_GB2312" w:hAnsi="仿宋_GB2312" w:eastAsia="仿宋_GB2312"/>
                <w:color w:val="auto"/>
                <w:sz w:val="24"/>
              </w:rPr>
              <w:t>人员违反机场空防、消防安全管理规定，受到</w:t>
            </w:r>
            <w:r>
              <w:rPr>
                <w:rFonts w:hint="eastAsia" w:ascii="仿宋_GB2312" w:hAnsi="仿宋_GB2312" w:eastAsia="仿宋_GB2312"/>
                <w:color w:val="auto"/>
                <w:sz w:val="24"/>
                <w:lang w:eastAsia="zh-CN"/>
              </w:rPr>
              <w:t>机场</w:t>
            </w:r>
            <w:r>
              <w:rPr>
                <w:rFonts w:hint="eastAsia" w:ascii="仿宋_GB2312" w:hAnsi="仿宋_GB2312" w:eastAsia="仿宋_GB2312"/>
                <w:color w:val="auto"/>
                <w:sz w:val="24"/>
              </w:rPr>
              <w:t>公安</w:t>
            </w:r>
            <w:r>
              <w:rPr>
                <w:rFonts w:hint="eastAsia" w:ascii="仿宋_GB2312" w:hAnsi="仿宋_GB2312" w:eastAsia="仿宋_GB2312"/>
                <w:color w:val="auto"/>
                <w:sz w:val="24"/>
                <w:lang w:eastAsia="zh-CN"/>
              </w:rPr>
              <w:t>分</w:t>
            </w:r>
            <w:r>
              <w:rPr>
                <w:rFonts w:hint="eastAsia" w:ascii="仿宋_GB2312" w:hAnsi="仿宋_GB2312" w:eastAsia="仿宋_GB2312"/>
                <w:color w:val="auto"/>
                <w:sz w:val="24"/>
              </w:rPr>
              <w:t>局</w:t>
            </w:r>
            <w:r>
              <w:rPr>
                <w:rFonts w:hint="eastAsia" w:ascii="仿宋_GB2312" w:hAnsi="仿宋_GB2312" w:eastAsia="仿宋_GB2312"/>
                <w:color w:val="auto"/>
                <w:sz w:val="24"/>
                <w:lang w:eastAsia="zh-CN"/>
              </w:rPr>
              <w:t>或甲方</w:t>
            </w:r>
            <w:r>
              <w:rPr>
                <w:rFonts w:hint="eastAsia" w:ascii="仿宋_GB2312" w:hAnsi="仿宋_GB2312" w:eastAsia="仿宋_GB2312"/>
                <w:color w:val="auto"/>
                <w:sz w:val="24"/>
              </w:rPr>
              <w:t>处罚</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一票否定指标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26" w:type="dxa"/>
            <w:vMerge w:val="restart"/>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食</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品</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安</w:t>
            </w:r>
          </w:p>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全</w:t>
            </w: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3</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蔬菜、主副食品有过期的商品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4</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蔬菜、主副食品有失效的商品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5</w:t>
            </w:r>
          </w:p>
        </w:tc>
        <w:tc>
          <w:tcPr>
            <w:tcW w:w="571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蔬菜、主副食品有霉烂的商品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6</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蔬菜、主副食品有变质的商品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0" w:lineRule="atLeast"/>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7</w:t>
            </w:r>
          </w:p>
        </w:tc>
        <w:tc>
          <w:tcPr>
            <w:tcW w:w="57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采购未经质量检验的主副食品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val="en-US" w:eastAsia="zh-CN"/>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8</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rPr>
              <w:t>采购蔬菜、主副商品未通知</w:t>
            </w:r>
            <w:r>
              <w:rPr>
                <w:rFonts w:hint="eastAsia" w:ascii="仿宋_GB2312" w:hAnsi="仿宋_GB2312" w:eastAsia="仿宋_GB2312"/>
                <w:color w:val="auto"/>
                <w:sz w:val="24"/>
                <w:lang w:eastAsia="zh-CN"/>
              </w:rPr>
              <w:t>甲方</w:t>
            </w:r>
            <w:r>
              <w:rPr>
                <w:rFonts w:hint="eastAsia" w:ascii="仿宋_GB2312" w:hAnsi="仿宋_GB2312" w:eastAsia="仿宋_GB2312"/>
                <w:color w:val="auto"/>
                <w:sz w:val="24"/>
              </w:rPr>
              <w:t>相关人员</w:t>
            </w:r>
            <w:r>
              <w:rPr>
                <w:rFonts w:hint="eastAsia" w:ascii="仿宋_GB2312" w:hAnsi="仿宋_GB2312" w:eastAsia="仿宋_GB2312"/>
                <w:color w:val="auto"/>
                <w:sz w:val="24"/>
                <w:lang w:eastAsia="zh-CN"/>
              </w:rPr>
              <w:t>验收</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26" w:type="dxa"/>
            <w:vMerge w:val="restart"/>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其</w:t>
            </w:r>
          </w:p>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它</w:t>
            </w:r>
          </w:p>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方</w:t>
            </w:r>
          </w:p>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面</w:t>
            </w: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9</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szCs w:val="24"/>
                <w:lang w:eastAsia="zh-CN"/>
              </w:rPr>
              <w:t>乙方未征求甲方意见，未按照要求</w:t>
            </w:r>
            <w:r>
              <w:rPr>
                <w:rFonts w:hint="eastAsia" w:ascii="仿宋_GB2312" w:hAnsi="仿宋_GB2312" w:eastAsia="仿宋_GB2312"/>
                <w:color w:val="auto"/>
                <w:sz w:val="24"/>
                <w:szCs w:val="24"/>
              </w:rPr>
              <w:t>公布菜品名及价格</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val="en-US" w:eastAsia="zh-CN"/>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10</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szCs w:val="24"/>
                <w:lang w:val="en-US" w:eastAsia="zh-CN"/>
              </w:rPr>
              <w:t>同质同量</w:t>
            </w:r>
            <w:r>
              <w:rPr>
                <w:rFonts w:hint="eastAsia" w:ascii="仿宋_GB2312" w:hAnsi="仿宋_GB2312" w:eastAsia="仿宋_GB2312"/>
                <w:color w:val="auto"/>
                <w:sz w:val="24"/>
                <w:szCs w:val="24"/>
              </w:rPr>
              <w:t>菜品价格</w:t>
            </w:r>
            <w:r>
              <w:rPr>
                <w:rFonts w:hint="eastAsia" w:ascii="仿宋_GB2312" w:hAnsi="仿宋_GB2312" w:eastAsia="仿宋_GB2312"/>
                <w:color w:val="auto"/>
                <w:sz w:val="24"/>
                <w:szCs w:val="24"/>
                <w:lang w:eastAsia="zh-CN"/>
              </w:rPr>
              <w:t>不</w:t>
            </w:r>
            <w:r>
              <w:rPr>
                <w:rFonts w:hint="eastAsia" w:ascii="仿宋_GB2312" w:hAnsi="仿宋_GB2312" w:eastAsia="仿宋_GB2312"/>
                <w:color w:val="auto"/>
                <w:sz w:val="24"/>
                <w:szCs w:val="24"/>
              </w:rPr>
              <w:t>高于公司</w:t>
            </w:r>
            <w:r>
              <w:rPr>
                <w:rFonts w:hint="eastAsia" w:ascii="仿宋_GB2312" w:hAnsi="仿宋_GB2312" w:eastAsia="仿宋_GB2312"/>
                <w:color w:val="auto"/>
                <w:sz w:val="24"/>
                <w:szCs w:val="24"/>
                <w:lang w:eastAsia="zh-CN"/>
              </w:rPr>
              <w:t>一</w:t>
            </w:r>
            <w:r>
              <w:rPr>
                <w:rFonts w:hint="eastAsia" w:ascii="仿宋_GB2312" w:hAnsi="仿宋_GB2312" w:eastAsia="仿宋_GB2312"/>
                <w:color w:val="auto"/>
                <w:sz w:val="24"/>
                <w:szCs w:val="24"/>
              </w:rPr>
              <w:t>食堂价格</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11</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szCs w:val="24"/>
                <w:lang w:val="en-US" w:eastAsia="zh-CN"/>
              </w:rPr>
              <w:t>提供餐饮服务中供餐种类少于约定数量，</w:t>
            </w:r>
            <w:r>
              <w:rPr>
                <w:rFonts w:hint="eastAsia" w:ascii="仿宋_GB2312" w:hAnsi="仿宋_GB2312" w:eastAsia="仿宋_GB2312"/>
                <w:color w:val="auto"/>
                <w:sz w:val="24"/>
              </w:rPr>
              <w:t>不按规定时间供餐</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12</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未严格按照甲方防疫工作要求开展防疫工作</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3</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甲方</w:t>
            </w:r>
            <w:r>
              <w:rPr>
                <w:rFonts w:hint="eastAsia" w:ascii="仿宋_GB2312" w:hAnsi="仿宋_GB2312" w:eastAsia="仿宋_GB2312"/>
                <w:color w:val="auto"/>
                <w:sz w:val="24"/>
              </w:rPr>
              <w:t>领导检查发现厨房、饭堂、储存间脏乱差</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4</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乙方</w:t>
            </w:r>
            <w:r>
              <w:rPr>
                <w:rFonts w:hint="eastAsia" w:ascii="仿宋_GB2312" w:hAnsi="仿宋_GB2312" w:eastAsia="仿宋_GB2312"/>
                <w:color w:val="auto"/>
                <w:sz w:val="24"/>
              </w:rPr>
              <w:t>工作人员在工作场所有从事违法乱纪的行为</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826" w:type="dxa"/>
            <w:vMerge w:val="continue"/>
            <w:vAlign w:val="top"/>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5</w:t>
            </w:r>
          </w:p>
        </w:tc>
        <w:tc>
          <w:tcPr>
            <w:tcW w:w="5712"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乙方工作</w:t>
            </w:r>
            <w:r>
              <w:rPr>
                <w:rFonts w:hint="eastAsia" w:ascii="仿宋_GB2312" w:hAnsi="仿宋_GB2312" w:eastAsia="仿宋_GB2312"/>
                <w:color w:val="auto"/>
                <w:sz w:val="24"/>
              </w:rPr>
              <w:t>人员违反</w:t>
            </w:r>
            <w:r>
              <w:rPr>
                <w:rFonts w:hint="eastAsia" w:ascii="仿宋_GB2312" w:hAnsi="仿宋_GB2312" w:eastAsia="仿宋_GB2312"/>
                <w:color w:val="auto"/>
                <w:sz w:val="24"/>
                <w:lang w:eastAsia="zh-CN"/>
              </w:rPr>
              <w:t>甲方</w:t>
            </w:r>
            <w:r>
              <w:rPr>
                <w:rFonts w:hint="eastAsia" w:ascii="仿宋_GB2312" w:hAnsi="仿宋_GB2312" w:eastAsia="仿宋_GB2312"/>
                <w:color w:val="auto"/>
                <w:sz w:val="24"/>
              </w:rPr>
              <w:t>管理规定，</w:t>
            </w:r>
            <w:r>
              <w:rPr>
                <w:rFonts w:hint="eastAsia" w:ascii="仿宋_GB2312" w:hAnsi="仿宋_GB2312" w:eastAsia="仿宋_GB2312"/>
                <w:color w:val="auto"/>
                <w:sz w:val="24"/>
                <w:lang w:eastAsia="zh-CN"/>
              </w:rPr>
              <w:t>与甲方检查</w:t>
            </w:r>
            <w:r>
              <w:rPr>
                <w:rFonts w:hint="eastAsia" w:ascii="仿宋_GB2312" w:hAnsi="仿宋_GB2312" w:eastAsia="仿宋_GB2312"/>
                <w:color w:val="auto"/>
                <w:sz w:val="24"/>
              </w:rPr>
              <w:t>人员发生冲突</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val="en-US" w:eastAsia="zh-CN"/>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vAlign w:val="top"/>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6</w:t>
            </w:r>
          </w:p>
        </w:tc>
        <w:tc>
          <w:tcPr>
            <w:tcW w:w="5712" w:type="dxa"/>
            <w:vAlign w:val="center"/>
          </w:tcPr>
          <w:p>
            <w:pPr>
              <w:keepNext w:val="0"/>
              <w:keepLines w:val="0"/>
              <w:pageBreakBefore w:val="0"/>
              <w:widowControl w:val="0"/>
              <w:tabs>
                <w:tab w:val="left" w:pos="792"/>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乙方</w:t>
            </w:r>
            <w:r>
              <w:rPr>
                <w:rFonts w:hint="eastAsia" w:ascii="仿宋_GB2312" w:hAnsi="仿宋_GB2312" w:eastAsia="仿宋_GB2312"/>
                <w:color w:val="auto"/>
                <w:sz w:val="24"/>
              </w:rPr>
              <w:t>人员未经许可动用消防救援设备</w:t>
            </w:r>
            <w:r>
              <w:rPr>
                <w:rFonts w:hint="eastAsia" w:ascii="仿宋_GB2312" w:hAnsi="仿宋_GB2312" w:eastAsia="仿宋_GB2312"/>
                <w:color w:val="auto"/>
                <w:sz w:val="24"/>
                <w:lang w:eastAsia="zh-CN"/>
              </w:rPr>
              <w:t>及机坪其他设施设备</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val="en-US" w:eastAsia="zh-CN"/>
              </w:rPr>
              <w:t>5</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vAlign w:val="top"/>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7</w:t>
            </w:r>
          </w:p>
        </w:tc>
        <w:tc>
          <w:tcPr>
            <w:tcW w:w="5712" w:type="dxa"/>
            <w:vAlign w:val="center"/>
          </w:tcPr>
          <w:p>
            <w:pPr>
              <w:keepNext w:val="0"/>
              <w:keepLines w:val="0"/>
              <w:pageBreakBefore w:val="0"/>
              <w:widowControl w:val="0"/>
              <w:tabs>
                <w:tab w:val="left" w:pos="1002"/>
              </w:tabs>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val="en-US" w:eastAsia="zh-CN"/>
              </w:rPr>
              <w:t>月度服务质量满意度（每个食堂随机抽取10名就餐人员作为实名制调查对象，去掉1个最低分和1个最高分取平均值计分，得分取整数，小数点后数值四舍五入）</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val="en-US" w:eastAsia="zh-CN"/>
              </w:rPr>
              <w:t>1-</w:t>
            </w: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vAlign w:val="top"/>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olor w:val="auto"/>
                <w:sz w:val="24"/>
              </w:rPr>
            </w:pPr>
          </w:p>
        </w:tc>
        <w:tc>
          <w:tcPr>
            <w:tcW w:w="55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18</w:t>
            </w:r>
          </w:p>
        </w:tc>
        <w:tc>
          <w:tcPr>
            <w:tcW w:w="5712" w:type="dxa"/>
            <w:vAlign w:val="center"/>
          </w:tcPr>
          <w:p>
            <w:pPr>
              <w:keepNext w:val="0"/>
              <w:keepLines w:val="0"/>
              <w:pageBreakBefore w:val="0"/>
              <w:widowControl w:val="0"/>
              <w:tabs>
                <w:tab w:val="left" w:pos="792"/>
              </w:tabs>
              <w:kinsoku/>
              <w:wordWrap/>
              <w:overflowPunct/>
              <w:topLinePunct w:val="0"/>
              <w:autoSpaceDE/>
              <w:autoSpaceDN/>
              <w:bidi w:val="0"/>
              <w:adjustRightInd/>
              <w:snapToGrid w:val="0"/>
              <w:spacing w:line="240" w:lineRule="auto"/>
              <w:textAlignment w:val="auto"/>
              <w:outlineLvl w:val="9"/>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其他违反相关安全规定的</w:t>
            </w:r>
          </w:p>
        </w:tc>
        <w:tc>
          <w:tcPr>
            <w:tcW w:w="795"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w:t>
            </w:r>
            <w:r>
              <w:rPr>
                <w:rFonts w:hint="eastAsia" w:ascii="仿宋_GB2312" w:hAnsi="仿宋_GB2312" w:eastAsia="仿宋_GB2312"/>
                <w:color w:val="auto"/>
                <w:sz w:val="24"/>
              </w:rPr>
              <w:t>10</w:t>
            </w:r>
          </w:p>
        </w:tc>
        <w:tc>
          <w:tcPr>
            <w:tcW w:w="1680" w:type="dxa"/>
            <w:vAlign w:val="center"/>
          </w:tcPr>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olor w:val="auto"/>
                <w:sz w:val="24"/>
              </w:rPr>
            </w:pPr>
          </w:p>
        </w:tc>
      </w:tr>
    </w:tbl>
    <w:p>
      <w:pPr>
        <w:keepNext w:val="0"/>
        <w:keepLines w:val="0"/>
        <w:pageBreakBefore w:val="0"/>
        <w:widowControl w:val="0"/>
        <w:tabs>
          <w:tab w:val="left" w:pos="6958"/>
        </w:tabs>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olor w:val="auto"/>
          <w:sz w:val="24"/>
        </w:rPr>
      </w:pPr>
    </w:p>
    <w:p>
      <w:pPr>
        <w:keepNext w:val="0"/>
        <w:keepLines w:val="0"/>
        <w:pageBreakBefore w:val="0"/>
        <w:tabs>
          <w:tab w:val="left" w:pos="6958"/>
        </w:tabs>
        <w:kinsoku/>
        <w:overflowPunct/>
        <w:topLinePunct w:val="0"/>
        <w:autoSpaceDE/>
        <w:autoSpaceDN/>
        <w:bidi w:val="0"/>
        <w:adjustRightInd/>
        <w:snapToGrid w:val="0"/>
        <w:spacing w:line="240" w:lineRule="auto"/>
        <w:jc w:val="left"/>
        <w:textAlignment w:val="auto"/>
        <w:rPr>
          <w:rFonts w:hint="eastAsia" w:ascii="仿宋_GB2312" w:hAnsi="仿宋_GB2312" w:eastAsia="仿宋_GB2312"/>
          <w:color w:val="auto"/>
          <w:sz w:val="24"/>
        </w:rPr>
      </w:pPr>
      <w:r>
        <w:rPr>
          <w:rFonts w:hint="eastAsia" w:ascii="仿宋_GB2312" w:hAnsi="仿宋_GB2312" w:eastAsia="仿宋_GB2312"/>
          <w:color w:val="auto"/>
          <w:sz w:val="24"/>
        </w:rPr>
        <w:t>备注：一、考核指标总分为100分</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szCs w:val="22"/>
          <w:lang w:val="en-US" w:eastAsia="zh-CN"/>
        </w:rPr>
        <w:t>月度考核得分核算办法为：3个食堂分别得分的算数平均分（取整数，小数点后数值四舍五入）</w:t>
      </w:r>
      <w:r>
        <w:rPr>
          <w:rFonts w:hint="eastAsia" w:ascii="仿宋_GB2312" w:hAnsi="仿宋_GB2312" w:eastAsia="仿宋_GB2312"/>
          <w:color w:val="auto"/>
          <w:sz w:val="24"/>
          <w:szCs w:val="22"/>
          <w:lang w:eastAsia="zh-CN"/>
        </w:rPr>
        <w:t>。</w:t>
      </w:r>
      <w:r>
        <w:rPr>
          <w:rFonts w:hint="eastAsia" w:ascii="仿宋_GB2312" w:hAnsi="仿宋_GB2312" w:eastAsia="仿宋_GB2312"/>
          <w:color w:val="auto"/>
          <w:sz w:val="24"/>
          <w:szCs w:val="22"/>
          <w:lang w:val="en-US" w:eastAsia="zh-CN"/>
        </w:rPr>
        <w:t>季度</w:t>
      </w:r>
      <w:r>
        <w:rPr>
          <w:rFonts w:hint="eastAsia" w:ascii="仿宋_GB2312" w:hAnsi="仿宋_GB2312" w:eastAsia="仿宋_GB2312"/>
          <w:color w:val="auto"/>
          <w:sz w:val="24"/>
          <w:szCs w:val="22"/>
        </w:rPr>
        <w:t>考核</w:t>
      </w:r>
      <w:r>
        <w:rPr>
          <w:rFonts w:hint="eastAsia" w:ascii="仿宋_GB2312" w:hAnsi="仿宋_GB2312" w:eastAsia="仿宋_GB2312"/>
          <w:color w:val="auto"/>
          <w:sz w:val="24"/>
          <w:szCs w:val="22"/>
          <w:lang w:val="en-US" w:eastAsia="zh-CN"/>
        </w:rPr>
        <w:t>得分为本季度月度考核得分的算数平均分（取整数，小数点后数值四舍五入）。</w:t>
      </w:r>
      <w:r>
        <w:rPr>
          <w:rFonts w:hint="eastAsia" w:ascii="仿宋_GB2312" w:hAnsi="仿宋_GB2312" w:eastAsia="仿宋_GB2312"/>
          <w:color w:val="auto"/>
          <w:sz w:val="24"/>
          <w:lang w:eastAsia="zh-CN"/>
        </w:rPr>
        <w:t>外包服务商</w:t>
      </w:r>
      <w:r>
        <w:rPr>
          <w:rFonts w:hint="eastAsia" w:ascii="仿宋_GB2312" w:hAnsi="仿宋_GB2312" w:eastAsia="仿宋_GB2312"/>
          <w:color w:val="auto"/>
          <w:sz w:val="24"/>
          <w:lang w:val="en-US" w:eastAsia="zh-CN"/>
        </w:rPr>
        <w:t>季度考核</w:t>
      </w:r>
      <w:r>
        <w:rPr>
          <w:rFonts w:hint="eastAsia" w:ascii="仿宋_GB2312" w:hAnsi="仿宋_GB2312" w:eastAsia="仿宋_GB2312"/>
          <w:color w:val="auto"/>
          <w:sz w:val="24"/>
        </w:rPr>
        <w:t>必须取得80分（含）以上得分。绩效考核得分连续2个月低于80分的，</w:t>
      </w:r>
      <w:r>
        <w:rPr>
          <w:rFonts w:hint="eastAsia" w:ascii="仿宋_GB2312" w:hAnsi="仿宋_GB2312" w:eastAsia="仿宋_GB2312"/>
          <w:color w:val="auto"/>
          <w:sz w:val="24"/>
          <w:lang w:eastAsia="zh-CN"/>
        </w:rPr>
        <w:t>江北机场公司对外包服务商</w:t>
      </w:r>
      <w:r>
        <w:rPr>
          <w:rFonts w:hint="eastAsia" w:ascii="仿宋_GB2312" w:hAnsi="仿宋_GB2312" w:eastAsia="仿宋_GB2312"/>
          <w:color w:val="auto"/>
          <w:sz w:val="24"/>
        </w:rPr>
        <w:t>进行约谈，劝其改进服务质量，绩效考核得分连续3个月低于80分的，</w:t>
      </w:r>
      <w:r>
        <w:rPr>
          <w:rFonts w:hint="eastAsia" w:ascii="仿宋_GB2312" w:hAnsi="仿宋_GB2312" w:eastAsia="仿宋_GB2312"/>
          <w:color w:val="auto"/>
          <w:sz w:val="24"/>
          <w:lang w:eastAsia="zh-CN"/>
        </w:rPr>
        <w:t>江北机场公司</w:t>
      </w:r>
      <w:r>
        <w:rPr>
          <w:rFonts w:hint="eastAsia" w:ascii="仿宋_GB2312" w:hAnsi="仿宋_GB2312" w:eastAsia="仿宋_GB2312"/>
          <w:color w:val="auto"/>
          <w:sz w:val="24"/>
        </w:rPr>
        <w:t>有权解除</w:t>
      </w:r>
      <w:r>
        <w:rPr>
          <w:rFonts w:hint="eastAsia" w:ascii="仿宋_GB2312" w:hAnsi="仿宋_GB2312" w:eastAsia="仿宋_GB2312"/>
          <w:color w:val="auto"/>
          <w:sz w:val="24"/>
          <w:lang w:eastAsia="zh-CN"/>
        </w:rPr>
        <w:t>外包服务合同</w:t>
      </w:r>
      <w:r>
        <w:rPr>
          <w:rFonts w:hint="eastAsia" w:ascii="仿宋_GB2312" w:hAnsi="仿宋_GB2312" w:eastAsia="仿宋_GB2312"/>
          <w:color w:val="auto"/>
          <w:sz w:val="24"/>
        </w:rPr>
        <w:t>。</w:t>
      </w:r>
    </w:p>
    <w:p>
      <w:pPr>
        <w:keepNext w:val="0"/>
        <w:keepLines w:val="0"/>
        <w:pageBreakBefore w:val="0"/>
        <w:tabs>
          <w:tab w:val="left" w:pos="6958"/>
        </w:tabs>
        <w:kinsoku/>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sz w:val="28"/>
          <w:szCs w:val="28"/>
        </w:rPr>
      </w:pPr>
      <w:r>
        <w:rPr>
          <w:rFonts w:hint="eastAsia" w:ascii="仿宋_GB2312" w:hAnsi="仿宋_GB2312" w:eastAsia="仿宋_GB2312"/>
          <w:color w:val="auto"/>
          <w:sz w:val="24"/>
        </w:rPr>
        <w:t>二、</w:t>
      </w:r>
      <w:r>
        <w:rPr>
          <w:rFonts w:hint="eastAsia" w:ascii="仿宋_GB2312" w:hAnsi="仿宋_GB2312" w:eastAsia="仿宋_GB2312"/>
          <w:color w:val="auto"/>
          <w:sz w:val="24"/>
          <w:lang w:eastAsia="zh-CN"/>
        </w:rPr>
        <w:t>考核</w:t>
      </w:r>
      <w:r>
        <w:rPr>
          <w:rFonts w:hint="eastAsia" w:ascii="仿宋_GB2312" w:hAnsi="仿宋_GB2312" w:eastAsia="仿宋_GB2312"/>
          <w:color w:val="auto"/>
          <w:sz w:val="24"/>
        </w:rPr>
        <w:t>未约定事项，凡是因</w:t>
      </w:r>
      <w:r>
        <w:rPr>
          <w:rFonts w:hint="eastAsia" w:ascii="仿宋_GB2312" w:hAnsi="仿宋_GB2312" w:eastAsia="仿宋_GB2312"/>
          <w:color w:val="auto"/>
          <w:sz w:val="24"/>
          <w:lang w:eastAsia="zh-CN"/>
        </w:rPr>
        <w:t>外包服务商</w:t>
      </w:r>
      <w:r>
        <w:rPr>
          <w:rFonts w:hint="eastAsia" w:ascii="仿宋_GB2312" w:hAnsi="仿宋_GB2312" w:eastAsia="仿宋_GB2312"/>
          <w:color w:val="auto"/>
          <w:sz w:val="24"/>
        </w:rPr>
        <w:t>责任发生的问题，产生的经济损失和人身伤害均由</w:t>
      </w:r>
      <w:r>
        <w:rPr>
          <w:rFonts w:hint="eastAsia" w:ascii="仿宋_GB2312" w:hAnsi="仿宋_GB2312" w:eastAsia="仿宋_GB2312"/>
          <w:color w:val="auto"/>
          <w:sz w:val="24"/>
          <w:lang w:eastAsia="zh-CN"/>
        </w:rPr>
        <w:t>外包服务商</w:t>
      </w:r>
      <w:r>
        <w:rPr>
          <w:rFonts w:hint="eastAsia" w:ascii="仿宋_GB2312" w:hAnsi="仿宋_GB2312" w:eastAsia="仿宋_GB2312"/>
          <w:color w:val="auto"/>
          <w:sz w:val="24"/>
        </w:rPr>
        <w:t>自负全责。</w:t>
      </w:r>
      <w:r>
        <w:rPr>
          <w:rFonts w:hint="eastAsia" w:ascii="仿宋_GB2312" w:hAnsi="仿宋_GB2312" w:eastAsia="仿宋_GB2312"/>
          <w:color w:val="auto"/>
          <w:sz w:val="24"/>
          <w:lang w:eastAsia="zh-CN"/>
        </w:rPr>
        <w:t>江北机场公司</w:t>
      </w:r>
      <w:r>
        <w:rPr>
          <w:rFonts w:hint="eastAsia" w:ascii="仿宋_GB2312" w:hAnsi="仿宋_GB2312" w:eastAsia="仿宋_GB2312"/>
          <w:color w:val="auto"/>
          <w:sz w:val="24"/>
        </w:rPr>
        <w:t>可视情节轻重扣除</w:t>
      </w:r>
      <w:r>
        <w:rPr>
          <w:rFonts w:hint="eastAsia" w:ascii="仿宋_GB2312" w:hAnsi="仿宋_GB2312" w:eastAsia="仿宋_GB2312"/>
          <w:color w:val="auto"/>
          <w:sz w:val="24"/>
          <w:lang w:eastAsia="zh-CN"/>
        </w:rPr>
        <w:t>外包服务</w:t>
      </w:r>
      <w:r>
        <w:rPr>
          <w:rFonts w:hint="eastAsia" w:ascii="仿宋_GB2312" w:hAnsi="仿宋_GB2312" w:eastAsia="仿宋_GB2312"/>
          <w:color w:val="auto"/>
          <w:sz w:val="24"/>
        </w:rPr>
        <w:t>保证金，直至解除</w:t>
      </w:r>
      <w:r>
        <w:rPr>
          <w:rFonts w:hint="eastAsia" w:ascii="仿宋_GB2312" w:hAnsi="仿宋_GB2312" w:eastAsia="仿宋_GB2312"/>
          <w:color w:val="auto"/>
          <w:sz w:val="24"/>
          <w:lang w:eastAsia="zh-CN"/>
        </w:rPr>
        <w:t>外包服务</w:t>
      </w:r>
      <w:r>
        <w:rPr>
          <w:rFonts w:hint="eastAsia" w:ascii="仿宋_GB2312" w:hAnsi="仿宋_GB2312" w:eastAsia="仿宋_GB2312"/>
          <w:color w:val="auto"/>
          <w:sz w:val="24"/>
        </w:rPr>
        <w:t>。扣除的</w:t>
      </w:r>
      <w:r>
        <w:rPr>
          <w:rFonts w:hint="eastAsia" w:ascii="仿宋_GB2312" w:hAnsi="仿宋_GB2312" w:eastAsia="仿宋_GB2312"/>
          <w:color w:val="auto"/>
          <w:sz w:val="24"/>
          <w:lang w:eastAsia="zh-CN"/>
        </w:rPr>
        <w:t>外包服务</w:t>
      </w:r>
      <w:r>
        <w:rPr>
          <w:rFonts w:hint="eastAsia" w:ascii="仿宋_GB2312" w:hAnsi="仿宋_GB2312" w:eastAsia="仿宋_GB2312"/>
          <w:color w:val="auto"/>
          <w:sz w:val="24"/>
        </w:rPr>
        <w:t>保证金</w:t>
      </w:r>
      <w:r>
        <w:rPr>
          <w:rFonts w:hint="eastAsia" w:ascii="仿宋_GB2312" w:hAnsi="仿宋_GB2312" w:eastAsia="仿宋_GB2312"/>
          <w:color w:val="auto"/>
          <w:sz w:val="24"/>
          <w:lang w:eastAsia="zh-CN"/>
        </w:rPr>
        <w:t>外包服务商</w:t>
      </w:r>
      <w:r>
        <w:rPr>
          <w:rFonts w:hint="eastAsia" w:ascii="仿宋_GB2312" w:hAnsi="仿宋_GB2312" w:eastAsia="仿宋_GB2312"/>
          <w:color w:val="auto"/>
          <w:sz w:val="24"/>
        </w:rPr>
        <w:t>应在一周时间内补缴。</w:t>
      </w:r>
    </w:p>
    <w:sectPr>
      <w:headerReference r:id="rId4" w:type="default"/>
      <w:footerReference r:id="rId5" w:type="default"/>
      <w:pgSz w:w="11906" w:h="16838"/>
      <w:pgMar w:top="1270" w:right="1349" w:bottom="127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Microsoft YaHei UI">
    <w:panose1 w:val="020B0503020204020204"/>
    <w:charset w:val="86"/>
    <w:family w:val="swiss"/>
    <w:pitch w:val="default"/>
    <w:sig w:usb0="80000287" w:usb1="28CF3C50" w:usb2="00000016" w:usb3="00000000" w:csb0="0004001F" w:csb1="00000000"/>
  </w:font>
  <w:font w:name="FangSong_GB2312">
    <w:altName w:val="仿宋_GB2312"/>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41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7EB3F"/>
    <w:multiLevelType w:val="singleLevel"/>
    <w:tmpl w:val="9E17EB3F"/>
    <w:lvl w:ilvl="0" w:tentative="0">
      <w:start w:val="14"/>
      <w:numFmt w:val="chineseCounting"/>
      <w:suff w:val="nothing"/>
      <w:lvlText w:val="%1、"/>
      <w:lvlJc w:val="left"/>
      <w:rPr>
        <w:rFonts w:hint="eastAsia"/>
      </w:rPr>
    </w:lvl>
  </w:abstractNum>
  <w:abstractNum w:abstractNumId="1">
    <w:nsid w:val="B3628905"/>
    <w:multiLevelType w:val="singleLevel"/>
    <w:tmpl w:val="B3628905"/>
    <w:lvl w:ilvl="0" w:tentative="0">
      <w:start w:val="7"/>
      <w:numFmt w:val="chineseCounting"/>
      <w:suff w:val="nothing"/>
      <w:lvlText w:val="%1、"/>
      <w:lvlJc w:val="left"/>
      <w:rPr>
        <w:rFonts w:hint="eastAsia"/>
      </w:rPr>
    </w:lvl>
  </w:abstractNum>
  <w:abstractNum w:abstractNumId="2">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3">
    <w:nsid w:val="5F2C6CDC"/>
    <w:multiLevelType w:val="singleLevel"/>
    <w:tmpl w:val="5F2C6CDC"/>
    <w:lvl w:ilvl="0" w:tentative="0">
      <w:start w:val="1"/>
      <w:numFmt w:val="upperLetter"/>
      <w:pStyle w:val="3"/>
      <w:lvlText w:val="%1．"/>
      <w:lvlJc w:val="left"/>
      <w:pPr>
        <w:tabs>
          <w:tab w:val="left" w:pos="1605"/>
        </w:tabs>
        <w:ind w:left="1605" w:hanging="480"/>
      </w:pPr>
      <w:rPr>
        <w:rFonts w:hint="eastAsia"/>
      </w:rPr>
    </w:lvl>
  </w:abstractNum>
  <w:abstractNum w:abstractNumId="4">
    <w:nsid w:val="7EC524F8"/>
    <w:multiLevelType w:val="singleLevel"/>
    <w:tmpl w:val="7EC524F8"/>
    <w:lvl w:ilvl="0" w:tentative="0">
      <w:start w:val="1"/>
      <w:numFmt w:val="upperLetter"/>
      <w:pStyle w:val="5"/>
      <w:lvlText w:val="%1、"/>
      <w:lvlJc w:val="left"/>
      <w:pPr>
        <w:tabs>
          <w:tab w:val="left" w:pos="4121"/>
        </w:tabs>
        <w:ind w:left="4121" w:hanging="48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OGI0YWU5OWVlYzc0NDMyMDVjYWEzZTBhNzc2ZTAifQ=="/>
  </w:docVars>
  <w:rsids>
    <w:rsidRoot w:val="007E19FA"/>
    <w:rsid w:val="0000097F"/>
    <w:rsid w:val="00005333"/>
    <w:rsid w:val="00006788"/>
    <w:rsid w:val="00017CC8"/>
    <w:rsid w:val="0002289E"/>
    <w:rsid w:val="00023008"/>
    <w:rsid w:val="00025AEC"/>
    <w:rsid w:val="00025DC7"/>
    <w:rsid w:val="000265C7"/>
    <w:rsid w:val="00031BB8"/>
    <w:rsid w:val="00032715"/>
    <w:rsid w:val="00035345"/>
    <w:rsid w:val="00036A4A"/>
    <w:rsid w:val="000371A2"/>
    <w:rsid w:val="00041801"/>
    <w:rsid w:val="00043821"/>
    <w:rsid w:val="00050D62"/>
    <w:rsid w:val="0005249A"/>
    <w:rsid w:val="0005588C"/>
    <w:rsid w:val="00056869"/>
    <w:rsid w:val="000611DA"/>
    <w:rsid w:val="000631F6"/>
    <w:rsid w:val="00063CCA"/>
    <w:rsid w:val="00063FA1"/>
    <w:rsid w:val="00073A28"/>
    <w:rsid w:val="000740F0"/>
    <w:rsid w:val="00074AAA"/>
    <w:rsid w:val="00076511"/>
    <w:rsid w:val="000819C9"/>
    <w:rsid w:val="000825D0"/>
    <w:rsid w:val="00082612"/>
    <w:rsid w:val="00082C70"/>
    <w:rsid w:val="00083B11"/>
    <w:rsid w:val="000A3B23"/>
    <w:rsid w:val="000A3B63"/>
    <w:rsid w:val="000B1E3A"/>
    <w:rsid w:val="000B4109"/>
    <w:rsid w:val="000B753E"/>
    <w:rsid w:val="000B7659"/>
    <w:rsid w:val="000C02DD"/>
    <w:rsid w:val="000C2E5F"/>
    <w:rsid w:val="000C59AB"/>
    <w:rsid w:val="000C702B"/>
    <w:rsid w:val="000D521A"/>
    <w:rsid w:val="000D75FF"/>
    <w:rsid w:val="000E0AC3"/>
    <w:rsid w:val="000E2F2F"/>
    <w:rsid w:val="000E5E1E"/>
    <w:rsid w:val="000F2B5D"/>
    <w:rsid w:val="000F3310"/>
    <w:rsid w:val="000F4454"/>
    <w:rsid w:val="000F4E07"/>
    <w:rsid w:val="0010001E"/>
    <w:rsid w:val="00103882"/>
    <w:rsid w:val="00104431"/>
    <w:rsid w:val="001045B6"/>
    <w:rsid w:val="00106E21"/>
    <w:rsid w:val="00110AB0"/>
    <w:rsid w:val="001128A4"/>
    <w:rsid w:val="00126337"/>
    <w:rsid w:val="00126780"/>
    <w:rsid w:val="0013184B"/>
    <w:rsid w:val="00133282"/>
    <w:rsid w:val="00140784"/>
    <w:rsid w:val="00146445"/>
    <w:rsid w:val="001505AE"/>
    <w:rsid w:val="00150869"/>
    <w:rsid w:val="001559E7"/>
    <w:rsid w:val="00155F4E"/>
    <w:rsid w:val="00163E7C"/>
    <w:rsid w:val="001704D1"/>
    <w:rsid w:val="00173A1B"/>
    <w:rsid w:val="00174D3B"/>
    <w:rsid w:val="00180D31"/>
    <w:rsid w:val="00181249"/>
    <w:rsid w:val="00182F1E"/>
    <w:rsid w:val="001849E2"/>
    <w:rsid w:val="0018716E"/>
    <w:rsid w:val="0018776C"/>
    <w:rsid w:val="001900DD"/>
    <w:rsid w:val="0019019A"/>
    <w:rsid w:val="0019060F"/>
    <w:rsid w:val="00192AF6"/>
    <w:rsid w:val="00196FD2"/>
    <w:rsid w:val="00197726"/>
    <w:rsid w:val="001A7BFA"/>
    <w:rsid w:val="001B030D"/>
    <w:rsid w:val="001B41EB"/>
    <w:rsid w:val="001C452E"/>
    <w:rsid w:val="001C76E8"/>
    <w:rsid w:val="001D0060"/>
    <w:rsid w:val="001D0304"/>
    <w:rsid w:val="001D0E7B"/>
    <w:rsid w:val="001D7A95"/>
    <w:rsid w:val="001E04F7"/>
    <w:rsid w:val="001E0DD3"/>
    <w:rsid w:val="001E5753"/>
    <w:rsid w:val="001F2E0C"/>
    <w:rsid w:val="001F36F5"/>
    <w:rsid w:val="001F52E9"/>
    <w:rsid w:val="00202C0F"/>
    <w:rsid w:val="00202EEA"/>
    <w:rsid w:val="00207D5C"/>
    <w:rsid w:val="002111D0"/>
    <w:rsid w:val="002170C0"/>
    <w:rsid w:val="002211D2"/>
    <w:rsid w:val="00223328"/>
    <w:rsid w:val="00224DEB"/>
    <w:rsid w:val="00230435"/>
    <w:rsid w:val="00231870"/>
    <w:rsid w:val="00232F3B"/>
    <w:rsid w:val="002334E4"/>
    <w:rsid w:val="002362BD"/>
    <w:rsid w:val="002369A5"/>
    <w:rsid w:val="00242D70"/>
    <w:rsid w:val="0024300C"/>
    <w:rsid w:val="00264544"/>
    <w:rsid w:val="00266533"/>
    <w:rsid w:val="00272740"/>
    <w:rsid w:val="0028006E"/>
    <w:rsid w:val="0028129F"/>
    <w:rsid w:val="00282D92"/>
    <w:rsid w:val="002834F6"/>
    <w:rsid w:val="00284A3A"/>
    <w:rsid w:val="00286536"/>
    <w:rsid w:val="00287E0A"/>
    <w:rsid w:val="002911E9"/>
    <w:rsid w:val="00293540"/>
    <w:rsid w:val="00295F36"/>
    <w:rsid w:val="002B004A"/>
    <w:rsid w:val="002B75E8"/>
    <w:rsid w:val="002C46DA"/>
    <w:rsid w:val="002C7AA2"/>
    <w:rsid w:val="002D6F8E"/>
    <w:rsid w:val="002E0239"/>
    <w:rsid w:val="002E5FDE"/>
    <w:rsid w:val="002F4FAF"/>
    <w:rsid w:val="002F5A5B"/>
    <w:rsid w:val="002F6E00"/>
    <w:rsid w:val="002F7CA1"/>
    <w:rsid w:val="002F7F31"/>
    <w:rsid w:val="00300C2A"/>
    <w:rsid w:val="003038F2"/>
    <w:rsid w:val="00304D5E"/>
    <w:rsid w:val="00306DDC"/>
    <w:rsid w:val="00311324"/>
    <w:rsid w:val="00313F85"/>
    <w:rsid w:val="00317034"/>
    <w:rsid w:val="00332BF8"/>
    <w:rsid w:val="00333793"/>
    <w:rsid w:val="00333BD0"/>
    <w:rsid w:val="00334A08"/>
    <w:rsid w:val="00340E6F"/>
    <w:rsid w:val="0034710B"/>
    <w:rsid w:val="00347BDE"/>
    <w:rsid w:val="00351066"/>
    <w:rsid w:val="003534A4"/>
    <w:rsid w:val="003577C4"/>
    <w:rsid w:val="00357C50"/>
    <w:rsid w:val="0036227D"/>
    <w:rsid w:val="0036425B"/>
    <w:rsid w:val="00364E1F"/>
    <w:rsid w:val="003655EC"/>
    <w:rsid w:val="00370602"/>
    <w:rsid w:val="003723A5"/>
    <w:rsid w:val="00373745"/>
    <w:rsid w:val="003840CF"/>
    <w:rsid w:val="00390FFB"/>
    <w:rsid w:val="00391B61"/>
    <w:rsid w:val="0039415B"/>
    <w:rsid w:val="00394E49"/>
    <w:rsid w:val="00396376"/>
    <w:rsid w:val="003A1EB9"/>
    <w:rsid w:val="003A2048"/>
    <w:rsid w:val="003A228A"/>
    <w:rsid w:val="003A2974"/>
    <w:rsid w:val="003A4373"/>
    <w:rsid w:val="003B0595"/>
    <w:rsid w:val="003B3EA4"/>
    <w:rsid w:val="003B666B"/>
    <w:rsid w:val="003B7133"/>
    <w:rsid w:val="003B79B9"/>
    <w:rsid w:val="003C7185"/>
    <w:rsid w:val="003D25EA"/>
    <w:rsid w:val="003D6803"/>
    <w:rsid w:val="003E074E"/>
    <w:rsid w:val="003E1CBC"/>
    <w:rsid w:val="003F167C"/>
    <w:rsid w:val="003F78CE"/>
    <w:rsid w:val="00404BDA"/>
    <w:rsid w:val="00406672"/>
    <w:rsid w:val="004111C7"/>
    <w:rsid w:val="004134EC"/>
    <w:rsid w:val="00413E38"/>
    <w:rsid w:val="00414922"/>
    <w:rsid w:val="00420115"/>
    <w:rsid w:val="00422256"/>
    <w:rsid w:val="00422C70"/>
    <w:rsid w:val="00424AC5"/>
    <w:rsid w:val="00425623"/>
    <w:rsid w:val="00425B77"/>
    <w:rsid w:val="0042735B"/>
    <w:rsid w:val="0043359D"/>
    <w:rsid w:val="004341B8"/>
    <w:rsid w:val="00441244"/>
    <w:rsid w:val="00445377"/>
    <w:rsid w:val="004468B4"/>
    <w:rsid w:val="00452541"/>
    <w:rsid w:val="00453F3C"/>
    <w:rsid w:val="00455CFC"/>
    <w:rsid w:val="00455EC5"/>
    <w:rsid w:val="00462EDA"/>
    <w:rsid w:val="004655F4"/>
    <w:rsid w:val="00467F45"/>
    <w:rsid w:val="0048255E"/>
    <w:rsid w:val="00485F00"/>
    <w:rsid w:val="00490CF8"/>
    <w:rsid w:val="00493AD9"/>
    <w:rsid w:val="00493C0B"/>
    <w:rsid w:val="00494C85"/>
    <w:rsid w:val="0049584A"/>
    <w:rsid w:val="004A06D9"/>
    <w:rsid w:val="004A0C85"/>
    <w:rsid w:val="004A15B8"/>
    <w:rsid w:val="004A291A"/>
    <w:rsid w:val="004A743B"/>
    <w:rsid w:val="004A7C19"/>
    <w:rsid w:val="004B146A"/>
    <w:rsid w:val="004B3DF7"/>
    <w:rsid w:val="004B5443"/>
    <w:rsid w:val="004B6AB6"/>
    <w:rsid w:val="004B7D2E"/>
    <w:rsid w:val="004C07E2"/>
    <w:rsid w:val="004C0973"/>
    <w:rsid w:val="004C6B97"/>
    <w:rsid w:val="004C7163"/>
    <w:rsid w:val="004D050B"/>
    <w:rsid w:val="004D79C1"/>
    <w:rsid w:val="004E1CB7"/>
    <w:rsid w:val="004E3EFA"/>
    <w:rsid w:val="004E45E3"/>
    <w:rsid w:val="004F2FAB"/>
    <w:rsid w:val="004F307F"/>
    <w:rsid w:val="004F3384"/>
    <w:rsid w:val="004F3F16"/>
    <w:rsid w:val="00507A41"/>
    <w:rsid w:val="0052266E"/>
    <w:rsid w:val="00523E08"/>
    <w:rsid w:val="0052534E"/>
    <w:rsid w:val="00547DC9"/>
    <w:rsid w:val="00550BF1"/>
    <w:rsid w:val="00551989"/>
    <w:rsid w:val="00554952"/>
    <w:rsid w:val="005562B6"/>
    <w:rsid w:val="0056017A"/>
    <w:rsid w:val="00560BB1"/>
    <w:rsid w:val="00566ECB"/>
    <w:rsid w:val="005766B4"/>
    <w:rsid w:val="0058393D"/>
    <w:rsid w:val="00584596"/>
    <w:rsid w:val="005863EB"/>
    <w:rsid w:val="00591811"/>
    <w:rsid w:val="005948A2"/>
    <w:rsid w:val="00595B2B"/>
    <w:rsid w:val="0059681E"/>
    <w:rsid w:val="005976B7"/>
    <w:rsid w:val="005A6C38"/>
    <w:rsid w:val="005B2C03"/>
    <w:rsid w:val="005B5E40"/>
    <w:rsid w:val="005B623B"/>
    <w:rsid w:val="005B6DF6"/>
    <w:rsid w:val="005B72F8"/>
    <w:rsid w:val="005C029A"/>
    <w:rsid w:val="005C4CBA"/>
    <w:rsid w:val="005C605E"/>
    <w:rsid w:val="005C7814"/>
    <w:rsid w:val="005C79AE"/>
    <w:rsid w:val="005D2DFC"/>
    <w:rsid w:val="005D786D"/>
    <w:rsid w:val="005E13F7"/>
    <w:rsid w:val="005E325F"/>
    <w:rsid w:val="005E467A"/>
    <w:rsid w:val="005E5B69"/>
    <w:rsid w:val="005F28DB"/>
    <w:rsid w:val="005F4A5B"/>
    <w:rsid w:val="005F4E4C"/>
    <w:rsid w:val="006078C9"/>
    <w:rsid w:val="00610FBA"/>
    <w:rsid w:val="00614036"/>
    <w:rsid w:val="00614562"/>
    <w:rsid w:val="00622C32"/>
    <w:rsid w:val="00626931"/>
    <w:rsid w:val="006331B5"/>
    <w:rsid w:val="00634621"/>
    <w:rsid w:val="00637AE5"/>
    <w:rsid w:val="006403B4"/>
    <w:rsid w:val="006448B9"/>
    <w:rsid w:val="00645F61"/>
    <w:rsid w:val="00646279"/>
    <w:rsid w:val="0064646F"/>
    <w:rsid w:val="0064740A"/>
    <w:rsid w:val="0065179B"/>
    <w:rsid w:val="00653540"/>
    <w:rsid w:val="006573CB"/>
    <w:rsid w:val="006603E9"/>
    <w:rsid w:val="00663B03"/>
    <w:rsid w:val="0066539F"/>
    <w:rsid w:val="0066710E"/>
    <w:rsid w:val="0066722C"/>
    <w:rsid w:val="006700E0"/>
    <w:rsid w:val="0067214B"/>
    <w:rsid w:val="00677538"/>
    <w:rsid w:val="00677C64"/>
    <w:rsid w:val="00681DD0"/>
    <w:rsid w:val="0068297A"/>
    <w:rsid w:val="0068638B"/>
    <w:rsid w:val="00693C5F"/>
    <w:rsid w:val="006946CF"/>
    <w:rsid w:val="00694C49"/>
    <w:rsid w:val="00694CA2"/>
    <w:rsid w:val="00694E61"/>
    <w:rsid w:val="00695654"/>
    <w:rsid w:val="006964FC"/>
    <w:rsid w:val="006A027C"/>
    <w:rsid w:val="006A0399"/>
    <w:rsid w:val="006A0B2C"/>
    <w:rsid w:val="006B722D"/>
    <w:rsid w:val="006B78A8"/>
    <w:rsid w:val="006C0E27"/>
    <w:rsid w:val="006C3225"/>
    <w:rsid w:val="006C49D1"/>
    <w:rsid w:val="006C538E"/>
    <w:rsid w:val="006C6811"/>
    <w:rsid w:val="006D375A"/>
    <w:rsid w:val="006E0BFC"/>
    <w:rsid w:val="006E7700"/>
    <w:rsid w:val="006E7EC8"/>
    <w:rsid w:val="006F0D23"/>
    <w:rsid w:val="006F1A5D"/>
    <w:rsid w:val="006F6421"/>
    <w:rsid w:val="00701961"/>
    <w:rsid w:val="0070395B"/>
    <w:rsid w:val="007118BA"/>
    <w:rsid w:val="00712DF9"/>
    <w:rsid w:val="00713A8F"/>
    <w:rsid w:val="0071602B"/>
    <w:rsid w:val="007169A6"/>
    <w:rsid w:val="00722EF1"/>
    <w:rsid w:val="00730F36"/>
    <w:rsid w:val="00736352"/>
    <w:rsid w:val="007367FE"/>
    <w:rsid w:val="00742122"/>
    <w:rsid w:val="007540E5"/>
    <w:rsid w:val="007544BD"/>
    <w:rsid w:val="007566C8"/>
    <w:rsid w:val="00760A24"/>
    <w:rsid w:val="00761B8A"/>
    <w:rsid w:val="0076301C"/>
    <w:rsid w:val="0076429A"/>
    <w:rsid w:val="00766B00"/>
    <w:rsid w:val="0077011C"/>
    <w:rsid w:val="00773778"/>
    <w:rsid w:val="00780FA7"/>
    <w:rsid w:val="0078149A"/>
    <w:rsid w:val="00783017"/>
    <w:rsid w:val="00783450"/>
    <w:rsid w:val="007872F8"/>
    <w:rsid w:val="00790155"/>
    <w:rsid w:val="007950D5"/>
    <w:rsid w:val="007A23F4"/>
    <w:rsid w:val="007A25BA"/>
    <w:rsid w:val="007B21E1"/>
    <w:rsid w:val="007B7BA3"/>
    <w:rsid w:val="007C1F70"/>
    <w:rsid w:val="007C1F72"/>
    <w:rsid w:val="007C66FE"/>
    <w:rsid w:val="007E0D23"/>
    <w:rsid w:val="007E19FA"/>
    <w:rsid w:val="007E4029"/>
    <w:rsid w:val="007E4753"/>
    <w:rsid w:val="007F0083"/>
    <w:rsid w:val="007F4D03"/>
    <w:rsid w:val="0080381B"/>
    <w:rsid w:val="008137A3"/>
    <w:rsid w:val="0081544B"/>
    <w:rsid w:val="00833172"/>
    <w:rsid w:val="00835B1F"/>
    <w:rsid w:val="00836F8A"/>
    <w:rsid w:val="008602A9"/>
    <w:rsid w:val="008637F1"/>
    <w:rsid w:val="00864706"/>
    <w:rsid w:val="008760AC"/>
    <w:rsid w:val="008800A8"/>
    <w:rsid w:val="00881B06"/>
    <w:rsid w:val="0088299B"/>
    <w:rsid w:val="00883BBC"/>
    <w:rsid w:val="00883E00"/>
    <w:rsid w:val="008865FF"/>
    <w:rsid w:val="008903C7"/>
    <w:rsid w:val="0089123E"/>
    <w:rsid w:val="008913B8"/>
    <w:rsid w:val="00896BE4"/>
    <w:rsid w:val="008979CC"/>
    <w:rsid w:val="008A0078"/>
    <w:rsid w:val="008B073C"/>
    <w:rsid w:val="008B1A88"/>
    <w:rsid w:val="008B1D80"/>
    <w:rsid w:val="008B2CE2"/>
    <w:rsid w:val="008B5D37"/>
    <w:rsid w:val="008C4AB8"/>
    <w:rsid w:val="008C5EA9"/>
    <w:rsid w:val="008C74BC"/>
    <w:rsid w:val="008D21A7"/>
    <w:rsid w:val="008E2C9F"/>
    <w:rsid w:val="008F4CEA"/>
    <w:rsid w:val="008F7963"/>
    <w:rsid w:val="00901534"/>
    <w:rsid w:val="00913179"/>
    <w:rsid w:val="00925F0C"/>
    <w:rsid w:val="009274AE"/>
    <w:rsid w:val="009325DE"/>
    <w:rsid w:val="00941604"/>
    <w:rsid w:val="00942CCC"/>
    <w:rsid w:val="009628EE"/>
    <w:rsid w:val="0096421C"/>
    <w:rsid w:val="0096649F"/>
    <w:rsid w:val="00973BDE"/>
    <w:rsid w:val="00981370"/>
    <w:rsid w:val="00982F1B"/>
    <w:rsid w:val="0098379E"/>
    <w:rsid w:val="009865AA"/>
    <w:rsid w:val="00990CE0"/>
    <w:rsid w:val="009A2CA3"/>
    <w:rsid w:val="009A7525"/>
    <w:rsid w:val="009B30A2"/>
    <w:rsid w:val="009B4B99"/>
    <w:rsid w:val="009C1103"/>
    <w:rsid w:val="009C1B35"/>
    <w:rsid w:val="009D00D9"/>
    <w:rsid w:val="009D04FF"/>
    <w:rsid w:val="009D1F92"/>
    <w:rsid w:val="009D5971"/>
    <w:rsid w:val="009D6EFB"/>
    <w:rsid w:val="009E193A"/>
    <w:rsid w:val="009E7447"/>
    <w:rsid w:val="009F1A57"/>
    <w:rsid w:val="009F590A"/>
    <w:rsid w:val="00A00444"/>
    <w:rsid w:val="00A011DF"/>
    <w:rsid w:val="00A04E49"/>
    <w:rsid w:val="00A06D21"/>
    <w:rsid w:val="00A079DB"/>
    <w:rsid w:val="00A10F73"/>
    <w:rsid w:val="00A12488"/>
    <w:rsid w:val="00A22EBF"/>
    <w:rsid w:val="00A279E1"/>
    <w:rsid w:val="00A307C5"/>
    <w:rsid w:val="00A315B5"/>
    <w:rsid w:val="00A51639"/>
    <w:rsid w:val="00A64B28"/>
    <w:rsid w:val="00A6743C"/>
    <w:rsid w:val="00A70F36"/>
    <w:rsid w:val="00A73E6F"/>
    <w:rsid w:val="00A74F64"/>
    <w:rsid w:val="00A758E0"/>
    <w:rsid w:val="00A9211E"/>
    <w:rsid w:val="00AA0B9A"/>
    <w:rsid w:val="00AA3DFD"/>
    <w:rsid w:val="00AA4EC4"/>
    <w:rsid w:val="00AA7541"/>
    <w:rsid w:val="00AB18AB"/>
    <w:rsid w:val="00AB3848"/>
    <w:rsid w:val="00AB4E93"/>
    <w:rsid w:val="00AB7F38"/>
    <w:rsid w:val="00AC47C4"/>
    <w:rsid w:val="00AD0062"/>
    <w:rsid w:val="00AD1B3B"/>
    <w:rsid w:val="00AD3C9F"/>
    <w:rsid w:val="00AD460B"/>
    <w:rsid w:val="00AD5218"/>
    <w:rsid w:val="00AE1AAE"/>
    <w:rsid w:val="00AE1E61"/>
    <w:rsid w:val="00AE2326"/>
    <w:rsid w:val="00AE6384"/>
    <w:rsid w:val="00AF049D"/>
    <w:rsid w:val="00AF1739"/>
    <w:rsid w:val="00AF49C1"/>
    <w:rsid w:val="00AF6F3E"/>
    <w:rsid w:val="00B028E4"/>
    <w:rsid w:val="00B07E47"/>
    <w:rsid w:val="00B17458"/>
    <w:rsid w:val="00B2189C"/>
    <w:rsid w:val="00B22AD5"/>
    <w:rsid w:val="00B23001"/>
    <w:rsid w:val="00B24D2E"/>
    <w:rsid w:val="00B2506A"/>
    <w:rsid w:val="00B27562"/>
    <w:rsid w:val="00B30F4D"/>
    <w:rsid w:val="00B31151"/>
    <w:rsid w:val="00B3115C"/>
    <w:rsid w:val="00B33DE0"/>
    <w:rsid w:val="00B3539A"/>
    <w:rsid w:val="00B41A29"/>
    <w:rsid w:val="00B44196"/>
    <w:rsid w:val="00B44322"/>
    <w:rsid w:val="00B46EA3"/>
    <w:rsid w:val="00B6327E"/>
    <w:rsid w:val="00B719CE"/>
    <w:rsid w:val="00B73FE8"/>
    <w:rsid w:val="00B75984"/>
    <w:rsid w:val="00B81C3E"/>
    <w:rsid w:val="00B83591"/>
    <w:rsid w:val="00B97D2F"/>
    <w:rsid w:val="00BA0571"/>
    <w:rsid w:val="00BA1401"/>
    <w:rsid w:val="00BA1D26"/>
    <w:rsid w:val="00BA319C"/>
    <w:rsid w:val="00BB01A9"/>
    <w:rsid w:val="00BB07FB"/>
    <w:rsid w:val="00BB0CC3"/>
    <w:rsid w:val="00BB4099"/>
    <w:rsid w:val="00BB4564"/>
    <w:rsid w:val="00BC019B"/>
    <w:rsid w:val="00BC37EE"/>
    <w:rsid w:val="00BC4195"/>
    <w:rsid w:val="00BD1520"/>
    <w:rsid w:val="00BD2AD9"/>
    <w:rsid w:val="00BD2D48"/>
    <w:rsid w:val="00BD485E"/>
    <w:rsid w:val="00BE1191"/>
    <w:rsid w:val="00BE2611"/>
    <w:rsid w:val="00BE72AF"/>
    <w:rsid w:val="00BF544F"/>
    <w:rsid w:val="00C0033E"/>
    <w:rsid w:val="00C03881"/>
    <w:rsid w:val="00C062CB"/>
    <w:rsid w:val="00C1331E"/>
    <w:rsid w:val="00C15F80"/>
    <w:rsid w:val="00C222AD"/>
    <w:rsid w:val="00C25DD0"/>
    <w:rsid w:val="00C32EC3"/>
    <w:rsid w:val="00C33B30"/>
    <w:rsid w:val="00C36C02"/>
    <w:rsid w:val="00C3742A"/>
    <w:rsid w:val="00C3798E"/>
    <w:rsid w:val="00C4369F"/>
    <w:rsid w:val="00C43B58"/>
    <w:rsid w:val="00C43FDF"/>
    <w:rsid w:val="00C525AC"/>
    <w:rsid w:val="00C636E6"/>
    <w:rsid w:val="00C643C9"/>
    <w:rsid w:val="00C6512E"/>
    <w:rsid w:val="00C745A1"/>
    <w:rsid w:val="00C7596B"/>
    <w:rsid w:val="00C7625F"/>
    <w:rsid w:val="00C80539"/>
    <w:rsid w:val="00C80E60"/>
    <w:rsid w:val="00C81BC9"/>
    <w:rsid w:val="00C826C9"/>
    <w:rsid w:val="00C91749"/>
    <w:rsid w:val="00C9189F"/>
    <w:rsid w:val="00C93388"/>
    <w:rsid w:val="00C93570"/>
    <w:rsid w:val="00C93A97"/>
    <w:rsid w:val="00CA22C7"/>
    <w:rsid w:val="00CC2123"/>
    <w:rsid w:val="00CC2C5D"/>
    <w:rsid w:val="00CC48B0"/>
    <w:rsid w:val="00CD01AD"/>
    <w:rsid w:val="00CD098A"/>
    <w:rsid w:val="00CD2134"/>
    <w:rsid w:val="00CD23A9"/>
    <w:rsid w:val="00CD4FED"/>
    <w:rsid w:val="00CD51D5"/>
    <w:rsid w:val="00CD5E7E"/>
    <w:rsid w:val="00CD74A4"/>
    <w:rsid w:val="00CD7853"/>
    <w:rsid w:val="00CE3269"/>
    <w:rsid w:val="00CE5808"/>
    <w:rsid w:val="00CF0CF1"/>
    <w:rsid w:val="00CF380F"/>
    <w:rsid w:val="00CF5BF8"/>
    <w:rsid w:val="00CF7A22"/>
    <w:rsid w:val="00D03120"/>
    <w:rsid w:val="00D125EB"/>
    <w:rsid w:val="00D149F1"/>
    <w:rsid w:val="00D25AE2"/>
    <w:rsid w:val="00D371CF"/>
    <w:rsid w:val="00D45135"/>
    <w:rsid w:val="00D47047"/>
    <w:rsid w:val="00D47F13"/>
    <w:rsid w:val="00D541CF"/>
    <w:rsid w:val="00D55AD2"/>
    <w:rsid w:val="00D63B4A"/>
    <w:rsid w:val="00D63F22"/>
    <w:rsid w:val="00D64587"/>
    <w:rsid w:val="00D66438"/>
    <w:rsid w:val="00D75600"/>
    <w:rsid w:val="00D80CA9"/>
    <w:rsid w:val="00D81065"/>
    <w:rsid w:val="00D81DC5"/>
    <w:rsid w:val="00D83800"/>
    <w:rsid w:val="00D85CCA"/>
    <w:rsid w:val="00D86D78"/>
    <w:rsid w:val="00D90C46"/>
    <w:rsid w:val="00D94F3D"/>
    <w:rsid w:val="00DA1CBE"/>
    <w:rsid w:val="00DA7DA8"/>
    <w:rsid w:val="00DB73DB"/>
    <w:rsid w:val="00DC7CF9"/>
    <w:rsid w:val="00DD2A51"/>
    <w:rsid w:val="00DD5338"/>
    <w:rsid w:val="00DD6002"/>
    <w:rsid w:val="00DD69B7"/>
    <w:rsid w:val="00DE7813"/>
    <w:rsid w:val="00DF0117"/>
    <w:rsid w:val="00DF18B6"/>
    <w:rsid w:val="00DF1C2D"/>
    <w:rsid w:val="00DF642B"/>
    <w:rsid w:val="00E039E8"/>
    <w:rsid w:val="00E053CA"/>
    <w:rsid w:val="00E1258A"/>
    <w:rsid w:val="00E14889"/>
    <w:rsid w:val="00E16198"/>
    <w:rsid w:val="00E20738"/>
    <w:rsid w:val="00E208B7"/>
    <w:rsid w:val="00E259EA"/>
    <w:rsid w:val="00E26266"/>
    <w:rsid w:val="00E27397"/>
    <w:rsid w:val="00E3282B"/>
    <w:rsid w:val="00E34644"/>
    <w:rsid w:val="00E35970"/>
    <w:rsid w:val="00E4025B"/>
    <w:rsid w:val="00E45276"/>
    <w:rsid w:val="00E4629E"/>
    <w:rsid w:val="00E50CBA"/>
    <w:rsid w:val="00E54D02"/>
    <w:rsid w:val="00E55A18"/>
    <w:rsid w:val="00E55FD9"/>
    <w:rsid w:val="00E6373A"/>
    <w:rsid w:val="00E66EC6"/>
    <w:rsid w:val="00E7086E"/>
    <w:rsid w:val="00E7166D"/>
    <w:rsid w:val="00E73092"/>
    <w:rsid w:val="00E76761"/>
    <w:rsid w:val="00E77B0B"/>
    <w:rsid w:val="00E83864"/>
    <w:rsid w:val="00E8758A"/>
    <w:rsid w:val="00E90678"/>
    <w:rsid w:val="00E91556"/>
    <w:rsid w:val="00E94D9E"/>
    <w:rsid w:val="00E96BE1"/>
    <w:rsid w:val="00EA256F"/>
    <w:rsid w:val="00EB0F23"/>
    <w:rsid w:val="00EB5CE8"/>
    <w:rsid w:val="00EC3C33"/>
    <w:rsid w:val="00EC4E18"/>
    <w:rsid w:val="00ED5F10"/>
    <w:rsid w:val="00EE29A1"/>
    <w:rsid w:val="00EE45D0"/>
    <w:rsid w:val="00EE533C"/>
    <w:rsid w:val="00EE616E"/>
    <w:rsid w:val="00EF2BD1"/>
    <w:rsid w:val="00F02E67"/>
    <w:rsid w:val="00F1365F"/>
    <w:rsid w:val="00F172DB"/>
    <w:rsid w:val="00F223CC"/>
    <w:rsid w:val="00F23D92"/>
    <w:rsid w:val="00F25E04"/>
    <w:rsid w:val="00F2773C"/>
    <w:rsid w:val="00F30045"/>
    <w:rsid w:val="00F3207E"/>
    <w:rsid w:val="00F33397"/>
    <w:rsid w:val="00F33FB2"/>
    <w:rsid w:val="00F35525"/>
    <w:rsid w:val="00F40190"/>
    <w:rsid w:val="00F4300C"/>
    <w:rsid w:val="00F462D4"/>
    <w:rsid w:val="00F479F7"/>
    <w:rsid w:val="00F50101"/>
    <w:rsid w:val="00F5076D"/>
    <w:rsid w:val="00F50856"/>
    <w:rsid w:val="00F5221B"/>
    <w:rsid w:val="00F534C5"/>
    <w:rsid w:val="00F62AC2"/>
    <w:rsid w:val="00F62E33"/>
    <w:rsid w:val="00F63046"/>
    <w:rsid w:val="00F70CF8"/>
    <w:rsid w:val="00F73805"/>
    <w:rsid w:val="00F74A15"/>
    <w:rsid w:val="00F76930"/>
    <w:rsid w:val="00F77121"/>
    <w:rsid w:val="00F8042D"/>
    <w:rsid w:val="00F82F3E"/>
    <w:rsid w:val="00F85181"/>
    <w:rsid w:val="00F9071E"/>
    <w:rsid w:val="00F9736A"/>
    <w:rsid w:val="00FA01A2"/>
    <w:rsid w:val="00FA17E2"/>
    <w:rsid w:val="00FA2F26"/>
    <w:rsid w:val="00FA6503"/>
    <w:rsid w:val="00FB4220"/>
    <w:rsid w:val="00FB6A50"/>
    <w:rsid w:val="00FB7115"/>
    <w:rsid w:val="00FB79D0"/>
    <w:rsid w:val="00FC18E5"/>
    <w:rsid w:val="00FC29AB"/>
    <w:rsid w:val="00FC36E3"/>
    <w:rsid w:val="00FD300E"/>
    <w:rsid w:val="00FD55E4"/>
    <w:rsid w:val="00FD5A31"/>
    <w:rsid w:val="00FE03B1"/>
    <w:rsid w:val="00FE7DA0"/>
    <w:rsid w:val="00FF1C7D"/>
    <w:rsid w:val="00FF3895"/>
    <w:rsid w:val="00FF5E49"/>
    <w:rsid w:val="011F13EE"/>
    <w:rsid w:val="017466D8"/>
    <w:rsid w:val="018E717F"/>
    <w:rsid w:val="01956153"/>
    <w:rsid w:val="03062BBA"/>
    <w:rsid w:val="037E54BC"/>
    <w:rsid w:val="0392296D"/>
    <w:rsid w:val="04111E03"/>
    <w:rsid w:val="045237D1"/>
    <w:rsid w:val="049E513C"/>
    <w:rsid w:val="04C269C4"/>
    <w:rsid w:val="050F0830"/>
    <w:rsid w:val="057E14B1"/>
    <w:rsid w:val="06080C05"/>
    <w:rsid w:val="07012370"/>
    <w:rsid w:val="076866F2"/>
    <w:rsid w:val="07B633F2"/>
    <w:rsid w:val="09A02B10"/>
    <w:rsid w:val="0A157A33"/>
    <w:rsid w:val="0AD37089"/>
    <w:rsid w:val="0BA91D58"/>
    <w:rsid w:val="0C7755AC"/>
    <w:rsid w:val="0CA179EA"/>
    <w:rsid w:val="0CDC543C"/>
    <w:rsid w:val="0D3B3D25"/>
    <w:rsid w:val="0D6A6EEC"/>
    <w:rsid w:val="0DFD2FF2"/>
    <w:rsid w:val="0EF61883"/>
    <w:rsid w:val="0FB82800"/>
    <w:rsid w:val="10F059C9"/>
    <w:rsid w:val="12BD75FE"/>
    <w:rsid w:val="12CC2C55"/>
    <w:rsid w:val="12F0028B"/>
    <w:rsid w:val="13F5664F"/>
    <w:rsid w:val="145410DE"/>
    <w:rsid w:val="146B7E96"/>
    <w:rsid w:val="14B855B5"/>
    <w:rsid w:val="14F5454A"/>
    <w:rsid w:val="160156F6"/>
    <w:rsid w:val="18D81EAC"/>
    <w:rsid w:val="1A151C99"/>
    <w:rsid w:val="1BDD7C71"/>
    <w:rsid w:val="1C2D30C9"/>
    <w:rsid w:val="1C6420A1"/>
    <w:rsid w:val="1C6D3B99"/>
    <w:rsid w:val="1D027CE6"/>
    <w:rsid w:val="1D5900FE"/>
    <w:rsid w:val="1F385E33"/>
    <w:rsid w:val="1F5B40FF"/>
    <w:rsid w:val="1FE86487"/>
    <w:rsid w:val="20175112"/>
    <w:rsid w:val="20E868AC"/>
    <w:rsid w:val="20F868FC"/>
    <w:rsid w:val="212D69FF"/>
    <w:rsid w:val="21442184"/>
    <w:rsid w:val="21A262B9"/>
    <w:rsid w:val="22A3352A"/>
    <w:rsid w:val="2406664E"/>
    <w:rsid w:val="24076B0E"/>
    <w:rsid w:val="24221444"/>
    <w:rsid w:val="247C23DF"/>
    <w:rsid w:val="25276D09"/>
    <w:rsid w:val="25EA7803"/>
    <w:rsid w:val="26850453"/>
    <w:rsid w:val="27962D8C"/>
    <w:rsid w:val="27F63577"/>
    <w:rsid w:val="28B74C8E"/>
    <w:rsid w:val="29354D72"/>
    <w:rsid w:val="2965721A"/>
    <w:rsid w:val="2A60138A"/>
    <w:rsid w:val="2AA13B51"/>
    <w:rsid w:val="2ADF1CBE"/>
    <w:rsid w:val="2B7C3713"/>
    <w:rsid w:val="2BB407A2"/>
    <w:rsid w:val="2D1C52E6"/>
    <w:rsid w:val="2D483E6E"/>
    <w:rsid w:val="2D4D7242"/>
    <w:rsid w:val="2D50493B"/>
    <w:rsid w:val="2DF73530"/>
    <w:rsid w:val="2EF56295"/>
    <w:rsid w:val="308A344E"/>
    <w:rsid w:val="30E156D0"/>
    <w:rsid w:val="30FF3201"/>
    <w:rsid w:val="313260E0"/>
    <w:rsid w:val="313540B0"/>
    <w:rsid w:val="31927224"/>
    <w:rsid w:val="31991E29"/>
    <w:rsid w:val="3245562E"/>
    <w:rsid w:val="327F6813"/>
    <w:rsid w:val="33E069AE"/>
    <w:rsid w:val="33FC45ED"/>
    <w:rsid w:val="34B31D3A"/>
    <w:rsid w:val="34DE71C2"/>
    <w:rsid w:val="35504838"/>
    <w:rsid w:val="3591313F"/>
    <w:rsid w:val="362E5A67"/>
    <w:rsid w:val="37B709F9"/>
    <w:rsid w:val="38C55980"/>
    <w:rsid w:val="3A6D680D"/>
    <w:rsid w:val="3A8527A3"/>
    <w:rsid w:val="3B511B34"/>
    <w:rsid w:val="3C251139"/>
    <w:rsid w:val="3ED54C91"/>
    <w:rsid w:val="3EDC1379"/>
    <w:rsid w:val="3EDD4F62"/>
    <w:rsid w:val="3EFA4724"/>
    <w:rsid w:val="41456632"/>
    <w:rsid w:val="415C0AA0"/>
    <w:rsid w:val="41FD2F74"/>
    <w:rsid w:val="425901F0"/>
    <w:rsid w:val="4432647A"/>
    <w:rsid w:val="44862F04"/>
    <w:rsid w:val="453A293F"/>
    <w:rsid w:val="45D93AE3"/>
    <w:rsid w:val="45E75450"/>
    <w:rsid w:val="46D12EB0"/>
    <w:rsid w:val="47C34AF9"/>
    <w:rsid w:val="482F185E"/>
    <w:rsid w:val="487264E2"/>
    <w:rsid w:val="487268E5"/>
    <w:rsid w:val="48FC14DF"/>
    <w:rsid w:val="49081FC6"/>
    <w:rsid w:val="4999762C"/>
    <w:rsid w:val="49B90805"/>
    <w:rsid w:val="49EC4BEF"/>
    <w:rsid w:val="4A6A3D80"/>
    <w:rsid w:val="4B066C4A"/>
    <w:rsid w:val="4B9A3E17"/>
    <w:rsid w:val="4C954155"/>
    <w:rsid w:val="4CCF001C"/>
    <w:rsid w:val="4D433862"/>
    <w:rsid w:val="4E9533CE"/>
    <w:rsid w:val="4EE44910"/>
    <w:rsid w:val="50A624AC"/>
    <w:rsid w:val="518B3209"/>
    <w:rsid w:val="51F17248"/>
    <w:rsid w:val="521C4028"/>
    <w:rsid w:val="525C1FBB"/>
    <w:rsid w:val="526830E5"/>
    <w:rsid w:val="526B3A47"/>
    <w:rsid w:val="527E4FFD"/>
    <w:rsid w:val="532F0BB4"/>
    <w:rsid w:val="534E0E69"/>
    <w:rsid w:val="53A74A5C"/>
    <w:rsid w:val="54811EF4"/>
    <w:rsid w:val="54ED05E4"/>
    <w:rsid w:val="54FC5F59"/>
    <w:rsid w:val="55B05C00"/>
    <w:rsid w:val="56312BBA"/>
    <w:rsid w:val="563947DD"/>
    <w:rsid w:val="572C698F"/>
    <w:rsid w:val="577502EC"/>
    <w:rsid w:val="57A71AC0"/>
    <w:rsid w:val="593454F4"/>
    <w:rsid w:val="594B6085"/>
    <w:rsid w:val="59814E6F"/>
    <w:rsid w:val="59F162AE"/>
    <w:rsid w:val="5A041B55"/>
    <w:rsid w:val="5B1D5FCD"/>
    <w:rsid w:val="5BA32B67"/>
    <w:rsid w:val="5CC438A8"/>
    <w:rsid w:val="5CD33DDA"/>
    <w:rsid w:val="5E047223"/>
    <w:rsid w:val="5E6D2E6F"/>
    <w:rsid w:val="5ED1599A"/>
    <w:rsid w:val="5EF2383F"/>
    <w:rsid w:val="5F27774D"/>
    <w:rsid w:val="5F3112D6"/>
    <w:rsid w:val="5F545755"/>
    <w:rsid w:val="5FCF154A"/>
    <w:rsid w:val="5FE91746"/>
    <w:rsid w:val="5FF67D60"/>
    <w:rsid w:val="60681418"/>
    <w:rsid w:val="608B2697"/>
    <w:rsid w:val="60EC57A5"/>
    <w:rsid w:val="615955B2"/>
    <w:rsid w:val="61B768AF"/>
    <w:rsid w:val="63072D92"/>
    <w:rsid w:val="6529770E"/>
    <w:rsid w:val="659E4D6C"/>
    <w:rsid w:val="65EF3E67"/>
    <w:rsid w:val="6759307E"/>
    <w:rsid w:val="675C27FC"/>
    <w:rsid w:val="68AC7668"/>
    <w:rsid w:val="691F7067"/>
    <w:rsid w:val="693022EC"/>
    <w:rsid w:val="69C63357"/>
    <w:rsid w:val="6A9C0C92"/>
    <w:rsid w:val="6B16709E"/>
    <w:rsid w:val="6B6A128C"/>
    <w:rsid w:val="6B7444F1"/>
    <w:rsid w:val="6B934750"/>
    <w:rsid w:val="6C2B2778"/>
    <w:rsid w:val="6C435576"/>
    <w:rsid w:val="6D543C8A"/>
    <w:rsid w:val="6E9844D6"/>
    <w:rsid w:val="71C349F4"/>
    <w:rsid w:val="72521388"/>
    <w:rsid w:val="72F70060"/>
    <w:rsid w:val="72FC0E02"/>
    <w:rsid w:val="74EF7237"/>
    <w:rsid w:val="76864ADF"/>
    <w:rsid w:val="77EB7C35"/>
    <w:rsid w:val="78B47BE4"/>
    <w:rsid w:val="78CD44A7"/>
    <w:rsid w:val="78E55471"/>
    <w:rsid w:val="79657E42"/>
    <w:rsid w:val="7A8D5CF6"/>
    <w:rsid w:val="7AB951A5"/>
    <w:rsid w:val="7B194913"/>
    <w:rsid w:val="7B2463C7"/>
    <w:rsid w:val="7BD00B6A"/>
    <w:rsid w:val="7D8B02DE"/>
    <w:rsid w:val="7E366755"/>
    <w:rsid w:val="7E54702D"/>
    <w:rsid w:val="7E6459CD"/>
    <w:rsid w:val="7EFE0DC2"/>
    <w:rsid w:val="7F0B1AD3"/>
    <w:rsid w:val="7FA908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locked/>
    <w:uiPriority w:val="0"/>
    <w:pPr>
      <w:keepNext/>
      <w:numPr>
        <w:ilvl w:val="0"/>
        <w:numId w:val="1"/>
      </w:numPr>
      <w:outlineLvl w:val="0"/>
    </w:pPr>
    <w:rPr>
      <w:sz w:val="28"/>
      <w:szCs w:val="20"/>
    </w:rPr>
  </w:style>
  <w:style w:type="paragraph" w:styleId="4">
    <w:name w:val="heading 2"/>
    <w:basedOn w:val="1"/>
    <w:next w:val="1"/>
    <w:link w:val="56"/>
    <w:qFormat/>
    <w:locked/>
    <w:uiPriority w:val="0"/>
    <w:pPr>
      <w:keepNext/>
      <w:numPr>
        <w:ilvl w:val="0"/>
        <w:numId w:val="2"/>
      </w:numPr>
      <w:outlineLvl w:val="1"/>
    </w:pPr>
    <w:rPr>
      <w:rFonts w:eastAsia="仿宋_GB2312"/>
      <w:b/>
      <w:sz w:val="28"/>
      <w:szCs w:val="20"/>
    </w:rPr>
  </w:style>
  <w:style w:type="paragraph" w:styleId="5">
    <w:name w:val="heading 3"/>
    <w:basedOn w:val="1"/>
    <w:next w:val="6"/>
    <w:link w:val="57"/>
    <w:qFormat/>
    <w:locked/>
    <w:uiPriority w:val="0"/>
    <w:pPr>
      <w:keepNext/>
      <w:numPr>
        <w:ilvl w:val="0"/>
        <w:numId w:val="3"/>
      </w:numPr>
      <w:outlineLvl w:val="2"/>
    </w:pPr>
    <w:rPr>
      <w:b/>
      <w:sz w:val="28"/>
      <w:szCs w:val="20"/>
    </w:rPr>
  </w:style>
  <w:style w:type="paragraph" w:styleId="7">
    <w:name w:val="heading 4"/>
    <w:basedOn w:val="1"/>
    <w:next w:val="1"/>
    <w:link w:val="53"/>
    <w:qFormat/>
    <w:locked/>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54"/>
    <w:unhideWhenUsed/>
    <w:qFormat/>
    <w:locked/>
    <w:uiPriority w:val="0"/>
    <w:pPr>
      <w:keepNext/>
      <w:keepLines/>
      <w:spacing w:before="280" w:after="290" w:line="376" w:lineRule="auto"/>
      <w:outlineLvl w:val="4"/>
    </w:pPr>
    <w:rPr>
      <w:b/>
      <w:bCs/>
      <w:sz w:val="28"/>
      <w:szCs w:val="28"/>
    </w:rPr>
  </w:style>
  <w:style w:type="paragraph" w:styleId="9">
    <w:name w:val="heading 6"/>
    <w:basedOn w:val="1"/>
    <w:next w:val="1"/>
    <w:link w:val="58"/>
    <w:qFormat/>
    <w:locked/>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59"/>
    <w:qFormat/>
    <w:locked/>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60"/>
    <w:qFormat/>
    <w:locked/>
    <w:uiPriority w:val="0"/>
    <w:pPr>
      <w:keepNext/>
      <w:keepLines/>
      <w:spacing w:before="240" w:after="64" w:line="317" w:lineRule="auto"/>
      <w:outlineLvl w:val="7"/>
    </w:pPr>
    <w:rPr>
      <w:rFonts w:ascii="Cambria" w:hAnsi="Cambria"/>
      <w:sz w:val="24"/>
    </w:rPr>
  </w:style>
  <w:style w:type="paragraph" w:styleId="12">
    <w:name w:val="heading 9"/>
    <w:basedOn w:val="1"/>
    <w:next w:val="1"/>
    <w:link w:val="61"/>
    <w:qFormat/>
    <w:locked/>
    <w:uiPriority w:val="0"/>
    <w:pPr>
      <w:keepNext/>
      <w:keepLines/>
      <w:spacing w:before="240" w:after="64" w:line="317" w:lineRule="auto"/>
      <w:outlineLvl w:val="8"/>
    </w:pPr>
    <w:rPr>
      <w:rFonts w:ascii="Cambria" w:hAnsi="Cambria"/>
      <w:szCs w:val="21"/>
    </w:rPr>
  </w:style>
  <w:style w:type="character" w:default="1" w:styleId="36">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69"/>
    <w:qFormat/>
    <w:locked/>
    <w:uiPriority w:val="0"/>
    <w:pPr>
      <w:spacing w:before="240" w:after="60"/>
      <w:jc w:val="center"/>
      <w:outlineLvl w:val="0"/>
    </w:pPr>
    <w:rPr>
      <w:rFonts w:ascii="Cambria" w:hAnsi="Cambria"/>
      <w:b/>
      <w:bCs/>
      <w:sz w:val="32"/>
      <w:szCs w:val="32"/>
    </w:rPr>
  </w:style>
  <w:style w:type="paragraph" w:styleId="6">
    <w:name w:val="Normal Indent"/>
    <w:basedOn w:val="1"/>
    <w:qFormat/>
    <w:uiPriority w:val="0"/>
    <w:pPr>
      <w:spacing w:line="360" w:lineRule="auto"/>
      <w:jc w:val="center"/>
    </w:pPr>
    <w:rPr>
      <w:rFonts w:ascii="仿宋_GB2312" w:hAnsi="宋体" w:eastAsia="仿宋_GB2312" w:cs="宋体"/>
      <w:b/>
      <w:bCs/>
      <w:color w:val="000000"/>
      <w:kern w:val="0"/>
      <w:sz w:val="32"/>
      <w:szCs w:val="32"/>
    </w:rPr>
  </w:style>
  <w:style w:type="paragraph" w:styleId="13">
    <w:name w:val="annotation subject"/>
    <w:basedOn w:val="14"/>
    <w:next w:val="14"/>
    <w:link w:val="76"/>
    <w:qFormat/>
    <w:uiPriority w:val="0"/>
    <w:rPr>
      <w:rFonts w:ascii="宋体"/>
      <w:b/>
      <w:bCs/>
      <w:sz w:val="28"/>
      <w:szCs w:val="22"/>
    </w:rPr>
  </w:style>
  <w:style w:type="paragraph" w:styleId="14">
    <w:name w:val="annotation text"/>
    <w:basedOn w:val="1"/>
    <w:link w:val="85"/>
    <w:semiHidden/>
    <w:qFormat/>
    <w:uiPriority w:val="0"/>
    <w:pPr>
      <w:jc w:val="left"/>
    </w:pPr>
    <w:rPr>
      <w:rFonts w:ascii="Calibri" w:hAnsi="Calibri"/>
    </w:rPr>
  </w:style>
  <w:style w:type="paragraph" w:styleId="15">
    <w:name w:val="toc 7"/>
    <w:basedOn w:val="1"/>
    <w:next w:val="1"/>
    <w:qFormat/>
    <w:locked/>
    <w:uiPriority w:val="0"/>
    <w:pPr>
      <w:ind w:left="2520" w:leftChars="1200"/>
    </w:pPr>
    <w:rPr>
      <w:rFonts w:ascii="Calibri" w:hAnsi="Calibri"/>
      <w:szCs w:val="22"/>
    </w:rPr>
  </w:style>
  <w:style w:type="paragraph" w:styleId="16">
    <w:name w:val="caption"/>
    <w:basedOn w:val="1"/>
    <w:next w:val="1"/>
    <w:qFormat/>
    <w:locked/>
    <w:uiPriority w:val="0"/>
    <w:rPr>
      <w:rFonts w:ascii="Cambria" w:hAnsi="Cambria" w:eastAsia="黑体"/>
      <w:sz w:val="20"/>
      <w:szCs w:val="20"/>
    </w:rPr>
  </w:style>
  <w:style w:type="paragraph" w:styleId="17">
    <w:name w:val="Document Map"/>
    <w:basedOn w:val="1"/>
    <w:link w:val="89"/>
    <w:qFormat/>
    <w:uiPriority w:val="0"/>
    <w:pPr>
      <w:shd w:val="clear" w:color="auto" w:fill="000080"/>
    </w:pPr>
    <w:rPr>
      <w:rFonts w:ascii="Calibri" w:hAnsi="Calibri"/>
      <w:shd w:val="clear" w:color="auto" w:fill="000080"/>
    </w:rPr>
  </w:style>
  <w:style w:type="paragraph" w:styleId="18">
    <w:name w:val="Body Text"/>
    <w:basedOn w:val="1"/>
    <w:link w:val="63"/>
    <w:qFormat/>
    <w:uiPriority w:val="0"/>
    <w:pPr>
      <w:jc w:val="center"/>
    </w:pPr>
    <w:rPr>
      <w:rFonts w:ascii="幼圆" w:eastAsia="幼圆"/>
      <w:b/>
      <w:sz w:val="44"/>
    </w:rPr>
  </w:style>
  <w:style w:type="paragraph" w:styleId="19">
    <w:name w:val="Body Text Indent"/>
    <w:basedOn w:val="1"/>
    <w:link w:val="62"/>
    <w:qFormat/>
    <w:uiPriority w:val="0"/>
    <w:pPr>
      <w:spacing w:line="500" w:lineRule="exact"/>
      <w:ind w:firstLine="555"/>
    </w:pPr>
    <w:rPr>
      <w:rFonts w:ascii="仿宋_GB2312" w:eastAsia="仿宋_GB2312"/>
      <w:sz w:val="28"/>
      <w:szCs w:val="20"/>
    </w:rPr>
  </w:style>
  <w:style w:type="paragraph" w:styleId="20">
    <w:name w:val="index 4"/>
    <w:basedOn w:val="1"/>
    <w:next w:val="1"/>
    <w:qFormat/>
    <w:uiPriority w:val="0"/>
    <w:pPr>
      <w:ind w:left="600" w:leftChars="600"/>
    </w:pPr>
  </w:style>
  <w:style w:type="paragraph" w:styleId="21">
    <w:name w:val="toc 5"/>
    <w:basedOn w:val="1"/>
    <w:next w:val="1"/>
    <w:qFormat/>
    <w:locked/>
    <w:uiPriority w:val="0"/>
    <w:pPr>
      <w:tabs>
        <w:tab w:val="right" w:leader="dot" w:pos="8296"/>
      </w:tabs>
      <w:ind w:left="1050" w:leftChars="500"/>
    </w:pPr>
    <w:rPr>
      <w:rFonts w:ascii="Calibri" w:hAnsi="Calibri"/>
      <w:szCs w:val="22"/>
    </w:rPr>
  </w:style>
  <w:style w:type="paragraph" w:styleId="22">
    <w:name w:val="toc 3"/>
    <w:basedOn w:val="1"/>
    <w:next w:val="1"/>
    <w:qFormat/>
    <w:locked/>
    <w:uiPriority w:val="0"/>
    <w:pPr>
      <w:ind w:left="840" w:leftChars="400"/>
    </w:pPr>
    <w:rPr>
      <w:rFonts w:ascii="Calibri" w:hAnsi="Calibri"/>
      <w:szCs w:val="22"/>
    </w:rPr>
  </w:style>
  <w:style w:type="paragraph" w:styleId="23">
    <w:name w:val="toc 8"/>
    <w:basedOn w:val="1"/>
    <w:next w:val="1"/>
    <w:qFormat/>
    <w:locked/>
    <w:uiPriority w:val="0"/>
    <w:pPr>
      <w:ind w:left="2940" w:leftChars="1400"/>
    </w:pPr>
    <w:rPr>
      <w:rFonts w:ascii="Calibri" w:hAnsi="Calibri"/>
      <w:szCs w:val="22"/>
    </w:rPr>
  </w:style>
  <w:style w:type="paragraph" w:styleId="24">
    <w:name w:val="Date"/>
    <w:basedOn w:val="1"/>
    <w:next w:val="1"/>
    <w:link w:val="52"/>
    <w:unhideWhenUsed/>
    <w:qFormat/>
    <w:uiPriority w:val="0"/>
    <w:pPr>
      <w:ind w:left="100" w:leftChars="2500"/>
    </w:pPr>
  </w:style>
  <w:style w:type="paragraph" w:styleId="25">
    <w:name w:val="Balloon Text"/>
    <w:basedOn w:val="1"/>
    <w:link w:val="44"/>
    <w:qFormat/>
    <w:uiPriority w:val="0"/>
    <w:rPr>
      <w:sz w:val="18"/>
      <w:szCs w:val="18"/>
    </w:rPr>
  </w:style>
  <w:style w:type="paragraph" w:styleId="26">
    <w:name w:val="footer"/>
    <w:basedOn w:val="1"/>
    <w:link w:val="45"/>
    <w:qFormat/>
    <w:uiPriority w:val="99"/>
    <w:pPr>
      <w:tabs>
        <w:tab w:val="center" w:pos="4153"/>
        <w:tab w:val="right" w:pos="8306"/>
      </w:tabs>
      <w:snapToGrid w:val="0"/>
      <w:jc w:val="left"/>
    </w:pPr>
    <w:rPr>
      <w:rFonts w:ascii="Calibri" w:hAnsi="Calibri"/>
      <w:kern w:val="0"/>
      <w:sz w:val="18"/>
      <w:szCs w:val="18"/>
    </w:rPr>
  </w:style>
  <w:style w:type="paragraph" w:styleId="27">
    <w:name w:val="header"/>
    <w:basedOn w:val="1"/>
    <w:link w:val="4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8">
    <w:name w:val="toc 1"/>
    <w:basedOn w:val="1"/>
    <w:next w:val="1"/>
    <w:qFormat/>
    <w:uiPriority w:val="0"/>
    <w:rPr>
      <w:rFonts w:ascii="Calibri" w:hAnsi="Calibri"/>
      <w:b/>
      <w:szCs w:val="20"/>
    </w:rPr>
  </w:style>
  <w:style w:type="paragraph" w:styleId="29">
    <w:name w:val="toc 4"/>
    <w:basedOn w:val="1"/>
    <w:next w:val="1"/>
    <w:qFormat/>
    <w:locked/>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68"/>
    <w:qFormat/>
    <w:locked/>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locked/>
    <w:uiPriority w:val="0"/>
    <w:pPr>
      <w:ind w:left="2100" w:leftChars="1000"/>
    </w:pPr>
    <w:rPr>
      <w:rFonts w:ascii="Calibri" w:hAnsi="Calibri"/>
      <w:szCs w:val="22"/>
    </w:rPr>
  </w:style>
  <w:style w:type="paragraph" w:styleId="32">
    <w:name w:val="Body Text Indent 3"/>
    <w:basedOn w:val="1"/>
    <w:link w:val="64"/>
    <w:qFormat/>
    <w:uiPriority w:val="0"/>
    <w:pPr>
      <w:spacing w:line="300" w:lineRule="auto"/>
      <w:ind w:firstLine="560" w:firstLineChars="200"/>
    </w:pPr>
    <w:rPr>
      <w:rFonts w:eastAsia="仿宋_GB2312"/>
      <w:sz w:val="28"/>
      <w:szCs w:val="20"/>
    </w:rPr>
  </w:style>
  <w:style w:type="paragraph" w:styleId="33">
    <w:name w:val="toc 2"/>
    <w:basedOn w:val="1"/>
    <w:next w:val="1"/>
    <w:qFormat/>
    <w:locked/>
    <w:uiPriority w:val="0"/>
    <w:pPr>
      <w:ind w:left="420" w:leftChars="200"/>
    </w:pPr>
    <w:rPr>
      <w:rFonts w:ascii="宋体"/>
      <w:b/>
      <w:sz w:val="28"/>
      <w:szCs w:val="20"/>
    </w:rPr>
  </w:style>
  <w:style w:type="paragraph" w:styleId="34">
    <w:name w:val="toc 9"/>
    <w:basedOn w:val="1"/>
    <w:next w:val="1"/>
    <w:qFormat/>
    <w:locked/>
    <w:uiPriority w:val="0"/>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7">
    <w:name w:val="Strong"/>
    <w:qFormat/>
    <w:locked/>
    <w:uiPriority w:val="0"/>
    <w:rPr>
      <w:b/>
      <w:bCs/>
    </w:rPr>
  </w:style>
  <w:style w:type="character" w:styleId="38">
    <w:name w:val="page number"/>
    <w:basedOn w:val="36"/>
    <w:qFormat/>
    <w:uiPriority w:val="0"/>
  </w:style>
  <w:style w:type="character" w:styleId="39">
    <w:name w:val="Emphasis"/>
    <w:qFormat/>
    <w:locked/>
    <w:uiPriority w:val="0"/>
    <w:rPr>
      <w:i/>
      <w:iCs/>
    </w:rPr>
  </w:style>
  <w:style w:type="character" w:styleId="40">
    <w:name w:val="Hyperlink"/>
    <w:qFormat/>
    <w:uiPriority w:val="0"/>
    <w:rPr>
      <w:rFonts w:cs="Times New Roman"/>
      <w:color w:val="0000FF"/>
      <w:u w:val="single"/>
    </w:rPr>
  </w:style>
  <w:style w:type="character" w:styleId="41">
    <w:name w:val="annotation reference"/>
    <w:qFormat/>
    <w:uiPriority w:val="0"/>
    <w:rPr>
      <w:rFonts w:cs="Times New Roman"/>
      <w:sz w:val="21"/>
      <w:szCs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4">
    <w:name w:val="批注框文本 Char"/>
    <w:basedOn w:val="36"/>
    <w:link w:val="25"/>
    <w:qFormat/>
    <w:locked/>
    <w:uiPriority w:val="0"/>
    <w:rPr>
      <w:rFonts w:ascii="Times New Roman" w:hAnsi="Times New Roman"/>
      <w:kern w:val="2"/>
      <w:sz w:val="18"/>
    </w:rPr>
  </w:style>
  <w:style w:type="character" w:customStyle="1" w:styleId="45">
    <w:name w:val="页脚 Char"/>
    <w:basedOn w:val="36"/>
    <w:link w:val="26"/>
    <w:qFormat/>
    <w:locked/>
    <w:uiPriority w:val="99"/>
    <w:rPr>
      <w:sz w:val="18"/>
    </w:rPr>
  </w:style>
  <w:style w:type="character" w:customStyle="1" w:styleId="46">
    <w:name w:val="页眉 Char"/>
    <w:basedOn w:val="36"/>
    <w:link w:val="27"/>
    <w:qFormat/>
    <w:locked/>
    <w:uiPriority w:val="0"/>
    <w:rPr>
      <w:sz w:val="18"/>
    </w:rPr>
  </w:style>
  <w:style w:type="paragraph" w:customStyle="1" w:styleId="47">
    <w:name w:val="列出段落1"/>
    <w:basedOn w:val="1"/>
    <w:qFormat/>
    <w:uiPriority w:val="99"/>
    <w:pPr>
      <w:ind w:firstLine="420" w:firstLineChars="200"/>
    </w:pPr>
  </w:style>
  <w:style w:type="character" w:customStyle="1" w:styleId="48">
    <w:name w:val="f14w1"/>
    <w:qFormat/>
    <w:uiPriority w:val="99"/>
    <w:rPr>
      <w:b/>
      <w:color w:val="002569"/>
      <w:sz w:val="21"/>
    </w:rPr>
  </w:style>
  <w:style w:type="paragraph" w:customStyle="1" w:styleId="4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50">
    <w:name w:val="列出段落11"/>
    <w:basedOn w:val="1"/>
    <w:qFormat/>
    <w:uiPriority w:val="99"/>
    <w:pPr>
      <w:ind w:firstLine="420" w:firstLineChars="200"/>
    </w:pPr>
  </w:style>
  <w:style w:type="paragraph" w:customStyle="1" w:styleId="51">
    <w:name w:val="列出段落2"/>
    <w:basedOn w:val="1"/>
    <w:qFormat/>
    <w:uiPriority w:val="99"/>
    <w:pPr>
      <w:ind w:firstLine="420" w:firstLineChars="200"/>
    </w:pPr>
    <w:rPr>
      <w:rFonts w:ascii="Calibri" w:hAnsi="Calibri"/>
      <w:szCs w:val="22"/>
    </w:rPr>
  </w:style>
  <w:style w:type="character" w:customStyle="1" w:styleId="52">
    <w:name w:val="日期 Char"/>
    <w:basedOn w:val="36"/>
    <w:link w:val="24"/>
    <w:qFormat/>
    <w:uiPriority w:val="0"/>
    <w:rPr>
      <w:rFonts w:ascii="Times New Roman" w:hAnsi="Times New Roman"/>
      <w:szCs w:val="24"/>
    </w:rPr>
  </w:style>
  <w:style w:type="character" w:customStyle="1" w:styleId="53">
    <w:name w:val="标题 4 Char"/>
    <w:basedOn w:val="36"/>
    <w:link w:val="7"/>
    <w:qFormat/>
    <w:uiPriority w:val="0"/>
    <w:rPr>
      <w:rFonts w:ascii="Cambria" w:hAnsi="Cambria"/>
      <w:b/>
      <w:bCs/>
      <w:sz w:val="28"/>
      <w:szCs w:val="28"/>
    </w:rPr>
  </w:style>
  <w:style w:type="character" w:customStyle="1" w:styleId="54">
    <w:name w:val="标题 5 Char"/>
    <w:basedOn w:val="36"/>
    <w:link w:val="8"/>
    <w:qFormat/>
    <w:uiPriority w:val="0"/>
    <w:rPr>
      <w:rFonts w:ascii="Times New Roman" w:hAnsi="Times New Roman"/>
      <w:b/>
      <w:bCs/>
      <w:sz w:val="28"/>
      <w:szCs w:val="28"/>
    </w:rPr>
  </w:style>
  <w:style w:type="character" w:customStyle="1" w:styleId="55">
    <w:name w:val="标题 1 Char"/>
    <w:basedOn w:val="36"/>
    <w:link w:val="3"/>
    <w:qFormat/>
    <w:uiPriority w:val="0"/>
    <w:rPr>
      <w:rFonts w:ascii="Times New Roman" w:hAnsi="Times New Roman"/>
      <w:sz w:val="28"/>
      <w:szCs w:val="20"/>
    </w:rPr>
  </w:style>
  <w:style w:type="character" w:customStyle="1" w:styleId="56">
    <w:name w:val="标题 2 Char"/>
    <w:basedOn w:val="36"/>
    <w:link w:val="4"/>
    <w:qFormat/>
    <w:uiPriority w:val="0"/>
    <w:rPr>
      <w:rFonts w:ascii="Times New Roman" w:hAnsi="Times New Roman" w:eastAsia="仿宋_GB2312"/>
      <w:b/>
      <w:sz w:val="28"/>
      <w:szCs w:val="20"/>
    </w:rPr>
  </w:style>
  <w:style w:type="character" w:customStyle="1" w:styleId="57">
    <w:name w:val="标题 3 Char"/>
    <w:basedOn w:val="36"/>
    <w:link w:val="5"/>
    <w:qFormat/>
    <w:uiPriority w:val="0"/>
    <w:rPr>
      <w:rFonts w:ascii="Times New Roman" w:hAnsi="Times New Roman"/>
      <w:b/>
      <w:sz w:val="28"/>
      <w:szCs w:val="20"/>
    </w:rPr>
  </w:style>
  <w:style w:type="character" w:customStyle="1" w:styleId="58">
    <w:name w:val="标题 6 Char"/>
    <w:basedOn w:val="36"/>
    <w:link w:val="9"/>
    <w:qFormat/>
    <w:uiPriority w:val="0"/>
    <w:rPr>
      <w:rFonts w:ascii="Cambria" w:hAnsi="Cambria"/>
      <w:b/>
      <w:bCs/>
      <w:sz w:val="24"/>
      <w:szCs w:val="24"/>
    </w:rPr>
  </w:style>
  <w:style w:type="character" w:customStyle="1" w:styleId="59">
    <w:name w:val="标题 7 Char"/>
    <w:basedOn w:val="36"/>
    <w:link w:val="10"/>
    <w:qFormat/>
    <w:uiPriority w:val="0"/>
    <w:rPr>
      <w:b/>
      <w:bCs/>
      <w:sz w:val="24"/>
      <w:szCs w:val="24"/>
    </w:rPr>
  </w:style>
  <w:style w:type="character" w:customStyle="1" w:styleId="60">
    <w:name w:val="标题 8 Char"/>
    <w:basedOn w:val="36"/>
    <w:link w:val="11"/>
    <w:qFormat/>
    <w:uiPriority w:val="0"/>
    <w:rPr>
      <w:rFonts w:ascii="Cambria" w:hAnsi="Cambria"/>
      <w:sz w:val="24"/>
      <w:szCs w:val="24"/>
    </w:rPr>
  </w:style>
  <w:style w:type="character" w:customStyle="1" w:styleId="61">
    <w:name w:val="标题 9 Char"/>
    <w:basedOn w:val="36"/>
    <w:link w:val="12"/>
    <w:qFormat/>
    <w:uiPriority w:val="0"/>
    <w:rPr>
      <w:rFonts w:ascii="Cambria" w:hAnsi="Cambria"/>
      <w:szCs w:val="21"/>
    </w:rPr>
  </w:style>
  <w:style w:type="character" w:customStyle="1" w:styleId="62">
    <w:name w:val="正文文本缩进 Char"/>
    <w:basedOn w:val="36"/>
    <w:link w:val="19"/>
    <w:qFormat/>
    <w:uiPriority w:val="0"/>
    <w:rPr>
      <w:rFonts w:ascii="仿宋_GB2312" w:hAnsi="Times New Roman" w:eastAsia="仿宋_GB2312"/>
      <w:sz w:val="28"/>
      <w:szCs w:val="20"/>
    </w:rPr>
  </w:style>
  <w:style w:type="character" w:customStyle="1" w:styleId="63">
    <w:name w:val="正文文本 Char"/>
    <w:basedOn w:val="36"/>
    <w:link w:val="18"/>
    <w:qFormat/>
    <w:uiPriority w:val="0"/>
    <w:rPr>
      <w:rFonts w:ascii="幼圆" w:hAnsi="Times New Roman" w:eastAsia="幼圆"/>
      <w:b/>
      <w:sz w:val="44"/>
      <w:szCs w:val="24"/>
    </w:rPr>
  </w:style>
  <w:style w:type="character" w:customStyle="1" w:styleId="64">
    <w:name w:val="正文文本缩进 3 Char"/>
    <w:basedOn w:val="36"/>
    <w:link w:val="32"/>
    <w:qFormat/>
    <w:uiPriority w:val="0"/>
    <w:rPr>
      <w:rFonts w:ascii="Times New Roman" w:hAnsi="Times New Roman" w:eastAsia="仿宋_GB2312"/>
      <w:sz w:val="28"/>
      <w:szCs w:val="20"/>
    </w:rPr>
  </w:style>
  <w:style w:type="paragraph" w:customStyle="1" w:styleId="65">
    <w:name w:val="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66">
    <w:name w:val="不明显参考1"/>
    <w:qFormat/>
    <w:uiPriority w:val="0"/>
    <w:rPr>
      <w:smallCaps/>
      <w:color w:val="C0504D"/>
      <w:u w:val="single"/>
    </w:rPr>
  </w:style>
  <w:style w:type="character" w:customStyle="1" w:styleId="67">
    <w:name w:val="日期 Char1"/>
    <w:qFormat/>
    <w:uiPriority w:val="0"/>
    <w:rPr>
      <w:kern w:val="2"/>
      <w:sz w:val="21"/>
      <w:szCs w:val="22"/>
    </w:rPr>
  </w:style>
  <w:style w:type="character" w:customStyle="1" w:styleId="68">
    <w:name w:val="副标题 Char"/>
    <w:link w:val="30"/>
    <w:qFormat/>
    <w:uiPriority w:val="0"/>
    <w:rPr>
      <w:rFonts w:ascii="Cambria" w:hAnsi="Cambria"/>
      <w:b/>
      <w:bCs/>
      <w:kern w:val="28"/>
      <w:sz w:val="32"/>
      <w:szCs w:val="32"/>
    </w:rPr>
  </w:style>
  <w:style w:type="character" w:customStyle="1" w:styleId="69">
    <w:name w:val="标题 Char"/>
    <w:link w:val="2"/>
    <w:qFormat/>
    <w:uiPriority w:val="0"/>
    <w:rPr>
      <w:rFonts w:ascii="Cambria" w:hAnsi="Cambria"/>
      <w:b/>
      <w:bCs/>
      <w:sz w:val="32"/>
      <w:szCs w:val="32"/>
    </w:rPr>
  </w:style>
  <w:style w:type="character" w:customStyle="1" w:styleId="70">
    <w:name w:val="明显强调1"/>
    <w:qFormat/>
    <w:uiPriority w:val="0"/>
    <w:rPr>
      <w:b/>
      <w:bCs/>
      <w:i/>
      <w:iCs/>
      <w:color w:val="4F81BD"/>
    </w:rPr>
  </w:style>
  <w:style w:type="character" w:customStyle="1" w:styleId="71">
    <w:name w:val="书籍标题1"/>
    <w:qFormat/>
    <w:uiPriority w:val="0"/>
    <w:rPr>
      <w:b/>
      <w:bCs/>
      <w:smallCaps/>
      <w:spacing w:val="5"/>
    </w:rPr>
  </w:style>
  <w:style w:type="character" w:customStyle="1" w:styleId="72">
    <w:name w:val="引用 Char"/>
    <w:link w:val="73"/>
    <w:qFormat/>
    <w:uiPriority w:val="0"/>
    <w:rPr>
      <w:i/>
      <w:iCs/>
      <w:color w:val="000000"/>
    </w:rPr>
  </w:style>
  <w:style w:type="paragraph" w:styleId="73">
    <w:name w:val="Quote"/>
    <w:basedOn w:val="1"/>
    <w:next w:val="1"/>
    <w:link w:val="72"/>
    <w:qFormat/>
    <w:uiPriority w:val="0"/>
    <w:rPr>
      <w:rFonts w:ascii="Calibri" w:hAnsi="Calibri"/>
      <w:i/>
      <w:iCs/>
      <w:color w:val="000000"/>
      <w:szCs w:val="22"/>
    </w:rPr>
  </w:style>
  <w:style w:type="character" w:customStyle="1" w:styleId="74">
    <w:name w:val="明显引用 Char"/>
    <w:link w:val="75"/>
    <w:qFormat/>
    <w:uiPriority w:val="0"/>
    <w:rPr>
      <w:b/>
      <w:bCs/>
      <w:i/>
      <w:iCs/>
      <w:color w:val="4F81BD"/>
    </w:rPr>
  </w:style>
  <w:style w:type="paragraph" w:styleId="75">
    <w:name w:val="Intense Quote"/>
    <w:basedOn w:val="1"/>
    <w:next w:val="1"/>
    <w:link w:val="74"/>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76">
    <w:name w:val="批注主题 Char"/>
    <w:link w:val="13"/>
    <w:qFormat/>
    <w:uiPriority w:val="0"/>
    <w:rPr>
      <w:rFonts w:ascii="宋体"/>
      <w:b/>
      <w:bCs/>
      <w:sz w:val="28"/>
    </w:rPr>
  </w:style>
  <w:style w:type="character" w:customStyle="1" w:styleId="77">
    <w:name w:val="不明显强调1"/>
    <w:qFormat/>
    <w:uiPriority w:val="0"/>
    <w:rPr>
      <w:i/>
      <w:iCs/>
      <w:color w:val="808080"/>
    </w:rPr>
  </w:style>
  <w:style w:type="character" w:customStyle="1" w:styleId="78">
    <w:name w:val="批注主题 Char1"/>
    <w:qFormat/>
    <w:uiPriority w:val="0"/>
    <w:rPr>
      <w:b/>
      <w:bCs/>
      <w:kern w:val="2"/>
      <w:sz w:val="21"/>
      <w:szCs w:val="22"/>
    </w:rPr>
  </w:style>
  <w:style w:type="character" w:customStyle="1" w:styleId="79">
    <w:name w:val="正文文本 Char1"/>
    <w:qFormat/>
    <w:uiPriority w:val="0"/>
    <w:rPr>
      <w:kern w:val="2"/>
      <w:sz w:val="21"/>
      <w:szCs w:val="22"/>
    </w:rPr>
  </w:style>
  <w:style w:type="character" w:customStyle="1" w:styleId="80">
    <w:name w:val="textcontents"/>
    <w:qFormat/>
    <w:uiPriority w:val="0"/>
    <w:rPr>
      <w:rFonts w:cs="Times New Roman"/>
    </w:rPr>
  </w:style>
  <w:style w:type="character" w:customStyle="1" w:styleId="81">
    <w:name w:val="标题4 Char Char"/>
    <w:link w:val="82"/>
    <w:qFormat/>
    <w:uiPriority w:val="0"/>
    <w:rPr>
      <w:rFonts w:ascii="Arial" w:hAnsi="Arial"/>
      <w:b/>
      <w:bCs/>
      <w:sz w:val="24"/>
      <w:szCs w:val="32"/>
    </w:rPr>
  </w:style>
  <w:style w:type="paragraph" w:customStyle="1" w:styleId="82">
    <w:name w:val="标题4"/>
    <w:basedOn w:val="4"/>
    <w:next w:val="20"/>
    <w:link w:val="81"/>
    <w:qFormat/>
    <w:uiPriority w:val="0"/>
    <w:pPr>
      <w:keepLines/>
      <w:numPr>
        <w:numId w:val="0"/>
      </w:numPr>
      <w:spacing w:before="260" w:after="260" w:line="413" w:lineRule="auto"/>
    </w:pPr>
    <w:rPr>
      <w:rFonts w:ascii="Arial" w:hAnsi="Arial" w:eastAsia="宋体"/>
      <w:bCs/>
      <w:sz w:val="24"/>
      <w:szCs w:val="32"/>
    </w:rPr>
  </w:style>
  <w:style w:type="character" w:customStyle="1" w:styleId="83">
    <w:name w:val="标题5 Char Char"/>
    <w:link w:val="84"/>
    <w:qFormat/>
    <w:uiPriority w:val="0"/>
    <w:rPr>
      <w:rFonts w:ascii="Arial" w:hAnsi="Arial"/>
      <w:b/>
      <w:bCs/>
      <w:sz w:val="24"/>
      <w:szCs w:val="32"/>
    </w:rPr>
  </w:style>
  <w:style w:type="paragraph" w:customStyle="1" w:styleId="84">
    <w:name w:val="标题5"/>
    <w:basedOn w:val="5"/>
    <w:link w:val="83"/>
    <w:qFormat/>
    <w:uiPriority w:val="0"/>
    <w:pPr>
      <w:keepLines/>
      <w:numPr>
        <w:numId w:val="0"/>
      </w:numPr>
      <w:spacing w:before="260" w:after="260" w:line="413" w:lineRule="auto"/>
    </w:pPr>
    <w:rPr>
      <w:rFonts w:ascii="Arial" w:hAnsi="Arial"/>
      <w:bCs/>
      <w:sz w:val="24"/>
      <w:szCs w:val="32"/>
    </w:rPr>
  </w:style>
  <w:style w:type="character" w:customStyle="1" w:styleId="85">
    <w:name w:val="批注文字 Char"/>
    <w:link w:val="14"/>
    <w:semiHidden/>
    <w:qFormat/>
    <w:uiPriority w:val="0"/>
    <w:rPr>
      <w:szCs w:val="24"/>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批注框文本 Char1"/>
    <w:qFormat/>
    <w:uiPriority w:val="0"/>
    <w:rPr>
      <w:kern w:val="2"/>
      <w:sz w:val="18"/>
      <w:szCs w:val="18"/>
    </w:rPr>
  </w:style>
  <w:style w:type="character" w:customStyle="1" w:styleId="88">
    <w:name w:val="明显参考1"/>
    <w:qFormat/>
    <w:uiPriority w:val="0"/>
    <w:rPr>
      <w:b/>
      <w:bCs/>
      <w:smallCaps/>
      <w:color w:val="C0504D"/>
      <w:spacing w:val="5"/>
      <w:u w:val="single"/>
    </w:rPr>
  </w:style>
  <w:style w:type="character" w:customStyle="1" w:styleId="89">
    <w:name w:val="文档结构图 Char"/>
    <w:link w:val="17"/>
    <w:qFormat/>
    <w:uiPriority w:val="0"/>
    <w:rPr>
      <w:szCs w:val="24"/>
      <w:shd w:val="clear" w:color="auto" w:fill="000080"/>
    </w:rPr>
  </w:style>
  <w:style w:type="character" w:customStyle="1" w:styleId="90">
    <w:name w:val="文档结构图 Char1"/>
    <w:qFormat/>
    <w:uiPriority w:val="0"/>
    <w:rPr>
      <w:rFonts w:ascii="宋体"/>
      <w:kern w:val="2"/>
      <w:sz w:val="18"/>
      <w:szCs w:val="18"/>
    </w:rPr>
  </w:style>
  <w:style w:type="character" w:customStyle="1" w:styleId="91">
    <w:name w:val="批注框文本 字符1"/>
    <w:basedOn w:val="36"/>
    <w:semiHidden/>
    <w:qFormat/>
    <w:uiPriority w:val="99"/>
    <w:rPr>
      <w:rFonts w:ascii="Times New Roman" w:hAnsi="Times New Roman" w:eastAsia="宋体" w:cs="Times New Roman"/>
      <w:sz w:val="18"/>
      <w:szCs w:val="18"/>
    </w:rPr>
  </w:style>
  <w:style w:type="character" w:customStyle="1" w:styleId="92">
    <w:name w:val="文档结构图 Char2"/>
    <w:basedOn w:val="36"/>
    <w:semiHidden/>
    <w:qFormat/>
    <w:uiPriority w:val="99"/>
    <w:rPr>
      <w:rFonts w:ascii="宋体" w:hAnsi="Times New Roman"/>
      <w:sz w:val="18"/>
      <w:szCs w:val="18"/>
    </w:rPr>
  </w:style>
  <w:style w:type="character" w:customStyle="1" w:styleId="93">
    <w:name w:val="文档结构图 字符1"/>
    <w:basedOn w:val="36"/>
    <w:semiHidden/>
    <w:qFormat/>
    <w:uiPriority w:val="99"/>
    <w:rPr>
      <w:rFonts w:ascii="Microsoft YaHei UI" w:hAnsi="Times New Roman" w:eastAsia="Microsoft YaHei UI" w:cs="Times New Roman"/>
      <w:sz w:val="18"/>
      <w:szCs w:val="18"/>
    </w:rPr>
  </w:style>
  <w:style w:type="character" w:customStyle="1" w:styleId="94">
    <w:name w:val="批注文字 Char1"/>
    <w:basedOn w:val="36"/>
    <w:semiHidden/>
    <w:qFormat/>
    <w:uiPriority w:val="99"/>
    <w:rPr>
      <w:rFonts w:ascii="Times New Roman" w:hAnsi="Times New Roman"/>
      <w:szCs w:val="24"/>
    </w:rPr>
  </w:style>
  <w:style w:type="character" w:customStyle="1" w:styleId="95">
    <w:name w:val="批注文字 字符1"/>
    <w:basedOn w:val="36"/>
    <w:semiHidden/>
    <w:qFormat/>
    <w:uiPriority w:val="99"/>
    <w:rPr>
      <w:rFonts w:ascii="Times New Roman" w:hAnsi="Times New Roman" w:eastAsia="宋体" w:cs="Times New Roman"/>
      <w:szCs w:val="24"/>
    </w:rPr>
  </w:style>
  <w:style w:type="character" w:customStyle="1" w:styleId="96">
    <w:name w:val="批注主题 Char2"/>
    <w:basedOn w:val="94"/>
    <w:semiHidden/>
    <w:qFormat/>
    <w:uiPriority w:val="99"/>
    <w:rPr>
      <w:rFonts w:ascii="Times New Roman" w:hAnsi="Times New Roman"/>
      <w:b/>
      <w:bCs/>
      <w:szCs w:val="24"/>
    </w:rPr>
  </w:style>
  <w:style w:type="character" w:customStyle="1" w:styleId="97">
    <w:name w:val="批注主题 字符1"/>
    <w:basedOn w:val="95"/>
    <w:semiHidden/>
    <w:qFormat/>
    <w:uiPriority w:val="99"/>
    <w:rPr>
      <w:rFonts w:ascii="Times New Roman" w:hAnsi="Times New Roman" w:eastAsia="宋体" w:cs="Times New Roman"/>
      <w:b/>
      <w:bCs/>
      <w:szCs w:val="24"/>
    </w:rPr>
  </w:style>
  <w:style w:type="character" w:customStyle="1" w:styleId="98">
    <w:name w:val="标题 Char1"/>
    <w:basedOn w:val="36"/>
    <w:qFormat/>
    <w:uiPriority w:val="0"/>
    <w:rPr>
      <w:rFonts w:asciiTheme="majorHAnsi" w:hAnsiTheme="majorHAnsi" w:cstheme="majorBidi"/>
      <w:b/>
      <w:bCs/>
      <w:sz w:val="32"/>
      <w:szCs w:val="32"/>
    </w:rPr>
  </w:style>
  <w:style w:type="character" w:customStyle="1" w:styleId="99">
    <w:name w:val="标题 字符1"/>
    <w:basedOn w:val="36"/>
    <w:qFormat/>
    <w:uiPriority w:val="10"/>
    <w:rPr>
      <w:rFonts w:asciiTheme="majorHAnsi" w:hAnsiTheme="majorHAnsi" w:eastAsiaTheme="majorEastAsia" w:cstheme="majorBidi"/>
      <w:b/>
      <w:bCs/>
      <w:sz w:val="32"/>
      <w:szCs w:val="32"/>
    </w:rPr>
  </w:style>
  <w:style w:type="paragraph" w:customStyle="1" w:styleId="10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1">
    <w:name w:val="样式 标题 3 + (中文) 黑体 小四 非加粗 段前: 7.8 磅 段后: 0 磅 行距: 固定值 20 磅"/>
    <w:basedOn w:val="5"/>
    <w:qFormat/>
    <w:uiPriority w:val="0"/>
    <w:pPr>
      <w:keepLines/>
      <w:numPr>
        <w:numId w:val="0"/>
      </w:numPr>
      <w:spacing w:line="400" w:lineRule="exact"/>
    </w:pPr>
    <w:rPr>
      <w:rFonts w:eastAsia="黑体" w:cs="宋体"/>
      <w:b w:val="0"/>
      <w:sz w:val="24"/>
    </w:rPr>
  </w:style>
  <w:style w:type="paragraph" w:customStyle="1" w:styleId="102">
    <w:name w:val="TOC 标题1"/>
    <w:basedOn w:val="3"/>
    <w:next w:val="1"/>
    <w:qFormat/>
    <w:uiPriority w:val="0"/>
    <w:pPr>
      <w:keepLines/>
      <w:numPr>
        <w:numId w:val="0"/>
      </w:numPr>
      <w:spacing w:before="340" w:after="330" w:line="576" w:lineRule="auto"/>
      <w:outlineLvl w:val="9"/>
    </w:pPr>
    <w:rPr>
      <w:rFonts w:ascii="Calibri" w:hAnsi="Calibri"/>
      <w:b/>
      <w:bCs/>
      <w:kern w:val="44"/>
      <w:sz w:val="44"/>
      <w:szCs w:val="44"/>
    </w:rPr>
  </w:style>
  <w:style w:type="paragraph" w:customStyle="1" w:styleId="10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character" w:customStyle="1" w:styleId="104">
    <w:name w:val="明显引用 Char1"/>
    <w:basedOn w:val="36"/>
    <w:qFormat/>
    <w:uiPriority w:val="30"/>
    <w:rPr>
      <w:rFonts w:ascii="Times New Roman" w:hAnsi="Times New Roman"/>
      <w:b/>
      <w:bCs/>
      <w:i/>
      <w:iCs/>
      <w:color w:val="4F81BD" w:themeColor="accent1"/>
      <w:szCs w:val="24"/>
      <w14:textFill>
        <w14:solidFill>
          <w14:schemeClr w14:val="accent1"/>
        </w14:solidFill>
      </w14:textFill>
    </w:rPr>
  </w:style>
  <w:style w:type="character" w:customStyle="1" w:styleId="105">
    <w:name w:val="明显引用 字符1"/>
    <w:basedOn w:val="36"/>
    <w:qFormat/>
    <w:uiPriority w:val="30"/>
    <w:rPr>
      <w:rFonts w:ascii="Times New Roman" w:hAnsi="Times New Roman" w:eastAsia="宋体" w:cs="Times New Roman"/>
      <w:i/>
      <w:iCs/>
      <w:color w:val="4F81BD" w:themeColor="accent1"/>
      <w:szCs w:val="24"/>
      <w14:textFill>
        <w14:solidFill>
          <w14:schemeClr w14:val="accent1"/>
        </w14:solidFill>
      </w14:textFill>
    </w:rPr>
  </w:style>
  <w:style w:type="character" w:customStyle="1" w:styleId="106">
    <w:name w:val="副标题 Char1"/>
    <w:basedOn w:val="36"/>
    <w:qFormat/>
    <w:uiPriority w:val="0"/>
    <w:rPr>
      <w:rFonts w:asciiTheme="majorHAnsi" w:hAnsiTheme="majorHAnsi" w:cstheme="majorBidi"/>
      <w:b/>
      <w:bCs/>
      <w:kern w:val="28"/>
      <w:sz w:val="32"/>
      <w:szCs w:val="32"/>
    </w:rPr>
  </w:style>
  <w:style w:type="character" w:customStyle="1" w:styleId="107">
    <w:name w:val="副标题 字符1"/>
    <w:basedOn w:val="36"/>
    <w:qFormat/>
    <w:uiPriority w:val="11"/>
    <w:rPr>
      <w:b/>
      <w:bCs/>
      <w:kern w:val="28"/>
      <w:sz w:val="32"/>
      <w:szCs w:val="32"/>
    </w:rPr>
  </w:style>
  <w:style w:type="paragraph" w:styleId="108">
    <w:name w:val="List Paragraph"/>
    <w:basedOn w:val="1"/>
    <w:qFormat/>
    <w:uiPriority w:val="0"/>
    <w:pPr>
      <w:ind w:firstLine="420" w:firstLineChars="200"/>
    </w:pPr>
    <w:rPr>
      <w:rFonts w:ascii="Calibri" w:hAnsi="Calibri"/>
      <w:szCs w:val="22"/>
    </w:rPr>
  </w:style>
  <w:style w:type="paragraph" w:styleId="10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0">
    <w:name w:val="引用 Char1"/>
    <w:basedOn w:val="36"/>
    <w:qFormat/>
    <w:uiPriority w:val="29"/>
    <w:rPr>
      <w:rFonts w:ascii="Times New Roman" w:hAnsi="Times New Roman"/>
      <w:i/>
      <w:iCs/>
      <w:color w:val="000000" w:themeColor="text1"/>
      <w:szCs w:val="24"/>
      <w14:textFill>
        <w14:solidFill>
          <w14:schemeClr w14:val="tx1"/>
        </w14:solidFill>
      </w14:textFill>
    </w:rPr>
  </w:style>
  <w:style w:type="character" w:customStyle="1" w:styleId="111">
    <w:name w:val="引用 字符1"/>
    <w:basedOn w:val="36"/>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paragraph" w:customStyle="1" w:styleId="112">
    <w:name w:val="修订1"/>
    <w:qFormat/>
    <w:uiPriority w:val="0"/>
    <w:rPr>
      <w:rFonts w:ascii="Times New Roman" w:hAnsi="Times New Roman" w:eastAsia="宋体" w:cs="Times New Roman"/>
      <w:kern w:val="2"/>
      <w:sz w:val="21"/>
      <w:szCs w:val="24"/>
      <w:lang w:val="en-US" w:eastAsia="zh-CN" w:bidi="ar-SA"/>
    </w:rPr>
  </w:style>
  <w:style w:type="paragraph" w:customStyle="1" w:styleId="11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4">
    <w:name w:val="表内文字"/>
    <w:basedOn w:val="1"/>
    <w:qFormat/>
    <w:uiPriority w:val="0"/>
    <w:pPr>
      <w:spacing w:line="400" w:lineRule="exact"/>
    </w:pPr>
    <w:rPr>
      <w:szCs w:val="21"/>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6">
    <w:name w:val="zjb正文"/>
    <w:basedOn w:val="1"/>
    <w:qFormat/>
    <w:uiPriority w:val="0"/>
    <w:pPr>
      <w:spacing w:line="360" w:lineRule="auto"/>
      <w:ind w:firstLine="200" w:firstLineChars="200"/>
      <w:jc w:val="left"/>
    </w:pPr>
    <w:rPr>
      <w:rFonts w:ascii="FangSong_GB2312" w:hAnsi="仿宋" w:eastAsia="FangSong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4C310-5117-47AD-80A0-51AC60D865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10748</Words>
  <Characters>11609</Characters>
  <Lines>129</Lines>
  <Paragraphs>36</Paragraphs>
  <TotalTime>79</TotalTime>
  <ScaleCrop>false</ScaleCrop>
  <LinksUpToDate>false</LinksUpToDate>
  <CharactersWithSpaces>11752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2018-04-16T07:30:00Z</dcterms:created>
  <dc:creator>李凯01</dc:creator>
  <cp:lastModifiedBy>26</cp:lastModifiedBy>
  <cp:lastPrinted>2022-05-20T01:55:00Z</cp:lastPrinted>
  <dcterms:modified xsi:type="dcterms:W3CDTF">2022-05-23T07:33:51Z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59112D163F9146C78B50104804E20709</vt:lpwstr>
  </property>
</Properties>
</file>