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b/>
          <w:color w:val="000000" w:themeColor="text1"/>
          <w:sz w:val="28"/>
          <w:szCs w:val="28"/>
          <w14:textFill>
            <w14:solidFill>
              <w14:schemeClr w14:val="tx1"/>
            </w14:solidFill>
          </w14:textFill>
        </w:rPr>
      </w:pPr>
    </w:p>
    <w:p>
      <w:pPr>
        <w:spacing w:line="560" w:lineRule="exact"/>
        <w:jc w:val="center"/>
        <w:rPr>
          <w:rFonts w:eastAsia="仿宋_GB2312"/>
          <w:b/>
          <w:color w:val="000000" w:themeColor="text1"/>
          <w:sz w:val="28"/>
          <w:szCs w:val="28"/>
          <w14:textFill>
            <w14:solidFill>
              <w14:schemeClr w14:val="tx1"/>
            </w14:solidFill>
          </w14:textFill>
        </w:rPr>
      </w:pPr>
    </w:p>
    <w:p>
      <w:pPr>
        <w:spacing w:line="560" w:lineRule="exact"/>
        <w:jc w:val="center"/>
        <w:rPr>
          <w:rFonts w:eastAsia="方正小标宋_GBK"/>
          <w:color w:val="000000" w:themeColor="text1"/>
          <w:sz w:val="44"/>
          <w:szCs w:val="44"/>
          <w14:textFill>
            <w14:solidFill>
              <w14:schemeClr w14:val="tx1"/>
            </w14:solidFill>
          </w14:textFill>
        </w:rPr>
      </w:pPr>
    </w:p>
    <w:p>
      <w:pPr>
        <w:spacing w:line="560" w:lineRule="exact"/>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重庆空港航空地面服务有限公司</w:t>
      </w:r>
    </w:p>
    <w:p>
      <w:pPr>
        <w:spacing w:line="560" w:lineRule="exact"/>
        <w:ind w:right="-313" w:rightChars="-149"/>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国际（地区）航班机坪装卸业务增加装卸人员外包</w:t>
      </w:r>
      <w:r>
        <w:rPr>
          <w:rFonts w:eastAsia="方正小标宋_GBK"/>
          <w:color w:val="000000" w:themeColor="text1"/>
          <w:sz w:val="44"/>
          <w:szCs w:val="44"/>
          <w14:textFill>
            <w14:solidFill>
              <w14:schemeClr w14:val="tx1"/>
            </w14:solidFill>
          </w14:textFill>
        </w:rPr>
        <w:t>项目</w:t>
      </w:r>
    </w:p>
    <w:p>
      <w:pPr>
        <w:spacing w:line="560" w:lineRule="exact"/>
        <w:ind w:right="-313" w:rightChars="-149"/>
        <w:jc w:val="center"/>
        <w:rPr>
          <w:rFonts w:eastAsia="方正小标宋_GBK"/>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比选</w:t>
      </w:r>
      <w:r>
        <w:rPr>
          <w:rFonts w:hint="eastAsia" w:eastAsia="方正小标宋_GBK"/>
          <w:color w:val="000000" w:themeColor="text1"/>
          <w:sz w:val="44"/>
          <w:szCs w:val="44"/>
          <w14:textFill>
            <w14:solidFill>
              <w14:schemeClr w14:val="tx1"/>
            </w14:solidFill>
          </w14:textFill>
        </w:rPr>
        <w:t>采购</w:t>
      </w:r>
      <w:r>
        <w:rPr>
          <w:rFonts w:eastAsia="方正小标宋_GBK"/>
          <w:color w:val="000000" w:themeColor="text1"/>
          <w:sz w:val="44"/>
          <w:szCs w:val="44"/>
          <w14:textFill>
            <w14:solidFill>
              <w14:schemeClr w14:val="tx1"/>
            </w14:solidFill>
          </w14:textFill>
        </w:rPr>
        <w:t>文件</w:t>
      </w:r>
    </w:p>
    <w:p>
      <w:pPr>
        <w:spacing w:line="560" w:lineRule="exact"/>
        <w:jc w:val="center"/>
        <w:rPr>
          <w:rFonts w:eastAsia="方正小标宋_GBK"/>
          <w:color w:val="000000" w:themeColor="text1"/>
          <w:sz w:val="44"/>
          <w:szCs w:val="44"/>
          <w14:textFill>
            <w14:solidFill>
              <w14:schemeClr w14:val="tx1"/>
            </w14:solidFill>
          </w14:textFill>
        </w:rPr>
      </w:pPr>
    </w:p>
    <w:p>
      <w:pPr>
        <w:spacing w:line="560" w:lineRule="exact"/>
        <w:jc w:val="center"/>
        <w:rPr>
          <w:rFonts w:eastAsia="仿宋"/>
          <w:b/>
          <w:color w:val="000000" w:themeColor="text1"/>
          <w:sz w:val="28"/>
          <w:szCs w:val="28"/>
          <w14:textFill>
            <w14:solidFill>
              <w14:schemeClr w14:val="tx1"/>
            </w14:solidFill>
          </w14:textFill>
        </w:rPr>
      </w:pPr>
    </w:p>
    <w:p>
      <w:pPr>
        <w:spacing w:line="560" w:lineRule="exact"/>
        <w:jc w:val="center"/>
        <w:rPr>
          <w:rFonts w:eastAsia="方正仿宋_GBK"/>
          <w:b/>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编号：</w:t>
      </w:r>
      <w:r>
        <w:rPr>
          <w:rFonts w:hint="eastAsia" w:eastAsia="方正仿宋_GBK"/>
          <w:color w:val="000000" w:themeColor="text1"/>
          <w:sz w:val="32"/>
          <w:szCs w:val="32"/>
          <w14:textFill>
            <w14:solidFill>
              <w14:schemeClr w14:val="tx1"/>
            </w14:solidFill>
          </w14:textFill>
        </w:rPr>
        <w:t>WB2</w:t>
      </w:r>
      <w:r>
        <w:rPr>
          <w:rFonts w:eastAsia="方正仿宋_GBK"/>
          <w:color w:val="000000" w:themeColor="text1"/>
          <w:sz w:val="32"/>
          <w:szCs w:val="32"/>
          <w14:textFill>
            <w14:solidFill>
              <w14:schemeClr w14:val="tx1"/>
            </w14:solidFill>
          </w14:textFill>
        </w:rPr>
        <w:t>2</w:t>
      </w:r>
      <w:r>
        <w:rPr>
          <w:rFonts w:hint="eastAsia" w:eastAsia="方正仿宋_GBK"/>
          <w:color w:val="000000" w:themeColor="text1"/>
          <w:sz w:val="32"/>
          <w:szCs w:val="32"/>
          <w14:textFill>
            <w14:solidFill>
              <w14:schemeClr w14:val="tx1"/>
            </w14:solidFill>
          </w14:textFill>
        </w:rPr>
        <w:t>001</w:t>
      </w:r>
    </w:p>
    <w:p>
      <w:pPr>
        <w:spacing w:line="560" w:lineRule="exact"/>
        <w:rPr>
          <w:rFonts w:eastAsia="仿宋"/>
          <w:b/>
          <w:color w:val="000000" w:themeColor="text1"/>
          <w:sz w:val="32"/>
          <w:szCs w:val="32"/>
          <w14:textFill>
            <w14:solidFill>
              <w14:schemeClr w14:val="tx1"/>
            </w14:solidFill>
          </w14:textFill>
        </w:rPr>
      </w:pPr>
    </w:p>
    <w:p>
      <w:pPr>
        <w:spacing w:line="560" w:lineRule="exact"/>
        <w:jc w:val="center"/>
        <w:rPr>
          <w:rFonts w:eastAsia="仿宋"/>
          <w:b/>
          <w:color w:val="000000" w:themeColor="text1"/>
          <w:sz w:val="32"/>
          <w:szCs w:val="32"/>
          <w14:textFill>
            <w14:solidFill>
              <w14:schemeClr w14:val="tx1"/>
            </w14:solidFill>
          </w14:textFill>
        </w:rPr>
      </w:pPr>
    </w:p>
    <w:p>
      <w:pPr>
        <w:spacing w:line="560" w:lineRule="exact"/>
        <w:jc w:val="center"/>
        <w:rPr>
          <w:rFonts w:eastAsia="仿宋"/>
          <w:b/>
          <w:color w:val="000000" w:themeColor="text1"/>
          <w:sz w:val="32"/>
          <w:szCs w:val="32"/>
          <w14:textFill>
            <w14:solidFill>
              <w14:schemeClr w14:val="tx1"/>
            </w14:solidFill>
          </w14:textFill>
        </w:rPr>
      </w:pPr>
    </w:p>
    <w:p>
      <w:pPr>
        <w:pStyle w:val="15"/>
        <w:spacing w:line="560" w:lineRule="exact"/>
        <w:outlineLvl w:val="9"/>
        <w:rPr>
          <w:rFonts w:ascii="Times New Roman" w:hAnsi="Times New Roman" w:eastAsia="仿宋"/>
          <w:color w:val="000000" w:themeColor="text1"/>
          <w14:textFill>
            <w14:solidFill>
              <w14:schemeClr w14:val="tx1"/>
            </w14:solidFill>
          </w14:textFill>
        </w:rPr>
      </w:pPr>
    </w:p>
    <w:p>
      <w:pPr>
        <w:spacing w:line="560" w:lineRule="exact"/>
        <w:rPr>
          <w:rFonts w:eastAsia="仿宋"/>
          <w:b/>
          <w:color w:val="000000" w:themeColor="text1"/>
          <w:sz w:val="32"/>
          <w:szCs w:val="32"/>
          <w14:textFill>
            <w14:solidFill>
              <w14:schemeClr w14:val="tx1"/>
            </w14:solidFill>
          </w14:textFill>
        </w:rPr>
      </w:pPr>
    </w:p>
    <w:p>
      <w:pPr>
        <w:pStyle w:val="15"/>
        <w:spacing w:line="560" w:lineRule="exact"/>
        <w:outlineLvl w:val="9"/>
        <w:rPr>
          <w:rFonts w:ascii="Times New Roman" w:hAnsi="Times New Roman" w:eastAsia="仿宋"/>
          <w:color w:val="000000" w:themeColor="text1"/>
          <w14:textFill>
            <w14:solidFill>
              <w14:schemeClr w14:val="tx1"/>
            </w14:solidFill>
          </w14:textFill>
        </w:rPr>
      </w:pPr>
    </w:p>
    <w:p>
      <w:pPr>
        <w:spacing w:line="560" w:lineRule="exact"/>
        <w:rPr>
          <w:rFonts w:eastAsia="仿宋"/>
          <w:b/>
          <w:color w:val="000000" w:themeColor="text1"/>
          <w:sz w:val="32"/>
          <w:szCs w:val="32"/>
          <w14:textFill>
            <w14:solidFill>
              <w14:schemeClr w14:val="tx1"/>
            </w14:solidFill>
          </w14:textFill>
        </w:rPr>
      </w:pPr>
    </w:p>
    <w:p>
      <w:pPr>
        <w:pStyle w:val="15"/>
        <w:spacing w:line="560" w:lineRule="exact"/>
        <w:outlineLvl w:val="9"/>
      </w:pPr>
    </w:p>
    <w:p>
      <w:pPr>
        <w:spacing w:line="560" w:lineRule="exact"/>
        <w:jc w:val="center"/>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重庆空港航空地面服务</w:t>
      </w:r>
      <w:r>
        <w:rPr>
          <w:rFonts w:eastAsia="方正仿宋_GBK"/>
          <w:color w:val="000000" w:themeColor="text1"/>
          <w:sz w:val="32"/>
          <w:szCs w:val="32"/>
          <w14:textFill>
            <w14:solidFill>
              <w14:schemeClr w14:val="tx1"/>
            </w14:solidFill>
          </w14:textFill>
        </w:rPr>
        <w:t>有限公司</w:t>
      </w:r>
    </w:p>
    <w:p>
      <w:pPr>
        <w:spacing w:line="560" w:lineRule="exact"/>
        <w:ind w:firstLine="3200" w:firstLineChars="10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14:textFill>
            <w14:solidFill>
              <w14:schemeClr w14:val="tx1"/>
            </w14:solidFill>
          </w14:textFill>
        </w:rPr>
        <w:t>4</w:t>
      </w:r>
      <w:r>
        <w:rPr>
          <w:rFonts w:eastAsia="方正仿宋_GBK"/>
          <w:color w:val="000000" w:themeColor="text1"/>
          <w:sz w:val="32"/>
          <w:szCs w:val="32"/>
          <w14:textFill>
            <w14:solidFill>
              <w14:schemeClr w14:val="tx1"/>
            </w14:solidFill>
          </w14:textFill>
        </w:rPr>
        <w:t>月</w:t>
      </w:r>
    </w:p>
    <w:p>
      <w:pPr>
        <w:pStyle w:val="6"/>
        <w:spacing w:line="560" w:lineRule="exact"/>
        <w:rPr>
          <w:color w:val="000000" w:themeColor="text1"/>
          <w:sz w:val="32"/>
          <w:szCs w:val="32"/>
          <w14:textFill>
            <w14:solidFill>
              <w14:schemeClr w14:val="tx1"/>
            </w14:solidFill>
          </w14:textFill>
        </w:rPr>
      </w:pPr>
    </w:p>
    <w:p>
      <w:pPr>
        <w:spacing w:line="560" w:lineRule="exact"/>
        <w:rPr>
          <w:rFonts w:asciiTheme="majorEastAsia" w:hAnsiTheme="majorEastAsia" w:eastAsiaTheme="majorEastAsia" w:cstheme="majorEastAsia"/>
          <w:color w:val="000000" w:themeColor="text1"/>
          <w:sz w:val="32"/>
          <w:szCs w:val="32"/>
          <w14:textFill>
            <w14:solidFill>
              <w14:schemeClr w14:val="tx1"/>
            </w14:solidFill>
          </w14:textFill>
        </w:rPr>
      </w:pPr>
    </w:p>
    <w:p>
      <w:pPr>
        <w:pStyle w:val="15"/>
        <w:outlineLvl w:val="9"/>
      </w:pPr>
    </w:p>
    <w:p>
      <w:pPr>
        <w:spacing w:line="560" w:lineRule="exact"/>
        <w:jc w:val="center"/>
        <w:rPr>
          <w:rFonts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重庆空港航空地面服务有限公司</w:t>
      </w:r>
    </w:p>
    <w:p>
      <w:pPr>
        <w:spacing w:line="560" w:lineRule="exact"/>
        <w:jc w:val="center"/>
        <w:rPr>
          <w:rFonts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国际（地区）航班机坪装卸业务增加装卸人员外包项目</w:t>
      </w:r>
    </w:p>
    <w:p>
      <w:pPr>
        <w:spacing w:line="560" w:lineRule="exact"/>
        <w:jc w:val="center"/>
        <w:rPr>
          <w:rFonts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比选采购文件</w:t>
      </w:r>
    </w:p>
    <w:p>
      <w:pPr>
        <w:widowControl/>
        <w:spacing w:line="56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重庆空港航空地面服务有限公司拟决定于近期实施国际（地区）航班机坪装卸业务增加装卸人员外包项目，现邀请符合相应条件的机构参与本次项目的比选。</w:t>
      </w:r>
    </w:p>
    <w:p>
      <w:pPr>
        <w:widowControl/>
        <w:spacing w:line="560" w:lineRule="exact"/>
        <w:ind w:firstLine="560" w:firstLineChars="200"/>
        <w:jc w:val="left"/>
        <w:rPr>
          <w:rFonts w:ascii="黑体" w:hAnsi="黑体" w:eastAsia="黑体" w:cs="黑体"/>
          <w:color w:val="000000" w:themeColor="text1"/>
          <w:kern w:val="0"/>
          <w:sz w:val="28"/>
          <w:szCs w:val="28"/>
          <w14:textFill>
            <w14:solidFill>
              <w14:schemeClr w14:val="tx1"/>
            </w14:solidFill>
          </w14:textFill>
        </w:rPr>
      </w:pPr>
      <w:bookmarkStart w:id="0" w:name="_Toc9666"/>
      <w:r>
        <w:rPr>
          <w:rFonts w:hint="eastAsia" w:ascii="黑体" w:hAnsi="黑体" w:eastAsia="黑体" w:cs="黑体"/>
          <w:color w:val="000000" w:themeColor="text1"/>
          <w:kern w:val="0"/>
          <w:sz w:val="28"/>
          <w:szCs w:val="28"/>
          <w14:textFill>
            <w14:solidFill>
              <w14:schemeClr w14:val="tx1"/>
            </w14:solidFill>
          </w14:textFill>
        </w:rPr>
        <w:t>1.项目实施内容及要求</w:t>
      </w:r>
    </w:p>
    <w:p>
      <w:pPr>
        <w:snapToGrid w:val="0"/>
        <w:spacing w:line="560" w:lineRule="exact"/>
        <w:ind w:firstLine="562" w:firstLineChars="200"/>
        <w:rPr>
          <w:rStyle w:val="26"/>
          <w:rFonts w:ascii="仿宋_GB2312" w:hAnsi="仿宋_GB2312" w:eastAsia="仿宋_GB2312" w:cs="仿宋_GB2312"/>
          <w:b/>
          <w:bCs/>
          <w:color w:val="000000" w:themeColor="text1"/>
          <w:sz w:val="28"/>
          <w:szCs w:val="28"/>
          <w14:textFill>
            <w14:solidFill>
              <w14:schemeClr w14:val="tx1"/>
            </w14:solidFill>
          </w14:textFill>
        </w:rPr>
      </w:pPr>
      <w:r>
        <w:rPr>
          <w:rStyle w:val="26"/>
          <w:rFonts w:hint="eastAsia" w:ascii="仿宋_GB2312" w:hAnsi="仿宋_GB2312" w:eastAsia="仿宋_GB2312" w:cs="仿宋_GB2312"/>
          <w:b/>
          <w:bCs/>
          <w:color w:val="000000" w:themeColor="text1"/>
          <w:sz w:val="28"/>
          <w:szCs w:val="28"/>
          <w14:textFill>
            <w14:solidFill>
              <w14:schemeClr w14:val="tx1"/>
            </w14:solidFill>
          </w14:textFill>
        </w:rPr>
        <w:t>1.1 比选响应人资格要求</w:t>
      </w:r>
    </w:p>
    <w:p>
      <w:pPr>
        <w:spacing w:line="560" w:lineRule="exact"/>
        <w:ind w:firstLine="560" w:firstLineChars="200"/>
        <w:contextualSpacing/>
        <w:rPr>
          <w:rStyle w:val="26"/>
          <w:rFonts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1.1.1 在中华人民共和国境内注册，具有独立承担民事责任能力的法人资格。（提供营业执照复印件加盖鲜章）</w:t>
      </w:r>
    </w:p>
    <w:p>
      <w:pPr>
        <w:spacing w:line="560" w:lineRule="exact"/>
        <w:ind w:firstLine="560" w:firstLineChars="200"/>
        <w:rPr>
          <w:rStyle w:val="26"/>
          <w:rFonts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1.1.2 其他要求</w:t>
      </w:r>
    </w:p>
    <w:p>
      <w:pPr>
        <w:spacing w:line="560" w:lineRule="exact"/>
        <w:ind w:firstLine="560" w:firstLineChars="200"/>
        <w:contextualSpacing/>
        <w:rPr>
          <w:rStyle w:val="26"/>
          <w:rFonts w:hint="eastAsia"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（1）为确保承接方有足够的规模及能力保障现场生产，根据目前机场业务量初步核算，需要承接方具有同等级机场（4F级）装卸外包业务的操作业绩；</w:t>
      </w:r>
    </w:p>
    <w:p>
      <w:pPr>
        <w:spacing w:line="560" w:lineRule="exact"/>
        <w:ind w:firstLine="560" w:firstLineChars="200"/>
        <w:contextualSpacing/>
        <w:rPr>
          <w:rStyle w:val="26"/>
          <w:rFonts w:hint="eastAsia"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（2）2018年1月以来，在经营活动中没有重大违法记录；</w:t>
      </w:r>
    </w:p>
    <w:p>
      <w:pPr>
        <w:spacing w:line="560" w:lineRule="exact"/>
        <w:ind w:firstLine="560" w:firstLineChars="200"/>
        <w:contextualSpacing/>
        <w:rPr>
          <w:rStyle w:val="26"/>
          <w:rFonts w:hint="eastAsia"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（3）履约情况良好，无因违约或不恰当履约引起的合同中止、纠纷、争议、仲裁和诉讼记录；</w:t>
      </w:r>
    </w:p>
    <w:p>
      <w:pPr>
        <w:spacing w:line="560" w:lineRule="exact"/>
        <w:ind w:firstLine="560" w:firstLineChars="200"/>
        <w:contextualSpacing/>
        <w:rPr>
          <w:rStyle w:val="26"/>
          <w:rFonts w:hint="eastAsia"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（4）未发生过责任事故，未拖欠员工工资，未发生过员工集体罢工、上访或影响客户单位正常生产经营的事件；</w:t>
      </w:r>
    </w:p>
    <w:p>
      <w:pPr>
        <w:spacing w:line="560" w:lineRule="exact"/>
        <w:ind w:firstLine="560" w:firstLineChars="200"/>
        <w:contextualSpacing/>
        <w:rPr>
          <w:rStyle w:val="26"/>
          <w:rFonts w:hint="eastAsia"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（5）没有进入发包人集团内黑名单库；</w:t>
      </w:r>
    </w:p>
    <w:p>
      <w:pPr>
        <w:spacing w:line="560" w:lineRule="exact"/>
        <w:ind w:firstLine="560" w:firstLineChars="200"/>
        <w:contextualSpacing/>
        <w:rPr>
          <w:rStyle w:val="26"/>
          <w:rFonts w:hint="eastAsia"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（6）未被人民法院列入失信被执行人名单且在被执行期内；</w:t>
      </w:r>
    </w:p>
    <w:p>
      <w:pPr>
        <w:spacing w:line="560" w:lineRule="exact"/>
        <w:ind w:firstLine="560" w:firstLineChars="200"/>
        <w:contextualSpacing/>
        <w:rPr>
          <w:rStyle w:val="26"/>
          <w:rFonts w:hint="eastAsia"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（7）本项目不接受联合体，不允许转包、分包。本项目不接受联合体，不得转包、分包。</w:t>
      </w:r>
    </w:p>
    <w:p>
      <w:pPr>
        <w:spacing w:line="56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Style w:val="26"/>
          <w:rFonts w:hint="eastAsia" w:ascii="仿宋_GB2312" w:hAnsi="仿宋_GB2312" w:eastAsia="仿宋_GB2312" w:cs="仿宋_GB2312"/>
          <w:b/>
          <w:bCs/>
          <w:color w:val="000000" w:themeColor="text1"/>
          <w:sz w:val="28"/>
          <w:szCs w:val="28"/>
          <w14:textFill>
            <w14:solidFill>
              <w14:schemeClr w14:val="tx1"/>
            </w14:solidFill>
          </w14:textFill>
        </w:rPr>
        <w:t>备注：（1）需提供合同业绩的非涉密部分的复印件；（2）-（7）需</w:t>
      </w:r>
      <w:r>
        <w:rPr>
          <w:rStyle w:val="26"/>
          <w:rFonts w:hint="eastAsia" w:ascii="仿宋_GB2312" w:hAnsi="仿宋_GB2312" w:eastAsia="仿宋_GB2312" w:cs="仿宋_GB2312"/>
          <w:b/>
          <w:bCs/>
          <w:color w:val="000000" w:themeColor="text1"/>
          <w:sz w:val="28"/>
          <w:szCs w:val="28"/>
          <w:lang w:eastAsia="zh-CN"/>
          <w14:textFill>
            <w14:solidFill>
              <w14:schemeClr w14:val="tx1"/>
            </w14:solidFill>
          </w14:textFill>
        </w:rPr>
        <w:t>合并</w:t>
      </w:r>
      <w:r>
        <w:rPr>
          <w:rStyle w:val="26"/>
          <w:rFonts w:hint="eastAsia" w:ascii="仿宋_GB2312" w:hAnsi="仿宋_GB2312" w:eastAsia="仿宋_GB2312" w:cs="仿宋_GB2312"/>
          <w:b/>
          <w:bCs/>
          <w:color w:val="000000" w:themeColor="text1"/>
          <w:sz w:val="28"/>
          <w:szCs w:val="28"/>
          <w14:textFill>
            <w14:solidFill>
              <w14:schemeClr w14:val="tx1"/>
            </w14:solidFill>
          </w14:textFill>
        </w:rPr>
        <w:t>提供</w:t>
      </w:r>
      <w:r>
        <w:rPr>
          <w:rStyle w:val="26"/>
          <w:rFonts w:hint="eastAsia" w:ascii="仿宋_GB2312" w:hAnsi="仿宋_GB2312" w:eastAsia="仿宋_GB2312" w:cs="仿宋_GB2312"/>
          <w:b/>
          <w:bCs/>
          <w:color w:val="000000" w:themeColor="text1"/>
          <w:sz w:val="28"/>
          <w:szCs w:val="28"/>
          <w:lang w:eastAsia="zh-CN"/>
          <w14:textFill>
            <w14:solidFill>
              <w14:schemeClr w14:val="tx1"/>
            </w14:solidFill>
          </w14:textFill>
        </w:rPr>
        <w:t>一份</w:t>
      </w:r>
      <w:r>
        <w:rPr>
          <w:rStyle w:val="26"/>
          <w:rFonts w:hint="eastAsia" w:ascii="仿宋_GB2312" w:hAnsi="仿宋_GB2312" w:eastAsia="仿宋_GB2312" w:cs="仿宋_GB2312"/>
          <w:b/>
          <w:bCs/>
          <w:color w:val="000000" w:themeColor="text1"/>
          <w:sz w:val="28"/>
          <w:szCs w:val="28"/>
          <w14:textFill>
            <w14:solidFill>
              <w14:schemeClr w14:val="tx1"/>
            </w14:solidFill>
          </w14:textFill>
        </w:rPr>
        <w:t>承诺声明，格式自拟。</w:t>
      </w:r>
    </w:p>
    <w:p>
      <w:pPr>
        <w:widowControl/>
        <w:spacing w:line="560" w:lineRule="exact"/>
        <w:ind w:firstLine="562" w:firstLineChars="200"/>
        <w:jc w:val="left"/>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1.2  项目概况及项目要求</w:t>
      </w:r>
    </w:p>
    <w:p>
      <w:pPr>
        <w:widowControl/>
        <w:spacing w:line="560" w:lineRule="exact"/>
        <w:ind w:firstLine="562" w:firstLineChars="200"/>
        <w:jc w:val="left"/>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1.2.1项目概况：</w:t>
      </w:r>
    </w:p>
    <w:p>
      <w:pPr>
        <w:spacing w:line="560" w:lineRule="exact"/>
        <w:ind w:firstLine="560" w:firstLineChars="200"/>
        <w:rPr>
          <w:rStyle w:val="26"/>
          <w:rFonts w:ascii="仿宋_GB2312" w:hAnsi="仿宋_GB2312" w:eastAsia="仿宋_GB2312" w:cs="仿宋_GB2312"/>
          <w:color w:val="000000" w:themeColor="text1"/>
          <w:sz w:val="28"/>
          <w:szCs w:val="28"/>
          <w14:textFill>
            <w14:solidFill>
              <w14:schemeClr w14:val="tx1"/>
            </w14:solidFill>
          </w14:textFill>
        </w:rPr>
      </w:pPr>
      <w:r>
        <w:rPr>
          <w:rFonts w:eastAsia="仿宋_GB2312"/>
          <w:bCs/>
          <w:sz w:val="28"/>
          <w:szCs w:val="28"/>
        </w:rPr>
        <w:t>受新冠疫情影响，</w:t>
      </w:r>
      <w:r>
        <w:rPr>
          <w:rFonts w:eastAsia="仿宋_GB2312"/>
          <w:sz w:val="28"/>
          <w:szCs w:val="28"/>
        </w:rPr>
        <w:t>根据重庆市防疫要求以及机场防控办具体指导意见，</w:t>
      </w:r>
      <w:r>
        <w:rPr>
          <w:rFonts w:eastAsia="仿宋_GB2312"/>
          <w:sz w:val="28"/>
          <w:szCs w:val="28"/>
          <w:lang w:eastAsia="zh-Hans"/>
        </w:rPr>
        <w:t>装卸部</w:t>
      </w:r>
      <w:r>
        <w:rPr>
          <w:rFonts w:hint="eastAsia" w:eastAsia="仿宋_GB2312"/>
          <w:sz w:val="28"/>
          <w:szCs w:val="28"/>
          <w:lang w:eastAsia="zh-Hans"/>
        </w:rPr>
        <w:t>根据现场保障的相关情况</w:t>
      </w:r>
      <w:r>
        <w:rPr>
          <w:rFonts w:eastAsia="仿宋_GB2312"/>
          <w:sz w:val="28"/>
          <w:szCs w:val="28"/>
          <w:lang w:eastAsia="zh-Hans"/>
        </w:rPr>
        <w:t>，</w:t>
      </w:r>
      <w:r>
        <w:rPr>
          <w:rFonts w:eastAsia="仿宋_GB2312"/>
          <w:sz w:val="28"/>
          <w:szCs w:val="28"/>
        </w:rPr>
        <w:t>按</w:t>
      </w:r>
      <w:r>
        <w:rPr>
          <w:rFonts w:hint="eastAsia" w:eastAsia="仿宋_GB2312"/>
          <w:sz w:val="28"/>
          <w:szCs w:val="28"/>
          <w:lang w:eastAsia="zh-Hans"/>
        </w:rPr>
        <w:t>上级要求</w:t>
      </w:r>
      <w:r>
        <w:rPr>
          <w:rFonts w:eastAsia="仿宋_GB2312"/>
          <w:sz w:val="28"/>
          <w:szCs w:val="28"/>
        </w:rPr>
        <w:t>，</w:t>
      </w:r>
      <w:r>
        <w:rPr>
          <w:rFonts w:hint="eastAsia" w:eastAsia="仿宋_GB2312"/>
          <w:sz w:val="28"/>
          <w:szCs w:val="28"/>
        </w:rPr>
        <w:t>将参与国际（地区）航班保障的作业人员统一纳入了闭环管理中。由于国际（地区）航班机坪装卸操作环境较复杂，在保障过程中，全货机以及“客改货（客舱装载）”航班的机坪装载需要大量的人员和时间。</w:t>
      </w:r>
      <w:r>
        <w:rPr>
          <w:rFonts w:eastAsia="仿宋_GB2312"/>
          <w:bCs/>
          <w:sz w:val="28"/>
          <w:szCs w:val="28"/>
        </w:rPr>
        <w:t>为</w:t>
      </w:r>
      <w:r>
        <w:rPr>
          <w:rFonts w:hint="eastAsia" w:eastAsia="仿宋_GB2312"/>
          <w:bCs/>
          <w:sz w:val="28"/>
          <w:szCs w:val="28"/>
        </w:rPr>
        <w:t>满足新增航班的保障条件，</w:t>
      </w:r>
      <w:r>
        <w:rPr>
          <w:rFonts w:eastAsia="仿宋_GB2312"/>
          <w:bCs/>
          <w:sz w:val="28"/>
          <w:szCs w:val="28"/>
        </w:rPr>
        <w:t>确保</w:t>
      </w:r>
      <w:r>
        <w:rPr>
          <w:rFonts w:hint="eastAsia" w:eastAsia="仿宋_GB2312"/>
          <w:bCs/>
          <w:sz w:val="28"/>
          <w:szCs w:val="28"/>
        </w:rPr>
        <w:t>国际（地区）航班的</w:t>
      </w:r>
      <w:r>
        <w:rPr>
          <w:rFonts w:eastAsia="仿宋_GB2312"/>
          <w:bCs/>
          <w:sz w:val="28"/>
          <w:szCs w:val="28"/>
        </w:rPr>
        <w:t>保障顺畅，</w:t>
      </w:r>
      <w:r>
        <w:rPr>
          <w:rFonts w:eastAsia="仿宋_GB2312"/>
          <w:bCs/>
          <w:sz w:val="28"/>
          <w:szCs w:val="28"/>
          <w:lang w:eastAsia="zh-Hans"/>
        </w:rPr>
        <w:t>现</w:t>
      </w:r>
      <w:r>
        <w:rPr>
          <w:rFonts w:eastAsia="仿宋_GB2312"/>
          <w:bCs/>
          <w:sz w:val="28"/>
          <w:szCs w:val="28"/>
        </w:rPr>
        <w:t>拟</w:t>
      </w:r>
      <w:r>
        <w:rPr>
          <w:rFonts w:eastAsia="仿宋_GB2312"/>
          <w:bCs/>
          <w:sz w:val="28"/>
          <w:szCs w:val="28"/>
          <w:lang w:eastAsia="zh-Hans"/>
        </w:rPr>
        <w:t>对国际（地区）航班机坪装卸业务装卸人员进行正式外包采购</w:t>
      </w:r>
      <w:r>
        <w:rPr>
          <w:rFonts w:hint="eastAsia" w:eastAsia="仿宋_GB2312"/>
          <w:bCs/>
          <w:sz w:val="28"/>
          <w:szCs w:val="28"/>
        </w:rPr>
        <w:t>，</w:t>
      </w:r>
      <w:r>
        <w:rPr>
          <w:rFonts w:hint="eastAsia" w:eastAsia="仿宋_GB2312"/>
          <w:bCs/>
          <w:sz w:val="28"/>
          <w:szCs w:val="28"/>
          <w:lang w:eastAsia="zh-CN"/>
        </w:rPr>
        <w:t>增加装卸人员</w:t>
      </w:r>
      <w:r>
        <w:rPr>
          <w:rFonts w:hint="eastAsia" w:eastAsia="仿宋_GB2312"/>
          <w:bCs/>
          <w:sz w:val="28"/>
          <w:szCs w:val="28"/>
        </w:rPr>
        <w:t>30人，后期采购人数根据现场保障情况进行调整。</w:t>
      </w:r>
    </w:p>
    <w:p>
      <w:pPr>
        <w:spacing w:line="560" w:lineRule="exact"/>
        <w:ind w:firstLine="562" w:firstLineChars="200"/>
        <w:rPr>
          <w:rStyle w:val="26"/>
          <w:rFonts w:ascii="仿宋_GB2312" w:hAnsi="仿宋_GB2312" w:eastAsia="仿宋_GB2312" w:cs="仿宋_GB2312"/>
          <w:b/>
          <w:bCs/>
          <w:color w:val="000000" w:themeColor="text1"/>
          <w:sz w:val="28"/>
          <w:szCs w:val="28"/>
          <w14:textFill>
            <w14:solidFill>
              <w14:schemeClr w14:val="tx1"/>
            </w14:solidFill>
          </w14:textFill>
        </w:rPr>
      </w:pPr>
      <w:r>
        <w:rPr>
          <w:rStyle w:val="26"/>
          <w:rFonts w:hint="eastAsia" w:ascii="仿宋_GB2312" w:hAnsi="仿宋_GB2312" w:eastAsia="仿宋_GB2312" w:cs="仿宋_GB2312"/>
          <w:b/>
          <w:bCs/>
          <w:color w:val="000000" w:themeColor="text1"/>
          <w:sz w:val="28"/>
          <w:szCs w:val="28"/>
          <w14:textFill>
            <w14:solidFill>
              <w14:schemeClr w14:val="tx1"/>
            </w14:solidFill>
          </w14:textFill>
        </w:rPr>
        <w:t>1.2.2服务范围：</w:t>
      </w:r>
    </w:p>
    <w:p>
      <w:pPr>
        <w:spacing w:line="560" w:lineRule="exact"/>
        <w:ind w:firstLine="560" w:firstLineChars="200"/>
        <w:contextualSpacing/>
        <w:rPr>
          <w:rStyle w:val="26"/>
          <w:rFonts w:hint="eastAsia"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重庆江北国际机场机坪区域</w:t>
      </w:r>
    </w:p>
    <w:p>
      <w:pPr>
        <w:spacing w:line="560" w:lineRule="exact"/>
        <w:ind w:firstLine="562" w:firstLineChars="200"/>
        <w:rPr>
          <w:rStyle w:val="26"/>
          <w:rFonts w:ascii="仿宋_GB2312" w:hAnsi="仿宋_GB2312" w:eastAsia="仿宋_GB2312" w:cs="仿宋_GB2312"/>
          <w:b/>
          <w:bCs/>
          <w:color w:val="000000" w:themeColor="text1"/>
          <w:sz w:val="28"/>
          <w:szCs w:val="28"/>
          <w14:textFill>
            <w14:solidFill>
              <w14:schemeClr w14:val="tx1"/>
            </w14:solidFill>
          </w14:textFill>
        </w:rPr>
      </w:pPr>
      <w:r>
        <w:rPr>
          <w:rStyle w:val="26"/>
          <w:rFonts w:hint="eastAsia" w:ascii="仿宋_GB2312" w:hAnsi="仿宋_GB2312" w:eastAsia="仿宋_GB2312" w:cs="仿宋_GB2312"/>
          <w:b/>
          <w:bCs/>
          <w:color w:val="000000" w:themeColor="text1"/>
          <w:sz w:val="28"/>
          <w:szCs w:val="28"/>
          <w14:textFill>
            <w14:solidFill>
              <w14:schemeClr w14:val="tx1"/>
            </w14:solidFill>
          </w14:textFill>
        </w:rPr>
        <w:t>1.2.3岗位配置</w:t>
      </w:r>
    </w:p>
    <w:p>
      <w:pPr>
        <w:spacing w:line="560" w:lineRule="exact"/>
        <w:ind w:firstLine="560" w:firstLineChars="200"/>
        <w:rPr>
          <w:rFonts w:hint="eastAsia" w:eastAsia="仿宋_GB2312"/>
          <w:bCs/>
          <w:sz w:val="28"/>
          <w:szCs w:val="28"/>
          <w:lang w:eastAsia="zh-Hans"/>
        </w:rPr>
      </w:pPr>
      <w:r>
        <w:rPr>
          <w:rFonts w:hint="eastAsia" w:eastAsia="仿宋_GB2312"/>
          <w:bCs/>
          <w:sz w:val="28"/>
          <w:szCs w:val="28"/>
          <w:lang w:eastAsia="zh-Hans"/>
        </w:rPr>
        <w:t>本次外包项目</w:t>
      </w:r>
      <w:r>
        <w:rPr>
          <w:rFonts w:hint="eastAsia" w:eastAsia="仿宋_GB2312"/>
          <w:bCs/>
          <w:sz w:val="28"/>
          <w:szCs w:val="28"/>
        </w:rPr>
        <w:t>拟</w:t>
      </w:r>
      <w:r>
        <w:rPr>
          <w:rFonts w:hint="eastAsia" w:eastAsia="仿宋_GB2312"/>
          <w:bCs/>
          <w:sz w:val="28"/>
          <w:szCs w:val="28"/>
          <w:lang w:eastAsia="zh-Hans"/>
        </w:rPr>
        <w:t>采购国际（地区）航班机坪装卸业务装卸人员</w:t>
      </w:r>
      <w:r>
        <w:rPr>
          <w:rFonts w:hint="eastAsia" w:eastAsia="仿宋_GB2312"/>
          <w:bCs/>
          <w:sz w:val="28"/>
          <w:szCs w:val="28"/>
        </w:rPr>
        <w:t>30</w:t>
      </w:r>
      <w:r>
        <w:rPr>
          <w:rFonts w:hint="eastAsia" w:eastAsia="仿宋_GB2312"/>
          <w:bCs/>
          <w:sz w:val="28"/>
          <w:szCs w:val="28"/>
          <w:lang w:eastAsia="zh-Hans"/>
        </w:rPr>
        <w:t>名</w:t>
      </w:r>
      <w:r>
        <w:rPr>
          <w:rFonts w:hint="eastAsia" w:eastAsia="仿宋_GB2312"/>
          <w:bCs/>
          <w:sz w:val="28"/>
          <w:szCs w:val="28"/>
        </w:rPr>
        <w:t>，后期采购人数根据现场实际保障情况进行调整。承包方需按照国家劳动用工有关法律法规和政府监管要求，自行配备</w:t>
      </w:r>
      <w:r>
        <w:rPr>
          <w:rFonts w:hint="eastAsia" w:eastAsia="仿宋_GB2312"/>
          <w:bCs/>
          <w:sz w:val="28"/>
          <w:szCs w:val="28"/>
          <w:lang w:eastAsia="zh-Hans"/>
        </w:rPr>
        <w:t>符合标准</w:t>
      </w:r>
      <w:r>
        <w:rPr>
          <w:rFonts w:hint="eastAsia" w:eastAsia="仿宋_GB2312"/>
          <w:bCs/>
          <w:sz w:val="28"/>
          <w:szCs w:val="28"/>
        </w:rPr>
        <w:t>的人员，履行相应的岗位职责，确保工作区域现场 24小时全覆盖。根据特殊保障需要，发包方有权要求承包方增加或减少相应</w:t>
      </w:r>
      <w:r>
        <w:rPr>
          <w:rFonts w:hint="eastAsia" w:eastAsia="仿宋_GB2312"/>
          <w:bCs/>
          <w:sz w:val="28"/>
          <w:szCs w:val="28"/>
          <w:lang w:eastAsia="zh-Hans"/>
        </w:rPr>
        <w:t>人员</w:t>
      </w:r>
      <w:r>
        <w:rPr>
          <w:rFonts w:hint="eastAsia" w:eastAsia="仿宋_GB2312"/>
          <w:bCs/>
          <w:sz w:val="28"/>
          <w:szCs w:val="28"/>
        </w:rPr>
        <w:t>数量，</w:t>
      </w:r>
      <w:r>
        <w:rPr>
          <w:rFonts w:hint="eastAsia" w:eastAsia="仿宋_GB2312"/>
          <w:bCs/>
          <w:sz w:val="28"/>
          <w:szCs w:val="28"/>
          <w:lang w:eastAsia="zh-Hans"/>
        </w:rPr>
        <w:t>并按岗位单价中标价进行结算。</w:t>
      </w:r>
    </w:p>
    <w:p>
      <w:pPr>
        <w:spacing w:line="560" w:lineRule="exact"/>
        <w:ind w:firstLine="562" w:firstLineChars="200"/>
        <w:rPr>
          <w:rFonts w:hint="eastAsia" w:eastAsia="仿宋_GB2312"/>
          <w:b/>
          <w:bCs w:val="0"/>
          <w:sz w:val="28"/>
          <w:szCs w:val="28"/>
          <w:lang w:eastAsia="zh-Hans"/>
        </w:rPr>
      </w:pPr>
      <w:r>
        <w:rPr>
          <w:rFonts w:hint="eastAsia" w:eastAsia="仿宋_GB2312"/>
          <w:b/>
          <w:bCs w:val="0"/>
          <w:sz w:val="28"/>
          <w:szCs w:val="28"/>
          <w:lang w:eastAsia="zh-Hans"/>
        </w:rPr>
        <w:t>岗位职责及工作内容</w:t>
      </w:r>
      <w:r>
        <w:rPr>
          <w:rFonts w:hint="eastAsia" w:eastAsia="仿宋_GB2312"/>
          <w:b/>
          <w:bCs w:val="0"/>
          <w:sz w:val="28"/>
          <w:szCs w:val="28"/>
          <w:lang w:eastAsia="zh-CN"/>
        </w:rPr>
        <w:t>等项目要求</w:t>
      </w:r>
      <w:r>
        <w:rPr>
          <w:rFonts w:hint="eastAsia" w:eastAsia="仿宋_GB2312"/>
          <w:b/>
          <w:bCs w:val="0"/>
          <w:sz w:val="28"/>
          <w:szCs w:val="28"/>
          <w:lang w:eastAsia="zh-Hans"/>
        </w:rPr>
        <w:t>详见附件一。</w:t>
      </w:r>
    </w:p>
    <w:p>
      <w:pPr>
        <w:spacing w:line="560" w:lineRule="exact"/>
        <w:ind w:firstLine="562" w:firstLineChars="200"/>
        <w:rPr>
          <w:rStyle w:val="26"/>
          <w:rFonts w:ascii="仿宋_GB2312" w:hAnsi="仿宋_GB2312" w:eastAsia="仿宋_GB2312" w:cs="仿宋_GB2312"/>
          <w:b/>
          <w:bCs/>
          <w:color w:val="000000" w:themeColor="text1"/>
          <w:sz w:val="28"/>
          <w:szCs w:val="28"/>
          <w14:textFill>
            <w14:solidFill>
              <w14:schemeClr w14:val="tx1"/>
            </w14:solidFill>
          </w14:textFill>
        </w:rPr>
      </w:pPr>
      <w:r>
        <w:rPr>
          <w:rStyle w:val="26"/>
          <w:rFonts w:hint="eastAsia" w:ascii="仿宋_GB2312" w:hAnsi="仿宋_GB2312" w:eastAsia="仿宋_GB2312" w:cs="仿宋_GB2312"/>
          <w:b/>
          <w:bCs/>
          <w:color w:val="000000" w:themeColor="text1"/>
          <w:sz w:val="28"/>
          <w:szCs w:val="28"/>
          <w14:textFill>
            <w14:solidFill>
              <w14:schemeClr w14:val="tx1"/>
            </w14:solidFill>
          </w14:textFill>
        </w:rPr>
        <w:t>1.2.</w:t>
      </w:r>
      <w:r>
        <w:rPr>
          <w:rStyle w:val="26"/>
          <w:rFonts w:ascii="仿宋_GB2312" w:hAnsi="仿宋_GB2312" w:eastAsia="仿宋_GB2312" w:cs="仿宋_GB2312"/>
          <w:b/>
          <w:bCs/>
          <w:color w:val="000000" w:themeColor="text1"/>
          <w:sz w:val="28"/>
          <w:szCs w:val="28"/>
          <w14:textFill>
            <w14:solidFill>
              <w14:schemeClr w14:val="tx1"/>
            </w14:solidFill>
          </w14:textFill>
        </w:rPr>
        <w:t>4</w:t>
      </w:r>
      <w:r>
        <w:rPr>
          <w:rStyle w:val="26"/>
          <w:rFonts w:hint="eastAsia" w:ascii="仿宋_GB2312" w:hAnsi="仿宋_GB2312" w:eastAsia="仿宋_GB2312" w:cs="仿宋_GB2312"/>
          <w:b/>
          <w:bCs/>
          <w:color w:val="000000" w:themeColor="text1"/>
          <w:sz w:val="28"/>
          <w:szCs w:val="28"/>
          <w14:textFill>
            <w14:solidFill>
              <w14:schemeClr w14:val="tx1"/>
            </w14:solidFill>
          </w14:textFill>
        </w:rPr>
        <w:t>报价要求：</w:t>
      </w:r>
    </w:p>
    <w:p>
      <w:pPr>
        <w:widowControl/>
        <w:spacing w:line="560" w:lineRule="exact"/>
        <w:ind w:firstLine="548" w:firstLineChars="196"/>
        <w:jc w:val="left"/>
        <w:rPr>
          <w:rStyle w:val="26"/>
          <w:rFonts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本项目所涉及到的费用为人民币报价，报价包括完成项目要求的</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人工</w:t>
      </w:r>
      <w:r>
        <w:rPr>
          <w:rStyle w:val="26"/>
          <w:rFonts w:hint="eastAsia" w:ascii="仿宋_GB2312" w:hAnsi="仿宋_GB2312" w:eastAsia="仿宋_GB2312" w:cs="仿宋_GB2312"/>
          <w:color w:val="000000" w:themeColor="text1"/>
          <w:sz w:val="28"/>
          <w:szCs w:val="28"/>
          <w14:textFill>
            <w14:solidFill>
              <w14:schemeClr w14:val="tx1"/>
            </w14:solidFill>
          </w14:textFill>
        </w:rPr>
        <w:t>费用、</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管理费用</w:t>
      </w:r>
      <w:r>
        <w:rPr>
          <w:rStyle w:val="26"/>
          <w:rFonts w:hint="eastAsia" w:ascii="仿宋_GB2312" w:hAnsi="仿宋_GB2312" w:eastAsia="仿宋_GB2312" w:cs="仿宋_GB2312"/>
          <w:color w:val="000000" w:themeColor="text1"/>
          <w:sz w:val="28"/>
          <w:szCs w:val="28"/>
          <w14:textFill>
            <w14:solidFill>
              <w14:schemeClr w14:val="tx1"/>
            </w14:solidFill>
          </w14:textFill>
        </w:rPr>
        <w:t>和相关税费（除增值税外）等全部费用。因响应人自身原因造成漏报、少报皆由其自行承担责任，比选人不再补偿。报价超过最高限价，将取消比选响应人的比选资格。</w:t>
      </w:r>
    </w:p>
    <w:p>
      <w:pPr>
        <w:pStyle w:val="2"/>
        <w:ind w:firstLine="562" w:firstLineChars="200"/>
        <w:rPr>
          <w:rStyle w:val="26"/>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Style w:val="26"/>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本项目每人每月的限价为</w:t>
      </w:r>
      <w:r>
        <w:rPr>
          <w:rStyle w:val="26"/>
          <w:rFonts w:hint="eastAsia" w:hAnsi="仿宋_GB2312" w:cs="仿宋_GB2312"/>
          <w:b/>
          <w:bCs/>
          <w:color w:val="000000" w:themeColor="text1"/>
          <w:kern w:val="2"/>
          <w:sz w:val="28"/>
          <w:szCs w:val="28"/>
          <w:lang w:val="en-US" w:eastAsia="zh-CN" w:bidi="ar-SA"/>
          <w14:textFill>
            <w14:solidFill>
              <w14:schemeClr w14:val="tx1"/>
            </w14:solidFill>
          </w14:textFill>
        </w:rPr>
        <w:t>人民币</w:t>
      </w:r>
      <w:r>
        <w:rPr>
          <w:rStyle w:val="26"/>
          <w:rFonts w:hint="eastAsia" w:hAnsi="仿宋_GB2312" w:cs="仿宋_GB2312"/>
          <w:b/>
          <w:bCs/>
          <w:color w:val="000000" w:themeColor="text1"/>
          <w:kern w:val="2"/>
          <w:sz w:val="28"/>
          <w:szCs w:val="28"/>
          <w:u w:val="single"/>
          <w:lang w:val="en-US" w:eastAsia="zh-CN" w:bidi="ar-SA"/>
          <w14:textFill>
            <w14:solidFill>
              <w14:schemeClr w14:val="tx1"/>
            </w14:solidFill>
          </w14:textFill>
        </w:rPr>
        <w:t>捌仟柒佰捌拾伍元整（小写：¥</w:t>
      </w:r>
      <w:r>
        <w:rPr>
          <w:rStyle w:val="26"/>
          <w:rFonts w:hint="eastAsia" w:ascii="仿宋_GB2312" w:hAnsi="仿宋_GB2312" w:eastAsia="仿宋_GB2312" w:cs="仿宋_GB2312"/>
          <w:b/>
          <w:bCs/>
          <w:color w:val="000000" w:themeColor="text1"/>
          <w:kern w:val="2"/>
          <w:sz w:val="28"/>
          <w:szCs w:val="28"/>
          <w:u w:val="single"/>
          <w:lang w:val="en-US" w:eastAsia="zh-CN" w:bidi="ar-SA"/>
          <w14:textFill>
            <w14:solidFill>
              <w14:schemeClr w14:val="tx1"/>
            </w14:solidFill>
          </w14:textFill>
        </w:rPr>
        <w:t>8785</w:t>
      </w:r>
      <w:r>
        <w:rPr>
          <w:rStyle w:val="26"/>
          <w:rFonts w:hint="eastAsia" w:hAnsi="仿宋_GB2312" w:cs="仿宋_GB2312"/>
          <w:b/>
          <w:bCs/>
          <w:color w:val="000000" w:themeColor="text1"/>
          <w:kern w:val="2"/>
          <w:sz w:val="28"/>
          <w:szCs w:val="28"/>
          <w:u w:val="single"/>
          <w:lang w:val="en-US" w:eastAsia="zh-CN" w:bidi="ar-SA"/>
          <w14:textFill>
            <w14:solidFill>
              <w14:schemeClr w14:val="tx1"/>
            </w14:solidFill>
          </w14:textFill>
        </w:rPr>
        <w:t>.00</w:t>
      </w:r>
      <w:r>
        <w:rPr>
          <w:rStyle w:val="26"/>
          <w:rFonts w:hint="eastAsia" w:ascii="仿宋_GB2312" w:hAnsi="仿宋_GB2312" w:eastAsia="仿宋_GB2312" w:cs="仿宋_GB2312"/>
          <w:b/>
          <w:bCs/>
          <w:color w:val="000000" w:themeColor="text1"/>
          <w:kern w:val="2"/>
          <w:sz w:val="28"/>
          <w:szCs w:val="28"/>
          <w:u w:val="single"/>
          <w:lang w:val="en-US" w:eastAsia="zh-CN" w:bidi="ar-SA"/>
          <w14:textFill>
            <w14:solidFill>
              <w14:schemeClr w14:val="tx1"/>
            </w14:solidFill>
          </w14:textFill>
        </w:rPr>
        <w:t>元</w:t>
      </w:r>
      <w:r>
        <w:rPr>
          <w:rStyle w:val="26"/>
          <w:rFonts w:hint="eastAsia" w:hAnsi="仿宋_GB2312" w:cs="仿宋_GB2312"/>
          <w:b/>
          <w:bCs/>
          <w:color w:val="000000" w:themeColor="text1"/>
          <w:kern w:val="2"/>
          <w:sz w:val="28"/>
          <w:szCs w:val="28"/>
          <w:u w:val="single"/>
          <w:lang w:val="en-US" w:eastAsia="zh-CN" w:bidi="ar-SA"/>
          <w14:textFill>
            <w14:solidFill>
              <w14:schemeClr w14:val="tx1"/>
            </w14:solidFill>
          </w14:textFill>
        </w:rPr>
        <w:t>）</w:t>
      </w:r>
      <w:r>
        <w:rPr>
          <w:rStyle w:val="26"/>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w:t>
      </w:r>
    </w:p>
    <w:p>
      <w:pPr>
        <w:spacing w:line="560" w:lineRule="exact"/>
        <w:ind w:firstLine="562" w:firstLineChars="200"/>
        <w:rPr>
          <w:rStyle w:val="26"/>
          <w:rFonts w:hint="eastAsia" w:ascii="仿宋_GB2312" w:hAnsi="仿宋_GB2312" w:eastAsia="仿宋_GB2312" w:cs="仿宋_GB2312"/>
          <w:b/>
          <w:bCs/>
          <w:color w:val="000000" w:themeColor="text1"/>
          <w:sz w:val="28"/>
          <w:szCs w:val="28"/>
          <w14:textFill>
            <w14:solidFill>
              <w14:schemeClr w14:val="tx1"/>
            </w14:solidFill>
          </w14:textFill>
        </w:rPr>
      </w:pPr>
      <w:r>
        <w:rPr>
          <w:rStyle w:val="26"/>
          <w:rFonts w:hint="eastAsia" w:ascii="仿宋_GB2312" w:hAnsi="仿宋_GB2312" w:eastAsia="仿宋_GB2312" w:cs="仿宋_GB2312"/>
          <w:b/>
          <w:bCs/>
          <w:color w:val="000000" w:themeColor="text1"/>
          <w:sz w:val="28"/>
          <w:szCs w:val="28"/>
          <w14:textFill>
            <w14:solidFill>
              <w14:schemeClr w14:val="tx1"/>
            </w14:solidFill>
          </w14:textFill>
        </w:rPr>
        <w:t>1</w:t>
      </w:r>
      <w:r>
        <w:rPr>
          <w:rStyle w:val="26"/>
          <w:rFonts w:ascii="仿宋_GB2312" w:hAnsi="仿宋_GB2312" w:eastAsia="仿宋_GB2312" w:cs="仿宋_GB2312"/>
          <w:b/>
          <w:bCs/>
          <w:color w:val="000000" w:themeColor="text1"/>
          <w:sz w:val="28"/>
          <w:szCs w:val="28"/>
          <w14:textFill>
            <w14:solidFill>
              <w14:schemeClr w14:val="tx1"/>
            </w14:solidFill>
          </w14:textFill>
        </w:rPr>
        <w:t>.2.5</w:t>
      </w:r>
      <w:r>
        <w:rPr>
          <w:rStyle w:val="26"/>
          <w:rFonts w:hint="eastAsia" w:ascii="仿宋_GB2312" w:hAnsi="仿宋_GB2312" w:eastAsia="仿宋_GB2312" w:cs="仿宋_GB2312"/>
          <w:b/>
          <w:bCs/>
          <w:color w:val="000000" w:themeColor="text1"/>
          <w:sz w:val="28"/>
          <w:szCs w:val="28"/>
          <w14:textFill>
            <w14:solidFill>
              <w14:schemeClr w14:val="tx1"/>
            </w14:solidFill>
          </w14:textFill>
        </w:rPr>
        <w:t>合同主要条款</w:t>
      </w:r>
      <w:r>
        <w:rPr>
          <w:rStyle w:val="26"/>
          <w:rFonts w:ascii="仿宋_GB2312" w:hAnsi="仿宋_GB2312" w:eastAsia="仿宋_GB2312" w:cs="仿宋_GB2312"/>
          <w:b/>
          <w:bCs/>
          <w:color w:val="000000" w:themeColor="text1"/>
          <w:sz w:val="28"/>
          <w:szCs w:val="28"/>
          <w14:textFill>
            <w14:solidFill>
              <w14:schemeClr w14:val="tx1"/>
            </w14:solidFill>
          </w14:textFill>
        </w:rPr>
        <w:t>：详见附件三</w:t>
      </w:r>
    </w:p>
    <w:bookmarkEnd w:id="0"/>
    <w:p>
      <w:pPr>
        <w:widowControl/>
        <w:spacing w:line="560" w:lineRule="exact"/>
        <w:ind w:firstLine="560" w:firstLineChars="200"/>
        <w:jc w:val="left"/>
        <w:rPr>
          <w:rFonts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二、成交标准</w:t>
      </w:r>
    </w:p>
    <w:p>
      <w:pPr>
        <w:spacing w:line="56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成交人采用综合评分法，按综合得分从高到低的原则确定</w:t>
      </w:r>
      <w:r>
        <w:rPr>
          <w:rFonts w:ascii="仿宋_GB2312" w:hAnsi="仿宋_GB2312" w:eastAsia="仿宋_GB2312" w:cs="仿宋_GB2312"/>
          <w:b/>
          <w:color w:val="000000" w:themeColor="text1"/>
          <w:sz w:val="28"/>
          <w:szCs w:val="28"/>
          <w14:textFill>
            <w14:solidFill>
              <w14:schemeClr w14:val="tx1"/>
            </w14:solidFill>
          </w14:textFill>
        </w:rPr>
        <w:t>3</w:t>
      </w:r>
      <w:r>
        <w:rPr>
          <w:rFonts w:hint="eastAsia" w:ascii="仿宋_GB2312" w:hAnsi="仿宋_GB2312" w:eastAsia="仿宋_GB2312" w:cs="仿宋_GB2312"/>
          <w:b/>
          <w:color w:val="000000" w:themeColor="text1"/>
          <w:sz w:val="28"/>
          <w:szCs w:val="28"/>
          <w14:textFill>
            <w14:solidFill>
              <w14:schemeClr w14:val="tx1"/>
            </w14:solidFill>
          </w14:textFill>
        </w:rPr>
        <w:t>名成交候选人，综合得分第一名的推荐为成交人。</w:t>
      </w:r>
    </w:p>
    <w:p>
      <w:pPr>
        <w:spacing w:line="560" w:lineRule="exact"/>
        <w:ind w:firstLine="562" w:firstLineChars="200"/>
        <w:rPr>
          <w:rFonts w:ascii="仿宋_GB2312" w:hAnsi="仿宋_GB2312" w:eastAsia="仿宋_GB2312" w:cs="仿宋_GB2312"/>
          <w:b/>
          <w:color w:val="000000" w:themeColor="text1"/>
          <w:sz w:val="28"/>
          <w:szCs w:val="28"/>
          <w:u w:val="single"/>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评分标准详见附件二。</w:t>
      </w:r>
    </w:p>
    <w:p>
      <w:pPr>
        <w:spacing w:line="560" w:lineRule="exact"/>
        <w:ind w:firstLine="560" w:firstLineChars="200"/>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具体</w:t>
      </w:r>
      <w:r>
        <w:rPr>
          <w:rFonts w:hint="eastAsia" w:ascii="仿宋_GB2312" w:hAnsi="仿宋_GB2312" w:eastAsia="仿宋_GB2312" w:cs="仿宋_GB2312"/>
          <w:bCs/>
          <w:color w:val="000000" w:themeColor="text1"/>
          <w:sz w:val="28"/>
          <w:szCs w:val="28"/>
          <w14:textFill>
            <w14:solidFill>
              <w14:schemeClr w14:val="tx1"/>
            </w14:solidFill>
          </w14:textFill>
        </w:rPr>
        <w:t>比选规则</w:t>
      </w:r>
      <w:r>
        <w:rPr>
          <w:rFonts w:hint="eastAsia" w:ascii="仿宋_GB2312" w:hAnsi="仿宋_GB2312" w:eastAsia="仿宋_GB2312" w:cs="仿宋_GB2312"/>
          <w:bCs/>
          <w:color w:val="000000" w:themeColor="text1"/>
          <w:kern w:val="0"/>
          <w:sz w:val="28"/>
          <w:szCs w:val="28"/>
          <w14:textFill>
            <w14:solidFill>
              <w14:schemeClr w14:val="tx1"/>
            </w14:solidFill>
          </w14:textFill>
        </w:rPr>
        <w:t>如下：</w:t>
      </w:r>
    </w:p>
    <w:p>
      <w:pPr>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2.1 递交比选响应文件截止时，比选响应文件少于</w:t>
      </w:r>
      <w:r>
        <w:rPr>
          <w:rFonts w:ascii="仿宋_GB2312" w:hAnsi="仿宋_GB2312" w:eastAsia="仿宋_GB2312" w:cs="仿宋_GB2312"/>
          <w:color w:val="000000" w:themeColor="text1"/>
          <w:kern w:val="0"/>
          <w:sz w:val="28"/>
          <w:szCs w:val="28"/>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个的，应停止比选活动，将递交的比选响应文件退还比选响应人，并重新组织比选。重新比选仍然不足</w:t>
      </w:r>
      <w:r>
        <w:rPr>
          <w:rFonts w:ascii="仿宋_GB2312" w:hAnsi="仿宋_GB2312" w:eastAsia="仿宋_GB2312" w:cs="仿宋_GB2312"/>
          <w:color w:val="000000" w:themeColor="text1"/>
          <w:kern w:val="0"/>
          <w:sz w:val="28"/>
          <w:szCs w:val="28"/>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个单位的，可以继续进行比选。</w:t>
      </w:r>
    </w:p>
    <w:p>
      <w:pPr>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2.2 经评审，有效比选响应人不足</w:t>
      </w:r>
      <w:r>
        <w:rPr>
          <w:rFonts w:ascii="仿宋_GB2312" w:hAnsi="仿宋_GB2312" w:eastAsia="仿宋_GB2312" w:cs="仿宋_GB2312"/>
          <w:color w:val="000000" w:themeColor="text1"/>
          <w:kern w:val="0"/>
          <w:sz w:val="28"/>
          <w:szCs w:val="28"/>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个的，评审委员会应当否决该项目的比选，但是有效比选响应人的经济、技术等指标仍然具有市场竞争力，能够满足比选文件要求的，评审委员会可以继续评审，按照综合评分高的原则确定成交候选人。 </w:t>
      </w:r>
    </w:p>
    <w:p>
      <w:pPr>
        <w:spacing w:line="560" w:lineRule="exact"/>
        <w:ind w:firstLine="560" w:firstLineChars="200"/>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三、比选文件发放的时间及地点</w:t>
      </w:r>
    </w:p>
    <w:p>
      <w:pPr>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比选采购文件及相关资料于202</w:t>
      </w:r>
      <w:r>
        <w:rPr>
          <w:rFonts w:ascii="仿宋_GB2312" w:hAnsi="仿宋_GB2312" w:eastAsia="仿宋_GB2312" w:cs="仿宋_GB2312"/>
          <w:bCs/>
          <w:color w:val="000000" w:themeColor="text1"/>
          <w:sz w:val="28"/>
          <w:szCs w:val="28"/>
          <w14:textFill>
            <w14:solidFill>
              <w14:schemeClr w14:val="tx1"/>
            </w14:solidFill>
          </w14:textFill>
        </w:rPr>
        <w:t>2</w:t>
      </w:r>
      <w:r>
        <w:rPr>
          <w:rFonts w:hint="eastAsia" w:ascii="仿宋_GB2312" w:hAnsi="仿宋_GB2312" w:eastAsia="仿宋_GB2312" w:cs="仿宋_GB2312"/>
          <w:bCs/>
          <w:color w:val="000000" w:themeColor="text1"/>
          <w:sz w:val="28"/>
          <w:szCs w:val="28"/>
          <w14:textFill>
            <w14:solidFill>
              <w14:schemeClr w14:val="tx1"/>
            </w14:solidFill>
          </w14:textFill>
        </w:rPr>
        <w:t>年</w:t>
      </w:r>
      <w:r>
        <w:rPr>
          <w:rFonts w:ascii="仿宋_GB2312" w:hAnsi="仿宋_GB2312" w:eastAsia="仿宋_GB2312" w:cs="仿宋_GB2312"/>
          <w:bCs/>
          <w:color w:val="000000" w:themeColor="text1"/>
          <w:sz w:val="28"/>
          <w:szCs w:val="28"/>
          <w14:textFill>
            <w14:solidFill>
              <w14:schemeClr w14:val="tx1"/>
            </w14:solidFill>
          </w14:textFill>
        </w:rPr>
        <w:t>4</w:t>
      </w:r>
      <w:r>
        <w:rPr>
          <w:rFonts w:hint="eastAsia" w:ascii="仿宋_GB2312" w:hAnsi="仿宋_GB2312" w:eastAsia="仿宋_GB2312" w:cs="仿宋_GB2312"/>
          <w:bCs/>
          <w:color w:val="000000" w:themeColor="text1"/>
          <w:sz w:val="28"/>
          <w:szCs w:val="28"/>
          <w14:textFill>
            <w14:solidFill>
              <w14:schemeClr w14:val="tx1"/>
            </w14:solidFill>
          </w14:textFill>
        </w:rPr>
        <w:t>月</w:t>
      </w:r>
      <w:r>
        <w:rPr>
          <w:rFonts w:ascii="仿宋_GB2312" w:hAnsi="仿宋_GB2312" w:eastAsia="仿宋_GB2312" w:cs="仿宋_GB2312"/>
          <w:bCs/>
          <w:color w:val="000000" w:themeColor="text1"/>
          <w:sz w:val="28"/>
          <w:szCs w:val="28"/>
          <w14:textFill>
            <w14:solidFill>
              <w14:schemeClr w14:val="tx1"/>
            </w14:solidFill>
          </w14:textFill>
        </w:rPr>
        <w:t>28</w:t>
      </w:r>
      <w:r>
        <w:rPr>
          <w:rFonts w:hint="eastAsia" w:ascii="仿宋_GB2312" w:hAnsi="仿宋_GB2312" w:eastAsia="仿宋_GB2312" w:cs="仿宋_GB2312"/>
          <w:bCs/>
          <w:color w:val="000000" w:themeColor="text1"/>
          <w:sz w:val="28"/>
          <w:szCs w:val="28"/>
          <w14:textFill>
            <w14:solidFill>
              <w14:schemeClr w14:val="tx1"/>
            </w14:solidFill>
          </w14:textFill>
        </w:rPr>
        <w:t>日起在</w:t>
      </w:r>
      <w:r>
        <w:rPr>
          <w:rFonts w:hint="eastAsia" w:ascii="仿宋_GB2312" w:hAnsi="仿宋_GB2312" w:eastAsia="仿宋_GB2312" w:cs="仿宋_GB2312"/>
          <w:color w:val="000000" w:themeColor="text1"/>
          <w:sz w:val="28"/>
          <w:szCs w:val="28"/>
          <w14:textFill>
            <w14:solidFill>
              <w14:schemeClr w14:val="tx1"/>
            </w14:solidFill>
          </w14:textFill>
        </w:rPr>
        <w:t>重庆江北机场外网（https://www.cqa.cn/u/jichang）发布。</w:t>
      </w:r>
    </w:p>
    <w:p>
      <w:pPr>
        <w:spacing w:line="560" w:lineRule="exact"/>
        <w:ind w:firstLine="560" w:firstLineChars="200"/>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四、比选响应保证金及履约保证金</w:t>
      </w:r>
    </w:p>
    <w:p>
      <w:pPr>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比选响应保证金：无；</w:t>
      </w:r>
    </w:p>
    <w:p>
      <w:pPr>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履约保证金：叁拾万元整。（小写：¥</w:t>
      </w:r>
      <w:r>
        <w:rPr>
          <w:rFonts w:ascii="仿宋_GB2312" w:hAnsi="仿宋_GB2312" w:eastAsia="仿宋_GB2312" w:cs="仿宋_GB2312"/>
          <w:bCs/>
          <w:color w:val="000000" w:themeColor="text1"/>
          <w:sz w:val="28"/>
          <w:szCs w:val="28"/>
          <w14:textFill>
            <w14:solidFill>
              <w14:schemeClr w14:val="tx1"/>
            </w14:solidFill>
          </w14:textFill>
        </w:rPr>
        <w:t>300000.00</w:t>
      </w:r>
      <w:r>
        <w:rPr>
          <w:rFonts w:hint="eastAsia" w:ascii="仿宋_GB2312" w:hAnsi="仿宋_GB2312" w:eastAsia="仿宋_GB2312" w:cs="仿宋_GB2312"/>
          <w:bCs/>
          <w:color w:val="000000" w:themeColor="text1"/>
          <w:sz w:val="28"/>
          <w:szCs w:val="28"/>
          <w14:textFill>
            <w14:solidFill>
              <w14:schemeClr w14:val="tx1"/>
            </w14:solidFill>
          </w14:textFill>
        </w:rPr>
        <w:t>）；</w:t>
      </w:r>
    </w:p>
    <w:p>
      <w:pPr>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成交人在收到成交通知书5个工作日内通过银行转账的方式提交到重庆空港航空地面服务有限公司指定账户，项目合同期满后，由成交人提出申请后40天内退还，但不计利息。</w:t>
      </w:r>
    </w:p>
    <w:p>
      <w:pPr>
        <w:numPr>
          <w:ilvl w:val="255"/>
          <w:numId w:val="0"/>
        </w:numPr>
        <w:spacing w:line="56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五、服务期</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自双方合同</w:t>
      </w:r>
      <w:r>
        <w:rPr>
          <w:rFonts w:hint="eastAsia" w:ascii="仿宋_GB2312" w:hAnsi="仿宋_GB2312" w:eastAsia="仿宋_GB2312" w:cs="仿宋_GB2312"/>
          <w:color w:val="000000" w:themeColor="text1"/>
          <w:sz w:val="28"/>
          <w:szCs w:val="28"/>
          <w:lang w:eastAsia="zh-CN"/>
          <w14:textFill>
            <w14:solidFill>
              <w14:schemeClr w14:val="tx1"/>
            </w14:solidFill>
          </w14:textFill>
        </w:rPr>
        <w:t>签订</w:t>
      </w:r>
      <w:r>
        <w:rPr>
          <w:rFonts w:hint="eastAsia" w:ascii="仿宋_GB2312" w:hAnsi="仿宋_GB2312" w:eastAsia="仿宋_GB2312" w:cs="仿宋_GB2312"/>
          <w:color w:val="000000" w:themeColor="text1"/>
          <w:sz w:val="28"/>
          <w:szCs w:val="28"/>
          <w14:textFill>
            <w14:solidFill>
              <w14:schemeClr w14:val="tx1"/>
            </w14:solidFill>
          </w14:textFill>
        </w:rPr>
        <w:t>之日起到2</w:t>
      </w:r>
      <w:r>
        <w:rPr>
          <w:rFonts w:ascii="仿宋_GB2312" w:hAnsi="仿宋_GB2312" w:eastAsia="仿宋_GB2312" w:cs="仿宋_GB2312"/>
          <w:color w:val="000000" w:themeColor="text1"/>
          <w:sz w:val="28"/>
          <w:szCs w:val="28"/>
          <w14:textFill>
            <w14:solidFill>
              <w14:schemeClr w14:val="tx1"/>
            </w14:solidFill>
          </w14:textFill>
        </w:rPr>
        <w:t>023</w:t>
      </w:r>
      <w:r>
        <w:rPr>
          <w:rFonts w:hint="eastAsia" w:ascii="仿宋_GB2312" w:hAnsi="仿宋_GB2312" w:eastAsia="仿宋_GB2312" w:cs="仿宋_GB2312"/>
          <w:color w:val="000000" w:themeColor="text1"/>
          <w:sz w:val="28"/>
          <w:szCs w:val="28"/>
          <w14:textFill>
            <w14:solidFill>
              <w14:schemeClr w14:val="tx1"/>
            </w14:solidFill>
          </w14:textFill>
        </w:rPr>
        <w:t>年6月3</w:t>
      </w:r>
      <w:r>
        <w:rPr>
          <w:rFonts w:ascii="仿宋_GB2312" w:hAnsi="仿宋_GB2312" w:eastAsia="仿宋_GB2312" w:cs="仿宋_GB2312"/>
          <w:color w:val="000000" w:themeColor="text1"/>
          <w:sz w:val="28"/>
          <w:szCs w:val="28"/>
          <w14:textFill>
            <w14:solidFill>
              <w14:schemeClr w14:val="tx1"/>
            </w14:solidFill>
          </w14:textFill>
        </w:rPr>
        <w:t>0</w:t>
      </w:r>
      <w:r>
        <w:rPr>
          <w:rFonts w:hint="eastAsia" w:ascii="仿宋_GB2312" w:hAnsi="仿宋_GB2312" w:eastAsia="仿宋_GB2312" w:cs="仿宋_GB2312"/>
          <w:color w:val="000000" w:themeColor="text1"/>
          <w:sz w:val="28"/>
          <w:szCs w:val="28"/>
          <w14:textFill>
            <w14:solidFill>
              <w14:schemeClr w14:val="tx1"/>
            </w14:solidFill>
          </w14:textFill>
        </w:rPr>
        <w:t>日。</w:t>
      </w:r>
    </w:p>
    <w:p>
      <w:pPr>
        <w:spacing w:line="56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六、比选响应有效期</w:t>
      </w:r>
    </w:p>
    <w:p>
      <w:pPr>
        <w:spacing w:line="560" w:lineRule="exact"/>
        <w:ind w:firstLine="560" w:firstLineChars="200"/>
        <w:rPr>
          <w:rStyle w:val="26"/>
          <w:rFonts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90天（自比选响应人提交比选响应文件截止之日起计算）。</w:t>
      </w:r>
    </w:p>
    <w:p>
      <w:pPr>
        <w:spacing w:line="56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七、比选响应文件的编制和提交</w:t>
      </w:r>
    </w:p>
    <w:p>
      <w:pPr>
        <w:autoSpaceDE w:val="0"/>
        <w:autoSpaceDN w:val="0"/>
        <w:adjustRightInd w:val="0"/>
        <w:spacing w:line="560" w:lineRule="exact"/>
        <w:ind w:firstLine="630" w:firstLineChars="225"/>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.1 </w:t>
      </w:r>
      <w:r>
        <w:rPr>
          <w:rFonts w:hint="eastAsia" w:ascii="仿宋_GB2312" w:hAnsi="仿宋_GB2312" w:eastAsia="仿宋_GB2312" w:cs="仿宋_GB2312"/>
          <w:color w:val="000000" w:themeColor="text1"/>
          <w:sz w:val="28"/>
          <w:szCs w:val="28"/>
          <w14:textFill>
            <w14:solidFill>
              <w14:schemeClr w14:val="tx1"/>
            </w14:solidFill>
          </w14:textFill>
        </w:rPr>
        <w:t>比选响应人</w:t>
      </w:r>
      <w:r>
        <w:rPr>
          <w:rFonts w:hint="eastAsia" w:ascii="仿宋_GB2312" w:hAnsi="仿宋_GB2312" w:eastAsia="仿宋_GB2312" w:cs="仿宋_GB2312"/>
          <w:color w:val="000000" w:themeColor="text1"/>
          <w:sz w:val="28"/>
          <w:szCs w:val="28"/>
          <w:lang w:val="zh-CN"/>
          <w14:textFill>
            <w14:solidFill>
              <w14:schemeClr w14:val="tx1"/>
            </w14:solidFill>
          </w14:textFill>
        </w:rPr>
        <w:t>应当按照</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采购文件的要求编制比选响应文件，比选响应文件应当对</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采购文件提出的要求和条件作出实质性应答。</w:t>
      </w:r>
    </w:p>
    <w:p>
      <w:pPr>
        <w:autoSpaceDE w:val="0"/>
        <w:autoSpaceDN w:val="0"/>
        <w:adjustRightInd w:val="0"/>
        <w:spacing w:line="560" w:lineRule="exact"/>
        <w:ind w:firstLine="630" w:firstLineChars="225"/>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b/>
          <w:bCs/>
          <w:color w:val="000000" w:themeColor="text1"/>
          <w:sz w:val="28"/>
          <w:szCs w:val="28"/>
          <w:lang w:val="zh-CN"/>
          <w14:textFill>
            <w14:solidFill>
              <w14:schemeClr w14:val="tx1"/>
            </w14:solidFill>
          </w14:textFill>
        </w:rPr>
        <w:t xml:space="preserve"> 比选响应</w:t>
      </w:r>
      <w:r>
        <w:rPr>
          <w:rFonts w:hint="eastAsia" w:ascii="仿宋_GB2312" w:hAnsi="仿宋_GB2312" w:eastAsia="仿宋_GB2312" w:cs="仿宋_GB2312"/>
          <w:b/>
          <w:bCs/>
          <w:color w:val="000000" w:themeColor="text1"/>
          <w:sz w:val="28"/>
          <w:szCs w:val="28"/>
          <w14:textFill>
            <w14:solidFill>
              <w14:schemeClr w14:val="tx1"/>
            </w14:solidFill>
          </w14:textFill>
        </w:rPr>
        <w:t>人应按比选采购文件要求编制响应</w:t>
      </w:r>
      <w:r>
        <w:rPr>
          <w:rFonts w:hint="eastAsia" w:ascii="仿宋_GB2312" w:hAnsi="仿宋_GB2312" w:eastAsia="仿宋_GB2312" w:cs="仿宋_GB2312"/>
          <w:b/>
          <w:bCs/>
          <w:color w:val="000000" w:themeColor="text1"/>
          <w:sz w:val="28"/>
          <w:szCs w:val="28"/>
          <w:lang w:val="zh-CN"/>
          <w14:textFill>
            <w14:solidFill>
              <w14:schemeClr w14:val="tx1"/>
            </w14:solidFill>
          </w14:textFill>
        </w:rPr>
        <w:t>文件</w:t>
      </w:r>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响应文件并</w:t>
      </w:r>
      <w:r>
        <w:rPr>
          <w:rFonts w:hint="eastAsia" w:ascii="仿宋_GB2312" w:hAnsi="仿宋_GB2312" w:eastAsia="仿宋_GB2312" w:cs="仿宋_GB2312"/>
          <w:color w:val="000000" w:themeColor="text1"/>
          <w:sz w:val="28"/>
          <w:szCs w:val="28"/>
          <w:lang w:val="zh-CN"/>
          <w14:textFill>
            <w14:solidFill>
              <w14:schemeClr w14:val="tx1"/>
            </w14:solidFill>
          </w14:textFill>
        </w:rPr>
        <w:t>用A4规格纸编制并装订成册（格式</w:t>
      </w:r>
      <w:r>
        <w:rPr>
          <w:rFonts w:hint="eastAsia" w:ascii="仿宋_GB2312" w:hAnsi="仿宋_GB2312" w:eastAsia="仿宋_GB2312" w:cs="仿宋_GB2312"/>
          <w:color w:val="000000" w:themeColor="text1"/>
          <w:sz w:val="28"/>
          <w:szCs w:val="28"/>
          <w14:textFill>
            <w14:solidFill>
              <w14:schemeClr w14:val="tx1"/>
            </w14:solidFill>
          </w14:textFill>
        </w:rPr>
        <w:t>附后</w:t>
      </w:r>
      <w:r>
        <w:rPr>
          <w:rFonts w:hint="eastAsia" w:ascii="仿宋_GB2312" w:hAnsi="仿宋_GB2312" w:eastAsia="仿宋_GB2312" w:cs="仿宋_GB2312"/>
          <w:color w:val="000000" w:themeColor="text1"/>
          <w:sz w:val="28"/>
          <w:szCs w:val="28"/>
          <w:lang w:val="zh-CN"/>
          <w14:textFill>
            <w14:solidFill>
              <w14:schemeClr w14:val="tx1"/>
            </w14:solidFill>
          </w14:textFill>
        </w:rPr>
        <w:t>），主要由以下几个部分组成：</w:t>
      </w:r>
    </w:p>
    <w:p>
      <w:pPr>
        <w:autoSpaceDE w:val="0"/>
        <w:autoSpaceDN w:val="0"/>
        <w:adjustRightInd w:val="0"/>
        <w:spacing w:line="560" w:lineRule="exact"/>
        <w:ind w:firstLine="630" w:firstLineChars="225"/>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.2.1 封面（每份响应文件分别密封，在封面注明项目名称）。</w:t>
      </w:r>
    </w:p>
    <w:p>
      <w:pPr>
        <w:autoSpaceDE w:val="0"/>
        <w:autoSpaceDN w:val="0"/>
        <w:adjustRightInd w:val="0"/>
        <w:spacing w:line="560" w:lineRule="exact"/>
        <w:ind w:firstLine="630" w:firstLineChars="225"/>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.2.2 </w:t>
      </w:r>
      <w:r>
        <w:rPr>
          <w:rFonts w:hint="eastAsia" w:ascii="仿宋_GB2312" w:hAnsi="仿宋_GB2312" w:eastAsia="仿宋_GB2312" w:cs="仿宋_GB2312"/>
          <w:color w:val="000000" w:themeColor="text1"/>
          <w:sz w:val="28"/>
          <w:szCs w:val="28"/>
          <w14:textFill>
            <w14:solidFill>
              <w14:schemeClr w14:val="tx1"/>
            </w14:solidFill>
          </w14:textFill>
        </w:rPr>
        <w:t>报价函</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spacing w:line="560" w:lineRule="exact"/>
        <w:ind w:firstLine="560" w:firstLineChars="200"/>
        <w:rPr>
          <w:rStyle w:val="26"/>
          <w:rFonts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7</w:t>
      </w:r>
      <w:r>
        <w:rPr>
          <w:rStyle w:val="26"/>
          <w:rFonts w:hint="eastAsia" w:ascii="仿宋_GB2312" w:hAnsi="仿宋_GB2312" w:eastAsia="仿宋_GB2312" w:cs="仿宋_GB2312"/>
          <w:color w:val="000000" w:themeColor="text1"/>
          <w:sz w:val="28"/>
          <w:szCs w:val="28"/>
          <w:lang w:val="zh-CN"/>
          <w14:textFill>
            <w14:solidFill>
              <w14:schemeClr w14:val="tx1"/>
            </w14:solidFill>
          </w14:textFill>
        </w:rPr>
        <w:t>.2.</w:t>
      </w:r>
      <w:r>
        <w:rPr>
          <w:rStyle w:val="26"/>
          <w:rFonts w:hint="eastAsia" w:ascii="仿宋_GB2312" w:hAnsi="仿宋_GB2312" w:eastAsia="仿宋_GB2312" w:cs="仿宋_GB2312"/>
          <w:color w:val="000000" w:themeColor="text1"/>
          <w:sz w:val="28"/>
          <w:szCs w:val="28"/>
          <w14:textFill>
            <w14:solidFill>
              <w14:schemeClr w14:val="tx1"/>
            </w14:solidFill>
          </w14:textFill>
        </w:rPr>
        <w:t>3</w:t>
      </w:r>
      <w:r>
        <w:rPr>
          <w:rStyle w:val="26"/>
          <w:rFonts w:hint="eastAsia" w:ascii="仿宋_GB2312" w:hAnsi="仿宋_GB2312" w:eastAsia="仿宋_GB2312" w:cs="仿宋_GB2312"/>
          <w:color w:val="000000" w:themeColor="text1"/>
          <w:sz w:val="28"/>
          <w:szCs w:val="28"/>
          <w:lang w:val="zh-CN"/>
          <w14:textFill>
            <w14:solidFill>
              <w14:schemeClr w14:val="tx1"/>
            </w14:solidFill>
          </w14:textFill>
        </w:rPr>
        <w:t xml:space="preserve"> 技术部分。主要包括本文件约定的岗位职责和工作内容等其他要求进行响应、根据技术评分标准准备相关证明材料等</w:t>
      </w:r>
      <w:r>
        <w:rPr>
          <w:rStyle w:val="26"/>
          <w:rFonts w:hint="eastAsia" w:ascii="仿宋_GB2312" w:hAnsi="仿宋_GB2312" w:eastAsia="仿宋_GB2312" w:cs="仿宋_GB2312"/>
          <w:color w:val="000000" w:themeColor="text1"/>
          <w:sz w:val="28"/>
          <w:szCs w:val="28"/>
          <w14:textFill>
            <w14:solidFill>
              <w14:schemeClr w14:val="tx1"/>
            </w14:solidFill>
          </w14:textFill>
        </w:rPr>
        <w:t>。</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 xml:space="preserve">4 </w:t>
      </w:r>
      <w:r>
        <w:rPr>
          <w:rFonts w:hint="eastAsia" w:ascii="仿宋_GB2312" w:hAnsi="仿宋_GB2312" w:eastAsia="仿宋_GB2312" w:cs="仿宋_GB2312"/>
          <w:color w:val="000000" w:themeColor="text1"/>
          <w:sz w:val="28"/>
          <w:szCs w:val="28"/>
          <w:lang w:val="zh-CN"/>
          <w14:textFill>
            <w14:solidFill>
              <w14:schemeClr w14:val="tx1"/>
            </w14:solidFill>
          </w14:textFill>
        </w:rPr>
        <w:t>商务部分。主要包括</w:t>
      </w:r>
      <w:r>
        <w:rPr>
          <w:rFonts w:hint="eastAsia" w:ascii="仿宋_GB2312" w:hAnsi="仿宋_GB2312" w:eastAsia="仿宋_GB2312" w:cs="仿宋_GB2312"/>
          <w:color w:val="000000" w:themeColor="text1"/>
          <w:sz w:val="28"/>
          <w:szCs w:val="28"/>
          <w14:textFill>
            <w14:solidFill>
              <w14:schemeClr w14:val="tx1"/>
            </w14:solidFill>
          </w14:textFill>
        </w:rPr>
        <w:t>比选人响应人授权委托书（原件）、比选响应人资格要求证明文件、按商务评分标准准备的相关证明材料以及</w:t>
      </w:r>
      <w:r>
        <w:rPr>
          <w:rFonts w:hint="eastAsia" w:ascii="仿宋_GB2312" w:hAnsi="仿宋_GB2312" w:eastAsia="仿宋_GB2312" w:cs="仿宋_GB2312"/>
          <w:color w:val="000000" w:themeColor="text1"/>
          <w:sz w:val="28"/>
          <w:szCs w:val="28"/>
          <w:lang w:val="zh-CN"/>
          <w14:textFill>
            <w14:solidFill>
              <w14:schemeClr w14:val="tx1"/>
            </w14:solidFill>
          </w14:textFill>
        </w:rPr>
        <w:t>服务承诺等。</w:t>
      </w:r>
    </w:p>
    <w:p>
      <w:pPr>
        <w:adjustRightInd w:val="0"/>
        <w:snapToGrid w:val="0"/>
        <w:spacing w:line="560" w:lineRule="exact"/>
        <w:ind w:left="1" w:firstLine="560" w:firstLineChars="200"/>
        <w:jc w:val="left"/>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 xml:space="preserve">5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比选响应文件合并装订成册，纸质文件一式</w:t>
      </w: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lang w:val="zh-CN"/>
          <w14:textFill>
            <w14:solidFill>
              <w14:schemeClr w14:val="tx1"/>
            </w14:solidFill>
          </w14:textFill>
        </w:rPr>
        <w:t>份，其中正本1份，副本</w:t>
      </w: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份。</w:t>
      </w:r>
    </w:p>
    <w:p>
      <w:pPr>
        <w:adjustRightInd w:val="0"/>
        <w:snapToGrid w:val="0"/>
        <w:spacing w:line="560" w:lineRule="exact"/>
        <w:ind w:left="1" w:firstLine="560" w:firstLineChars="200"/>
        <w:jc w:val="left"/>
        <w:rPr>
          <w:rFonts w:ascii="仿宋_GB2312" w:hAnsi="仿宋_GB2312" w:eastAsia="仿宋_GB2312" w:cs="仿宋_GB2312"/>
        </w:rPr>
      </w:pPr>
      <w:r>
        <w:rPr>
          <w:rFonts w:hint="eastAsia" w:ascii="仿宋_GB2312" w:hAnsi="仿宋_GB2312" w:eastAsia="仿宋_GB2312" w:cs="仿宋_GB2312"/>
          <w:color w:val="000000" w:themeColor="text1"/>
          <w:sz w:val="28"/>
          <w:szCs w:val="28"/>
          <w14:textFill>
            <w14:solidFill>
              <w14:schemeClr w14:val="tx1"/>
            </w14:solidFill>
          </w14:textFill>
        </w:rPr>
        <w:t>7.2.6比选响应文件一经启封，比选响应人不得查阅、取回。</w:t>
      </w:r>
    </w:p>
    <w:p>
      <w:pPr>
        <w:autoSpaceDE w:val="0"/>
        <w:autoSpaceDN w:val="0"/>
        <w:adjustRightInd w:val="0"/>
        <w:spacing w:line="560" w:lineRule="exact"/>
        <w:ind w:firstLine="548" w:firstLineChars="196"/>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八</w:t>
      </w:r>
      <w:r>
        <w:rPr>
          <w:rFonts w:hint="eastAsia" w:ascii="黑体" w:hAnsi="黑体" w:eastAsia="黑体" w:cs="黑体"/>
          <w:bCs/>
          <w:color w:val="000000" w:themeColor="text1"/>
          <w:sz w:val="28"/>
          <w:szCs w:val="28"/>
          <w:lang w:val="zh-CN"/>
          <w14:textFill>
            <w14:solidFill>
              <w14:schemeClr w14:val="tx1"/>
            </w14:solidFill>
          </w14:textFill>
        </w:rPr>
        <w:t>、比选响应文件作废条款</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比选响应人</w:t>
      </w:r>
      <w:r>
        <w:rPr>
          <w:rFonts w:hint="eastAsia" w:ascii="仿宋_GB2312" w:hAnsi="仿宋_GB2312" w:eastAsia="仿宋_GB2312" w:cs="仿宋_GB2312"/>
          <w:color w:val="000000" w:themeColor="text1"/>
          <w:sz w:val="28"/>
          <w:szCs w:val="28"/>
          <w14:textFill>
            <w14:solidFill>
              <w14:schemeClr w14:val="tx1"/>
            </w14:solidFill>
          </w14:textFill>
        </w:rPr>
        <w:t>未按要求密封或未准时递交的</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w:t>
      </w:r>
    </w:p>
    <w:p>
      <w:pPr>
        <w:widowControl/>
        <w:adjustRightInd w:val="0"/>
        <w:snapToGrid w:val="0"/>
        <w:spacing w:line="560" w:lineRule="exact"/>
        <w:ind w:firstLine="560" w:firstLineChars="200"/>
        <w:jc w:val="left"/>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8.1.1比选响应文件必须在2022年</w:t>
      </w:r>
      <w:r>
        <w:rPr>
          <w:rFonts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月5日 14:00-14:30时前送到重庆空港航空地面服务有限公司110房间，过期不予受理；</w:t>
      </w:r>
    </w:p>
    <w:p>
      <w:pPr>
        <w:autoSpaceDE w:val="0"/>
        <w:autoSpaceDN w:val="0"/>
        <w:adjustRightInd w:val="0"/>
        <w:snapToGrid w:val="0"/>
        <w:spacing w:line="560" w:lineRule="exact"/>
        <w:ind w:firstLine="551" w:firstLineChars="197"/>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8.1.2封面上须注明“项目名称”，</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kern w:val="0"/>
          <w:sz w:val="28"/>
          <w:szCs w:val="28"/>
          <w14:textFill>
            <w14:solidFill>
              <w14:schemeClr w14:val="tx1"/>
            </w14:solidFill>
          </w14:textFill>
        </w:rPr>
        <w:t>清单未按要求盖章或签字及</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pacing w:val="-8"/>
          <w:sz w:val="28"/>
          <w:szCs w:val="28"/>
          <w14:textFill>
            <w14:solidFill>
              <w14:schemeClr w14:val="tx1"/>
            </w14:solidFill>
          </w14:textFill>
        </w:rPr>
        <w:t>外包装上密封处未加盖比选响应人公章。</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8.1.3比选响应文件散装或者活页装订的；</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8.1.4资质不符合比选文件要求的；</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8.1.5有串通比选或弄虚作假或有其他违法行为的；</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8.1.6比选响应文件无有效授权书的；</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8.1.7比选有效期不足的；</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8.1.8未按规定的格式填写，内容不全或关键字迹模糊、无法辨认的；</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8.1.9评审委员会审查发现比选响应文件未能对比选文件提出的所有实质性要求和条件作出响应的。</w:t>
      </w:r>
    </w:p>
    <w:p>
      <w:pPr>
        <w:autoSpaceDE w:val="0"/>
        <w:autoSpaceDN w:val="0"/>
        <w:adjustRightInd w:val="0"/>
        <w:spacing w:line="560" w:lineRule="exact"/>
        <w:ind w:firstLine="560" w:firstLineChars="200"/>
        <w:rPr>
          <w:rFonts w:ascii="黑体" w:hAnsi="黑体" w:eastAsia="黑体" w:cs="黑体"/>
          <w:color w:val="000000" w:themeColor="text1"/>
          <w:sz w:val="28"/>
          <w:szCs w:val="28"/>
          <w:lang w:val="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九</w:t>
      </w:r>
      <w:r>
        <w:rPr>
          <w:rFonts w:hint="eastAsia" w:ascii="黑体" w:hAnsi="黑体" w:eastAsia="黑体" w:cs="黑体"/>
          <w:color w:val="000000" w:themeColor="text1"/>
          <w:sz w:val="28"/>
          <w:szCs w:val="28"/>
          <w:lang w:val="zh-CN"/>
          <w14:textFill>
            <w14:solidFill>
              <w14:schemeClr w14:val="tx1"/>
            </w14:solidFill>
          </w14:textFill>
        </w:rPr>
        <w:t>、异议</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 比选响应人或其他利害关系人认为采购活动不符合法律、行政等规定的，应当在采购结果公示期之内以书面形式向采购人提出异议（以采购人收到书面异议之日为准）。异议书应同时提交至重庆空港航空地面服务有限公司党群工作部（地址：重庆空港航空地面服务有限公司办公楼；电话：023-67153808）和重庆空港航空地面服务有限公司资产设备部（地址：重庆空港航空地面服务有限公司办公楼；电话：023-67156351）。</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异议提出人向采购人提起异议时，应当提交异议书。异议书应当包括下列内容：</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（二）异议事项的基本事实。</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（三）异议请求及主张。</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（四）有效线索和相关证据、证明材料。</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异议提出人是法人的，异议函必须由其法定代表人或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 异议提出人对异议事项提出的请求和主张，有责任提供证据；只有自己陈述而不能提出其他相关证据的，对其请求和主张不予支持。</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9.4 异议提出人不得虚假异议、恶意异议，不得以异议为名排挤竞争对手，阻碍采购活动的正常进行。若出现该情况，视为无效异议，不再受理。</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（四）其他依法应当保密的信息和资料。</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9.6 有下列情形之一的异议，不予受理：</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（四）不在结果公示期内的。</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（五）已对异议事项做出答复的。</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56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十、监督部门</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重庆空港航空地面服务有限公司党群工作部</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电话：023-67153808</w:t>
      </w:r>
    </w:p>
    <w:p>
      <w:pPr>
        <w:autoSpaceDE w:val="0"/>
        <w:autoSpaceDN w:val="0"/>
        <w:adjustRightInd w:val="0"/>
        <w:spacing w:line="56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十一、比选时间、地点、结果通知及合同签订</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11.1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必须在2022年</w:t>
      </w:r>
      <w:r>
        <w:rPr>
          <w:rFonts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日14:00至14：30时送到重庆空港航空地面服务有限公司110房间，过期不予受理。</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 2022年</w:t>
      </w:r>
      <w:r>
        <w:rPr>
          <w:rFonts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日14:30时在重庆空港航空地面服务有限公司   会议室对本项目进行比选，各比选响应人须参加。（会议室以当天通知为准）</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各潜在比选响应人如有疑问，请将加盖公章的书面质疑函(WORD版、PDF版)至少于比选开始前</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个工作日通过邮件的形式发送至以下邮箱：zhengyu@cqa.cn</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  参加比选唱价会议的比选响应人的被授权人应当随身携带本人身份证（原件）和授权委托书（原件），以备核验其合法身份。</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比选响应人若未派被授权人出席比选唱价会议，视为该比选响应人默认比选唱价结果。</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 比选响应人一经递交比选响应文件，不得查阅、取回递交的响应文件。</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比选结果通知：待结果确定后将在重庆机场集团有限公司官网发布拟成交结果公示。待结果经比选人内部决策程序确定后会及时通知，原则上只通知被选中的比选响应人，对未被选中的比选响应人不通知、不解释。</w:t>
      </w:r>
    </w:p>
    <w:p>
      <w:pPr>
        <w:autoSpaceDE w:val="0"/>
        <w:autoSpaceDN w:val="0"/>
        <w:adjustRightInd w:val="0"/>
        <w:spacing w:line="560" w:lineRule="exact"/>
        <w:ind w:firstLine="560" w:firstLineChars="200"/>
        <w:rPr>
          <w:rFonts w:ascii="仿宋_GB2312" w:hAnsi="仿宋_GB2312" w:eastAsia="仿宋_GB2312" w:cs="仿宋_GB2312"/>
        </w:rPr>
      </w:pPr>
      <w:r>
        <w:rPr>
          <w:rFonts w:hint="eastAsia" w:ascii="仿宋_GB2312" w:hAnsi="仿宋_GB2312" w:eastAsia="仿宋_GB2312" w:cs="仿宋_GB2312"/>
          <w:color w:val="000000" w:themeColor="text1"/>
          <w:sz w:val="28"/>
          <w:szCs w:val="28"/>
          <w14:textFill>
            <w14:solidFill>
              <w14:schemeClr w14:val="tx1"/>
            </w14:solidFill>
          </w14:textFill>
        </w:rPr>
        <w:t>11.7 合同签订：比选响应人接到成交通知后，应在20天内按比选采购文件和比选响应文件与重庆空港航空地面服务有限公司签订书面合同。</w:t>
      </w:r>
    </w:p>
    <w:p>
      <w:pPr>
        <w:snapToGrid w:val="0"/>
        <w:spacing w:line="560" w:lineRule="exact"/>
        <w:ind w:firstLine="548" w:firstLineChars="196"/>
        <w:rPr>
          <w:rFonts w:ascii="黑体" w:hAnsi="黑体" w:eastAsia="黑体" w:cs="黑体"/>
          <w:bCs/>
          <w:sz w:val="28"/>
          <w:szCs w:val="28"/>
        </w:rPr>
      </w:pPr>
      <w:r>
        <w:rPr>
          <w:rFonts w:hint="eastAsia" w:ascii="黑体" w:hAnsi="黑体" w:eastAsia="黑体" w:cs="黑体"/>
          <w:bCs/>
          <w:color w:val="000000"/>
          <w:sz w:val="28"/>
          <w:szCs w:val="28"/>
        </w:rPr>
        <w:t>十二、</w:t>
      </w:r>
      <w:r>
        <w:rPr>
          <w:rFonts w:hint="eastAsia" w:ascii="黑体" w:hAnsi="黑体" w:eastAsia="黑体" w:cs="黑体"/>
          <w:bCs/>
          <w:sz w:val="28"/>
          <w:szCs w:val="28"/>
        </w:rPr>
        <w:t>联系方式</w:t>
      </w:r>
    </w:p>
    <w:p>
      <w:pPr>
        <w:snapToGrid w:val="0"/>
        <w:spacing w:line="560" w:lineRule="exact"/>
        <w:ind w:firstLine="548" w:firstLineChars="196"/>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业主：重庆空港航空地面服务有限公司</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联系人：郑老师</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电话：023-67156351</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传真：023-67153291</w:t>
      </w:r>
    </w:p>
    <w:p>
      <w:pPr>
        <w:autoSpaceDE w:val="0"/>
        <w:autoSpaceDN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sectPr>
          <w:headerReference r:id="rId3" w:type="default"/>
          <w:footerReference r:id="rId4" w:type="default"/>
          <w:pgSz w:w="11906" w:h="16838"/>
          <w:pgMar w:top="1560" w:right="1800" w:bottom="1440" w:left="1800" w:header="851" w:footer="992" w:gutter="0"/>
          <w:cols w:space="425" w:num="1"/>
          <w:docGrid w:type="lines" w:linePitch="312" w:charSpace="0"/>
        </w:sectPr>
      </w:pPr>
      <w:r>
        <w:rPr>
          <w:rFonts w:hint="eastAsia" w:ascii="仿宋_GB2312" w:hAnsi="仿宋_GB2312" w:eastAsia="仿宋_GB2312" w:cs="仿宋_GB2312"/>
          <w:color w:val="000000" w:themeColor="text1"/>
          <w:sz w:val="28"/>
          <w:szCs w:val="28"/>
          <w14:textFill>
            <w14:solidFill>
              <w14:schemeClr w14:val="tx1"/>
            </w14:solidFill>
          </w14:textFill>
        </w:rPr>
        <w:t>邮编：401120</w:t>
      </w:r>
      <w:bookmarkStart w:id="1" w:name="_Toc7485"/>
    </w:p>
    <w:p>
      <w:pPr>
        <w:pStyle w:val="15"/>
        <w:ind w:firstLine="281" w:firstLineChars="100"/>
        <w:jc w:val="both"/>
        <w:outlineLvl w:val="9"/>
        <w:rPr>
          <w:rStyle w:val="26"/>
          <w:sz w:val="28"/>
          <w:szCs w:val="28"/>
        </w:rPr>
      </w:pPr>
      <w:r>
        <w:rPr>
          <w:rFonts w:hint="eastAsia"/>
          <w:sz w:val="28"/>
          <w:szCs w:val="28"/>
        </w:rPr>
        <w:t>附件一：</w:t>
      </w:r>
      <w:r>
        <w:rPr>
          <w:rStyle w:val="26"/>
          <w:rFonts w:hint="eastAsia" w:ascii="仿宋_GB2312" w:hAnsi="仿宋_GB2312" w:eastAsia="仿宋_GB2312" w:cs="仿宋_GB2312"/>
          <w:color w:val="000000" w:themeColor="text1"/>
          <w:sz w:val="28"/>
          <w:szCs w:val="28"/>
          <w14:textFill>
            <w14:solidFill>
              <w14:schemeClr w14:val="tx1"/>
            </w14:solidFill>
          </w14:textFill>
        </w:rPr>
        <w:t>岗位职责及工作内容</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承包方</w:t>
      </w:r>
      <w:r>
        <w:rPr>
          <w:rFonts w:hint="eastAsia" w:ascii="仿宋_GB2312" w:hAnsi="仿宋_GB2312" w:eastAsia="仿宋_GB2312" w:cs="仿宋_GB2312"/>
          <w:sz w:val="28"/>
          <w:szCs w:val="28"/>
          <w:lang w:eastAsia="zh-Hans"/>
        </w:rPr>
        <w:t>为</w:t>
      </w:r>
      <w:r>
        <w:rPr>
          <w:rFonts w:hint="eastAsia" w:ascii="仿宋_GB2312" w:hAnsi="仿宋_GB2312" w:eastAsia="仿宋_GB2312" w:cs="仿宋_GB2312"/>
          <w:sz w:val="28"/>
          <w:szCs w:val="28"/>
        </w:rPr>
        <w:t>重庆机场机坪装卸外包业务提供装卸人员，参与到国际（地区）航班机坪装卸保障活动中，岗位职责及工作内容如下：</w:t>
      </w:r>
    </w:p>
    <w:p>
      <w:pPr>
        <w:widowControl/>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（一）岗位职责</w:t>
      </w:r>
    </w:p>
    <w:p>
      <w:pPr>
        <w:widowControl/>
        <w:spacing w:line="560" w:lineRule="exact"/>
        <w:ind w:firstLine="560" w:firstLineChars="200"/>
        <w:rPr>
          <w:rFonts w:eastAsia="仿宋_GB2312"/>
          <w:sz w:val="28"/>
          <w:szCs w:val="28"/>
        </w:rPr>
      </w:pPr>
      <w:r>
        <w:rPr>
          <w:rFonts w:eastAsia="仿宋_GB2312"/>
          <w:sz w:val="28"/>
          <w:szCs w:val="28"/>
        </w:rPr>
        <w:t>1、主要负责完成所在区域进出港航班（含客机、全货机和客改货航班）装卸机作业，以及相关的无动力设备操作等；</w:t>
      </w:r>
    </w:p>
    <w:p>
      <w:pPr>
        <w:pStyle w:val="2"/>
        <w:widowControl/>
        <w:autoSpaceDE/>
        <w:autoSpaceDN/>
        <w:spacing w:line="560" w:lineRule="exact"/>
        <w:ind w:firstLine="560" w:firstLineChars="200"/>
        <w:rPr>
          <w:rFonts w:ascii="Times New Roman"/>
          <w:sz w:val="28"/>
          <w:szCs w:val="28"/>
        </w:rPr>
      </w:pPr>
      <w:r>
        <w:rPr>
          <w:rFonts w:ascii="Times New Roman"/>
          <w:b w:val="0"/>
          <w:sz w:val="28"/>
          <w:szCs w:val="28"/>
        </w:rPr>
        <w:t>2、负责协助相邻区域保障进出港航班装卸机作业；</w:t>
      </w:r>
    </w:p>
    <w:p>
      <w:pPr>
        <w:pStyle w:val="2"/>
        <w:widowControl/>
        <w:autoSpaceDE/>
        <w:autoSpaceDN/>
        <w:spacing w:line="560" w:lineRule="exact"/>
        <w:ind w:firstLine="560" w:firstLineChars="200"/>
        <w:rPr>
          <w:rFonts w:ascii="Times New Roman"/>
          <w:b w:val="0"/>
          <w:sz w:val="28"/>
          <w:szCs w:val="28"/>
        </w:rPr>
      </w:pPr>
      <w:r>
        <w:rPr>
          <w:rFonts w:ascii="Times New Roman"/>
          <w:b w:val="0"/>
          <w:sz w:val="28"/>
          <w:szCs w:val="28"/>
        </w:rPr>
        <w:t>3、严格按照疫情防控要求做好个人疫情防控工作；</w:t>
      </w:r>
    </w:p>
    <w:p>
      <w:pPr>
        <w:pStyle w:val="2"/>
        <w:widowControl/>
        <w:autoSpaceDE/>
        <w:autoSpaceDN/>
        <w:spacing w:line="560" w:lineRule="exact"/>
        <w:ind w:firstLine="560" w:firstLineChars="200"/>
        <w:rPr>
          <w:rFonts w:ascii="Times New Roman"/>
          <w:b w:val="0"/>
          <w:sz w:val="28"/>
          <w:szCs w:val="28"/>
        </w:rPr>
      </w:pPr>
      <w:r>
        <w:rPr>
          <w:rFonts w:ascii="Times New Roman"/>
          <w:b w:val="0"/>
          <w:sz w:val="28"/>
          <w:szCs w:val="28"/>
        </w:rPr>
        <w:t>4、严格按照相关疫情防控要求做好相关航后消杀工作；</w:t>
      </w:r>
    </w:p>
    <w:p>
      <w:pPr>
        <w:pStyle w:val="2"/>
        <w:widowControl/>
        <w:autoSpaceDE/>
        <w:autoSpaceDN/>
        <w:spacing w:line="560" w:lineRule="exact"/>
        <w:ind w:firstLine="560" w:firstLineChars="200"/>
        <w:rPr>
          <w:rFonts w:ascii="Times New Roman"/>
          <w:b w:val="0"/>
          <w:sz w:val="28"/>
          <w:szCs w:val="28"/>
        </w:rPr>
      </w:pPr>
      <w:r>
        <w:rPr>
          <w:rFonts w:ascii="Times New Roman"/>
          <w:b w:val="0"/>
          <w:sz w:val="28"/>
          <w:szCs w:val="28"/>
        </w:rPr>
        <w:t>5、严格按照相关疫情防控要求做好保障过程中的疫情防控监管工作；</w:t>
      </w:r>
    </w:p>
    <w:p>
      <w:pPr>
        <w:pStyle w:val="2"/>
        <w:widowControl/>
        <w:autoSpaceDE/>
        <w:autoSpaceDN/>
        <w:spacing w:line="560" w:lineRule="exact"/>
        <w:ind w:firstLine="560" w:firstLineChars="200"/>
        <w:rPr>
          <w:rFonts w:ascii="Times New Roman"/>
          <w:b w:val="0"/>
          <w:sz w:val="28"/>
          <w:szCs w:val="28"/>
        </w:rPr>
      </w:pPr>
      <w:r>
        <w:rPr>
          <w:rFonts w:ascii="Times New Roman"/>
          <w:b w:val="0"/>
          <w:sz w:val="28"/>
          <w:szCs w:val="28"/>
        </w:rPr>
        <w:t>6、完成航班负责人、队长、主管交办的其他工作事项。</w:t>
      </w:r>
    </w:p>
    <w:p>
      <w:pPr>
        <w:widowControl/>
        <w:snapToGrid w:val="0"/>
        <w:spacing w:line="560" w:lineRule="exact"/>
        <w:ind w:firstLine="560" w:firstLineChars="200"/>
        <w:rPr>
          <w:rFonts w:ascii="楷体" w:hAnsi="楷体" w:eastAsia="楷体" w:cs="楷体"/>
          <w:sz w:val="28"/>
          <w:szCs w:val="28"/>
        </w:rPr>
      </w:pPr>
      <w:r>
        <w:rPr>
          <w:rFonts w:hint="eastAsia" w:ascii="楷体" w:hAnsi="楷体" w:eastAsia="楷体" w:cs="楷体"/>
          <w:sz w:val="28"/>
          <w:szCs w:val="28"/>
        </w:rPr>
        <w:t>（二）工作内容</w:t>
      </w:r>
    </w:p>
    <w:p>
      <w:pPr>
        <w:widowControl/>
        <w:snapToGrid w:val="0"/>
        <w:spacing w:line="560" w:lineRule="exact"/>
        <w:ind w:firstLine="560" w:firstLineChars="200"/>
        <w:rPr>
          <w:rFonts w:eastAsia="仿宋_GB2312"/>
          <w:sz w:val="28"/>
          <w:szCs w:val="28"/>
        </w:rPr>
      </w:pPr>
      <w:r>
        <w:rPr>
          <w:rFonts w:eastAsia="仿宋_GB2312"/>
          <w:sz w:val="28"/>
          <w:szCs w:val="28"/>
        </w:rPr>
        <w:t>1、根据航班计划，提前到达机位列队迎机；</w:t>
      </w:r>
    </w:p>
    <w:p>
      <w:pPr>
        <w:widowControl/>
        <w:snapToGrid w:val="0"/>
        <w:spacing w:line="560" w:lineRule="exact"/>
        <w:ind w:firstLine="560" w:firstLineChars="200"/>
        <w:rPr>
          <w:rFonts w:eastAsia="仿宋_GB2312"/>
          <w:sz w:val="28"/>
          <w:szCs w:val="28"/>
        </w:rPr>
      </w:pPr>
      <w:r>
        <w:rPr>
          <w:rFonts w:eastAsia="仿宋_GB2312"/>
          <w:sz w:val="28"/>
          <w:szCs w:val="28"/>
        </w:rPr>
        <w:t>2、负责进港（到达）航班货邮行卸机、装板连板工作；</w:t>
      </w:r>
    </w:p>
    <w:p>
      <w:pPr>
        <w:widowControl/>
        <w:snapToGrid w:val="0"/>
        <w:spacing w:line="560" w:lineRule="exact"/>
        <w:ind w:firstLine="560" w:firstLineChars="200"/>
        <w:rPr>
          <w:rFonts w:eastAsia="仿宋_GB2312"/>
          <w:sz w:val="28"/>
          <w:szCs w:val="28"/>
        </w:rPr>
      </w:pPr>
      <w:r>
        <w:rPr>
          <w:rFonts w:eastAsia="仿宋_GB2312"/>
          <w:sz w:val="28"/>
          <w:szCs w:val="28"/>
        </w:rPr>
        <w:t>3、负责出港（出发）航班货邮行装机工作；</w:t>
      </w:r>
    </w:p>
    <w:p>
      <w:pPr>
        <w:widowControl/>
        <w:snapToGrid w:val="0"/>
        <w:spacing w:line="560" w:lineRule="exact"/>
        <w:ind w:firstLine="560" w:firstLineChars="200"/>
        <w:rPr>
          <w:rFonts w:eastAsia="仿宋_GB2312"/>
          <w:sz w:val="28"/>
          <w:szCs w:val="28"/>
        </w:rPr>
      </w:pPr>
      <w:r>
        <w:rPr>
          <w:rFonts w:eastAsia="仿宋_GB2312"/>
          <w:sz w:val="28"/>
          <w:szCs w:val="28"/>
        </w:rPr>
        <w:t>4、负责不正常（加、拉、转）货邮行机坪装卸保障；</w:t>
      </w:r>
    </w:p>
    <w:p>
      <w:pPr>
        <w:widowControl/>
        <w:snapToGrid w:val="0"/>
        <w:spacing w:line="560" w:lineRule="exact"/>
        <w:ind w:firstLine="560" w:firstLineChars="200"/>
        <w:rPr>
          <w:rFonts w:eastAsia="仿宋_GB2312"/>
          <w:sz w:val="28"/>
          <w:szCs w:val="28"/>
        </w:rPr>
      </w:pPr>
      <w:r>
        <w:rPr>
          <w:rFonts w:eastAsia="仿宋_GB2312"/>
          <w:sz w:val="28"/>
          <w:szCs w:val="28"/>
        </w:rPr>
        <w:t>5、负责工作区域自产垃圾的清理、FOD清理及防范；</w:t>
      </w:r>
    </w:p>
    <w:p>
      <w:pPr>
        <w:widowControl/>
        <w:snapToGrid w:val="0"/>
        <w:spacing w:line="560" w:lineRule="exact"/>
        <w:ind w:firstLine="560" w:firstLineChars="200"/>
        <w:rPr>
          <w:rFonts w:eastAsia="仿宋_GB2312"/>
          <w:sz w:val="28"/>
          <w:szCs w:val="28"/>
        </w:rPr>
      </w:pPr>
      <w:r>
        <w:rPr>
          <w:rFonts w:eastAsia="仿宋_GB2312"/>
          <w:sz w:val="28"/>
          <w:szCs w:val="28"/>
        </w:rPr>
        <w:t>6、参与应急救援保障；</w:t>
      </w:r>
    </w:p>
    <w:p>
      <w:pPr>
        <w:widowControl/>
        <w:snapToGrid w:val="0"/>
        <w:spacing w:line="560" w:lineRule="exact"/>
        <w:ind w:firstLine="560" w:firstLineChars="200"/>
        <w:rPr>
          <w:rFonts w:eastAsia="仿宋_GB2312"/>
          <w:sz w:val="28"/>
          <w:szCs w:val="28"/>
        </w:rPr>
      </w:pPr>
      <w:r>
        <w:rPr>
          <w:rFonts w:eastAsia="仿宋_GB2312"/>
          <w:sz w:val="28"/>
          <w:szCs w:val="28"/>
        </w:rPr>
        <w:t>7、负责航班货邮行网罩、雨布的覆盖；</w:t>
      </w:r>
    </w:p>
    <w:p>
      <w:pPr>
        <w:widowControl/>
        <w:snapToGrid w:val="0"/>
        <w:spacing w:line="560" w:lineRule="exact"/>
        <w:ind w:firstLine="560" w:firstLineChars="200"/>
        <w:rPr>
          <w:rFonts w:eastAsia="仿宋_GB2312"/>
          <w:sz w:val="28"/>
          <w:szCs w:val="28"/>
        </w:rPr>
      </w:pPr>
      <w:r>
        <w:rPr>
          <w:rFonts w:eastAsia="仿宋_GB2312"/>
          <w:sz w:val="28"/>
          <w:szCs w:val="28"/>
        </w:rPr>
        <w:t>8、负责进港（到达）航班货邮行卸机、装卸连板，以及进港航班特殊（贵重）货物的押送工作；</w:t>
      </w:r>
    </w:p>
    <w:p>
      <w:pPr>
        <w:widowControl/>
        <w:snapToGrid w:val="0"/>
        <w:spacing w:line="560" w:lineRule="exact"/>
        <w:ind w:firstLine="560" w:firstLineChars="200"/>
        <w:rPr>
          <w:rFonts w:eastAsia="仿宋_GB2312"/>
          <w:sz w:val="28"/>
          <w:szCs w:val="28"/>
        </w:rPr>
      </w:pPr>
      <w:r>
        <w:rPr>
          <w:rFonts w:eastAsia="仿宋_GB2312"/>
          <w:sz w:val="28"/>
          <w:szCs w:val="28"/>
        </w:rPr>
        <w:t>9、准时参与班前会议、员工会议及相关培训；</w:t>
      </w:r>
    </w:p>
    <w:p>
      <w:pPr>
        <w:widowControl/>
        <w:snapToGrid w:val="0"/>
        <w:spacing w:line="560" w:lineRule="exact"/>
        <w:ind w:firstLine="560" w:firstLineChars="200"/>
        <w:rPr>
          <w:rFonts w:eastAsia="仿宋_GB2312"/>
          <w:sz w:val="28"/>
          <w:szCs w:val="28"/>
        </w:rPr>
      </w:pPr>
      <w:r>
        <w:rPr>
          <w:rFonts w:eastAsia="仿宋_GB2312"/>
          <w:sz w:val="28"/>
          <w:szCs w:val="28"/>
        </w:rPr>
        <w:t>10、协助队长、经理交办其它与项目保障有关</w:t>
      </w:r>
      <w:r>
        <w:rPr>
          <w:rFonts w:hint="eastAsia"/>
          <w:sz w:val="28"/>
          <w:szCs w:val="28"/>
        </w:rPr>
        <w:t>事项。</w:t>
      </w:r>
    </w:p>
    <w:p>
      <w:r>
        <w:rPr>
          <w:rFonts w:hint="eastAsia"/>
        </w:rPr>
        <w:br w:type="page"/>
      </w:r>
    </w:p>
    <w:p>
      <w:pPr>
        <w:pStyle w:val="15"/>
        <w:jc w:val="both"/>
        <w:outlineLvl w:val="9"/>
      </w:pPr>
      <w:r>
        <w:rPr>
          <w:rFonts w:hint="eastAsia"/>
        </w:rPr>
        <w:t>附件二：比选办法（综合评分法）</w:t>
      </w:r>
    </w:p>
    <w:p>
      <w:pPr>
        <w:pStyle w:val="15"/>
        <w:spacing w:line="560" w:lineRule="exact"/>
        <w:jc w:val="both"/>
        <w:outlineLvl w:val="9"/>
        <w:rPr>
          <w:rFonts w:ascii="Times New Roman" w:hAnsi="Times New Roman" w:eastAsia="方正仿宋_GBK"/>
          <w:color w:val="000000" w:themeColor="text1"/>
          <w:sz w:val="28"/>
          <w:szCs w:val="28"/>
          <w14:textFill>
            <w14:solidFill>
              <w14:schemeClr w14:val="tx1"/>
            </w14:solidFill>
          </w14:textFill>
        </w:rPr>
      </w:pPr>
      <w:r>
        <w:rPr>
          <w:rFonts w:hint="eastAsia" w:ascii="Times New Roman" w:hAnsi="Times New Roman" w:eastAsia="方正小标宋_GBK"/>
          <w:color w:val="000000" w:themeColor="text1"/>
          <w:sz w:val="36"/>
          <w:szCs w:val="36"/>
          <w14:textFill>
            <w14:solidFill>
              <w14:schemeClr w14:val="tx1"/>
            </w14:solidFill>
          </w14:textFill>
        </w:rPr>
        <w:t xml:space="preserve">   </w:t>
      </w:r>
      <w:r>
        <w:rPr>
          <w:rFonts w:ascii="Times New Roman" w:hAnsi="Times New Roman" w:eastAsia="方正仿宋_GBK"/>
          <w:color w:val="000000" w:themeColor="text1"/>
          <w:sz w:val="28"/>
          <w:szCs w:val="28"/>
          <w14:textFill>
            <w14:solidFill>
              <w14:schemeClr w14:val="tx1"/>
            </w14:solidFill>
          </w14:textFill>
        </w:rPr>
        <w:t>本次比选采取综合评分法。在经过初步审查后对符合本文件基本要求的比选响应人进行详细评审，总得分为经济、技术、商务三种</w:t>
      </w:r>
      <w:r>
        <w:rPr>
          <w:rFonts w:hint="eastAsia" w:eastAsia="方正仿宋_GBK"/>
          <w:color w:val="000000" w:themeColor="text1"/>
          <w:sz w:val="28"/>
          <w:szCs w:val="28"/>
          <w14:textFill>
            <w14:solidFill>
              <w14:schemeClr w14:val="tx1"/>
            </w14:solidFill>
          </w14:textFill>
        </w:rPr>
        <w:t>，</w:t>
      </w:r>
      <w:r>
        <w:rPr>
          <w:rFonts w:ascii="Times New Roman" w:hAnsi="Times New Roman" w:eastAsia="方正仿宋_GBK"/>
          <w:color w:val="000000" w:themeColor="text1"/>
          <w:sz w:val="28"/>
          <w:szCs w:val="28"/>
          <w14:textFill>
            <w14:solidFill>
              <w14:schemeClr w14:val="tx1"/>
            </w14:solidFill>
          </w14:textFill>
        </w:rPr>
        <w:t>评定因素分别按照相应分值计算分项得分后相加，满分为100分。</w:t>
      </w:r>
    </w:p>
    <w:p>
      <w:pPr>
        <w:pStyle w:val="15"/>
        <w:spacing w:line="560" w:lineRule="exact"/>
        <w:ind w:firstLine="562" w:firstLineChars="200"/>
        <w:jc w:val="left"/>
        <w:outlineLvl w:val="9"/>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本次比选评审包括对比选响应文件进行评审，以及对比选响应人现场述标进行评审两部分。</w:t>
      </w:r>
      <w:bookmarkEnd w:id="1"/>
    </w:p>
    <w:tbl>
      <w:tblPr>
        <w:tblStyle w:val="16"/>
        <w:tblW w:w="10299"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759"/>
        <w:gridCol w:w="1350"/>
        <w:gridCol w:w="6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500" w:lineRule="exact"/>
              <w:rPr>
                <w:rFonts w:eastAsia="方正仿宋_GBK"/>
                <w:b/>
                <w:color w:val="000000"/>
                <w:kern w:val="0"/>
                <w:sz w:val="28"/>
                <w:szCs w:val="28"/>
              </w:rPr>
            </w:pPr>
            <w:r>
              <w:rPr>
                <w:rFonts w:eastAsia="方正仿宋_GBK"/>
                <w:b/>
                <w:color w:val="000000"/>
                <w:kern w:val="0"/>
                <w:sz w:val="28"/>
                <w:szCs w:val="28"/>
              </w:rPr>
              <w:t>条款号</w:t>
            </w:r>
          </w:p>
        </w:tc>
        <w:tc>
          <w:tcPr>
            <w:tcW w:w="1759" w:type="dxa"/>
            <w:vAlign w:val="center"/>
          </w:tcPr>
          <w:p>
            <w:pPr>
              <w:tabs>
                <w:tab w:val="left" w:pos="1875"/>
              </w:tabs>
              <w:spacing w:line="500" w:lineRule="exact"/>
              <w:jc w:val="center"/>
              <w:rPr>
                <w:rFonts w:eastAsia="方正仿宋_GBK"/>
                <w:b/>
                <w:color w:val="000000"/>
                <w:kern w:val="0"/>
                <w:sz w:val="28"/>
                <w:szCs w:val="28"/>
              </w:rPr>
            </w:pPr>
            <w:r>
              <w:rPr>
                <w:rFonts w:eastAsia="方正仿宋_GBK"/>
                <w:b/>
                <w:color w:val="000000"/>
                <w:kern w:val="0"/>
                <w:sz w:val="28"/>
                <w:szCs w:val="28"/>
              </w:rPr>
              <w:t>条款内容</w:t>
            </w:r>
          </w:p>
        </w:tc>
        <w:tc>
          <w:tcPr>
            <w:tcW w:w="7405" w:type="dxa"/>
            <w:gridSpan w:val="2"/>
            <w:vAlign w:val="center"/>
          </w:tcPr>
          <w:p>
            <w:pPr>
              <w:tabs>
                <w:tab w:val="left" w:pos="1875"/>
              </w:tabs>
              <w:spacing w:line="500" w:lineRule="exact"/>
              <w:jc w:val="center"/>
              <w:rPr>
                <w:rFonts w:eastAsia="方正仿宋_GBK"/>
                <w:b/>
                <w:color w:val="000000"/>
                <w:kern w:val="0"/>
                <w:sz w:val="28"/>
                <w:szCs w:val="28"/>
              </w:rPr>
            </w:pPr>
            <w:r>
              <w:rPr>
                <w:rFonts w:eastAsia="方正仿宋_GBK"/>
                <w:b/>
                <w:color w:val="000000"/>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500" w:lineRule="exact"/>
              <w:jc w:val="center"/>
              <w:rPr>
                <w:rFonts w:eastAsia="方正仿宋_GBK"/>
                <w:color w:val="000000"/>
                <w:sz w:val="28"/>
                <w:szCs w:val="28"/>
              </w:rPr>
            </w:pPr>
            <w:r>
              <w:rPr>
                <w:rFonts w:eastAsia="方正仿宋_GBK"/>
                <w:color w:val="000000"/>
                <w:sz w:val="28"/>
                <w:szCs w:val="28"/>
              </w:rPr>
              <w:t>1</w:t>
            </w:r>
          </w:p>
        </w:tc>
        <w:tc>
          <w:tcPr>
            <w:tcW w:w="1759" w:type="dxa"/>
            <w:tcBorders>
              <w:bottom w:val="single" w:color="auto" w:sz="4" w:space="0"/>
            </w:tcBorders>
            <w:vAlign w:val="center"/>
          </w:tcPr>
          <w:p>
            <w:pPr>
              <w:snapToGrid w:val="0"/>
              <w:spacing w:line="500" w:lineRule="exact"/>
              <w:jc w:val="center"/>
              <w:rPr>
                <w:rFonts w:eastAsia="方正仿宋_GBK"/>
                <w:color w:val="000000"/>
                <w:kern w:val="0"/>
                <w:sz w:val="28"/>
                <w:szCs w:val="28"/>
              </w:rPr>
            </w:pPr>
            <w:r>
              <w:rPr>
                <w:rFonts w:eastAsia="方正仿宋_GBK"/>
                <w:color w:val="000000"/>
                <w:kern w:val="0"/>
                <w:sz w:val="28"/>
                <w:szCs w:val="28"/>
              </w:rPr>
              <w:t>分值构成</w:t>
            </w:r>
          </w:p>
          <w:p>
            <w:pPr>
              <w:snapToGrid w:val="0"/>
              <w:spacing w:line="500" w:lineRule="exact"/>
              <w:jc w:val="center"/>
              <w:rPr>
                <w:rFonts w:eastAsia="方正仿宋_GBK"/>
                <w:color w:val="000000"/>
                <w:kern w:val="0"/>
                <w:sz w:val="28"/>
                <w:szCs w:val="28"/>
              </w:rPr>
            </w:pPr>
            <w:r>
              <w:rPr>
                <w:rFonts w:eastAsia="方正仿宋_GBK"/>
                <w:color w:val="000000"/>
                <w:kern w:val="0"/>
                <w:sz w:val="28"/>
                <w:szCs w:val="28"/>
              </w:rPr>
              <w:t>（总分100分）</w:t>
            </w:r>
          </w:p>
        </w:tc>
        <w:tc>
          <w:tcPr>
            <w:tcW w:w="7405" w:type="dxa"/>
            <w:gridSpan w:val="2"/>
            <w:tcBorders>
              <w:bottom w:val="single" w:color="auto" w:sz="4" w:space="0"/>
            </w:tcBorders>
            <w:vAlign w:val="center"/>
          </w:tcPr>
          <w:p>
            <w:pPr>
              <w:spacing w:line="500" w:lineRule="exact"/>
              <w:ind w:firstLine="240" w:firstLineChars="100"/>
              <w:rPr>
                <w:rFonts w:eastAsia="方正仿宋_GBK"/>
                <w:color w:val="000000"/>
                <w:sz w:val="24"/>
              </w:rPr>
            </w:pPr>
            <w:r>
              <w:rPr>
                <w:rFonts w:eastAsia="方正仿宋_GBK"/>
                <w:color w:val="000000"/>
                <w:sz w:val="24"/>
              </w:rPr>
              <w:t>总分=经济部分得分+技术部分得分+商务部分得分</w:t>
            </w:r>
          </w:p>
          <w:p>
            <w:pPr>
              <w:spacing w:line="500" w:lineRule="exact"/>
              <w:ind w:firstLine="240" w:firstLineChars="100"/>
              <w:rPr>
                <w:rFonts w:eastAsia="方正仿宋_GBK"/>
                <w:color w:val="000000"/>
                <w:szCs w:val="21"/>
              </w:rPr>
            </w:pPr>
            <w:r>
              <w:rPr>
                <w:rFonts w:eastAsia="方正仿宋_GBK"/>
                <w:color w:val="000000"/>
                <w:sz w:val="24"/>
              </w:rPr>
              <w:t>经济部分：50分；技术部分：</w:t>
            </w:r>
            <w:r>
              <w:rPr>
                <w:rFonts w:hint="eastAsia" w:eastAsia="方正仿宋_GBK"/>
                <w:color w:val="000000"/>
                <w:sz w:val="24"/>
              </w:rPr>
              <w:t>4</w:t>
            </w:r>
            <w:r>
              <w:rPr>
                <w:rFonts w:eastAsia="方正仿宋_GBK"/>
                <w:color w:val="000000"/>
                <w:sz w:val="24"/>
              </w:rPr>
              <w:t>0分；商务部分：</w:t>
            </w:r>
            <w:r>
              <w:rPr>
                <w:rFonts w:hint="eastAsia" w:eastAsia="方正仿宋_GBK"/>
                <w:color w:val="000000"/>
                <w:sz w:val="24"/>
              </w:rPr>
              <w:t>1</w:t>
            </w:r>
            <w:r>
              <w:rPr>
                <w:rFonts w:eastAsia="方正仿宋_GBK"/>
                <w:color w:val="000000"/>
                <w:sz w:val="24"/>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500" w:lineRule="exact"/>
              <w:jc w:val="center"/>
              <w:rPr>
                <w:rFonts w:eastAsia="方正仿宋_GBK"/>
                <w:color w:val="000000"/>
                <w:sz w:val="28"/>
                <w:szCs w:val="28"/>
              </w:rPr>
            </w:pPr>
            <w:r>
              <w:rPr>
                <w:rFonts w:eastAsia="方正仿宋_GBK"/>
                <w:b/>
                <w:color w:val="000000"/>
                <w:sz w:val="28"/>
                <w:szCs w:val="28"/>
              </w:rPr>
              <w:t>条款号</w:t>
            </w:r>
          </w:p>
        </w:tc>
        <w:tc>
          <w:tcPr>
            <w:tcW w:w="1759" w:type="dxa"/>
            <w:vAlign w:val="center"/>
          </w:tcPr>
          <w:p>
            <w:pPr>
              <w:spacing w:line="500" w:lineRule="exact"/>
              <w:jc w:val="center"/>
              <w:rPr>
                <w:rFonts w:eastAsia="方正仿宋_GBK"/>
                <w:color w:val="000000"/>
                <w:sz w:val="28"/>
                <w:szCs w:val="28"/>
              </w:rPr>
            </w:pPr>
            <w:r>
              <w:rPr>
                <w:rFonts w:eastAsia="方正仿宋_GBK"/>
                <w:b/>
                <w:color w:val="000000"/>
                <w:sz w:val="28"/>
                <w:szCs w:val="28"/>
              </w:rPr>
              <w:t>评审因素</w:t>
            </w:r>
          </w:p>
        </w:tc>
        <w:tc>
          <w:tcPr>
            <w:tcW w:w="1350" w:type="dxa"/>
            <w:tcBorders>
              <w:right w:val="single" w:color="auto" w:sz="4" w:space="0"/>
            </w:tcBorders>
            <w:vAlign w:val="center"/>
          </w:tcPr>
          <w:p>
            <w:pPr>
              <w:spacing w:line="500" w:lineRule="exact"/>
              <w:jc w:val="center"/>
              <w:rPr>
                <w:rFonts w:eastAsia="方正仿宋_GBK"/>
                <w:b/>
                <w:color w:val="000000"/>
                <w:sz w:val="28"/>
                <w:szCs w:val="28"/>
              </w:rPr>
            </w:pPr>
            <w:r>
              <w:rPr>
                <w:rFonts w:eastAsia="方正仿宋_GBK"/>
                <w:b/>
                <w:color w:val="000000"/>
                <w:sz w:val="28"/>
                <w:szCs w:val="28"/>
              </w:rPr>
              <w:t>分值</w:t>
            </w:r>
          </w:p>
        </w:tc>
        <w:tc>
          <w:tcPr>
            <w:tcW w:w="6055" w:type="dxa"/>
            <w:tcBorders>
              <w:left w:val="single" w:color="auto" w:sz="4" w:space="0"/>
            </w:tcBorders>
            <w:vAlign w:val="center"/>
          </w:tcPr>
          <w:p>
            <w:pPr>
              <w:snapToGrid w:val="0"/>
              <w:spacing w:line="500" w:lineRule="exact"/>
              <w:jc w:val="center"/>
              <w:rPr>
                <w:rFonts w:eastAsia="方正仿宋_GBK"/>
                <w:b/>
                <w:color w:val="000000"/>
                <w:kern w:val="0"/>
                <w:sz w:val="28"/>
                <w:szCs w:val="28"/>
              </w:rPr>
            </w:pPr>
            <w:r>
              <w:rPr>
                <w:rFonts w:eastAsia="方正仿宋_GBK"/>
                <w:b/>
                <w:color w:val="000000"/>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500" w:lineRule="exact"/>
              <w:jc w:val="center"/>
              <w:rPr>
                <w:rFonts w:eastAsia="方正仿宋_GBK"/>
                <w:b/>
                <w:color w:val="000000"/>
                <w:sz w:val="28"/>
                <w:szCs w:val="28"/>
              </w:rPr>
            </w:pPr>
            <w:r>
              <w:rPr>
                <w:rFonts w:eastAsia="方正仿宋_GBK"/>
                <w:b/>
                <w:color w:val="000000"/>
                <w:sz w:val="28"/>
                <w:szCs w:val="28"/>
              </w:rPr>
              <w:t>2.1</w:t>
            </w:r>
          </w:p>
        </w:tc>
        <w:tc>
          <w:tcPr>
            <w:tcW w:w="1759" w:type="dxa"/>
            <w:vAlign w:val="center"/>
          </w:tcPr>
          <w:p>
            <w:pPr>
              <w:spacing w:line="500" w:lineRule="exact"/>
              <w:jc w:val="center"/>
              <w:rPr>
                <w:rFonts w:eastAsia="方正仿宋_GBK"/>
                <w:b/>
                <w:color w:val="000000"/>
                <w:sz w:val="28"/>
                <w:szCs w:val="28"/>
              </w:rPr>
            </w:pPr>
            <w:r>
              <w:rPr>
                <w:rFonts w:eastAsia="方正仿宋_GBK"/>
                <w:b/>
                <w:color w:val="000000"/>
                <w:sz w:val="28"/>
                <w:szCs w:val="28"/>
              </w:rPr>
              <w:t>经济部分评分标准</w:t>
            </w:r>
          </w:p>
        </w:tc>
        <w:tc>
          <w:tcPr>
            <w:tcW w:w="1350" w:type="dxa"/>
            <w:tcBorders>
              <w:right w:val="single" w:color="auto" w:sz="4" w:space="0"/>
            </w:tcBorders>
            <w:vAlign w:val="center"/>
          </w:tcPr>
          <w:p>
            <w:pPr>
              <w:spacing w:line="500" w:lineRule="exact"/>
              <w:jc w:val="center"/>
              <w:rPr>
                <w:rFonts w:eastAsia="方正仿宋_GBK"/>
                <w:b/>
                <w:color w:val="000000"/>
                <w:sz w:val="28"/>
                <w:szCs w:val="28"/>
              </w:rPr>
            </w:pPr>
            <w:r>
              <w:rPr>
                <w:rFonts w:hint="eastAsia" w:ascii="仿宋" w:hAnsi="仿宋" w:eastAsia="仿宋" w:cs="仿宋"/>
                <w:b/>
                <w:bCs/>
              </w:rPr>
              <w:t>报价50分</w:t>
            </w:r>
          </w:p>
        </w:tc>
        <w:tc>
          <w:tcPr>
            <w:tcW w:w="6055" w:type="dxa"/>
            <w:tcBorders>
              <w:left w:val="single" w:color="auto" w:sz="4" w:space="0"/>
            </w:tcBorders>
            <w:vAlign w:val="center"/>
          </w:tcPr>
          <w:p>
            <w:pPr>
              <w:spacing w:line="400" w:lineRule="exact"/>
              <w:ind w:firstLine="480" w:firstLineChars="200"/>
              <w:jc w:val="left"/>
              <w:rPr>
                <w:rFonts w:eastAsia="方正仿宋_GBK"/>
                <w:color w:val="000000"/>
                <w:sz w:val="24"/>
              </w:rPr>
            </w:pPr>
            <w:r>
              <w:rPr>
                <w:rFonts w:hint="eastAsia" w:eastAsia="方正仿宋_GBK"/>
                <w:color w:val="000000"/>
                <w:sz w:val="24"/>
              </w:rPr>
              <w:t>所有经初步评审合格的比选响应人的综合下浮比例中去掉1/6（不能整除的按小数前整数取整，不足六家（含）报价则不去掉）的最高和相同家数的最低价后进行算术平均，所得的算术平均值即为基准价。</w:t>
            </w:r>
          </w:p>
          <w:p>
            <w:pPr>
              <w:spacing w:line="400" w:lineRule="exact"/>
              <w:ind w:firstLine="480" w:firstLineChars="200"/>
              <w:jc w:val="left"/>
              <w:rPr>
                <w:rFonts w:eastAsia="方正仿宋_GBK"/>
                <w:color w:val="000000"/>
                <w:sz w:val="24"/>
              </w:rPr>
            </w:pPr>
            <w:r>
              <w:rPr>
                <w:rFonts w:hint="eastAsia" w:eastAsia="方正仿宋_GBK"/>
                <w:color w:val="000000"/>
                <w:sz w:val="24"/>
              </w:rPr>
              <w:t>偏差率计算公式：</w:t>
            </w:r>
          </w:p>
          <w:p>
            <w:pPr>
              <w:spacing w:line="400" w:lineRule="exact"/>
              <w:ind w:firstLine="480" w:firstLineChars="200"/>
              <w:jc w:val="left"/>
              <w:rPr>
                <w:rFonts w:eastAsia="方正仿宋_GBK"/>
                <w:color w:val="000000"/>
                <w:sz w:val="24"/>
              </w:rPr>
            </w:pPr>
            <w:r>
              <w:rPr>
                <w:rFonts w:hint="eastAsia" w:eastAsia="方正仿宋_GBK"/>
                <w:color w:val="000000"/>
                <w:sz w:val="24"/>
              </w:rPr>
              <w:t xml:space="preserve">偏差率=（比选响应人所报单价-基准价）/基准价    </w:t>
            </w:r>
          </w:p>
          <w:p>
            <w:pPr>
              <w:spacing w:line="400" w:lineRule="exact"/>
              <w:ind w:firstLine="480" w:firstLineChars="200"/>
              <w:jc w:val="left"/>
              <w:rPr>
                <w:rFonts w:eastAsia="方正仿宋_GBK"/>
                <w:color w:val="000000"/>
                <w:sz w:val="24"/>
              </w:rPr>
            </w:pPr>
            <w:r>
              <w:rPr>
                <w:rFonts w:hint="eastAsia" w:eastAsia="方正仿宋_GBK"/>
                <w:color w:val="000000"/>
                <w:sz w:val="24"/>
              </w:rPr>
              <w:t>所有经初步评审合格的比选响应人的所报价格与基准价格进行比较，等于基准价格的得</w:t>
            </w:r>
            <w:r>
              <w:rPr>
                <w:rFonts w:eastAsia="方正仿宋_GBK"/>
                <w:color w:val="000000"/>
                <w:sz w:val="24"/>
              </w:rPr>
              <w:t>5</w:t>
            </w:r>
            <w:r>
              <w:rPr>
                <w:rFonts w:hint="eastAsia" w:eastAsia="方正仿宋_GBK"/>
                <w:color w:val="000000"/>
                <w:sz w:val="24"/>
              </w:rPr>
              <w:t>0分；与基准价相比，每增加1％扣 0.</w:t>
            </w:r>
            <w:r>
              <w:rPr>
                <w:rFonts w:eastAsia="方正仿宋_GBK"/>
                <w:color w:val="000000"/>
                <w:sz w:val="24"/>
              </w:rPr>
              <w:t>3</w:t>
            </w:r>
            <w:r>
              <w:rPr>
                <w:rFonts w:hint="eastAsia" w:eastAsia="方正仿宋_GBK"/>
                <w:color w:val="000000"/>
                <w:sz w:val="24"/>
              </w:rPr>
              <w:t xml:space="preserve"> 分，每减少1％扣0</w:t>
            </w:r>
            <w:r>
              <w:rPr>
                <w:rFonts w:eastAsia="方正仿宋_GBK"/>
                <w:color w:val="000000"/>
                <w:sz w:val="24"/>
              </w:rPr>
              <w:t>.1</w:t>
            </w:r>
            <w:r>
              <w:rPr>
                <w:rFonts w:hint="eastAsia" w:eastAsia="方正仿宋_GBK"/>
                <w:color w:val="000000"/>
                <w:sz w:val="24"/>
              </w:rPr>
              <w:t>分；扣完为止。</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1135" w:type="dxa"/>
            <w:vMerge w:val="restart"/>
            <w:vAlign w:val="center"/>
          </w:tcPr>
          <w:p>
            <w:pPr>
              <w:spacing w:line="500" w:lineRule="exact"/>
              <w:jc w:val="center"/>
              <w:rPr>
                <w:rFonts w:eastAsia="方正仿宋_GBK"/>
                <w:b/>
                <w:bCs/>
                <w:color w:val="000000"/>
                <w:sz w:val="28"/>
                <w:szCs w:val="28"/>
              </w:rPr>
            </w:pPr>
            <w:r>
              <w:rPr>
                <w:rFonts w:eastAsia="方正仿宋_GBK"/>
                <w:b/>
                <w:bCs/>
                <w:color w:val="000000"/>
                <w:sz w:val="28"/>
                <w:szCs w:val="28"/>
              </w:rPr>
              <w:t>2.2</w:t>
            </w:r>
          </w:p>
        </w:tc>
        <w:tc>
          <w:tcPr>
            <w:tcW w:w="1759" w:type="dxa"/>
            <w:vMerge w:val="restart"/>
            <w:tcBorders>
              <w:right w:val="single" w:color="auto" w:sz="4" w:space="0"/>
            </w:tcBorders>
            <w:vAlign w:val="center"/>
          </w:tcPr>
          <w:p>
            <w:pPr>
              <w:spacing w:line="500" w:lineRule="exact"/>
              <w:jc w:val="center"/>
              <w:rPr>
                <w:rFonts w:eastAsia="方正仿宋_GBK"/>
                <w:b/>
                <w:bCs/>
                <w:color w:val="000000"/>
                <w:sz w:val="28"/>
                <w:szCs w:val="28"/>
              </w:rPr>
            </w:pPr>
            <w:r>
              <w:rPr>
                <w:rFonts w:eastAsia="方正仿宋_GBK"/>
                <w:b/>
                <w:bCs/>
                <w:color w:val="000000"/>
                <w:sz w:val="28"/>
                <w:szCs w:val="28"/>
              </w:rPr>
              <w:t>技术</w:t>
            </w:r>
          </w:p>
          <w:p>
            <w:pPr>
              <w:spacing w:line="500" w:lineRule="exact"/>
              <w:jc w:val="center"/>
              <w:rPr>
                <w:rFonts w:eastAsia="方正仿宋_GBK"/>
                <w:b/>
                <w:bCs/>
                <w:color w:val="000000"/>
                <w:sz w:val="28"/>
                <w:szCs w:val="28"/>
              </w:rPr>
            </w:pPr>
            <w:r>
              <w:rPr>
                <w:rFonts w:eastAsia="方正仿宋_GBK"/>
                <w:b/>
                <w:bCs/>
                <w:color w:val="000000"/>
                <w:sz w:val="28"/>
                <w:szCs w:val="28"/>
              </w:rPr>
              <w:t>部分</w:t>
            </w:r>
          </w:p>
          <w:p>
            <w:pPr>
              <w:spacing w:line="500" w:lineRule="exact"/>
              <w:jc w:val="center"/>
              <w:rPr>
                <w:rFonts w:eastAsia="方正仿宋_GBK"/>
                <w:b/>
                <w:bCs/>
                <w:color w:val="000000"/>
                <w:sz w:val="28"/>
                <w:szCs w:val="28"/>
              </w:rPr>
            </w:pPr>
            <w:r>
              <w:rPr>
                <w:rFonts w:eastAsia="方正仿宋_GBK"/>
                <w:b/>
                <w:bCs/>
                <w:color w:val="000000"/>
                <w:sz w:val="28"/>
                <w:szCs w:val="28"/>
              </w:rPr>
              <w:t>评分</w:t>
            </w:r>
          </w:p>
          <w:p>
            <w:pPr>
              <w:spacing w:line="500" w:lineRule="exact"/>
              <w:jc w:val="center"/>
              <w:rPr>
                <w:rFonts w:eastAsia="方正仿宋_GBK"/>
                <w:b/>
                <w:bCs/>
                <w:color w:val="000000"/>
                <w:sz w:val="28"/>
                <w:szCs w:val="28"/>
              </w:rPr>
            </w:pPr>
            <w:r>
              <w:rPr>
                <w:rFonts w:eastAsia="方正仿宋_GBK"/>
                <w:b/>
                <w:bCs/>
                <w:color w:val="000000"/>
                <w:sz w:val="28"/>
                <w:szCs w:val="28"/>
              </w:rPr>
              <w:t>标准</w:t>
            </w:r>
          </w:p>
          <w:p>
            <w:pPr>
              <w:spacing w:line="500" w:lineRule="exact"/>
              <w:jc w:val="center"/>
              <w:rPr>
                <w:rFonts w:eastAsia="方正仿宋_GBK"/>
                <w:b/>
                <w:bCs/>
                <w:color w:val="000000"/>
                <w:sz w:val="28"/>
                <w:szCs w:val="28"/>
              </w:rPr>
            </w:pPr>
          </w:p>
        </w:tc>
        <w:tc>
          <w:tcPr>
            <w:tcW w:w="1350" w:type="dxa"/>
            <w:tcBorders>
              <w:left w:val="single" w:color="auto" w:sz="4" w:space="0"/>
              <w:right w:val="single" w:color="auto" w:sz="4" w:space="0"/>
            </w:tcBorders>
            <w:vAlign w:val="center"/>
          </w:tcPr>
          <w:p>
            <w:pPr>
              <w:spacing w:line="440" w:lineRule="exact"/>
              <w:jc w:val="left"/>
              <w:rPr>
                <w:rFonts w:hint="eastAsia" w:ascii="仿宋" w:hAnsi="仿宋" w:eastAsia="仿宋" w:cs="仿宋"/>
                <w:b/>
                <w:bCs/>
              </w:rPr>
            </w:pPr>
            <w:r>
              <w:rPr>
                <w:rFonts w:hint="eastAsia" w:ascii="仿宋" w:hAnsi="仿宋" w:eastAsia="仿宋" w:cs="仿宋"/>
                <w:b/>
                <w:bCs/>
              </w:rPr>
              <w:t>工作规范及日常管理制度（7分）</w:t>
            </w:r>
          </w:p>
          <w:p>
            <w:pPr>
              <w:pStyle w:val="15"/>
              <w:outlineLvl w:val="9"/>
              <w:rPr>
                <w:rFonts w:hint="eastAsia" w:ascii="仿宋" w:hAnsi="仿宋" w:eastAsia="仿宋" w:cs="仿宋"/>
              </w:rPr>
            </w:pPr>
          </w:p>
        </w:tc>
        <w:tc>
          <w:tcPr>
            <w:tcW w:w="6055" w:type="dxa"/>
            <w:tcBorders>
              <w:left w:val="single" w:color="auto" w:sz="4" w:space="0"/>
              <w:bottom w:val="single" w:color="auto" w:sz="4" w:space="0"/>
            </w:tcBorders>
            <w:vAlign w:val="center"/>
          </w:tcPr>
          <w:p>
            <w:pPr>
              <w:spacing w:line="340" w:lineRule="exact"/>
              <w:rPr>
                <w:rFonts w:hint="eastAsia" w:ascii="仿宋" w:hAnsi="仿宋" w:eastAsia="仿宋" w:cs="仿宋"/>
                <w:kern w:val="0"/>
                <w:szCs w:val="21"/>
              </w:rPr>
            </w:pPr>
            <w:r>
              <w:rPr>
                <w:rFonts w:hint="eastAsia" w:ascii="仿宋" w:hAnsi="仿宋" w:eastAsia="仿宋" w:cs="仿宋"/>
                <w:kern w:val="0"/>
                <w:szCs w:val="21"/>
              </w:rPr>
              <w:t>a、提供完善的项目服务工作规范、日常管理制度（包括但不限于内务管理、消防安全、环境卫生、岗位要求等各方面），内容详尽，方案具体可行，管理思路清晰，由评标委员会进行综合评议，优得5-7分，中得3-5分，一般得1-3分；</w:t>
            </w:r>
          </w:p>
          <w:p>
            <w:pPr>
              <w:spacing w:line="500" w:lineRule="exact"/>
              <w:ind w:firstLine="210" w:firstLineChars="100"/>
              <w:rPr>
                <w:rFonts w:hint="eastAsia" w:ascii="仿宋" w:hAnsi="仿宋" w:eastAsia="仿宋" w:cs="仿宋"/>
              </w:rPr>
            </w:pPr>
            <w:r>
              <w:rPr>
                <w:rFonts w:hint="eastAsia" w:ascii="仿宋" w:hAnsi="仿宋" w:eastAsia="仿宋" w:cs="仿宋"/>
                <w:kern w:val="0"/>
                <w:szCs w:val="21"/>
              </w:rPr>
              <w:t>b、不提供或提供内容不完善的，此项不得分。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atLeast"/>
        </w:trPr>
        <w:tc>
          <w:tcPr>
            <w:tcW w:w="1135" w:type="dxa"/>
            <w:vMerge w:val="continue"/>
            <w:vAlign w:val="center"/>
          </w:tcPr>
          <w:p>
            <w:pPr>
              <w:spacing w:line="500" w:lineRule="exact"/>
              <w:jc w:val="center"/>
              <w:rPr>
                <w:rFonts w:eastAsia="方正仿宋_GBK"/>
                <w:b/>
                <w:bCs/>
                <w:color w:val="000000"/>
                <w:sz w:val="28"/>
                <w:szCs w:val="28"/>
              </w:rPr>
            </w:pPr>
          </w:p>
        </w:tc>
        <w:tc>
          <w:tcPr>
            <w:tcW w:w="1759" w:type="dxa"/>
            <w:vMerge w:val="continue"/>
            <w:tcBorders>
              <w:right w:val="single" w:color="auto" w:sz="4" w:space="0"/>
            </w:tcBorders>
            <w:vAlign w:val="center"/>
          </w:tcPr>
          <w:p>
            <w:pPr>
              <w:spacing w:line="500" w:lineRule="exact"/>
              <w:jc w:val="center"/>
              <w:rPr>
                <w:rFonts w:eastAsia="方正仿宋_GBK"/>
                <w:b/>
                <w:bCs/>
                <w:color w:val="000000"/>
                <w:sz w:val="28"/>
                <w:szCs w:val="28"/>
              </w:rPr>
            </w:pPr>
          </w:p>
        </w:tc>
        <w:tc>
          <w:tcPr>
            <w:tcW w:w="1350" w:type="dxa"/>
            <w:tcBorders>
              <w:left w:val="single" w:color="auto" w:sz="4" w:space="0"/>
              <w:right w:val="single" w:color="auto" w:sz="4" w:space="0"/>
            </w:tcBorders>
            <w:vAlign w:val="center"/>
          </w:tcPr>
          <w:p>
            <w:pPr>
              <w:spacing w:line="440" w:lineRule="exact"/>
              <w:jc w:val="left"/>
              <w:rPr>
                <w:rFonts w:hint="eastAsia" w:ascii="仿宋" w:hAnsi="仿宋" w:eastAsia="仿宋" w:cs="仿宋"/>
                <w:b/>
                <w:bCs/>
              </w:rPr>
            </w:pPr>
            <w:r>
              <w:rPr>
                <w:rFonts w:hint="eastAsia" w:ascii="仿宋" w:hAnsi="仿宋" w:eastAsia="仿宋" w:cs="仿宋"/>
                <w:b/>
                <w:bCs/>
              </w:rPr>
              <w:t>人员管理制度（5分）</w:t>
            </w:r>
          </w:p>
          <w:p>
            <w:pPr>
              <w:spacing w:line="500" w:lineRule="exact"/>
              <w:jc w:val="center"/>
              <w:rPr>
                <w:rFonts w:hint="eastAsia" w:ascii="仿宋" w:hAnsi="仿宋" w:eastAsia="仿宋" w:cs="仿宋"/>
                <w:b/>
                <w:bCs/>
                <w:color w:val="000000"/>
                <w:sz w:val="28"/>
                <w:szCs w:val="28"/>
              </w:rPr>
            </w:pPr>
          </w:p>
        </w:tc>
        <w:tc>
          <w:tcPr>
            <w:tcW w:w="6055" w:type="dxa"/>
            <w:tcBorders>
              <w:left w:val="single" w:color="auto" w:sz="4" w:space="0"/>
              <w:bottom w:val="single" w:color="auto" w:sz="4" w:space="0"/>
            </w:tcBorders>
            <w:vAlign w:val="center"/>
          </w:tcPr>
          <w:p>
            <w:pPr>
              <w:spacing w:line="340" w:lineRule="exact"/>
              <w:rPr>
                <w:rFonts w:hint="eastAsia" w:ascii="仿宋" w:hAnsi="仿宋" w:eastAsia="仿宋" w:cs="仿宋"/>
                <w:kern w:val="0"/>
                <w:szCs w:val="21"/>
              </w:rPr>
            </w:pPr>
            <w:r>
              <w:rPr>
                <w:rFonts w:hint="eastAsia" w:ascii="仿宋" w:hAnsi="仿宋" w:eastAsia="仿宋" w:cs="仿宋"/>
                <w:kern w:val="0"/>
                <w:szCs w:val="21"/>
              </w:rPr>
              <w:t xml:space="preserve">a、提供完善的人员管理制度，包括奖惩、培训、考核、员工行为管理规范、休息休假制度等，内容详尽，方案具体可行，管理思路清晰，由评标委员会进行综合评议，优得4-5分，中得2-4分，一般得1-2分； </w:t>
            </w:r>
          </w:p>
          <w:p>
            <w:pPr>
              <w:spacing w:line="500" w:lineRule="exact"/>
              <w:ind w:firstLine="210" w:firstLineChars="100"/>
              <w:rPr>
                <w:rFonts w:hint="eastAsia" w:ascii="仿宋" w:hAnsi="仿宋" w:eastAsia="仿宋" w:cs="仿宋"/>
                <w:color w:val="000000"/>
                <w:sz w:val="24"/>
              </w:rPr>
            </w:pPr>
            <w:r>
              <w:rPr>
                <w:rFonts w:hint="eastAsia" w:ascii="仿宋" w:hAnsi="仿宋" w:eastAsia="仿宋" w:cs="仿宋"/>
                <w:kern w:val="0"/>
                <w:szCs w:val="21"/>
              </w:rPr>
              <w:t>b、不提供或提供内容不完善的，此项不得分。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atLeast"/>
        </w:trPr>
        <w:tc>
          <w:tcPr>
            <w:tcW w:w="1135" w:type="dxa"/>
            <w:vMerge w:val="continue"/>
            <w:vAlign w:val="center"/>
          </w:tcPr>
          <w:p>
            <w:pPr>
              <w:spacing w:line="500" w:lineRule="exact"/>
              <w:jc w:val="center"/>
              <w:rPr>
                <w:rFonts w:eastAsia="方正仿宋_GBK"/>
                <w:b/>
                <w:bCs/>
                <w:color w:val="000000"/>
                <w:sz w:val="28"/>
                <w:szCs w:val="28"/>
              </w:rPr>
            </w:pPr>
          </w:p>
        </w:tc>
        <w:tc>
          <w:tcPr>
            <w:tcW w:w="1759" w:type="dxa"/>
            <w:vMerge w:val="continue"/>
            <w:tcBorders>
              <w:right w:val="single" w:color="auto" w:sz="4" w:space="0"/>
            </w:tcBorders>
            <w:vAlign w:val="center"/>
          </w:tcPr>
          <w:p>
            <w:pPr>
              <w:spacing w:line="500" w:lineRule="exact"/>
              <w:jc w:val="center"/>
              <w:rPr>
                <w:rFonts w:eastAsia="方正仿宋_GBK"/>
                <w:b/>
                <w:bCs/>
                <w:color w:val="000000"/>
                <w:sz w:val="28"/>
                <w:szCs w:val="28"/>
              </w:rPr>
            </w:pPr>
          </w:p>
        </w:tc>
        <w:tc>
          <w:tcPr>
            <w:tcW w:w="1350" w:type="dxa"/>
            <w:tcBorders>
              <w:left w:val="single" w:color="auto" w:sz="4" w:space="0"/>
              <w:right w:val="single" w:color="auto" w:sz="4" w:space="0"/>
            </w:tcBorders>
            <w:vAlign w:val="center"/>
          </w:tcPr>
          <w:p>
            <w:pPr>
              <w:spacing w:line="440" w:lineRule="exact"/>
              <w:jc w:val="left"/>
              <w:rPr>
                <w:rFonts w:hint="eastAsia" w:ascii="仿宋" w:hAnsi="仿宋" w:eastAsia="仿宋" w:cs="仿宋"/>
                <w:b/>
                <w:bCs/>
                <w:szCs w:val="22"/>
              </w:rPr>
            </w:pPr>
            <w:r>
              <w:rPr>
                <w:rFonts w:hint="eastAsia" w:ascii="仿宋" w:hAnsi="仿宋" w:eastAsia="仿宋" w:cs="仿宋"/>
                <w:b/>
                <w:bCs/>
                <w:szCs w:val="22"/>
              </w:rPr>
              <w:t>员工岗位配置方案</w:t>
            </w:r>
          </w:p>
          <w:p>
            <w:pPr>
              <w:spacing w:line="440" w:lineRule="exact"/>
              <w:jc w:val="left"/>
              <w:rPr>
                <w:rFonts w:hint="eastAsia" w:ascii="仿宋" w:hAnsi="仿宋" w:eastAsia="仿宋" w:cs="仿宋"/>
                <w:b/>
                <w:bCs/>
                <w:szCs w:val="22"/>
              </w:rPr>
            </w:pPr>
            <w:r>
              <w:rPr>
                <w:rFonts w:hint="eastAsia" w:ascii="仿宋" w:hAnsi="仿宋" w:eastAsia="仿宋" w:cs="仿宋"/>
                <w:b/>
                <w:bCs/>
                <w:szCs w:val="22"/>
              </w:rPr>
              <w:t>（5分）</w:t>
            </w:r>
          </w:p>
          <w:p>
            <w:pPr>
              <w:spacing w:line="440" w:lineRule="exact"/>
              <w:jc w:val="left"/>
              <w:rPr>
                <w:rFonts w:hint="eastAsia" w:ascii="仿宋" w:hAnsi="仿宋" w:eastAsia="仿宋" w:cs="仿宋"/>
                <w:b/>
                <w:bCs/>
              </w:rPr>
            </w:pPr>
          </w:p>
        </w:tc>
        <w:tc>
          <w:tcPr>
            <w:tcW w:w="6055" w:type="dxa"/>
            <w:tcBorders>
              <w:left w:val="single" w:color="auto" w:sz="4" w:space="0"/>
              <w:bottom w:val="single" w:color="auto" w:sz="4" w:space="0"/>
            </w:tcBorders>
            <w:vAlign w:val="center"/>
          </w:tcPr>
          <w:p>
            <w:pPr>
              <w:spacing w:line="340" w:lineRule="exact"/>
              <w:rPr>
                <w:rFonts w:hint="eastAsia" w:ascii="仿宋" w:hAnsi="仿宋" w:eastAsia="仿宋" w:cs="仿宋"/>
                <w:kern w:val="0"/>
                <w:szCs w:val="21"/>
              </w:rPr>
            </w:pPr>
            <w:r>
              <w:rPr>
                <w:rFonts w:hint="eastAsia" w:ascii="仿宋" w:hAnsi="仿宋" w:eastAsia="仿宋" w:cs="仿宋"/>
                <w:kern w:val="0"/>
                <w:szCs w:val="21"/>
              </w:rPr>
              <w:t xml:space="preserve">a、提供科学合理的员工岗位配置方案，岗位职责、工作区域、工作内容及岗位工序组合的具体安排，由评标委员会进行综合评议，优得4-5分，中得2-4分，一般得1-2分； </w:t>
            </w:r>
          </w:p>
          <w:p>
            <w:pPr>
              <w:spacing w:line="340" w:lineRule="exact"/>
              <w:rPr>
                <w:rFonts w:hint="eastAsia" w:ascii="仿宋" w:hAnsi="仿宋" w:eastAsia="仿宋" w:cs="仿宋"/>
                <w:kern w:val="0"/>
                <w:szCs w:val="21"/>
              </w:rPr>
            </w:pPr>
            <w:r>
              <w:rPr>
                <w:rFonts w:hint="eastAsia" w:ascii="仿宋" w:hAnsi="仿宋" w:eastAsia="仿宋" w:cs="仿宋"/>
                <w:kern w:val="0"/>
                <w:szCs w:val="21"/>
              </w:rPr>
              <w:t>b、不提供或提供内容不完善、排班不满足项目服务需求的，此项不得分。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atLeast"/>
        </w:trPr>
        <w:tc>
          <w:tcPr>
            <w:tcW w:w="1135" w:type="dxa"/>
            <w:vMerge w:val="continue"/>
            <w:vAlign w:val="center"/>
          </w:tcPr>
          <w:p>
            <w:pPr>
              <w:spacing w:line="500" w:lineRule="exact"/>
              <w:jc w:val="center"/>
              <w:rPr>
                <w:rFonts w:eastAsia="方正仿宋_GBK"/>
                <w:b/>
                <w:bCs/>
                <w:color w:val="000000"/>
                <w:sz w:val="28"/>
                <w:szCs w:val="28"/>
              </w:rPr>
            </w:pPr>
          </w:p>
        </w:tc>
        <w:tc>
          <w:tcPr>
            <w:tcW w:w="1759" w:type="dxa"/>
            <w:vMerge w:val="continue"/>
            <w:tcBorders>
              <w:right w:val="single" w:color="auto" w:sz="4" w:space="0"/>
            </w:tcBorders>
            <w:vAlign w:val="center"/>
          </w:tcPr>
          <w:p>
            <w:pPr>
              <w:spacing w:line="500" w:lineRule="exact"/>
              <w:jc w:val="center"/>
              <w:rPr>
                <w:rFonts w:eastAsia="方正仿宋_GBK"/>
                <w:b/>
                <w:bCs/>
                <w:color w:val="000000"/>
                <w:sz w:val="28"/>
                <w:szCs w:val="28"/>
              </w:rPr>
            </w:pPr>
          </w:p>
        </w:tc>
        <w:tc>
          <w:tcPr>
            <w:tcW w:w="1350" w:type="dxa"/>
            <w:tcBorders>
              <w:left w:val="single" w:color="auto" w:sz="4" w:space="0"/>
              <w:right w:val="single" w:color="auto" w:sz="4" w:space="0"/>
            </w:tcBorders>
            <w:vAlign w:val="center"/>
          </w:tcPr>
          <w:p>
            <w:pPr>
              <w:spacing w:line="440" w:lineRule="exact"/>
              <w:jc w:val="left"/>
              <w:rPr>
                <w:rFonts w:hint="eastAsia" w:ascii="仿宋" w:hAnsi="仿宋" w:eastAsia="仿宋" w:cs="仿宋"/>
                <w:b/>
                <w:bCs/>
              </w:rPr>
            </w:pPr>
            <w:r>
              <w:rPr>
                <w:rFonts w:hint="eastAsia" w:ascii="仿宋" w:hAnsi="仿宋" w:eastAsia="仿宋" w:cs="仿宋"/>
                <w:b/>
                <w:bCs/>
              </w:rPr>
              <w:t>员工薪酬福利方案</w:t>
            </w:r>
          </w:p>
          <w:p>
            <w:pPr>
              <w:spacing w:line="440" w:lineRule="exact"/>
              <w:jc w:val="left"/>
              <w:rPr>
                <w:rFonts w:hint="eastAsia" w:ascii="仿宋" w:hAnsi="仿宋" w:eastAsia="仿宋" w:cs="仿宋"/>
                <w:b/>
                <w:bCs/>
              </w:rPr>
            </w:pPr>
            <w:r>
              <w:rPr>
                <w:rFonts w:hint="eastAsia" w:ascii="仿宋" w:hAnsi="仿宋" w:eastAsia="仿宋" w:cs="仿宋"/>
                <w:b/>
                <w:bCs/>
              </w:rPr>
              <w:t>（5分）</w:t>
            </w:r>
          </w:p>
          <w:p>
            <w:pPr>
              <w:spacing w:line="440" w:lineRule="exact"/>
              <w:jc w:val="left"/>
              <w:rPr>
                <w:rFonts w:hint="eastAsia" w:ascii="仿宋" w:hAnsi="仿宋" w:eastAsia="仿宋" w:cs="仿宋"/>
                <w:b/>
                <w:bCs/>
                <w:szCs w:val="22"/>
              </w:rPr>
            </w:pPr>
          </w:p>
        </w:tc>
        <w:tc>
          <w:tcPr>
            <w:tcW w:w="6055" w:type="dxa"/>
            <w:tcBorders>
              <w:left w:val="single" w:color="auto" w:sz="4" w:space="0"/>
              <w:bottom w:val="single" w:color="auto" w:sz="4" w:space="0"/>
            </w:tcBorders>
            <w:vAlign w:val="center"/>
          </w:tcPr>
          <w:p>
            <w:pPr>
              <w:spacing w:line="340" w:lineRule="exact"/>
              <w:ind w:left="-38"/>
              <w:rPr>
                <w:rFonts w:hint="eastAsia" w:ascii="仿宋" w:hAnsi="仿宋" w:eastAsia="仿宋" w:cs="仿宋"/>
                <w:kern w:val="0"/>
                <w:szCs w:val="21"/>
              </w:rPr>
            </w:pPr>
            <w:r>
              <w:rPr>
                <w:rFonts w:hint="eastAsia" w:ascii="仿宋" w:hAnsi="仿宋" w:eastAsia="仿宋" w:cs="仿宋"/>
                <w:kern w:val="0"/>
                <w:szCs w:val="21"/>
              </w:rPr>
              <w:t>a、提供服务人员薪酬福利方案，要求合法合规，有层级晋升，薪酬结构合理，能体现奖勤罚懒，对优秀员工、服务明星相应倾斜；方案具体可行，管理思路清晰，由评标委员会进行综合评议，优得4-5分，中得2-4分，一般得1-2分；</w:t>
            </w:r>
          </w:p>
          <w:p>
            <w:pPr>
              <w:spacing w:line="340" w:lineRule="exact"/>
              <w:rPr>
                <w:rFonts w:hint="eastAsia" w:ascii="仿宋" w:hAnsi="仿宋" w:eastAsia="仿宋" w:cs="仿宋"/>
                <w:kern w:val="0"/>
                <w:szCs w:val="21"/>
              </w:rPr>
            </w:pPr>
            <w:r>
              <w:rPr>
                <w:rFonts w:hint="eastAsia" w:ascii="仿宋" w:hAnsi="仿宋" w:eastAsia="仿宋" w:cs="仿宋"/>
                <w:kern w:val="0"/>
                <w:szCs w:val="21"/>
              </w:rPr>
              <w:t>b、不提供或提供内容不完善的，此项不得分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atLeast"/>
        </w:trPr>
        <w:tc>
          <w:tcPr>
            <w:tcW w:w="1135" w:type="dxa"/>
            <w:vMerge w:val="continue"/>
            <w:vAlign w:val="center"/>
          </w:tcPr>
          <w:p>
            <w:pPr>
              <w:spacing w:line="500" w:lineRule="exact"/>
              <w:jc w:val="center"/>
              <w:rPr>
                <w:rFonts w:eastAsia="方正仿宋_GBK"/>
                <w:b/>
                <w:bCs/>
                <w:color w:val="000000"/>
                <w:sz w:val="28"/>
                <w:szCs w:val="28"/>
              </w:rPr>
            </w:pPr>
          </w:p>
        </w:tc>
        <w:tc>
          <w:tcPr>
            <w:tcW w:w="1759" w:type="dxa"/>
            <w:vMerge w:val="continue"/>
            <w:tcBorders>
              <w:right w:val="single" w:color="auto" w:sz="4" w:space="0"/>
            </w:tcBorders>
            <w:vAlign w:val="center"/>
          </w:tcPr>
          <w:p>
            <w:pPr>
              <w:spacing w:line="500" w:lineRule="exact"/>
              <w:jc w:val="center"/>
              <w:rPr>
                <w:rFonts w:eastAsia="方正仿宋_GBK"/>
                <w:b/>
                <w:bCs/>
                <w:color w:val="000000"/>
                <w:sz w:val="28"/>
                <w:szCs w:val="28"/>
              </w:rPr>
            </w:pPr>
          </w:p>
        </w:tc>
        <w:tc>
          <w:tcPr>
            <w:tcW w:w="1350" w:type="dxa"/>
            <w:tcBorders>
              <w:left w:val="single" w:color="auto" w:sz="4" w:space="0"/>
              <w:right w:val="single" w:color="auto" w:sz="4" w:space="0"/>
            </w:tcBorders>
            <w:vAlign w:val="center"/>
          </w:tcPr>
          <w:p>
            <w:pPr>
              <w:spacing w:line="440" w:lineRule="exact"/>
              <w:jc w:val="left"/>
              <w:rPr>
                <w:rFonts w:hint="eastAsia" w:ascii="仿宋" w:hAnsi="仿宋" w:eastAsia="仿宋" w:cs="仿宋"/>
                <w:b/>
                <w:bCs/>
              </w:rPr>
            </w:pPr>
            <w:r>
              <w:rPr>
                <w:rFonts w:hint="eastAsia" w:ascii="仿宋" w:hAnsi="仿宋" w:eastAsia="仿宋" w:cs="仿宋"/>
                <w:b/>
                <w:bCs/>
              </w:rPr>
              <w:t>安全管理措施（6分）</w:t>
            </w:r>
          </w:p>
          <w:p>
            <w:pPr>
              <w:spacing w:line="440" w:lineRule="exact"/>
              <w:jc w:val="left"/>
              <w:rPr>
                <w:rFonts w:hint="eastAsia" w:ascii="仿宋" w:hAnsi="仿宋" w:eastAsia="仿宋" w:cs="仿宋"/>
                <w:b/>
                <w:bCs/>
              </w:rPr>
            </w:pPr>
          </w:p>
        </w:tc>
        <w:tc>
          <w:tcPr>
            <w:tcW w:w="6055" w:type="dxa"/>
            <w:tcBorders>
              <w:left w:val="single" w:color="auto" w:sz="4" w:space="0"/>
              <w:bottom w:val="single" w:color="auto" w:sz="4" w:space="0"/>
            </w:tcBorders>
            <w:vAlign w:val="center"/>
          </w:tcPr>
          <w:p>
            <w:pPr>
              <w:spacing w:line="340" w:lineRule="exact"/>
              <w:ind w:left="-38"/>
              <w:rPr>
                <w:rFonts w:hint="eastAsia" w:ascii="仿宋" w:hAnsi="仿宋" w:eastAsia="仿宋" w:cs="仿宋"/>
                <w:kern w:val="0"/>
                <w:szCs w:val="21"/>
              </w:rPr>
            </w:pPr>
            <w:r>
              <w:rPr>
                <w:rFonts w:hint="eastAsia" w:ascii="仿宋" w:hAnsi="仿宋" w:eastAsia="仿宋" w:cs="仿宋"/>
                <w:kern w:val="0"/>
                <w:szCs w:val="21"/>
              </w:rPr>
              <w:t>a、提供具体的员工岗位安全服务标准、程序、工作准则和要求，要求完全满足项目安全运行需求由评标委员会进行综合评议，优得5-6分，中得3-5分，一般得1-3分；</w:t>
            </w:r>
          </w:p>
          <w:p>
            <w:pPr>
              <w:spacing w:line="340" w:lineRule="exact"/>
              <w:ind w:left="-38"/>
              <w:rPr>
                <w:rFonts w:hint="eastAsia" w:ascii="仿宋" w:hAnsi="仿宋" w:eastAsia="仿宋" w:cs="仿宋"/>
                <w:kern w:val="0"/>
                <w:szCs w:val="21"/>
              </w:rPr>
            </w:pPr>
            <w:r>
              <w:rPr>
                <w:rFonts w:hint="eastAsia" w:ascii="仿宋" w:hAnsi="仿宋" w:eastAsia="仿宋" w:cs="仿宋"/>
                <w:kern w:val="0"/>
                <w:szCs w:val="21"/>
              </w:rPr>
              <w:t>b、不提供或提供内容不完善的，此项不得分。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atLeast"/>
        </w:trPr>
        <w:tc>
          <w:tcPr>
            <w:tcW w:w="1135" w:type="dxa"/>
            <w:vMerge w:val="continue"/>
            <w:vAlign w:val="center"/>
          </w:tcPr>
          <w:p>
            <w:pPr>
              <w:spacing w:line="500" w:lineRule="exact"/>
              <w:jc w:val="center"/>
              <w:rPr>
                <w:rFonts w:eastAsia="方正仿宋_GBK"/>
                <w:b/>
                <w:bCs/>
                <w:color w:val="000000"/>
                <w:sz w:val="28"/>
                <w:szCs w:val="28"/>
              </w:rPr>
            </w:pPr>
          </w:p>
        </w:tc>
        <w:tc>
          <w:tcPr>
            <w:tcW w:w="1759" w:type="dxa"/>
            <w:vMerge w:val="continue"/>
            <w:tcBorders>
              <w:right w:val="single" w:color="auto" w:sz="4" w:space="0"/>
            </w:tcBorders>
            <w:vAlign w:val="center"/>
          </w:tcPr>
          <w:p>
            <w:pPr>
              <w:spacing w:line="500" w:lineRule="exact"/>
              <w:jc w:val="center"/>
              <w:rPr>
                <w:rFonts w:eastAsia="方正仿宋_GBK"/>
                <w:b/>
                <w:bCs/>
                <w:color w:val="000000"/>
                <w:sz w:val="28"/>
                <w:szCs w:val="28"/>
              </w:rPr>
            </w:pPr>
          </w:p>
        </w:tc>
        <w:tc>
          <w:tcPr>
            <w:tcW w:w="1350" w:type="dxa"/>
            <w:tcBorders>
              <w:left w:val="single" w:color="auto" w:sz="4" w:space="0"/>
              <w:right w:val="single" w:color="auto" w:sz="4" w:space="0"/>
            </w:tcBorders>
            <w:vAlign w:val="center"/>
          </w:tcPr>
          <w:p>
            <w:pPr>
              <w:spacing w:line="440" w:lineRule="exact"/>
              <w:jc w:val="left"/>
              <w:rPr>
                <w:rFonts w:hint="eastAsia" w:ascii="仿宋" w:hAnsi="仿宋" w:eastAsia="仿宋" w:cs="仿宋"/>
                <w:b/>
                <w:bCs/>
              </w:rPr>
            </w:pPr>
            <w:r>
              <w:rPr>
                <w:rFonts w:hint="eastAsia" w:ascii="仿宋" w:hAnsi="仿宋" w:eastAsia="仿宋" w:cs="仿宋"/>
                <w:b/>
                <w:bCs/>
              </w:rPr>
              <w:t>培训体系</w:t>
            </w:r>
          </w:p>
          <w:p>
            <w:pPr>
              <w:spacing w:line="440" w:lineRule="exact"/>
              <w:jc w:val="left"/>
              <w:rPr>
                <w:rFonts w:hint="eastAsia" w:ascii="仿宋" w:hAnsi="仿宋" w:eastAsia="仿宋" w:cs="仿宋"/>
                <w:b/>
                <w:bCs/>
              </w:rPr>
            </w:pPr>
            <w:r>
              <w:rPr>
                <w:rFonts w:hint="eastAsia" w:ascii="仿宋" w:hAnsi="仿宋" w:eastAsia="仿宋" w:cs="仿宋"/>
                <w:b/>
                <w:bCs/>
              </w:rPr>
              <w:t>（6分）</w:t>
            </w:r>
          </w:p>
          <w:p>
            <w:pPr>
              <w:spacing w:line="440" w:lineRule="exact"/>
              <w:jc w:val="left"/>
              <w:rPr>
                <w:rFonts w:hint="eastAsia" w:ascii="仿宋" w:hAnsi="仿宋" w:eastAsia="仿宋" w:cs="仿宋"/>
                <w:b/>
                <w:bCs/>
              </w:rPr>
            </w:pPr>
          </w:p>
        </w:tc>
        <w:tc>
          <w:tcPr>
            <w:tcW w:w="6055" w:type="dxa"/>
            <w:tcBorders>
              <w:left w:val="single" w:color="auto" w:sz="4" w:space="0"/>
              <w:bottom w:val="single" w:color="auto" w:sz="4" w:space="0"/>
            </w:tcBorders>
            <w:vAlign w:val="center"/>
          </w:tcPr>
          <w:p>
            <w:pPr>
              <w:spacing w:line="340" w:lineRule="exact"/>
              <w:ind w:left="-38"/>
              <w:rPr>
                <w:rFonts w:hint="eastAsia" w:ascii="仿宋" w:hAnsi="仿宋" w:eastAsia="仿宋" w:cs="仿宋"/>
                <w:kern w:val="0"/>
                <w:szCs w:val="21"/>
              </w:rPr>
            </w:pPr>
            <w:r>
              <w:rPr>
                <w:rFonts w:hint="eastAsia" w:ascii="仿宋" w:hAnsi="仿宋" w:eastAsia="仿宋" w:cs="仿宋"/>
                <w:kern w:val="0"/>
                <w:szCs w:val="21"/>
              </w:rPr>
              <w:t>a、有健全的培训体系，提供培训制度和培训计划（内容涵盖安全生产教育、服务能力提升、岗位技能、安全、服务意识和能力等；周期涵盖年度、月度、日常、不定期等；有培训、有考核），制度切实可行，体现考核结果与员工奖惩挂钩；计划切合本项目服务需求，内容详尽，由评标委员会进行综合评议，优得5-6分，中得3-5分，一般得1-3分；</w:t>
            </w:r>
          </w:p>
          <w:p>
            <w:pPr>
              <w:spacing w:line="340" w:lineRule="exact"/>
              <w:ind w:left="-38"/>
              <w:rPr>
                <w:rFonts w:hint="eastAsia" w:ascii="仿宋" w:hAnsi="仿宋" w:eastAsia="仿宋" w:cs="仿宋"/>
                <w:kern w:val="0"/>
                <w:szCs w:val="21"/>
              </w:rPr>
            </w:pPr>
            <w:r>
              <w:rPr>
                <w:rFonts w:hint="eastAsia" w:ascii="仿宋" w:hAnsi="仿宋" w:eastAsia="仿宋" w:cs="仿宋"/>
                <w:kern w:val="0"/>
                <w:szCs w:val="21"/>
              </w:rPr>
              <w:t>b、不提供或提供内容不完善的，此项不得分。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atLeast"/>
        </w:trPr>
        <w:tc>
          <w:tcPr>
            <w:tcW w:w="1135" w:type="dxa"/>
            <w:vMerge w:val="continue"/>
            <w:vAlign w:val="center"/>
          </w:tcPr>
          <w:p>
            <w:pPr>
              <w:spacing w:line="500" w:lineRule="exact"/>
              <w:jc w:val="center"/>
              <w:rPr>
                <w:rFonts w:eastAsia="方正仿宋_GBK"/>
                <w:b/>
                <w:bCs/>
                <w:color w:val="000000"/>
                <w:sz w:val="28"/>
                <w:szCs w:val="28"/>
              </w:rPr>
            </w:pPr>
          </w:p>
        </w:tc>
        <w:tc>
          <w:tcPr>
            <w:tcW w:w="1759" w:type="dxa"/>
            <w:vMerge w:val="continue"/>
            <w:tcBorders>
              <w:right w:val="single" w:color="auto" w:sz="4" w:space="0"/>
            </w:tcBorders>
            <w:vAlign w:val="center"/>
          </w:tcPr>
          <w:p>
            <w:pPr>
              <w:spacing w:line="500" w:lineRule="exact"/>
              <w:jc w:val="center"/>
              <w:rPr>
                <w:rFonts w:eastAsia="方正仿宋_GBK"/>
                <w:b/>
                <w:bCs/>
                <w:color w:val="000000"/>
                <w:sz w:val="28"/>
                <w:szCs w:val="28"/>
              </w:rPr>
            </w:pPr>
          </w:p>
        </w:tc>
        <w:tc>
          <w:tcPr>
            <w:tcW w:w="1350" w:type="dxa"/>
            <w:tcBorders>
              <w:left w:val="single" w:color="auto" w:sz="4" w:space="0"/>
              <w:right w:val="single" w:color="auto" w:sz="4" w:space="0"/>
            </w:tcBorders>
            <w:vAlign w:val="center"/>
          </w:tcPr>
          <w:p>
            <w:pPr>
              <w:spacing w:line="440" w:lineRule="exact"/>
              <w:jc w:val="left"/>
              <w:rPr>
                <w:rFonts w:hint="eastAsia" w:ascii="仿宋" w:hAnsi="仿宋" w:eastAsia="仿宋" w:cs="仿宋"/>
                <w:b/>
                <w:bCs/>
              </w:rPr>
            </w:pPr>
            <w:r>
              <w:rPr>
                <w:rFonts w:hint="eastAsia" w:ascii="仿宋" w:hAnsi="仿宋" w:eastAsia="仿宋" w:cs="仿宋"/>
                <w:b/>
                <w:bCs/>
              </w:rPr>
              <w:t>特情处置措施（6分）</w:t>
            </w:r>
          </w:p>
          <w:p>
            <w:pPr>
              <w:spacing w:line="440" w:lineRule="exact"/>
              <w:jc w:val="left"/>
              <w:rPr>
                <w:rFonts w:hint="eastAsia" w:ascii="仿宋" w:hAnsi="仿宋" w:eastAsia="仿宋" w:cs="仿宋"/>
                <w:b/>
                <w:bCs/>
              </w:rPr>
            </w:pPr>
          </w:p>
        </w:tc>
        <w:tc>
          <w:tcPr>
            <w:tcW w:w="6055" w:type="dxa"/>
            <w:tcBorders>
              <w:left w:val="single" w:color="auto" w:sz="4" w:space="0"/>
              <w:bottom w:val="single" w:color="auto" w:sz="4" w:space="0"/>
            </w:tcBorders>
            <w:vAlign w:val="center"/>
          </w:tcPr>
          <w:p>
            <w:pPr>
              <w:spacing w:line="340" w:lineRule="exact"/>
              <w:ind w:left="-38"/>
              <w:rPr>
                <w:rFonts w:hint="eastAsia" w:ascii="仿宋" w:hAnsi="仿宋" w:eastAsia="仿宋" w:cs="仿宋"/>
                <w:kern w:val="0"/>
                <w:szCs w:val="21"/>
              </w:rPr>
            </w:pPr>
            <w:r>
              <w:rPr>
                <w:rFonts w:hint="eastAsia" w:ascii="仿宋" w:hAnsi="仿宋" w:eastAsia="仿宋" w:cs="仿宋"/>
                <w:kern w:val="0"/>
                <w:szCs w:val="21"/>
              </w:rPr>
              <w:t>a、提供完善的应急处置预案、特情保障措施，内容详尽，方案具体可行，管理思路清晰，由评标委员会进行综合评议，优得5-6分，中得3-5分，一般得1-3分；</w:t>
            </w:r>
          </w:p>
          <w:p>
            <w:pPr>
              <w:spacing w:line="340" w:lineRule="exact"/>
              <w:ind w:left="-38"/>
              <w:rPr>
                <w:rFonts w:hint="eastAsia" w:ascii="仿宋" w:hAnsi="仿宋" w:eastAsia="仿宋" w:cs="仿宋"/>
                <w:kern w:val="0"/>
                <w:szCs w:val="21"/>
              </w:rPr>
            </w:pPr>
            <w:r>
              <w:rPr>
                <w:rFonts w:hint="eastAsia" w:ascii="仿宋" w:hAnsi="仿宋" w:eastAsia="仿宋" w:cs="仿宋"/>
                <w:kern w:val="0"/>
                <w:szCs w:val="21"/>
              </w:rPr>
              <w:t>b、不提供或提供内容不完善的，此项不得分。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trPr>
        <w:tc>
          <w:tcPr>
            <w:tcW w:w="1135" w:type="dxa"/>
            <w:vAlign w:val="center"/>
          </w:tcPr>
          <w:p>
            <w:pPr>
              <w:spacing w:line="500" w:lineRule="exact"/>
              <w:jc w:val="center"/>
              <w:rPr>
                <w:rFonts w:eastAsia="方正仿宋_GBK"/>
                <w:b/>
                <w:bCs/>
                <w:color w:val="000000"/>
                <w:sz w:val="28"/>
                <w:szCs w:val="28"/>
              </w:rPr>
            </w:pPr>
            <w:r>
              <w:rPr>
                <w:rFonts w:eastAsia="方正仿宋_GBK"/>
                <w:b/>
                <w:bCs/>
                <w:color w:val="000000"/>
                <w:sz w:val="28"/>
                <w:szCs w:val="28"/>
              </w:rPr>
              <w:t>2.3</w:t>
            </w:r>
          </w:p>
        </w:tc>
        <w:tc>
          <w:tcPr>
            <w:tcW w:w="1759" w:type="dxa"/>
            <w:vAlign w:val="center"/>
          </w:tcPr>
          <w:p>
            <w:pPr>
              <w:spacing w:line="500" w:lineRule="exact"/>
              <w:jc w:val="center"/>
              <w:rPr>
                <w:rFonts w:eastAsia="方正仿宋_GBK"/>
                <w:b/>
                <w:bCs/>
                <w:color w:val="000000"/>
                <w:sz w:val="28"/>
                <w:szCs w:val="28"/>
              </w:rPr>
            </w:pPr>
            <w:r>
              <w:rPr>
                <w:rFonts w:eastAsia="方正仿宋_GBK"/>
                <w:b/>
                <w:bCs/>
                <w:color w:val="000000"/>
                <w:sz w:val="28"/>
                <w:szCs w:val="28"/>
              </w:rPr>
              <w:t>商务</w:t>
            </w:r>
          </w:p>
          <w:p>
            <w:pPr>
              <w:spacing w:line="500" w:lineRule="exact"/>
              <w:jc w:val="center"/>
              <w:rPr>
                <w:rFonts w:eastAsia="方正仿宋_GBK"/>
                <w:b/>
                <w:bCs/>
                <w:color w:val="000000"/>
                <w:sz w:val="28"/>
                <w:szCs w:val="28"/>
              </w:rPr>
            </w:pPr>
            <w:r>
              <w:rPr>
                <w:rFonts w:eastAsia="方正仿宋_GBK"/>
                <w:b/>
                <w:bCs/>
                <w:color w:val="000000"/>
                <w:sz w:val="28"/>
                <w:szCs w:val="28"/>
              </w:rPr>
              <w:t>部分</w:t>
            </w:r>
          </w:p>
          <w:p>
            <w:pPr>
              <w:spacing w:line="500" w:lineRule="exact"/>
              <w:jc w:val="center"/>
              <w:rPr>
                <w:rFonts w:eastAsia="方正仿宋_GBK"/>
                <w:b/>
                <w:bCs/>
                <w:color w:val="000000"/>
                <w:sz w:val="28"/>
                <w:szCs w:val="28"/>
              </w:rPr>
            </w:pPr>
            <w:r>
              <w:rPr>
                <w:rFonts w:eastAsia="方正仿宋_GBK"/>
                <w:b/>
                <w:bCs/>
                <w:color w:val="000000"/>
                <w:sz w:val="28"/>
                <w:szCs w:val="28"/>
              </w:rPr>
              <w:t>评分</w:t>
            </w:r>
          </w:p>
          <w:p>
            <w:pPr>
              <w:adjustRightInd w:val="0"/>
              <w:snapToGrid w:val="0"/>
              <w:spacing w:line="500" w:lineRule="exact"/>
              <w:jc w:val="center"/>
              <w:rPr>
                <w:rFonts w:eastAsia="方正仿宋_GBK"/>
                <w:b/>
                <w:bCs/>
                <w:color w:val="000000"/>
                <w:sz w:val="28"/>
                <w:szCs w:val="28"/>
              </w:rPr>
            </w:pPr>
            <w:r>
              <w:rPr>
                <w:rFonts w:eastAsia="方正仿宋_GBK"/>
                <w:b/>
                <w:bCs/>
                <w:color w:val="000000"/>
                <w:sz w:val="28"/>
                <w:szCs w:val="28"/>
              </w:rPr>
              <w:t>标准</w:t>
            </w:r>
          </w:p>
        </w:tc>
        <w:tc>
          <w:tcPr>
            <w:tcW w:w="1350" w:type="dxa"/>
            <w:tcBorders>
              <w:right w:val="single" w:color="auto" w:sz="4" w:space="0"/>
            </w:tcBorders>
            <w:vAlign w:val="center"/>
          </w:tcPr>
          <w:p>
            <w:pPr>
              <w:adjustRightInd w:val="0"/>
              <w:snapToGrid w:val="0"/>
              <w:spacing w:line="500" w:lineRule="exact"/>
              <w:jc w:val="center"/>
              <w:rPr>
                <w:rFonts w:hint="eastAsia" w:ascii="仿宋" w:hAnsi="仿宋" w:eastAsia="仿宋" w:cs="仿宋"/>
                <w:b/>
                <w:bCs/>
                <w:color w:val="000000"/>
                <w:sz w:val="28"/>
                <w:szCs w:val="28"/>
              </w:rPr>
            </w:pPr>
            <w:r>
              <w:rPr>
                <w:rFonts w:hint="eastAsia" w:ascii="仿宋" w:hAnsi="仿宋" w:eastAsia="仿宋" w:cs="仿宋"/>
                <w:b/>
                <w:bCs/>
              </w:rPr>
              <w:t>体系认证</w:t>
            </w:r>
            <w:r>
              <w:rPr>
                <w:rFonts w:hint="eastAsia" w:ascii="仿宋" w:hAnsi="仿宋" w:eastAsia="仿宋" w:cs="仿宋"/>
                <w:b/>
                <w:bCs/>
              </w:rPr>
              <w:br w:type="textWrapping"/>
            </w:r>
            <w:r>
              <w:rPr>
                <w:rFonts w:hint="eastAsia" w:ascii="仿宋" w:hAnsi="仿宋" w:eastAsia="仿宋" w:cs="仿宋"/>
                <w:b/>
                <w:bCs/>
              </w:rPr>
              <w:t>2分</w:t>
            </w:r>
          </w:p>
        </w:tc>
        <w:tc>
          <w:tcPr>
            <w:tcW w:w="6055" w:type="dxa"/>
            <w:tcBorders>
              <w:left w:val="single" w:color="auto" w:sz="4" w:space="0"/>
              <w:bottom w:val="single" w:color="auto" w:sz="4" w:space="0"/>
            </w:tcBorders>
            <w:vAlign w:val="center"/>
          </w:tcPr>
          <w:p>
            <w:pPr>
              <w:numPr>
                <w:ilvl w:val="0"/>
                <w:numId w:val="1"/>
              </w:numPr>
              <w:spacing w:line="400" w:lineRule="exact"/>
              <w:jc w:val="left"/>
              <w:rPr>
                <w:rFonts w:hint="eastAsia" w:ascii="仿宋" w:hAnsi="仿宋" w:eastAsia="仿宋" w:cs="仿宋"/>
              </w:rPr>
            </w:pPr>
            <w:r>
              <w:rPr>
                <w:rFonts w:hint="eastAsia" w:ascii="仿宋" w:hAnsi="仿宋" w:eastAsia="仿宋" w:cs="仿宋"/>
              </w:rPr>
              <w:t>具有ISO9001质量管理体系得1分；</w:t>
            </w:r>
          </w:p>
          <w:p>
            <w:pPr>
              <w:numPr>
                <w:ilvl w:val="0"/>
                <w:numId w:val="1"/>
              </w:numPr>
              <w:spacing w:line="400" w:lineRule="exact"/>
              <w:jc w:val="left"/>
              <w:rPr>
                <w:rFonts w:hint="eastAsia" w:ascii="仿宋" w:hAnsi="仿宋" w:eastAsia="仿宋" w:cs="仿宋"/>
              </w:rPr>
            </w:pPr>
            <w:r>
              <w:rPr>
                <w:rFonts w:hint="eastAsia" w:ascii="仿宋" w:hAnsi="仿宋" w:eastAsia="仿宋" w:cs="仿宋"/>
              </w:rPr>
              <w:t>具有ISO14000环境管理体系得0.5分；</w:t>
            </w:r>
          </w:p>
          <w:p>
            <w:pPr>
              <w:numPr>
                <w:ilvl w:val="0"/>
                <w:numId w:val="1"/>
              </w:numPr>
              <w:spacing w:line="400" w:lineRule="exact"/>
              <w:jc w:val="left"/>
              <w:rPr>
                <w:rFonts w:hint="eastAsia" w:ascii="仿宋" w:hAnsi="仿宋" w:eastAsia="仿宋" w:cs="仿宋"/>
              </w:rPr>
            </w:pPr>
            <w:r>
              <w:rPr>
                <w:rFonts w:hint="eastAsia" w:ascii="仿宋" w:hAnsi="仿宋" w:eastAsia="仿宋" w:cs="仿宋"/>
              </w:rPr>
              <w:t>具有有效的OHSAS18000系列职业健康安全管理体系认证证书或ISO45001职业健康安全管理体系要求及使用指南标准或GB/T28001-2011职业健康安全管理体系得0.5分。</w:t>
            </w:r>
          </w:p>
          <w:p>
            <w:pPr>
              <w:spacing w:line="500" w:lineRule="exact"/>
              <w:ind w:firstLine="211" w:firstLineChars="100"/>
              <w:rPr>
                <w:rFonts w:hint="eastAsia" w:ascii="仿宋" w:hAnsi="仿宋" w:eastAsia="仿宋" w:cs="仿宋"/>
              </w:rPr>
            </w:pPr>
            <w:r>
              <w:rPr>
                <w:rFonts w:hint="eastAsia" w:ascii="仿宋" w:hAnsi="仿宋" w:eastAsia="仿宋" w:cs="仿宋"/>
                <w:b/>
                <w:bCs/>
              </w:rPr>
              <w:t>须提供在有效期内的证书复印件并加盖比选响应人鲜公章</w:t>
            </w:r>
            <w:r>
              <w:rPr>
                <w:rFonts w:hint="eastAsia" w:ascii="仿宋" w:hAnsi="仿宋" w:eastAsia="仿宋" w:cs="仿宋"/>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3" w:hRule="atLeast"/>
        </w:trPr>
        <w:tc>
          <w:tcPr>
            <w:tcW w:w="1135" w:type="dxa"/>
            <w:vAlign w:val="center"/>
          </w:tcPr>
          <w:p>
            <w:pPr>
              <w:spacing w:line="500" w:lineRule="exact"/>
              <w:jc w:val="center"/>
              <w:rPr>
                <w:rFonts w:eastAsia="方正仿宋_GBK"/>
                <w:b/>
                <w:bCs/>
                <w:color w:val="000000"/>
                <w:sz w:val="28"/>
                <w:szCs w:val="28"/>
              </w:rPr>
            </w:pPr>
          </w:p>
        </w:tc>
        <w:tc>
          <w:tcPr>
            <w:tcW w:w="1759" w:type="dxa"/>
            <w:vAlign w:val="center"/>
          </w:tcPr>
          <w:p>
            <w:pPr>
              <w:spacing w:line="500" w:lineRule="exact"/>
              <w:jc w:val="center"/>
              <w:rPr>
                <w:rFonts w:eastAsia="方正仿宋_GBK"/>
                <w:b/>
                <w:bCs/>
                <w:color w:val="000000"/>
                <w:sz w:val="28"/>
                <w:szCs w:val="28"/>
              </w:rPr>
            </w:pPr>
          </w:p>
        </w:tc>
        <w:tc>
          <w:tcPr>
            <w:tcW w:w="1350" w:type="dxa"/>
            <w:tcBorders>
              <w:right w:val="single" w:color="auto" w:sz="4" w:space="0"/>
            </w:tcBorders>
            <w:vAlign w:val="center"/>
          </w:tcPr>
          <w:p>
            <w:pPr>
              <w:adjustRightInd w:val="0"/>
              <w:snapToGrid w:val="0"/>
              <w:spacing w:line="500" w:lineRule="exact"/>
              <w:jc w:val="center"/>
              <w:rPr>
                <w:rFonts w:hint="eastAsia" w:ascii="仿宋" w:hAnsi="仿宋" w:eastAsia="仿宋" w:cs="仿宋"/>
                <w:b/>
                <w:bCs/>
              </w:rPr>
            </w:pPr>
            <w:r>
              <w:rPr>
                <w:rFonts w:hint="eastAsia" w:ascii="仿宋" w:hAnsi="仿宋" w:eastAsia="仿宋" w:cs="仿宋"/>
                <w:b/>
                <w:bCs/>
              </w:rPr>
              <w:t>类似业绩</w:t>
            </w:r>
          </w:p>
          <w:p>
            <w:pPr>
              <w:adjustRightInd w:val="0"/>
              <w:snapToGrid w:val="0"/>
              <w:spacing w:line="500" w:lineRule="exact"/>
              <w:jc w:val="center"/>
              <w:rPr>
                <w:rFonts w:hint="eastAsia" w:ascii="仿宋" w:hAnsi="仿宋" w:eastAsia="仿宋" w:cs="仿宋"/>
                <w:b/>
                <w:bCs/>
                <w:color w:val="000000"/>
                <w:sz w:val="28"/>
                <w:szCs w:val="28"/>
              </w:rPr>
            </w:pPr>
            <w:r>
              <w:rPr>
                <w:rFonts w:hint="eastAsia" w:ascii="仿宋" w:hAnsi="仿宋" w:eastAsia="仿宋" w:cs="仿宋"/>
                <w:b/>
                <w:bCs/>
              </w:rPr>
              <w:t>8分</w:t>
            </w:r>
          </w:p>
        </w:tc>
        <w:tc>
          <w:tcPr>
            <w:tcW w:w="6055" w:type="dxa"/>
            <w:tcBorders>
              <w:left w:val="single" w:color="auto" w:sz="4" w:space="0"/>
              <w:bottom w:val="single" w:color="auto" w:sz="4" w:space="0"/>
            </w:tcBorders>
            <w:vAlign w:val="center"/>
          </w:tcPr>
          <w:p>
            <w:pPr>
              <w:numPr>
                <w:ilvl w:val="0"/>
                <w:numId w:val="2"/>
              </w:numPr>
              <w:spacing w:line="440" w:lineRule="exact"/>
              <w:rPr>
                <w:rFonts w:hint="eastAsia" w:ascii="仿宋" w:hAnsi="仿宋" w:eastAsia="仿宋" w:cs="仿宋"/>
              </w:rPr>
            </w:pPr>
            <w:r>
              <w:rPr>
                <w:rFonts w:hint="eastAsia" w:ascii="仿宋" w:hAnsi="仿宋" w:eastAsia="仿宋" w:cs="仿宋"/>
              </w:rPr>
              <w:t>自2017年1月1日（以合同签订时间为准）至投标截止日止，具备机场机坪装卸或机场货库装卸类的业绩且单项合同结算金额不低于400万元/年的，每提供一个得2分，最高加4分；</w:t>
            </w:r>
          </w:p>
          <w:p>
            <w:pPr>
              <w:numPr>
                <w:ilvl w:val="0"/>
                <w:numId w:val="2"/>
              </w:numPr>
              <w:spacing w:line="440" w:lineRule="exact"/>
              <w:rPr>
                <w:rFonts w:hint="eastAsia" w:ascii="仿宋" w:hAnsi="仿宋" w:eastAsia="仿宋" w:cs="仿宋"/>
              </w:rPr>
            </w:pPr>
            <w:r>
              <w:rPr>
                <w:rFonts w:hint="eastAsia" w:ascii="仿宋" w:hAnsi="仿宋" w:eastAsia="仿宋" w:cs="仿宋"/>
              </w:rPr>
              <w:t>自2017年1月1日（以合同签订时间为准）至投标截止日止，具备机场机坪装卸或机场货库装卸类业务的业绩且单项合同结算金额不低于600万元/年的，每提供一个得3分，最高加6分；</w:t>
            </w:r>
          </w:p>
          <w:p>
            <w:pPr>
              <w:numPr>
                <w:ilvl w:val="0"/>
                <w:numId w:val="2"/>
              </w:numPr>
              <w:spacing w:line="440" w:lineRule="exact"/>
              <w:rPr>
                <w:rFonts w:hint="eastAsia" w:ascii="仿宋" w:hAnsi="仿宋" w:eastAsia="仿宋" w:cs="仿宋"/>
              </w:rPr>
            </w:pPr>
            <w:r>
              <w:rPr>
                <w:rFonts w:hint="eastAsia" w:ascii="仿宋" w:hAnsi="仿宋" w:eastAsia="仿宋" w:cs="仿宋"/>
              </w:rPr>
              <w:t>自2017年1月1日（以合同签订时间为准）至投标截止日止，具备机场机坪装卸或机场货库装卸类业务的业绩且单项合同结算金额不低于800万元/年的，每提供一个得4分，最高加8分。</w:t>
            </w:r>
          </w:p>
          <w:p>
            <w:pPr>
              <w:numPr>
                <w:ilvl w:val="0"/>
                <w:numId w:val="2"/>
              </w:numPr>
              <w:spacing w:line="440" w:lineRule="exact"/>
              <w:rPr>
                <w:rFonts w:hint="eastAsia" w:ascii="仿宋" w:hAnsi="仿宋" w:eastAsia="仿宋" w:cs="仿宋"/>
              </w:rPr>
            </w:pPr>
            <w:r>
              <w:rPr>
                <w:rFonts w:hint="eastAsia" w:ascii="仿宋" w:hAnsi="仿宋" w:eastAsia="仿宋" w:cs="仿宋"/>
              </w:rPr>
              <w:t>同一个合同不累计计分，此项最多不超过8分。</w:t>
            </w:r>
          </w:p>
          <w:p>
            <w:pPr>
              <w:spacing w:line="400" w:lineRule="exact"/>
              <w:jc w:val="left"/>
              <w:rPr>
                <w:rFonts w:hint="eastAsia" w:ascii="仿宋" w:hAnsi="仿宋" w:eastAsia="仿宋" w:cs="仿宋"/>
              </w:rPr>
            </w:pPr>
            <w:r>
              <w:rPr>
                <w:rFonts w:hint="eastAsia" w:ascii="仿宋" w:hAnsi="仿宋" w:eastAsia="仿宋" w:cs="仿宋"/>
              </w:rPr>
              <w:t>注：</w:t>
            </w:r>
            <w:r>
              <w:rPr>
                <w:rFonts w:hint="eastAsia" w:ascii="仿宋" w:hAnsi="仿宋" w:eastAsia="仿宋" w:cs="仿宋"/>
                <w:b/>
                <w:bCs/>
              </w:rPr>
              <w:t>提供每个业绩的合同复印件。如合同上无总金额，须提供相关证明材料证明合同结算金额。合同复印件及证明材料均需加盖</w:t>
            </w:r>
            <w:r>
              <w:rPr>
                <w:rFonts w:hint="eastAsia" w:ascii="仿宋" w:hAnsi="仿宋" w:eastAsia="仿宋" w:cs="仿宋"/>
                <w:b/>
                <w:bCs/>
                <w:lang w:eastAsia="zh-CN"/>
              </w:rPr>
              <w:t>比选响应人</w:t>
            </w:r>
            <w:r>
              <w:rPr>
                <w:rFonts w:hint="eastAsia" w:ascii="仿宋" w:hAnsi="仿宋" w:eastAsia="仿宋" w:cs="仿宋"/>
                <w:b/>
                <w:bCs/>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500" w:lineRule="exact"/>
              <w:jc w:val="center"/>
              <w:rPr>
                <w:rFonts w:eastAsia="方正仿宋_GBK"/>
                <w:b/>
                <w:bCs/>
                <w:color w:val="000000"/>
                <w:sz w:val="28"/>
                <w:szCs w:val="28"/>
              </w:rPr>
            </w:pPr>
            <w:r>
              <w:rPr>
                <w:rFonts w:eastAsia="方正仿宋_GBK"/>
                <w:b/>
                <w:bCs/>
                <w:color w:val="000000"/>
                <w:sz w:val="28"/>
                <w:szCs w:val="28"/>
              </w:rPr>
              <w:t>3</w:t>
            </w:r>
          </w:p>
        </w:tc>
        <w:tc>
          <w:tcPr>
            <w:tcW w:w="1759" w:type="dxa"/>
            <w:tcBorders>
              <w:right w:val="single" w:color="auto" w:sz="4" w:space="0"/>
            </w:tcBorders>
            <w:vAlign w:val="center"/>
          </w:tcPr>
          <w:p>
            <w:pPr>
              <w:spacing w:line="500" w:lineRule="exact"/>
              <w:jc w:val="center"/>
              <w:rPr>
                <w:rFonts w:eastAsia="方正仿宋_GBK"/>
                <w:b/>
                <w:bCs/>
                <w:color w:val="000000"/>
                <w:sz w:val="28"/>
                <w:szCs w:val="28"/>
              </w:rPr>
            </w:pPr>
            <w:r>
              <w:rPr>
                <w:rFonts w:eastAsia="方正仿宋_GBK"/>
                <w:b/>
                <w:bCs/>
                <w:color w:val="000000"/>
                <w:sz w:val="28"/>
                <w:szCs w:val="28"/>
              </w:rPr>
              <w:t>评审</w:t>
            </w:r>
          </w:p>
          <w:p>
            <w:pPr>
              <w:spacing w:line="500" w:lineRule="exact"/>
              <w:jc w:val="center"/>
              <w:rPr>
                <w:rFonts w:eastAsia="方正仿宋_GBK"/>
                <w:b/>
                <w:bCs/>
                <w:color w:val="000000"/>
                <w:sz w:val="28"/>
                <w:szCs w:val="28"/>
              </w:rPr>
            </w:pPr>
            <w:r>
              <w:rPr>
                <w:rFonts w:eastAsia="方正仿宋_GBK"/>
                <w:b/>
                <w:bCs/>
                <w:color w:val="000000"/>
                <w:sz w:val="28"/>
                <w:szCs w:val="28"/>
              </w:rPr>
              <w:t>程序</w:t>
            </w:r>
          </w:p>
        </w:tc>
        <w:tc>
          <w:tcPr>
            <w:tcW w:w="7405" w:type="dxa"/>
            <w:gridSpan w:val="2"/>
            <w:tcBorders>
              <w:bottom w:val="single" w:color="auto" w:sz="4" w:space="0"/>
            </w:tcBorders>
            <w:vAlign w:val="center"/>
          </w:tcPr>
          <w:p>
            <w:pPr>
              <w:spacing w:line="500" w:lineRule="exact"/>
              <w:rPr>
                <w:rFonts w:eastAsia="方正仿宋_GBK"/>
                <w:bCs/>
                <w:color w:val="000000"/>
                <w:sz w:val="24"/>
              </w:rPr>
            </w:pPr>
            <w:r>
              <w:rPr>
                <w:rFonts w:eastAsia="方正仿宋_GBK"/>
                <w:bCs/>
                <w:color w:val="000000"/>
                <w:sz w:val="24"/>
              </w:rPr>
              <w:t>1.评分分值计算保留小数点后两位，第三位四舍五入。比选响应人最终得分=技术部分得分+经济部分得分+商务部分得分。</w:t>
            </w:r>
          </w:p>
          <w:p>
            <w:pPr>
              <w:spacing w:line="500" w:lineRule="exact"/>
              <w:rPr>
                <w:rFonts w:eastAsia="方正仿宋_GBK"/>
                <w:bCs/>
                <w:color w:val="000000"/>
                <w:sz w:val="24"/>
              </w:rPr>
            </w:pPr>
            <w:r>
              <w:rPr>
                <w:rFonts w:eastAsia="方正仿宋_GBK"/>
                <w:bCs/>
                <w:color w:val="000000"/>
                <w:sz w:val="24"/>
              </w:rPr>
              <w:t>2.按照比选文件的规定对所有比选响应文件进行初步评审，只有通过初步评审的比选响应文件才能进行后续评审。</w:t>
            </w:r>
          </w:p>
          <w:p>
            <w:pPr>
              <w:spacing w:line="500" w:lineRule="exact"/>
              <w:rPr>
                <w:rFonts w:eastAsia="方正仿宋_GBK"/>
                <w:bCs/>
                <w:color w:val="000000"/>
                <w:sz w:val="24"/>
              </w:rPr>
            </w:pPr>
            <w:r>
              <w:rPr>
                <w:rFonts w:eastAsia="方正仿宋_GBK"/>
                <w:bCs/>
                <w:color w:val="000000"/>
                <w:sz w:val="24"/>
              </w:rPr>
              <w:t>3.按比选办法进行评审，得分最高的比选响应人中选。</w:t>
            </w:r>
          </w:p>
        </w:tc>
      </w:tr>
    </w:tbl>
    <w:p>
      <w:pPr>
        <w:pStyle w:val="15"/>
        <w:spacing w:line="560" w:lineRule="exact"/>
        <w:outlineLvl w:val="9"/>
        <w:rPr>
          <w:rFonts w:ascii="Times New Roman" w:hAnsi="Times New Roman" w:eastAsia="仿宋_GB2312"/>
          <w:color w:val="000000" w:themeColor="text1"/>
          <w:sz w:val="28"/>
          <w:szCs w:val="28"/>
          <w14:textFill>
            <w14:solidFill>
              <w14:schemeClr w14:val="tx1"/>
            </w14:solidFill>
          </w14:textFill>
        </w:rPr>
      </w:pPr>
    </w:p>
    <w:p>
      <w:pPr>
        <w:spacing w:line="560" w:lineRule="exact"/>
        <w:rPr>
          <w:rFonts w:eastAsia="仿宋_GB2312"/>
          <w:color w:val="000000" w:themeColor="text1"/>
          <w:sz w:val="28"/>
          <w:szCs w:val="28"/>
          <w14:textFill>
            <w14:solidFill>
              <w14:schemeClr w14:val="tx1"/>
            </w14:solidFill>
          </w14:textFill>
        </w:rPr>
      </w:pPr>
    </w:p>
    <w:p>
      <w:pPr>
        <w:spacing w:line="560" w:lineRule="exact"/>
        <w:rPr>
          <w:rFonts w:eastAsia="仿宋_GB2312"/>
          <w:color w:val="000000" w:themeColor="text1"/>
          <w:sz w:val="28"/>
          <w:szCs w:val="28"/>
          <w14:textFill>
            <w14:solidFill>
              <w14:schemeClr w14:val="tx1"/>
            </w14:solidFill>
          </w14:textFill>
        </w:rPr>
      </w:pPr>
    </w:p>
    <w:p>
      <w:pPr>
        <w:spacing w:line="560" w:lineRule="exact"/>
        <w:rPr>
          <w:rFonts w:eastAsia="仿宋_GB2312"/>
          <w:color w:val="000000" w:themeColor="text1"/>
          <w:sz w:val="28"/>
          <w:szCs w:val="28"/>
          <w14:textFill>
            <w14:solidFill>
              <w14:schemeClr w14:val="tx1"/>
            </w14:solidFill>
          </w14:textFill>
        </w:rPr>
      </w:pPr>
    </w:p>
    <w:p>
      <w:pPr>
        <w:spacing w:line="560" w:lineRule="exact"/>
        <w:rPr>
          <w:rFonts w:eastAsia="仿宋_GB2312"/>
          <w:color w:val="000000" w:themeColor="text1"/>
          <w:sz w:val="28"/>
          <w:szCs w:val="28"/>
          <w14:textFill>
            <w14:solidFill>
              <w14:schemeClr w14:val="tx1"/>
            </w14:solidFill>
          </w14:textFill>
        </w:rPr>
      </w:pPr>
    </w:p>
    <w:p>
      <w:pPr>
        <w:spacing w:line="560" w:lineRule="exact"/>
        <w:rPr>
          <w:rFonts w:eastAsia="仿宋_GB2312"/>
          <w:color w:val="000000" w:themeColor="text1"/>
          <w:sz w:val="28"/>
          <w:szCs w:val="28"/>
          <w14:textFill>
            <w14:solidFill>
              <w14:schemeClr w14:val="tx1"/>
            </w14:solidFill>
          </w14:textFill>
        </w:rPr>
      </w:pPr>
    </w:p>
    <w:p>
      <w:pPr>
        <w:spacing w:line="560" w:lineRule="exact"/>
        <w:rPr>
          <w:rFonts w:eastAsia="仿宋_GB2312"/>
          <w:color w:val="000000" w:themeColor="text1"/>
          <w:sz w:val="28"/>
          <w:szCs w:val="28"/>
          <w14:textFill>
            <w14:solidFill>
              <w14:schemeClr w14:val="tx1"/>
            </w14:solidFill>
          </w14:textFill>
        </w:rPr>
      </w:pPr>
    </w:p>
    <w:p>
      <w:pPr>
        <w:spacing w:line="560" w:lineRule="exact"/>
        <w:rPr>
          <w:rFonts w:eastAsia="仿宋_GB2312"/>
          <w:color w:val="000000" w:themeColor="text1"/>
          <w:sz w:val="28"/>
          <w:szCs w:val="28"/>
          <w14:textFill>
            <w14:solidFill>
              <w14:schemeClr w14:val="tx1"/>
            </w14:solidFill>
          </w14:textFill>
        </w:rPr>
      </w:pPr>
    </w:p>
    <w:p>
      <w:r>
        <w:rPr>
          <w:rFonts w:hint="eastAsia"/>
        </w:rPr>
        <w:br w:type="page"/>
      </w:r>
    </w:p>
    <w:p>
      <w:pPr>
        <w:pStyle w:val="15"/>
        <w:jc w:val="both"/>
        <w:outlineLvl w:val="9"/>
      </w:pPr>
      <w:r>
        <w:rPr>
          <w:rFonts w:hint="eastAsia"/>
        </w:rPr>
        <w:t>附件三</w:t>
      </w:r>
      <w:r>
        <w:t>：合同主要条款</w:t>
      </w:r>
    </w:p>
    <w:p>
      <w:pPr>
        <w:spacing w:line="560" w:lineRule="exact"/>
        <w:rPr>
          <w:rFonts w:eastAsia="仿宋_GB2312"/>
          <w:b/>
          <w:bCs/>
          <w:color w:val="000000" w:themeColor="text1"/>
          <w:sz w:val="28"/>
          <w:szCs w:val="28"/>
          <w14:textFill>
            <w14:solidFill>
              <w14:schemeClr w14:val="tx1"/>
            </w14:solidFill>
          </w14:textFill>
        </w:rPr>
      </w:pPr>
    </w:p>
    <w:p>
      <w:pPr>
        <w:widowControl/>
        <w:adjustRightInd w:val="0"/>
        <w:snapToGrid w:val="0"/>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重庆空港航空地面服务有限公司</w:t>
      </w:r>
    </w:p>
    <w:p>
      <w:pPr>
        <w:widowControl/>
        <w:adjustRightInd w:val="0"/>
        <w:snapToGrid w:val="0"/>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国际（地区）航班机坪装卸业务增加装卸</w:t>
      </w:r>
    </w:p>
    <w:p>
      <w:pPr>
        <w:widowControl/>
        <w:adjustRightInd w:val="0"/>
        <w:snapToGrid w:val="0"/>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人员外包项目合同</w:t>
      </w:r>
    </w:p>
    <w:p>
      <w:pPr>
        <w:pStyle w:val="2"/>
        <w:rPr>
          <w:rFonts w:hint="eastAsia"/>
        </w:rPr>
      </w:pP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甲方：重庆空港航空地面服务有限公司（以下简称甲方）</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法定代表人：侯伟</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住所地：重庆市渝北区双凤桥街道渝航路1幢1/2-0</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送达地址：重庆渝北机场东路9号重庆空港航空地面服务有限公司</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联系电话：023-67153029</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开户行：中国建设银行股份有限公司重庆渝北机场支行</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收/付款银行账号：50001083800050200711</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联行号：105653014033</w:t>
      </w:r>
    </w:p>
    <w:p>
      <w:pPr>
        <w:widowControl/>
        <w:adjustRightInd w:val="0"/>
        <w:snapToGrid w:val="0"/>
        <w:spacing w:line="360" w:lineRule="auto"/>
        <w:ind w:firstLine="480" w:firstLineChars="200"/>
        <w:rPr>
          <w:rFonts w:hint="eastAsia" w:ascii="宋体" w:hAnsi="宋体" w:cs="宋体"/>
          <w:sz w:val="24"/>
        </w:rPr>
      </w:pPr>
    </w:p>
    <w:p>
      <w:pPr>
        <w:widowControl/>
        <w:adjustRightInd w:val="0"/>
        <w:snapToGrid w:val="0"/>
        <w:spacing w:line="360" w:lineRule="auto"/>
        <w:ind w:firstLine="480" w:firstLineChars="200"/>
        <w:rPr>
          <w:rFonts w:hint="eastAsia" w:ascii="宋体" w:hAnsi="宋体" w:cs="宋体"/>
          <w:color w:val="FF0000"/>
          <w:sz w:val="24"/>
        </w:rPr>
      </w:pPr>
      <w:r>
        <w:rPr>
          <w:rFonts w:hint="eastAsia" w:ascii="宋体" w:hAnsi="宋体" w:cs="宋体"/>
          <w:color w:val="FF0000"/>
          <w:sz w:val="24"/>
        </w:rPr>
        <w:t>乙方：  （以下简称乙方）</w:t>
      </w:r>
    </w:p>
    <w:p>
      <w:pPr>
        <w:widowControl/>
        <w:adjustRightInd w:val="0"/>
        <w:snapToGrid w:val="0"/>
        <w:spacing w:line="360" w:lineRule="auto"/>
        <w:ind w:firstLine="480" w:firstLineChars="200"/>
        <w:rPr>
          <w:rFonts w:hint="eastAsia" w:ascii="宋体" w:hAnsi="宋体" w:cs="宋体"/>
          <w:color w:val="FF0000"/>
          <w:sz w:val="24"/>
        </w:rPr>
      </w:pPr>
      <w:r>
        <w:rPr>
          <w:rFonts w:hint="eastAsia" w:ascii="宋体" w:hAnsi="宋体" w:cs="宋体"/>
          <w:color w:val="FF0000"/>
          <w:sz w:val="24"/>
        </w:rPr>
        <w:t xml:space="preserve">法定代表人：  </w:t>
      </w:r>
    </w:p>
    <w:p>
      <w:pPr>
        <w:widowControl/>
        <w:adjustRightInd w:val="0"/>
        <w:snapToGrid w:val="0"/>
        <w:spacing w:line="360" w:lineRule="auto"/>
        <w:ind w:firstLine="480" w:firstLineChars="200"/>
        <w:rPr>
          <w:rFonts w:hint="eastAsia" w:ascii="宋体" w:hAnsi="宋体" w:cs="宋体"/>
          <w:color w:val="FF0000"/>
          <w:sz w:val="24"/>
        </w:rPr>
      </w:pPr>
      <w:r>
        <w:rPr>
          <w:rFonts w:hint="eastAsia" w:ascii="宋体" w:hAnsi="宋体" w:cs="宋体"/>
          <w:color w:val="FF0000"/>
          <w:sz w:val="24"/>
        </w:rPr>
        <w:t xml:space="preserve">住所地： </w:t>
      </w:r>
    </w:p>
    <w:p>
      <w:pPr>
        <w:widowControl/>
        <w:adjustRightInd w:val="0"/>
        <w:snapToGrid w:val="0"/>
        <w:spacing w:line="360" w:lineRule="auto"/>
        <w:ind w:firstLine="480" w:firstLineChars="200"/>
        <w:rPr>
          <w:rFonts w:hint="eastAsia" w:ascii="宋体" w:hAnsi="宋体" w:cs="宋体"/>
          <w:color w:val="FF0000"/>
          <w:sz w:val="24"/>
        </w:rPr>
      </w:pPr>
      <w:r>
        <w:rPr>
          <w:rFonts w:hint="eastAsia" w:ascii="宋体" w:hAnsi="宋体" w:cs="宋体"/>
          <w:color w:val="FF0000"/>
          <w:sz w:val="24"/>
        </w:rPr>
        <w:t>送达地址：</w:t>
      </w:r>
    </w:p>
    <w:p>
      <w:pPr>
        <w:widowControl/>
        <w:adjustRightInd w:val="0"/>
        <w:snapToGrid w:val="0"/>
        <w:spacing w:line="360" w:lineRule="auto"/>
        <w:ind w:firstLine="480" w:firstLineChars="200"/>
        <w:rPr>
          <w:rFonts w:hint="eastAsia" w:ascii="宋体" w:hAnsi="宋体" w:cs="宋体"/>
          <w:color w:val="FF0000"/>
          <w:sz w:val="24"/>
        </w:rPr>
      </w:pPr>
      <w:r>
        <w:rPr>
          <w:rFonts w:hint="eastAsia" w:ascii="宋体" w:hAnsi="宋体" w:cs="宋体"/>
          <w:color w:val="FF0000"/>
          <w:sz w:val="24"/>
        </w:rPr>
        <w:t>联系电话：</w:t>
      </w:r>
    </w:p>
    <w:p>
      <w:pPr>
        <w:widowControl/>
        <w:adjustRightInd w:val="0"/>
        <w:snapToGrid w:val="0"/>
        <w:spacing w:line="360" w:lineRule="auto"/>
        <w:ind w:firstLine="480" w:firstLineChars="200"/>
        <w:rPr>
          <w:rFonts w:hint="eastAsia" w:ascii="宋体" w:hAnsi="宋体" w:cs="宋体"/>
          <w:color w:val="FF0000"/>
          <w:sz w:val="24"/>
        </w:rPr>
      </w:pPr>
      <w:r>
        <w:rPr>
          <w:rFonts w:hint="eastAsia" w:ascii="宋体" w:hAnsi="宋体" w:cs="宋体"/>
          <w:color w:val="FF0000"/>
          <w:sz w:val="24"/>
        </w:rPr>
        <w:t>电子邮件送达地址：</w:t>
      </w:r>
    </w:p>
    <w:p>
      <w:pPr>
        <w:widowControl/>
        <w:adjustRightInd w:val="0"/>
        <w:snapToGrid w:val="0"/>
        <w:spacing w:line="360" w:lineRule="auto"/>
        <w:ind w:firstLine="480" w:firstLineChars="200"/>
        <w:rPr>
          <w:rFonts w:hint="eastAsia" w:ascii="宋体" w:hAnsi="宋体" w:cs="宋体"/>
          <w:color w:val="FF0000"/>
          <w:sz w:val="24"/>
        </w:rPr>
      </w:pPr>
      <w:r>
        <w:rPr>
          <w:rFonts w:hint="eastAsia" w:ascii="宋体" w:hAnsi="宋体" w:cs="宋体"/>
          <w:color w:val="FF0000"/>
          <w:sz w:val="24"/>
        </w:rPr>
        <w:t>开户行：</w:t>
      </w:r>
    </w:p>
    <w:p>
      <w:pPr>
        <w:widowControl/>
        <w:adjustRightInd w:val="0"/>
        <w:snapToGrid w:val="0"/>
        <w:spacing w:line="360" w:lineRule="auto"/>
        <w:ind w:firstLine="480" w:firstLineChars="200"/>
        <w:rPr>
          <w:rFonts w:hint="eastAsia" w:ascii="宋体" w:hAnsi="宋体" w:cs="宋体"/>
          <w:color w:val="FF0000"/>
          <w:sz w:val="24"/>
        </w:rPr>
      </w:pPr>
      <w:r>
        <w:rPr>
          <w:rFonts w:hint="eastAsia" w:ascii="宋体" w:hAnsi="宋体" w:cs="宋体"/>
          <w:color w:val="FF0000"/>
          <w:sz w:val="24"/>
        </w:rPr>
        <w:t>收款账号：</w:t>
      </w:r>
    </w:p>
    <w:p>
      <w:pPr>
        <w:pStyle w:val="2"/>
        <w:rPr>
          <w:rFonts w:hint="eastAsia"/>
        </w:rPr>
      </w:pP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根据相关法律法规之规定，本合同就乙方为甲方提供国际（地区）航班机坪装卸业务的相关事宜达成以下协议，以便共同遵守。</w:t>
      </w:r>
    </w:p>
    <w:p>
      <w:pPr>
        <w:adjustRightInd w:val="0"/>
        <w:snapToGrid w:val="0"/>
        <w:spacing w:line="360" w:lineRule="auto"/>
        <w:ind w:firstLine="480" w:firstLineChars="200"/>
        <w:rPr>
          <w:rFonts w:hint="eastAsia" w:ascii="宋体" w:hAnsi="宋体" w:cs="宋体"/>
          <w:sz w:val="24"/>
        </w:rPr>
      </w:pPr>
    </w:p>
    <w:p>
      <w:pPr>
        <w:widowControl/>
        <w:adjustRightInd w:val="0"/>
        <w:snapToGrid w:val="0"/>
        <w:spacing w:line="360" w:lineRule="auto"/>
        <w:ind w:firstLine="480" w:firstLineChars="200"/>
        <w:rPr>
          <w:rFonts w:hint="eastAsia" w:ascii="宋体" w:hAnsi="宋体" w:cs="宋体"/>
          <w:sz w:val="24"/>
          <w:lang w:eastAsia="zh-Hans"/>
        </w:rPr>
      </w:pPr>
    </w:p>
    <w:p>
      <w:pPr>
        <w:widowControl/>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一、服务内容</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乙方为甲方机坪装卸外包业务提供30名装卸人员，参与甲方国际（地区）航班机坪装卸业务保障活动。后续保障过程中，根据保障需要，甲方有权要求乙方增加或减少保障人员数量，并按岗位单价中标价进行结算，岗位职责及工作内容如下：</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1.1岗位职责</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1.1.1主要负责完成所在区域进出港航班（含客机、全货机和客改货航班）装卸机作业，以及相关的无动力设备操作等；</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1.1.2负责协助相邻区域保障进出港航班装卸机作业；</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1.1.3严格按照疫情防控要求做好个人疫情防控工作；</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1.1.4严格按照相关疫情防控要求做好相关航后消杀工作；</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1.1.5严格按照相关疫情防控要求做好保障过程中的疫情防控监管工作；</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1.1.6完成航班负责人、队长、主管交办的其他工作事项。</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1.2工作内容</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1.2.1根据航班计划，提前到达机位列队迎机；</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1.2.2负责进港（到达）航班货邮行卸机、装板连板工作；</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1.2.3负责出港（出发）航班货邮行装机工作；</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1.2.4负责不正常（加、拉、转）货邮行机坪装卸保障；</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1.2.5负责工作区域自产垃圾的清理、FOD清理及防范；</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1.2.6参与应急救援保障；</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1.2.7负责航班货邮行网罩、雨布的覆盖；</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1.2.8负责进港（到达）航班货邮行卸机、装卸连板，以及进港航班特殊（贵重）货物的押运工作；</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1.2.9准时参加班前会议、员工会议及相关培训；</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1.2.10协助队长、经理交办其它与项目保障有关事项。</w:t>
      </w:r>
    </w:p>
    <w:p>
      <w:pPr>
        <w:widowControl/>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二、服务范围</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重庆江北国际机场机坪区域</w:t>
      </w:r>
    </w:p>
    <w:p>
      <w:pPr>
        <w:widowControl/>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三、服务标准</w:t>
      </w:r>
    </w:p>
    <w:p>
      <w:pPr>
        <w:widowControl/>
        <w:adjustRightInd w:val="0"/>
        <w:snapToGrid w:val="0"/>
        <w:spacing w:line="360" w:lineRule="auto"/>
        <w:ind w:firstLine="480" w:firstLineChars="200"/>
        <w:rPr>
          <w:rFonts w:hint="eastAsia" w:ascii="宋体" w:hAnsi="宋体" w:cs="宋体"/>
          <w:sz w:val="24"/>
          <w:lang w:eastAsia="zh-Hans"/>
        </w:rPr>
      </w:pPr>
      <w:r>
        <w:rPr>
          <w:rFonts w:hint="eastAsia" w:ascii="宋体" w:hAnsi="宋体" w:cs="宋体"/>
          <w:sz w:val="24"/>
        </w:rPr>
        <w:t>3.1</w:t>
      </w:r>
      <w:r>
        <w:rPr>
          <w:rFonts w:hint="eastAsia" w:ascii="宋体" w:hAnsi="宋体" w:cs="宋体"/>
          <w:sz w:val="24"/>
          <w:lang w:eastAsia="zh-Hans"/>
        </w:rPr>
        <w:t>《关于进一步做好重庆地区机场外防输入管理工作的通知》</w:t>
      </w:r>
    </w:p>
    <w:p>
      <w:pPr>
        <w:widowControl/>
        <w:adjustRightInd w:val="0"/>
        <w:snapToGrid w:val="0"/>
        <w:spacing w:line="360" w:lineRule="auto"/>
        <w:ind w:firstLine="480" w:firstLineChars="200"/>
        <w:rPr>
          <w:rFonts w:hint="eastAsia" w:ascii="宋体" w:hAnsi="宋体" w:cs="宋体"/>
          <w:sz w:val="24"/>
          <w:lang w:eastAsia="zh-Hans"/>
        </w:rPr>
      </w:pPr>
      <w:r>
        <w:rPr>
          <w:rFonts w:hint="eastAsia" w:ascii="宋体" w:hAnsi="宋体" w:cs="宋体"/>
          <w:sz w:val="24"/>
        </w:rPr>
        <w:t>3.2</w:t>
      </w:r>
      <w:r>
        <w:rPr>
          <w:rFonts w:hint="eastAsia" w:ascii="宋体" w:hAnsi="宋体" w:cs="宋体"/>
          <w:sz w:val="24"/>
          <w:lang w:eastAsia="zh-Hans"/>
        </w:rPr>
        <w:t>《运输航空公司、机场疫情防控技术指南》</w:t>
      </w:r>
    </w:p>
    <w:p>
      <w:pPr>
        <w:widowControl/>
        <w:adjustRightInd w:val="0"/>
        <w:snapToGrid w:val="0"/>
        <w:spacing w:line="360" w:lineRule="auto"/>
        <w:ind w:firstLine="480" w:firstLineChars="200"/>
        <w:rPr>
          <w:rFonts w:hint="eastAsia" w:ascii="宋体" w:hAnsi="宋体" w:cs="宋体"/>
          <w:sz w:val="24"/>
          <w:lang w:eastAsia="zh-Hans"/>
        </w:rPr>
      </w:pPr>
      <w:r>
        <w:rPr>
          <w:rFonts w:hint="eastAsia" w:ascii="宋体" w:hAnsi="宋体" w:cs="宋体"/>
          <w:sz w:val="24"/>
        </w:rPr>
        <w:t>3.3</w:t>
      </w:r>
      <w:r>
        <w:rPr>
          <w:rFonts w:hint="eastAsia" w:ascii="宋体" w:hAnsi="宋体" w:cs="宋体"/>
          <w:sz w:val="24"/>
          <w:lang w:eastAsia="zh-Hans"/>
        </w:rPr>
        <w:t>《关于加强应对德尔塔变异株防控措施的通知》</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3.4</w:t>
      </w:r>
      <w:r>
        <w:rPr>
          <w:rFonts w:hint="eastAsia" w:ascii="宋体" w:hAnsi="宋体" w:cs="宋体"/>
          <w:sz w:val="24"/>
          <w:lang w:eastAsia="zh-Hans"/>
        </w:rPr>
        <w:t>《重庆江北国际机场外防输入疫情防控工作方案（第</w:t>
      </w:r>
      <w:r>
        <w:rPr>
          <w:rFonts w:hint="eastAsia" w:ascii="宋体" w:hAnsi="宋体" w:cs="宋体"/>
          <w:sz w:val="24"/>
        </w:rPr>
        <w:t>二</w:t>
      </w:r>
      <w:r>
        <w:rPr>
          <w:rFonts w:hint="eastAsia" w:ascii="宋体" w:hAnsi="宋体" w:cs="宋体"/>
          <w:sz w:val="24"/>
          <w:lang w:eastAsia="zh-Hans"/>
        </w:rPr>
        <w:t>版）的通知》</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3.5《重庆空港航空地面服务有限公司外包管理规定》</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服务标准可能因疫情防控政策发生变化，以相关管理组织发布的最新要求为准。</w:t>
      </w:r>
    </w:p>
    <w:p>
      <w:pPr>
        <w:widowControl/>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四、合同价款</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4.1每人每月的不含增值税价格为：</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元/月</w:t>
      </w:r>
      <w:r>
        <w:rPr>
          <w:rFonts w:hint="eastAsia" w:ascii="宋体" w:hAnsi="宋体" w:cs="宋体"/>
          <w:sz w:val="24"/>
        </w:rPr>
        <w:t>（大写：</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sz w:val="24"/>
          <w:lang w:eastAsia="zh-CN"/>
        </w:rPr>
        <w:t>每月应得不含增值税金额</w:t>
      </w:r>
      <w:r>
        <w:rPr>
          <w:rFonts w:hint="eastAsia" w:ascii="宋体" w:hAnsi="宋体" w:cs="宋体"/>
          <w:sz w:val="24"/>
          <w:u w:val="single"/>
          <w:lang w:val="en-US" w:eastAsia="zh-CN"/>
        </w:rPr>
        <w:t xml:space="preserve">      元。</w:t>
      </w:r>
      <w:r>
        <w:rPr>
          <w:rFonts w:hint="eastAsia" w:ascii="宋体" w:hAnsi="宋体" w:cs="宋体"/>
          <w:sz w:val="24"/>
        </w:rPr>
        <w:t>若实际保障天数不足一个月，则按单日费用根据实际保障天数进行结算，单日费用=</w:t>
      </w:r>
      <w:r>
        <w:rPr>
          <w:rFonts w:hint="eastAsia" w:ascii="宋体" w:hAnsi="宋体" w:cs="宋体"/>
          <w:sz w:val="24"/>
          <w:lang w:eastAsia="zh-CN"/>
        </w:rPr>
        <w:t>报价</w:t>
      </w:r>
      <w:r>
        <w:rPr>
          <w:rFonts w:hint="eastAsia" w:ascii="宋体" w:hAnsi="宋体" w:cs="宋体"/>
          <w:sz w:val="24"/>
        </w:rPr>
        <w:t>/30。</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4.2甲方开票及账户信息：</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户名：重庆空港航空地面服务有限公司</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税号：91500112666441363D</w:t>
      </w:r>
      <w:bookmarkStart w:id="5" w:name="_GoBack"/>
      <w:bookmarkEnd w:id="5"/>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地址：重庆市渝北区双凤桥街道渝航路1幢1/2-0</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电话号码：023-67153596</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开户银行：建行渝北机场支行</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账户账号：5000 1083 8000 5020 0711</w:t>
      </w:r>
    </w:p>
    <w:p>
      <w:pPr>
        <w:widowControl/>
        <w:adjustRightInd w:val="0"/>
        <w:snapToGrid w:val="0"/>
        <w:spacing w:line="360" w:lineRule="auto"/>
        <w:ind w:firstLine="480" w:firstLineChars="200"/>
        <w:rPr>
          <w:rFonts w:hint="eastAsia" w:ascii="宋体" w:hAnsi="宋体" w:cs="宋体"/>
          <w:color w:val="FF0000"/>
          <w:sz w:val="24"/>
        </w:rPr>
      </w:pPr>
      <w:r>
        <w:rPr>
          <w:rFonts w:hint="eastAsia" w:ascii="宋体" w:hAnsi="宋体" w:cs="宋体"/>
          <w:color w:val="FF0000"/>
          <w:sz w:val="24"/>
        </w:rPr>
        <w:t>4.3乙方账户信息：</w:t>
      </w:r>
    </w:p>
    <w:p>
      <w:pPr>
        <w:widowControl/>
        <w:adjustRightInd w:val="0"/>
        <w:snapToGrid w:val="0"/>
        <w:spacing w:line="360" w:lineRule="auto"/>
        <w:ind w:firstLine="480" w:firstLineChars="200"/>
        <w:rPr>
          <w:rFonts w:hint="eastAsia" w:ascii="宋体" w:hAnsi="宋体" w:cs="宋体"/>
          <w:color w:val="FF0000"/>
          <w:sz w:val="24"/>
        </w:rPr>
      </w:pPr>
      <w:r>
        <w:rPr>
          <w:rFonts w:hint="eastAsia" w:ascii="宋体" w:hAnsi="宋体" w:cs="宋体"/>
          <w:color w:val="FF0000"/>
          <w:sz w:val="24"/>
        </w:rPr>
        <w:t>户名：</w:t>
      </w:r>
    </w:p>
    <w:p>
      <w:pPr>
        <w:widowControl/>
        <w:adjustRightInd w:val="0"/>
        <w:snapToGrid w:val="0"/>
        <w:spacing w:line="360" w:lineRule="auto"/>
        <w:ind w:firstLine="480" w:firstLineChars="200"/>
        <w:rPr>
          <w:rFonts w:hint="eastAsia" w:ascii="宋体" w:hAnsi="宋体" w:cs="宋体"/>
          <w:color w:val="FF0000"/>
          <w:sz w:val="24"/>
        </w:rPr>
      </w:pPr>
      <w:r>
        <w:rPr>
          <w:rFonts w:hint="eastAsia" w:ascii="宋体" w:hAnsi="宋体" w:cs="宋体"/>
          <w:color w:val="FF0000"/>
          <w:sz w:val="24"/>
        </w:rPr>
        <w:t>开户银行：</w:t>
      </w:r>
    </w:p>
    <w:p>
      <w:pPr>
        <w:widowControl/>
        <w:adjustRightInd w:val="0"/>
        <w:snapToGrid w:val="0"/>
        <w:spacing w:line="360" w:lineRule="auto"/>
        <w:ind w:firstLine="480" w:firstLineChars="200"/>
        <w:rPr>
          <w:rFonts w:hint="eastAsia" w:ascii="宋体" w:hAnsi="宋体" w:cs="宋体"/>
          <w:color w:val="FF0000"/>
          <w:sz w:val="24"/>
        </w:rPr>
      </w:pPr>
      <w:r>
        <w:rPr>
          <w:rFonts w:hint="eastAsia" w:ascii="宋体" w:hAnsi="宋体" w:cs="宋体"/>
          <w:color w:val="FF0000"/>
          <w:sz w:val="24"/>
        </w:rPr>
        <w:t>账户账号：</w:t>
      </w:r>
    </w:p>
    <w:p>
      <w:pPr>
        <w:widowControl/>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五、</w:t>
      </w:r>
      <w:r>
        <w:rPr>
          <w:rFonts w:hint="eastAsia" w:ascii="宋体" w:hAnsi="宋体" w:cs="宋体"/>
          <w:b/>
          <w:bCs/>
          <w:sz w:val="24"/>
          <w:lang w:eastAsia="zh-CN"/>
        </w:rPr>
        <w:t>履约保证与</w:t>
      </w:r>
      <w:r>
        <w:rPr>
          <w:rFonts w:hint="eastAsia" w:ascii="宋体" w:hAnsi="宋体" w:cs="宋体"/>
          <w:b/>
          <w:bCs/>
          <w:sz w:val="24"/>
        </w:rPr>
        <w:t>支付方式</w:t>
      </w:r>
    </w:p>
    <w:p>
      <w:pPr>
        <w:widowControl/>
        <w:adjustRightInd w:val="0"/>
        <w:snapToGrid w:val="0"/>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5.1履约保证：人民币叁拾万元整（小写：¥300000.00）。成交人在收到成交通知书5个工作日内通过银行转账的方式提交到重庆空港航空地面服务有限公司指定账户，项目合同期满后，无违约事件，由成交人提出申请后40天内退还，但不计利息。</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5.2支付方式:</w:t>
      </w:r>
      <w:r>
        <w:rPr>
          <w:rFonts w:hint="eastAsia" w:ascii="宋体" w:hAnsi="宋体" w:cs="宋体"/>
          <w:sz w:val="24"/>
        </w:rPr>
        <w:t>按照每人每月</w:t>
      </w:r>
      <w:r>
        <w:rPr>
          <w:rFonts w:hint="eastAsia" w:ascii="宋体" w:hAnsi="宋体" w:cs="宋体"/>
          <w:color w:val="FF0000"/>
          <w:sz w:val="24"/>
        </w:rPr>
        <w:t>不含增值税</w:t>
      </w:r>
      <w:r>
        <w:rPr>
          <w:rFonts w:hint="eastAsia" w:ascii="宋体" w:hAnsi="宋体" w:cs="宋体"/>
          <w:color w:val="FF0000"/>
          <w:sz w:val="24"/>
          <w:lang w:val="en-US" w:eastAsia="zh-CN"/>
        </w:rPr>
        <w:t xml:space="preserve">      </w:t>
      </w:r>
      <w:r>
        <w:rPr>
          <w:rFonts w:hint="eastAsia" w:ascii="宋体" w:hAnsi="宋体" w:cs="宋体"/>
          <w:color w:val="FF0000"/>
          <w:sz w:val="24"/>
        </w:rPr>
        <w:t>元</w:t>
      </w:r>
      <w:r>
        <w:rPr>
          <w:rFonts w:hint="eastAsia" w:ascii="宋体" w:hAnsi="宋体" w:cs="宋体"/>
          <w:sz w:val="24"/>
        </w:rPr>
        <w:t>（大写：</w:t>
      </w:r>
      <w:r>
        <w:rPr>
          <w:rFonts w:hint="eastAsia" w:ascii="宋体" w:hAnsi="宋体" w:cs="宋体"/>
          <w:sz w:val="24"/>
          <w:lang w:val="en-US" w:eastAsia="zh-CN"/>
        </w:rPr>
        <w:t xml:space="preserve">    </w:t>
      </w:r>
      <w:r>
        <w:rPr>
          <w:rFonts w:hint="eastAsia" w:ascii="宋体" w:hAnsi="宋体" w:cs="宋体"/>
          <w:sz w:val="24"/>
        </w:rPr>
        <w:t>）的价格标准计算，采用月度结算方式，次月支付上月服务费用，不足一月的按实际保障天数计算费用（月岗位价格/30）。甲方在收到乙方符合规定的增值税发票后发起付款流程，20个工作日内通过银行转账或银行承兑汇票的方式一次性支付上月服务费用。如乙方提供增值税专用发票，甲方实际支付金额=不含增值税金额+增值税税额；如乙方提供的增值税普通发票，甲方实际支付金额=不含增值税金额。</w:t>
      </w:r>
    </w:p>
    <w:p>
      <w:pPr>
        <w:widowControl/>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如乙方违反相关要求，达不到规定的质量要求，甲方可按本合同附件相关的考核标准约定对其当月承包费用进行扣减：</w:t>
      </w:r>
    </w:p>
    <w:p>
      <w:pPr>
        <w:widowControl/>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月绩效考核扣减金额=月绩效考核扣减分值×绩效基数；</w:t>
      </w:r>
    </w:p>
    <w:p>
      <w:pPr>
        <w:widowControl/>
        <w:adjustRightInd w:val="0"/>
        <w:snapToGrid w:val="0"/>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绩效基数=乙方按合同约定的当月应得金额/1000。</w:t>
      </w:r>
    </w:p>
    <w:p>
      <w:pPr>
        <w:widowControl/>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六、合同有效期</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合同有效期：</w:t>
      </w:r>
      <w:r>
        <w:rPr>
          <w:rFonts w:hint="eastAsia" w:ascii="宋体" w:hAnsi="宋体" w:cs="宋体"/>
          <w:color w:val="FF0000"/>
          <w:sz w:val="24"/>
          <w:lang w:eastAsia="zh-CN"/>
        </w:rPr>
        <w:t>本合同自签订之日起</w:t>
      </w:r>
      <w:r>
        <w:rPr>
          <w:rFonts w:hint="eastAsia" w:ascii="宋体" w:hAnsi="宋体" w:cs="宋体"/>
          <w:color w:val="FF0000"/>
          <w:sz w:val="24"/>
        </w:rPr>
        <w:t>至2023年6月30日</w:t>
      </w:r>
      <w:r>
        <w:rPr>
          <w:rFonts w:hint="eastAsia" w:ascii="宋体" w:hAnsi="宋体" w:cs="宋体"/>
          <w:sz w:val="24"/>
        </w:rPr>
        <w:t>。本合同履行过程中，如果合同履行条件发生变化，由双方进行协商，并以签订补充合同的方式加以确认，补充合同与本合同具同等效力。</w:t>
      </w:r>
    </w:p>
    <w:p>
      <w:pPr>
        <w:widowControl/>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如因疫情防控要求解除，甲方可根据实际情况单方面解除本合同。</w:t>
      </w:r>
    </w:p>
    <w:p>
      <w:pPr>
        <w:widowControl/>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七、双方的权利与义务</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7.1 甲方的权利</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7.1.1 甲方有权根据本合同及附件规定，对乙方提供服务过程中招用的装卸人员的素质、业务技能进行审核把关，乙方提供服务过程中，如存在不符合服务工作要求的人员，甲方有权要求乙方进行更换。甲方监管部门应当按照合同附件对乙方上月服务进行绩效考核，完成绩效考核后提交归口管理部门。</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7.1.2 甲方有权对乙方的安全、质量管理体系进行审核和评价，对不符合项要求乙方采取改进和预防措施，以达到甲方要求的安全和质量要求。</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7.1.3 甲方有权检查并审核乙方制定的管理措施及制度，并要求乙方在甲方通知时间内进行改进。</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7.1.4 甲方有权根据乙方的实际服务情况，要求乙方在甲方通知时间内改善达不到质量要求的人员配置、作息及作业组织模式及工作标准，以适应服务保障需要。</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7.1.5 甲方有权根据合同执行过程中或生产运行中存在的问题制定和实施相应的管控措施。</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7.1.6 甲方有权对乙方人员作业中存在的问题及风险隐患，发出整改要求。</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7.1.7 乙方应向甲方赔偿因乙方人员违章、违规、失职失误或管理不善等责任原因给甲方造成的损失。</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7.1.8 甲方有权按照甲方内部管理规定、合同附件对乙方的生产保障进行检查、监督和考核,纠正不符合甲方工作要求的服务行为。</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7.1.9 甲方有权根据其上级或行业管理机构所签订的涉及本承包业务的各类责任书或业务要求，与乙方签订相关责任书并进行监督落实和考核。</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7.1.10 甲方有权对乙方生产保障过程中发生的有效投诉进行调查,或者责成乙方进行调查；所有有效投诉由乙方负责处理,所需费用和因此产生的法律责任由乙方承担,并责成乙方将处理结果向甲方反馈，甲方有权根据投诉等级对乙方进行绩效扣减。</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7.1.11 甲方有权要求乙方进行专项特殊保障和有权调动指挥乙方进行突发事件处置。</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7.1.12 甲方有权要求乙方在生产工作中做到节约能源，合理利用资源。</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7.1.13 甲方有权定期对乙方的日常生产操作进行监督、检查，结合每月检查情况对乙方进行一次绩效考核。甲方在绩效考核时应遵循客观公正的原则。</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7.1.14 因生产业务需要，甲方有权要求乙方在接到甲方通知之日起60日内配齐一定数量的电动搬运车，由乙方自行租赁或者购置，车辆日常维护及保养均由乙方自行负责，车辆和设备数量根据甲方生产需求而定，甲方按市场价格向乙方支付租金。</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7.2 甲方的义务</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7.2.1 为乙方提供完成相应装卸、驾驶工作所需的业务标准、操作流程及文件资料。</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7.2.2 为乙方完成装卸人员、驾驶人员所必需的业务知识、技能、经验和管理提供培训和帮助（培训费用由乙方负责）。</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7.2.3 为乙方建立合理有效的管理制度提供帮助。</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7.2.4 听取乙方有关增进装卸业务及人员管理，改进保障服务水平的合理化建议。</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7.2.5 为乙方提供必要的保障作业场地及所需的非动力设施、设备。</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7.2.6 协助乙方承包业务需要进入隔离区和限制区的人员办理进入工作区域的证件（证件费用由乙方支付，未支付费用不予办理，由乙方自行承担未能进入隔离区的相应后果及违约责任）。</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7.2.7 依据本合同及相关附件，及时、足额向乙方支付相关费用。</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7.2.8 根据实际工作的需要，甲方应当为乙方的管理和服务提供帮助，并协调处理甲方工作人员与乙方工作人员工作配合关系。</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7.2.9 保守本合同具体内容秘密，不得向第三方泄露。</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7.3 乙方的权利</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7.3.1 乙方有权自主招聘、培训、安排和管理属于乙方派驻的工作人员；</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7.3.2 乙方有权要求甲方提供完成相应服务工作所需的业务标准、操作流程及文件资料；</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7.3.3 乙方有权要求甲方为乙方完成服务人员所必需的业务知识、技能、经验和管理培训提供帮助（培训费用由乙方负责）；</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7.3.4 乙方有权要求甲方按照乙方服务工作的实际需要提供相应的工作场所；</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7.3.5 乙方有权要求甲方协助为乙方因承包业务需要进入隔离区的人员办理进入工作区域的证件；</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7.3.6 乙方有权根据本合同及有关附件约定内容，要求甲方及时、足额支付相关费用；</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7.3.7 乙方有权要求甲方及时履行合同约定的相关义务。</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 乙方的义务</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7.4.1 乙方作为企业法人，其经营管理和生产运行须遵守其承包业务有涉及到的国家法律法规、行业规范，重庆机场和甲方制定的规章，自觉接受相关部门的检查和监督。如乙方或其人员违法违规造成的损失和受到的处罚以及内部发生的任何问题由乙方承担。</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7.4.2 乙方应就本业务承包建立与之相适应的组织机构和专业专职队伍，除专门保障与甲方合同约定的业务外，不得承接或从事其它业务。其机构设置和各层级管理（负责）人员应向甲方报备。24小时保持与甲方监管人员通讯畅通。乙方应按照合同条款向甲方提供服务保障，并做好特殊情况的应急处置工作。</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7.4.3 建立完善的员工队伍管理制度（包括人员招录、培训、薪酬分配、奖罚考核、辞退、工作监督检查等制度），做到各项管理事项上有章可循。乙方承诺对乙方员工的管理负有完全责任，如乙方员工发生违反国家法律法规和危及航空安全和造成人员身体伤害或财产损失等事件，由乙方承担一切法律责任和经济损失。</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7.4.4 乙方应依据本合同及附件要求，及时招录、储备、业务所需要的合格工作人员。乙方所招录的人员需经其户口所在地公安机关背景调查（政审），上岗人员基本信息需交甲方业务监管部门备案，背景调查需交甲方人力资源部备案，严禁招录机场公安机关作出规定不允许使用的人员。</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7.4.5 应遵守国家相关法规、政策，为所属装卸及驾驶人员办理社保手续，按时发放应得工资，做到合法用工。乙方必须对作业人员进行劳动保护培训。工作人员自身或乙方原因在工作发生碰撞、冲突或其它意外等情况，后果均由乙方独自承担相应的赔偿责任。</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7.4.6 按时足额为所属人员发放应得工资，不得拖欠，并帮助解决基本的食、宿条件需要，促进乙方自身员工队伍的稳定。</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7.4.7 与所属搬运员工、驾驶人员发生劳动争议及各类纠纷（包括发生伤亡事故）时，应积极解决，依法合理处理，承担相应责任，不得因此给甲方工作及生产秩序造成影响或损害。</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7.4.8 对甲方提供的设施、设备应建立完善的管理制度并落实，防止因设施、设备维护保养或保护不当影响生产运行的状况发生。因乙方使用、维护、保养不当等责任原因造成的维修费用和损失由乙方承担。</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7.4.9 在接收甲方整改通知后7日内，及时整改并回复甲方指出的承包业务管理缺陷，以及人员作业中存在的问题及风险隐患。</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7.4.10 甲方组织的工作必要的学习培训，乙方应组织或安排人员参加。并教育所属人员积极服从甲方的现场工作指导，以确保工作的时效及质量达到相关标准要求。</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7.4.11 在收到甲方提出要求后7日内，及时响应甲方根据工作需要或为保障服务效率、质量的提升作出的要求。</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7.4.12 教育并督促所属人员遵守并执行重庆机场基本职业准则、窗口服务质量标准。乙方员工必须经岗前培训合格后方可上岗。</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7.4.13 乙方工作人员着装统一，佩戴工作证上岗；应与所处工作环境及性质相匹配，应征得甲方许可。</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7.4.14 督促所属人员依照甲方发布的操作流程或规程完成相应货物邮件行李保障工作，确保职责的完整履行。</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7.4.15 乙方不得与甲方客户发生不正常交易或不正常的营运行为。</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7.4.16 乙方应自觉接受并履行甲方依据事实及本合同（包括附件）作出的绩效考核。</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7.4.17自觉接受该承包业务在重庆机场航站楼内受于重庆机场集团有限公司以及各相关行业主管部门的业务指导和管理（在需要时进行备案和取得工作人员准入资格等）。</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7.4.18因乙方对甲方指定业务领域管理不善或乙方人员怠于履行相关职责而造成甲方的直接经济损失（包括索赔），乙方承担赔偿相应损失。</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7.4.19乙方不得以甲方的名义从事任何经济活动，不得以任何形式转让服务项目，不得以任何形式将本项目进行分包、转包。在服务区域只能从事甲方认可的服务工作。</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7.4.20乙方工作人员不得以任何形式影响甲方或其它单位的工作，不得从事非法及超范围的活动。</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7.4.21乙方有告知义务及情况反馈义务。</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7.4.22乙方不得在服务区域内从事任何广告活动或类似宣传。</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7.4.23在乙方股权变更、注册资本增减、应收账款债权人变更等影响合同履约主体变更的情形时，应提前15日以书面形式通知甲方。</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7.4.24保守本合同具体内容秘密，不得向第三方泄露。</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7.4.25 乙方自行购置或租赁的车辆和特种设备由乙方负责其安全性、合法合规、驾驶人员执照管理、车辆和特种设备日常维护、年审及保养、质检等所产生的一切费用，其产生的一切赔偿和损失由乙方独自承担。</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7.4.26 乙方应加强安全管理，乙方承担安全主体责任，严格按照国家、民航、重庆市法律法规及公司规章制度的要求，员工持证上岗。建立完善安全管理制度、安全应急预案。加强员工安全教育培训，不因管理原因发生安全责任事故和不安全事件。</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7.4.27 乙方操作甲方提供的车辆或特种设备时，由于乙方人员操作失当产生的赔偿和损失由乙方独自承担。</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7.4.28本合同终止时，乙方在提供服务期间自行配置的车辆及设备在合同终止时归乙方所有，乙方的债权、债务等事宜，由乙方自行处理。乙方所录用员工的劳动关系由乙方自行解决。</w:t>
      </w:r>
    </w:p>
    <w:p>
      <w:pPr>
        <w:widowControl/>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八、违约责任</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8.1甲方未按照本合同7.2条履约，造成违约行为的，甲方收到乙方出具的违约通知整改书后10个工作日仍未予以纠正的，应向乙方支付违约金，违约金以实际核定的损失为准。</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8.2乙方未按照本合同7.4条履约，造成所违约行为的，乙方收到甲方出具的违约通知整改书后10个工作日仍未予以纠正的，甲方有权单方面解除本合同，情节严重的（如发生违反机场相关安全规定,导致航空事故或事故征候或有其他行为、严重影响机场形象和正常运行）甲方可直接终止本合同，并向甲方支付违约金，违约金以甲方实际核定的损失为准。</w:t>
      </w:r>
    </w:p>
    <w:p>
      <w:pPr>
        <w:widowControl/>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九、进入机场控制区、飞行区及货运库房人员的管理</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9.1 乙方应严格遵守关于机场控制区的相关规定。</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9.2乙方需在机场控制区内工作的搬运人员须办理控制区通行证，需进入进港货库及区域（限制区）的人员须办理货库通行证。在进出和在区域工作时，自觉接受安保人员检查。</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9.3机场控制区通行证由乙方提出申请，甲方在机场安检站代为办理；货库通行证由乙方提出申请，甲方监管部门负责办理。</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9.4乙方人员需按甲方要求提供填写本人信息相关表格，由甲方备案和向机场安检站报备，乙方人员应认真接受相关空防安全知识培训，并通过相应考试（连续3次考试不合格的，将不能办理通行证，乙方不得录用），获取机场控制区通行证或货库通行证，方能在相关区域工作。</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9.5 机场控制区通行证办证费用和货库通行证工本费由乙方自理。</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9.6 乙方有招录使用人员时，需按规定认真对其进行“政审”和“背景调查”，不得录用相关规定中禁止办证的人员。乙方对进入货库和机场控制区的人员须严格管理，应选派政治素质好，思想和工作稳定的人员。乙方持有机场控制区及货库通行证人员因违反规定造成的后果由乙方承担。</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9.7 乙方进入控制区和货库区的人员须接受机场控制区及航空保安相关规定的培训，并按规定接进行复训和开展日常安全教育。</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9.8乙方确因工作需要须进入货运库房及其它控制、限制区域的人员，需按相关规定进行培训、考试，取得相应资质，服从相关管理规定，如有违反，由乙方承担责任。</w:t>
      </w:r>
    </w:p>
    <w:p>
      <w:pPr>
        <w:widowControl/>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十、争议解决和适用法律</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10.1与本合同有关的或因执行本合同所产生之争议，应由双方友好协商解决，不能解决时，任何一方均可向甲方所在地人民法院提起诉讼。</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10.2争议处理期间除正在审理的部分以外，双方应继续执行合同的其余部分。</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10.3本合同的订立、效力、解释、履行及争议的解决适用中华人民共和国的法律、法规。</w:t>
      </w:r>
    </w:p>
    <w:p>
      <w:pPr>
        <w:widowControl/>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十一、其他</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11.1本合同未尽事宜，应由甲、乙双方协商后以书面形式补充。</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11.2本合同一式陆份，甲方执叁份，乙方执叁份，具有同等法律效力。</w:t>
      </w:r>
    </w:p>
    <w:p>
      <w:pPr>
        <w:widowControl/>
        <w:adjustRightInd w:val="0"/>
        <w:snapToGrid w:val="0"/>
        <w:spacing w:line="360" w:lineRule="auto"/>
        <w:ind w:firstLine="480" w:firstLineChars="200"/>
        <w:rPr>
          <w:rFonts w:hint="eastAsia" w:ascii="仿宋_GB2312" w:hAnsi="仿宋_GB2312" w:eastAsia="仿宋_GB2312" w:cs="仿宋_GB2312"/>
          <w:bCs/>
          <w:sz w:val="24"/>
        </w:rPr>
      </w:pPr>
      <w:r>
        <w:rPr>
          <w:rFonts w:hint="eastAsia" w:ascii="宋体" w:hAnsi="宋体" w:cs="宋体"/>
          <w:sz w:val="24"/>
        </w:rPr>
        <w:t>11.3本合同自甲、乙双方加盖公司印章，并经双方法</w:t>
      </w:r>
      <w:r>
        <w:rPr>
          <w:rFonts w:hint="eastAsia" w:ascii="宋体" w:hAnsi="宋体" w:cs="宋体"/>
          <w:sz w:val="24"/>
          <w:lang w:eastAsia="zh-CN"/>
        </w:rPr>
        <w:t>定代表</w:t>
      </w:r>
      <w:r>
        <w:rPr>
          <w:rFonts w:hint="eastAsia" w:ascii="宋体" w:hAnsi="宋体" w:cs="宋体"/>
          <w:sz w:val="24"/>
        </w:rPr>
        <w:t>人或授权代表签字后生效。</w:t>
      </w:r>
    </w:p>
    <w:p>
      <w:pPr>
        <w:widowControl/>
        <w:adjustRightInd w:val="0"/>
        <w:snapToGrid w:val="0"/>
        <w:spacing w:line="560" w:lineRule="exact"/>
        <w:ind w:firstLine="482" w:firstLineChars="200"/>
        <w:rPr>
          <w:rFonts w:hint="eastAsia" w:ascii="宋体" w:hAnsi="宋体" w:cs="宋体"/>
          <w:b/>
          <w:sz w:val="24"/>
        </w:rPr>
      </w:pPr>
      <w:r>
        <w:rPr>
          <w:rFonts w:hint="eastAsia" w:ascii="宋体" w:hAnsi="宋体" w:cs="宋体"/>
          <w:b/>
          <w:sz w:val="24"/>
        </w:rPr>
        <w:t>十二、附件</w:t>
      </w:r>
    </w:p>
    <w:p>
      <w:pPr>
        <w:widowControl/>
        <w:adjustRightInd w:val="0"/>
        <w:snapToGrid w:val="0"/>
        <w:spacing w:line="560" w:lineRule="exact"/>
        <w:ind w:firstLine="480" w:firstLineChars="200"/>
        <w:rPr>
          <w:rFonts w:hint="eastAsia" w:ascii="宋体" w:hAnsi="宋体" w:cs="宋体"/>
          <w:bCs/>
          <w:sz w:val="24"/>
        </w:rPr>
      </w:pPr>
      <w:r>
        <w:rPr>
          <w:rFonts w:hint="eastAsia" w:ascii="宋体" w:hAnsi="宋体" w:cs="宋体"/>
          <w:bCs/>
          <w:sz w:val="24"/>
        </w:rPr>
        <w:t>附件一：机坪装卸业务操作标准及流程</w:t>
      </w:r>
    </w:p>
    <w:p>
      <w:pPr>
        <w:widowControl/>
        <w:adjustRightInd w:val="0"/>
        <w:snapToGrid w:val="0"/>
        <w:spacing w:line="560" w:lineRule="exact"/>
        <w:ind w:firstLine="480" w:firstLineChars="200"/>
        <w:rPr>
          <w:rFonts w:hint="eastAsia" w:ascii="宋体" w:hAnsi="宋体" w:cs="宋体"/>
          <w:bCs/>
          <w:sz w:val="24"/>
        </w:rPr>
      </w:pPr>
      <w:r>
        <w:rPr>
          <w:rFonts w:hint="eastAsia" w:ascii="宋体" w:hAnsi="宋体" w:cs="宋体"/>
          <w:bCs/>
          <w:sz w:val="24"/>
        </w:rPr>
        <w:t>附件二：机坪装卸外包业务质量监督及绩效考核办法</w:t>
      </w:r>
    </w:p>
    <w:p>
      <w:pPr>
        <w:widowControl/>
        <w:adjustRightInd w:val="0"/>
        <w:snapToGrid w:val="0"/>
        <w:spacing w:line="560" w:lineRule="exact"/>
        <w:ind w:firstLine="480" w:firstLineChars="200"/>
        <w:rPr>
          <w:rFonts w:hint="eastAsia" w:ascii="宋体" w:hAnsi="宋体" w:cs="宋体"/>
          <w:bCs/>
          <w:sz w:val="24"/>
        </w:rPr>
      </w:pPr>
      <w:r>
        <w:rPr>
          <w:rFonts w:hint="eastAsia" w:ascii="宋体" w:hAnsi="宋体" w:cs="宋体"/>
          <w:bCs/>
          <w:sz w:val="24"/>
        </w:rPr>
        <w:t>附件三：外包业务监督检查扣减报告表</w:t>
      </w:r>
    </w:p>
    <w:p>
      <w:pPr>
        <w:widowControl/>
        <w:adjustRightInd w:val="0"/>
        <w:snapToGrid w:val="0"/>
        <w:spacing w:line="560" w:lineRule="exact"/>
        <w:ind w:firstLine="480" w:firstLineChars="200"/>
        <w:rPr>
          <w:rFonts w:hint="eastAsia" w:ascii="宋体" w:hAnsi="宋体" w:cs="宋体"/>
          <w:bCs/>
          <w:sz w:val="24"/>
        </w:rPr>
      </w:pPr>
      <w:r>
        <w:rPr>
          <w:rFonts w:hint="eastAsia" w:ascii="宋体" w:hAnsi="宋体" w:cs="宋体"/>
          <w:bCs/>
          <w:sz w:val="24"/>
        </w:rPr>
        <w:t>附件四：外包业务整改通知及反馈表</w:t>
      </w:r>
    </w:p>
    <w:p>
      <w:pPr>
        <w:widowControl/>
        <w:adjustRightInd w:val="0"/>
        <w:snapToGrid w:val="0"/>
        <w:spacing w:line="560" w:lineRule="exact"/>
        <w:ind w:firstLine="480" w:firstLineChars="200"/>
        <w:rPr>
          <w:rFonts w:hint="eastAsia" w:ascii="宋体" w:hAnsi="宋体" w:cs="宋体"/>
          <w:bCs/>
          <w:sz w:val="24"/>
        </w:rPr>
      </w:pPr>
      <w:r>
        <w:rPr>
          <w:rFonts w:hint="eastAsia" w:ascii="宋体" w:hAnsi="宋体" w:cs="宋体"/>
          <w:bCs/>
          <w:sz w:val="24"/>
        </w:rPr>
        <w:t>附件五：机坪装卸外包业务绩效考核扣减及承包费汇总表</w:t>
      </w:r>
    </w:p>
    <w:p>
      <w:pPr>
        <w:widowControl/>
        <w:adjustRightInd w:val="0"/>
        <w:snapToGrid w:val="0"/>
        <w:spacing w:line="560" w:lineRule="exact"/>
        <w:ind w:firstLine="480" w:firstLineChars="200"/>
        <w:rPr>
          <w:rFonts w:hint="eastAsia" w:ascii="宋体" w:hAnsi="宋体" w:cs="宋体"/>
          <w:bCs/>
          <w:sz w:val="24"/>
        </w:rPr>
      </w:pPr>
      <w:r>
        <w:rPr>
          <w:rFonts w:hint="eastAsia" w:ascii="宋体" w:hAnsi="宋体" w:cs="宋体"/>
          <w:bCs/>
          <w:sz w:val="24"/>
        </w:rPr>
        <w:t>附件六：机坪装卸业务安保协议</w:t>
      </w:r>
    </w:p>
    <w:p>
      <w:pPr>
        <w:widowControl/>
        <w:adjustRightInd w:val="0"/>
        <w:snapToGrid w:val="0"/>
        <w:spacing w:line="560" w:lineRule="exact"/>
        <w:ind w:firstLine="480" w:firstLineChars="200"/>
        <w:rPr>
          <w:rFonts w:ascii="华文中宋" w:hAnsi="华文中宋" w:eastAsia="华文中宋" w:cs="仿宋_GB2312"/>
          <w:b/>
          <w:bCs/>
          <w:sz w:val="44"/>
          <w:szCs w:val="44"/>
        </w:rPr>
      </w:pPr>
      <w:r>
        <w:rPr>
          <w:rFonts w:hint="eastAsia" w:ascii="宋体" w:hAnsi="宋体" w:cs="宋体"/>
          <w:bCs/>
          <w:sz w:val="24"/>
        </w:rPr>
        <w:t>附件七：新冠肺炎疫情防控责任协议书</w:t>
      </w:r>
    </w:p>
    <w:p>
      <w:pPr>
        <w:widowControl/>
        <w:adjustRightInd w:val="0"/>
        <w:snapToGrid w:val="0"/>
        <w:spacing w:line="560" w:lineRule="exact"/>
        <w:ind w:firstLine="480" w:firstLineChars="200"/>
        <w:rPr>
          <w:rFonts w:hint="eastAsia" w:ascii="宋体" w:hAnsi="宋体" w:cs="宋体"/>
          <w:bCs/>
          <w:sz w:val="24"/>
        </w:rPr>
      </w:pPr>
    </w:p>
    <w:p>
      <w:pPr>
        <w:spacing w:line="800" w:lineRule="exact"/>
        <w:rPr>
          <w:rFonts w:hint="eastAsia" w:ascii="宋体" w:hAnsi="宋体" w:cs="宋体"/>
          <w:sz w:val="24"/>
        </w:rPr>
      </w:pPr>
      <w:r>
        <w:rPr>
          <w:rFonts w:hint="eastAsia" w:ascii="宋体" w:hAnsi="宋体" w:cs="宋体"/>
          <w:sz w:val="24"/>
        </w:rPr>
        <w:t>甲方（签章）：重庆空港航空地面服务有限公司      乙方（签章）：</w:t>
      </w:r>
    </w:p>
    <w:p>
      <w:pPr>
        <w:spacing w:line="800" w:lineRule="exact"/>
        <w:rPr>
          <w:rFonts w:hint="eastAsia" w:ascii="宋体" w:hAnsi="宋体" w:cs="宋体"/>
          <w:sz w:val="24"/>
        </w:rPr>
      </w:pPr>
      <w:r>
        <w:rPr>
          <w:rFonts w:hint="eastAsia" w:ascii="宋体" w:hAnsi="宋体" w:cs="宋体"/>
          <w:sz w:val="24"/>
        </w:rPr>
        <w:t>法定代表人：                                    法定代表人：</w:t>
      </w:r>
    </w:p>
    <w:p>
      <w:pPr>
        <w:spacing w:line="800" w:lineRule="exact"/>
        <w:rPr>
          <w:rFonts w:hint="eastAsia" w:ascii="宋体" w:hAnsi="宋体" w:cs="宋体"/>
          <w:sz w:val="24"/>
        </w:rPr>
      </w:pPr>
      <w:r>
        <w:rPr>
          <w:rFonts w:hint="eastAsia" w:ascii="宋体" w:hAnsi="宋体" w:cs="宋体"/>
          <w:sz w:val="24"/>
        </w:rPr>
        <w:t>日期：                                          日期;</w:t>
      </w:r>
    </w:p>
    <w:p>
      <w:pPr>
        <w:widowControl/>
        <w:adjustRightInd w:val="0"/>
        <w:snapToGrid w:val="0"/>
        <w:spacing w:line="560" w:lineRule="exact"/>
        <w:ind w:firstLine="480" w:firstLineChars="200"/>
        <w:rPr>
          <w:rFonts w:ascii="仿宋_GB2312" w:hAnsi="仿宋_GB2312" w:eastAsia="仿宋_GB2312"/>
          <w:sz w:val="32"/>
          <w:szCs w:val="28"/>
        </w:rPr>
      </w:pPr>
      <w:r>
        <w:rPr>
          <w:rFonts w:hint="eastAsia" w:ascii="宋体" w:hAnsi="宋体" w:cs="宋体"/>
          <w:bCs/>
          <w:sz w:val="24"/>
        </w:rPr>
        <w:br w:type="page"/>
      </w:r>
      <w:r>
        <w:rPr>
          <w:rFonts w:hint="eastAsia" w:ascii="黑体" w:hAnsi="黑体" w:eastAsia="黑体"/>
          <w:bCs/>
          <w:sz w:val="28"/>
          <w:szCs w:val="28"/>
        </w:rPr>
        <w:t>附件一：</w:t>
      </w:r>
    </w:p>
    <w:p>
      <w:pPr>
        <w:adjustRightInd w:val="0"/>
        <w:snapToGrid w:val="0"/>
        <w:spacing w:line="560" w:lineRule="exact"/>
        <w:jc w:val="center"/>
        <w:rPr>
          <w:rFonts w:hint="eastAsia" w:ascii="方正小标宋_GBK" w:hAnsi="方正小标宋_GBK" w:eastAsia="方正小标宋_GBK" w:cs="方正小标宋_GBK"/>
          <w:bCs/>
          <w:sz w:val="44"/>
          <w:szCs w:val="28"/>
        </w:rPr>
      </w:pPr>
      <w:r>
        <w:rPr>
          <w:rFonts w:hint="eastAsia" w:ascii="方正小标宋_GBK" w:hAnsi="方正小标宋_GBK" w:eastAsia="方正小标宋_GBK" w:cs="方正小标宋_GBK"/>
          <w:bCs/>
          <w:sz w:val="44"/>
          <w:szCs w:val="28"/>
        </w:rPr>
        <w:t>机坪装卸业务操作标准及流程</w:t>
      </w:r>
    </w:p>
    <w:p>
      <w:pPr>
        <w:spacing w:line="560" w:lineRule="exact"/>
        <w:ind w:firstLine="565" w:firstLineChars="176"/>
        <w:rPr>
          <w:rFonts w:ascii="仿宋_GB2312" w:hAnsi="仿宋_GB2312" w:eastAsia="仿宋_GB2312"/>
          <w:b/>
          <w:sz w:val="32"/>
          <w:szCs w:val="28"/>
        </w:rPr>
      </w:pPr>
    </w:p>
    <w:p>
      <w:pPr>
        <w:widowControl/>
        <w:tabs>
          <w:tab w:val="left" w:pos="720"/>
          <w:tab w:val="left" w:pos="900"/>
        </w:tabs>
        <w:adjustRightInd w:val="0"/>
        <w:snapToGrid w:val="0"/>
        <w:spacing w:line="560" w:lineRule="exact"/>
        <w:ind w:firstLine="565" w:firstLineChars="17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一、承包方：</w:t>
      </w:r>
      <w:r>
        <w:rPr>
          <w:rFonts w:hint="eastAsia" w:ascii="仿宋_GB2312" w:hAnsi="仿宋_GB2312" w:eastAsia="仿宋_GB2312" w:cs="仿宋_GB2312"/>
          <w:sz w:val="32"/>
          <w:szCs w:val="32"/>
        </w:rPr>
        <w:t>指重庆空港航空地面服务有限公司在重庆江北国际机场机坪业务范围内的航班提供货邮行的装卸保障服务的代理方，以下简称承包方。</w:t>
      </w:r>
    </w:p>
    <w:p>
      <w:pPr>
        <w:widowControl/>
        <w:tabs>
          <w:tab w:val="left" w:pos="720"/>
          <w:tab w:val="left" w:pos="900"/>
        </w:tabs>
        <w:adjustRightInd w:val="0"/>
        <w:snapToGrid w:val="0"/>
        <w:spacing w:line="560" w:lineRule="exact"/>
        <w:ind w:firstLine="565" w:firstLineChars="17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二、装卸部：</w:t>
      </w:r>
      <w:r>
        <w:rPr>
          <w:rFonts w:hint="eastAsia" w:ascii="仿宋_GB2312" w:hAnsi="仿宋_GB2312" w:eastAsia="仿宋_GB2312" w:cs="仿宋_GB2312"/>
          <w:sz w:val="32"/>
          <w:szCs w:val="32"/>
        </w:rPr>
        <w:t>作为合同招标人授权装卸飞机的管理操作部门，负责对承包方业务操作进行监管（承包业务监管部门），装卸部负责对承包方提供的装卸人员进行作业指导、安排，有权对承包方装卸人员的操作质量、工作纪律、职业操守、违章违纪进行纠偏、检查、考核或以书面形式上报公司承包方员工发生的超越本部门处理权限范畴的异常情况。</w:t>
      </w:r>
    </w:p>
    <w:p>
      <w:pPr>
        <w:widowControl/>
        <w:tabs>
          <w:tab w:val="left" w:pos="720"/>
          <w:tab w:val="left" w:pos="900"/>
        </w:tabs>
        <w:adjustRightInd w:val="0"/>
        <w:snapToGrid w:val="0"/>
        <w:spacing w:line="560" w:lineRule="exact"/>
        <w:ind w:firstLine="565" w:firstLineChars="17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三、双方职责：</w:t>
      </w:r>
    </w:p>
    <w:p>
      <w:pPr>
        <w:widowControl/>
        <w:adjustRightInd w:val="0"/>
        <w:snapToGrid w:val="0"/>
        <w:spacing w:line="560" w:lineRule="exact"/>
        <w:ind w:firstLine="565" w:firstLineChars="17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（一）承包方机坪装卸保障基本职责</w:t>
      </w:r>
    </w:p>
    <w:p>
      <w:pPr>
        <w:pStyle w:val="5"/>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1、货邮行装卸——严格按照装机单、卸机单，认真复核装卸</w:t>
      </w:r>
      <w:r>
        <w:rPr>
          <w:rFonts w:hint="eastAsia" w:ascii="仿宋_GB2312" w:hAnsi="仿宋_GB2312" w:eastAsia="仿宋_GB2312" w:cs="仿宋_GB2312"/>
          <w:sz w:val="32"/>
          <w:szCs w:val="32"/>
        </w:rPr>
        <w:t>件数、重量、目的站、装载区域等</w:t>
      </w:r>
      <w:r>
        <w:rPr>
          <w:rFonts w:hint="eastAsia" w:ascii="仿宋_GB2312" w:hAnsi="仿宋_GB2312" w:eastAsia="仿宋_GB2312" w:cs="仿宋_GB2312"/>
          <w:kern w:val="0"/>
          <w:sz w:val="32"/>
          <w:szCs w:val="32"/>
        </w:rPr>
        <w:t>，根据货物运输注意事项操作，轻拿轻放，确保运输装卸服务质量；</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2、货舱内装载——货物应根据货物的性质、形状和运输注意事项，整齐紧密合理码放，使货物间能相互作用而固定，合理利用货舱空间，提高飞机载运量；</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3、确保飞机及飞行安全——装机完毕后，应扣好拦网，防止因飞机起飞、降落而使货物移动，撞坏飞机设备；</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集装设备装卸——使用集装器装货前，必须检查集装器是否清洁、干燥、完好；集装箱内装货物的性质不应相互抵触，活体动物不能装入集装箱内；合理利用集装器空间，堆码整齐紧密；若集装器没有装满，要防止内装货物的移动或碰撞；装完货物的集装箱的重心不能偏移，必须符合载重平衡和装载要求，将每个集装器严格按照装机单上指定的位置装载；装完货物的集装器在运输时要扣牢网扣、门扣，防止货物在运输时遗失；集装器装载在飞机货舱内，必须固定好，防止移动；集装器在地面运输时，应在集装箱托盘上固定好，避免集装器翻滚、掉落；</w:t>
      </w:r>
    </w:p>
    <w:p>
      <w:pPr>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5、其余基本职责见相关岗位流程要求。</w:t>
      </w:r>
    </w:p>
    <w:p>
      <w:pPr>
        <w:widowControl/>
        <w:adjustRightInd w:val="0"/>
        <w:snapToGrid w:val="0"/>
        <w:spacing w:line="560" w:lineRule="exact"/>
        <w:ind w:firstLine="565" w:firstLineChars="17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（二）装卸部机坪装卸保障基本职责</w:t>
      </w:r>
    </w:p>
    <w:p>
      <w:pPr>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1、业务培训——装卸部负责对承包方员工的业务培训、安全技术实施监督和指导。承包方无培训资质或能力时，经承包方委托，甲方或装卸部可对其进行培训；</w:t>
      </w:r>
    </w:p>
    <w:p>
      <w:pPr>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2、设施设备——装卸部负责为承包方提供机坪航班的生产车辆和装卸设备，做好维修维护保养工作；</w:t>
      </w:r>
    </w:p>
    <w:p>
      <w:pPr>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3、现场人员安排——装卸部区域队长负责做好承包方装卸人员的现场人员安排调配，提高装卸工作效率，确保航班安全正点及保障质量；</w:t>
      </w:r>
    </w:p>
    <w:p>
      <w:pPr>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业务指导及安全质量监管——装卸部负责做好承包方装卸人员的装卸业务技术指导，以师带徒，使承包方装卸人员逐步掌握和熟悉装卸业务。装卸部现场值班队长及组长加强承包方装卸人员的航班保障安全质量，认真执行各项工作流程及安全服务标准；</w:t>
      </w:r>
    </w:p>
    <w:p>
      <w:pPr>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5、职业道德教育——装卸部负责做好承包方装卸人员的职业道德教育，防止发生内盗窃事件；</w:t>
      </w:r>
    </w:p>
    <w:p>
      <w:pPr>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6、其余基本职责见相关岗位流程要求。</w:t>
      </w:r>
    </w:p>
    <w:p>
      <w:pPr>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以上为装卸部在本期以人头结算承包方式期间应行使的职责，当达到以生产量结算承包方式时，装卸部主要进行监管，不负责具体安排；</w:t>
      </w:r>
    </w:p>
    <w:p>
      <w:pPr>
        <w:widowControl/>
        <w:tabs>
          <w:tab w:val="left" w:pos="720"/>
          <w:tab w:val="left" w:pos="900"/>
        </w:tabs>
        <w:adjustRightInd w:val="0"/>
        <w:snapToGrid w:val="0"/>
        <w:spacing w:line="560" w:lineRule="exact"/>
        <w:ind w:firstLine="565" w:firstLineChars="17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四、操作标准及流程</w:t>
      </w:r>
    </w:p>
    <w:p>
      <w:pPr>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以重庆空港航空地面服务公司运行标准部下发的装卸飞机业务操作流程为主，由公司人力资源部负责，装卸部协助，提供培训支持，对承包方员工进行培训、测试，合格后上岗，具体操作流程以手册为准。 </w:t>
      </w:r>
    </w:p>
    <w:p>
      <w:pPr>
        <w:widowControl/>
        <w:adjustRightInd w:val="0"/>
        <w:snapToGrid w:val="0"/>
        <w:spacing w:line="560" w:lineRule="exact"/>
        <w:ind w:firstLine="565" w:firstLineChars="17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（一）装机操作流程</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1、掌握出港航班信息，正确指挥,合理安排好保障人员；</w:t>
      </w:r>
    </w:p>
    <w:p>
      <w:pPr>
        <w:pStyle w:val="5"/>
        <w:widowControl/>
        <w:adjustRightInd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2、待监装人员开启货舱门后，裝卸人员必须采用 IATA 手册中规定的标准手势来指引（面向车头驾驶室，站定在货舱门沿下，双手平举，手心向身后，前后挥动小手臂，引导车辆慢慢靠近货舱门，当车辆到达指定位置时，双手交叉握拳，车辆停止）;</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3、根据监装人员的安排装机，按装机单签字交接准确无误，按先装货物，再装邮件，最后装行李的顺序装机；</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4、行李装机，将优先行李装在舱门口。承运人有特殊装机要求的按承运人要求办理；</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5、保障飞机的装卸设备必须加放轮档，禁止使用制动不良的装卸设备靠近飞机。重心靠后的飞机先装前舱；</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6、装卸设备、货物与飞机应保持20-40厘米的安全距离；平板车与传送带车保持20-40厘米的安全距离；保障B737机型航班时，平板车尾部插销不能超过货舱门下缘与机坪地面的垂直线；</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7、装机货物应合理有序堆码、充分利用舱位，按标志作业，轻拿轻放，文明装卸，不能损坏飞机地板</w:t>
      </w:r>
      <w:r>
        <w:rPr>
          <w:rFonts w:hint="eastAsia" w:ascii="仿宋_GB2312" w:hAnsi="仿宋_GB2312" w:eastAsia="仿宋_GB2312" w:cs="仿宋_GB2312"/>
          <w:sz w:val="32"/>
          <w:szCs w:val="32"/>
        </w:rPr>
        <w:t>、舱壁、</w:t>
      </w:r>
      <w:r>
        <w:rPr>
          <w:rFonts w:hint="eastAsia" w:ascii="仿宋_GB2312" w:hAnsi="仿宋_GB2312" w:eastAsia="仿宋_GB2312" w:cs="仿宋_GB2312"/>
          <w:kern w:val="0"/>
          <w:sz w:val="32"/>
          <w:szCs w:val="32"/>
        </w:rPr>
        <w:t>设备；</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8、保障过站航班，在经停站不要把过站货件弄乱。</w:t>
      </w:r>
      <w:r>
        <w:rPr>
          <w:rFonts w:hint="eastAsia" w:ascii="仿宋_GB2312" w:hAnsi="仿宋_GB2312" w:eastAsia="仿宋_GB2312" w:cs="仿宋_GB2312"/>
          <w:sz w:val="32"/>
          <w:szCs w:val="32"/>
        </w:rPr>
        <w:t>本站装机的货件严格按照装机单准确装机;</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9、装载有经停站的航班时，同一货舱内要将后到达的货物、邮件先装，放在货舱里部；先到达的货件后装，放在舱门处。同一站的货件要集中堆放；</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10、装载超重货物或异型货物，应做到谨慎操作，杜绝不安全事件发生；</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11、在装机过程中发现货物、邮件、行李破损，及时报告监装人员处理；</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12、所有机型应在航班预计离港前5 分钟完成货邮行的装载。装机完毕挂好栏布；</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13、装卸人员保障完毕后，在航空器靠近货舱一侧的翼尖正下方对装舱信息进行手指口述复核流程，并同监装监卸员在装机单上签字确认；</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14、装卸人员观察四周，采用</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IATA 手册中规定的标准手势来指挥（站立在特种车尾部侧面安全距离，双手平举，手心向身后，前后挥动小手臂，当车辆到达指定位置时，双手交叉握拳，车引导车辆慢慢撤离安全区域）特种车辆完成撤离工作;</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15、及时清理机坪现场的装卸设备和货物残渣，防止FOD影响飞行安全。保证现场清洁、畅通，设备和货物放在待装区，不妨碍飞机滑行。</w:t>
      </w:r>
    </w:p>
    <w:p>
      <w:pPr>
        <w:widowControl/>
        <w:adjustRightInd w:val="0"/>
        <w:snapToGrid w:val="0"/>
        <w:spacing w:line="560" w:lineRule="exact"/>
        <w:ind w:firstLine="565" w:firstLineChars="17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（二）卸机操作流程</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掌握进港航班信息，合理安排好人员。飞机到达前5 分钟安排好人员和装卸设备，列队迎机迎候进港航班；</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2、防撞锥未摆放到位前，严禁人员接近飞机；</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3、登机作业必须在监装人员打开飞机舱门后才能进行，使用传送带的飞机必须在传送带升降到位后才能登机作业；</w:t>
      </w:r>
    </w:p>
    <w:p>
      <w:pPr>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kern w:val="0"/>
          <w:sz w:val="32"/>
          <w:szCs w:val="32"/>
        </w:rPr>
        <w:t>按卸机单作业，签字交接准确无误；</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5、重心靠后的飞机先卸后舱。如承运人对卸机有特殊要求的，按承运人要求执行；</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6、按先卸行李，再卸邮件，最后卸货物的顺序卸机；</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7、优先行李单独运送或堆码在平板车尾部；遇有中转行李时，按照监装人员要求进行操作；</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8、卸机过程发现货物、邮件、行李破损，必须立即报告监装人员到现场查看，按监装人员要求进行处理；</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9、平板车堆码货物行李高度不能超过1.5 米；</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10、过站航班卸机，必须认真核对，清点件数；</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11、保证飞机挡轮挡后20 分钟内将第1 件行李卸至行李转盘，全部行李应按以下标准卸完：C 类航空器必须在挡轮挡后30 分钟内行李交付完成；D 类航空器必须在挡轮挡后35 分钟内行李交付完成；E 类航空器必须在挡轮挡后40 分钟内行李交付完成； F 类航空器必须在挡轮挡后45 分钟内行李交付完成；</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12、检查舱内货物、邮件、行李是否卸完，不得漏卸；</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13、及时清理现场的装卸设备和货物残渣，杜绝FOD 影响航空器安全。装卸设备摆放到指定的划线待装区域，不得妨碍飞机滑行；</w:t>
      </w:r>
    </w:p>
    <w:p>
      <w:pPr>
        <w:widowControl/>
        <w:autoSpaceDE w:val="0"/>
        <w:autoSpaceDN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14、危险品或贵重物品卸机后，必须有专人专车押运进库，与进港货运人员交接并签字。</w:t>
      </w:r>
    </w:p>
    <w:p>
      <w:pPr>
        <w:autoSpaceDE w:val="0"/>
        <w:autoSpaceDN w:val="0"/>
        <w:adjustRightInd w:val="0"/>
        <w:snapToGrid w:val="0"/>
        <w:spacing w:line="560" w:lineRule="exact"/>
        <w:jc w:val="left"/>
        <w:rPr>
          <w:rFonts w:ascii="仿宋_GB2312" w:eastAsia="仿宋_GB2312" w:cs="宋体"/>
          <w:kern w:val="0"/>
          <w:sz w:val="28"/>
          <w:szCs w:val="28"/>
        </w:rPr>
      </w:pPr>
    </w:p>
    <w:p>
      <w:pPr>
        <w:spacing w:line="560" w:lineRule="exact"/>
        <w:rPr>
          <w:rFonts w:ascii="仿宋_GB2312" w:hAnsi="仿宋_GB2312" w:eastAsia="仿宋_GB2312"/>
          <w:sz w:val="32"/>
          <w:szCs w:val="28"/>
        </w:rPr>
      </w:pPr>
    </w:p>
    <w:p>
      <w:pPr>
        <w:pStyle w:val="3"/>
        <w:spacing w:line="560" w:lineRule="exact"/>
        <w:sectPr>
          <w:footerReference r:id="rId6" w:type="first"/>
          <w:footerReference r:id="rId5" w:type="default"/>
          <w:pgSz w:w="11906" w:h="16838"/>
          <w:pgMar w:top="1383" w:right="1800" w:bottom="1383" w:left="1800" w:header="851" w:footer="992" w:gutter="0"/>
          <w:cols w:space="720" w:num="1"/>
          <w:docGrid w:type="lines" w:linePitch="312" w:charSpace="0"/>
        </w:sectPr>
      </w:pPr>
    </w:p>
    <w:p>
      <w:pPr>
        <w:widowControl/>
        <w:adjustRightInd w:val="0"/>
        <w:snapToGrid w:val="0"/>
        <w:spacing w:line="560" w:lineRule="exact"/>
        <w:rPr>
          <w:rFonts w:ascii="黑体" w:hAnsi="黑体" w:eastAsia="黑体"/>
          <w:bCs/>
          <w:sz w:val="28"/>
          <w:szCs w:val="28"/>
        </w:rPr>
      </w:pPr>
      <w:r>
        <w:rPr>
          <w:rFonts w:hint="eastAsia" w:ascii="黑体" w:hAnsi="黑体" w:eastAsia="黑体"/>
          <w:bCs/>
          <w:sz w:val="28"/>
          <w:szCs w:val="28"/>
        </w:rPr>
        <w:t>附件二：</w:t>
      </w:r>
    </w:p>
    <w:p>
      <w:pPr>
        <w:widowControl/>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机坪装卸外包业务</w:t>
      </w:r>
    </w:p>
    <w:p>
      <w:pPr>
        <w:widowControl/>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质量监督及绩效考核办法</w:t>
      </w:r>
    </w:p>
    <w:p>
      <w:pPr>
        <w:pStyle w:val="2"/>
      </w:pPr>
    </w:p>
    <w:p>
      <w:pPr>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为确保乙方保障运行符合机场相关制度，顺利达成外包业务标准，特拟定以下质量监督及绩效考核办法：</w:t>
      </w:r>
    </w:p>
    <w:p>
      <w:pPr>
        <w:pStyle w:val="33"/>
        <w:widowControl/>
        <w:adjustRightInd w:val="0"/>
        <w:snapToGrid w:val="0"/>
        <w:spacing w:line="560" w:lineRule="exact"/>
        <w:ind w:firstLine="565" w:firstLineChars="17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一、总则</w:t>
      </w:r>
    </w:p>
    <w:p>
      <w:pPr>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1、根据双方合同规定，甲对乙方的承包业务质量完成情况每月对应《绩效考核表》进行绩效考核，并以此为作为甲方支付乙方承包费的考量依据。</w:t>
      </w:r>
    </w:p>
    <w:p>
      <w:pPr>
        <w:pStyle w:val="33"/>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2、甲方有权对乙方运行保障进行监督，提出整改要求。乙方有责任配合甲方监督检查，按要求实施整改。</w:t>
      </w:r>
    </w:p>
    <w:p>
      <w:pPr>
        <w:pStyle w:val="33"/>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3、乙方未按要求完成整改、达不到质量要求或发生差错事故的，甲方有权对乙方进行绩效扣分处罚。</w:t>
      </w:r>
    </w:p>
    <w:p>
      <w:pPr>
        <w:pStyle w:val="33"/>
        <w:widowControl/>
        <w:adjustRightInd w:val="0"/>
        <w:snapToGrid w:val="0"/>
        <w:spacing w:line="560" w:lineRule="exact"/>
        <w:ind w:firstLine="565" w:firstLineChars="17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二、考核办法</w:t>
      </w:r>
    </w:p>
    <w:p>
      <w:pPr>
        <w:pStyle w:val="33"/>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（一）甲方对乙方绩效考核分日常检查和月度考评</w:t>
      </w:r>
    </w:p>
    <w:p>
      <w:pPr>
        <w:pStyle w:val="33"/>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1、甲方日常检查通常包含“日常监督检查”和“日常运行监管”两个层面。</w:t>
      </w:r>
    </w:p>
    <w:p>
      <w:pPr>
        <w:pStyle w:val="33"/>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（1）日常监督检查为定期或不定期抽检，由机场、地服公司运行标准部门或监管部门（装卸部）专门派人检查；</w:t>
      </w:r>
    </w:p>
    <w:p>
      <w:pPr>
        <w:pStyle w:val="33"/>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（2）日常运行监管为监管部门或外包业务板块的对应或流程上、下游部门（岗位）对其工作的监督。</w:t>
      </w:r>
    </w:p>
    <w:p>
      <w:pPr>
        <w:pStyle w:val="33"/>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（3）对于日常检查发现的问题采取口头协调、提醒、沟通；书面违规、整改通知等形式进行。</w:t>
      </w:r>
    </w:p>
    <w:p>
      <w:pPr>
        <w:pStyle w:val="33"/>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（4）承包方违反相关规定或条款，甲方可按规定开据《外包业务监督检查扣减报告表》扣分。但轻微且初犯的可采取口头协调、提醒、沟通方式，承包方及时改正的，可不予绩效扣分。</w:t>
      </w:r>
    </w:p>
    <w:p>
      <w:pPr>
        <w:pStyle w:val="33"/>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于承包方运行管理中存在的问题，属经常的、长期的以及对安全、质量、运行影响较大或可能造成较大影响的，可开具《外包业务整改通知及反馈表》，并由监管部门持续跟进其改进。同时达到扣分条件的，开具《外包业务监督检查扣减报告表》，予以绩效扣分。</w:t>
      </w:r>
    </w:p>
    <w:p>
      <w:pPr>
        <w:pStyle w:val="33"/>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2、月度考评由甲方指定人员（由监管部门为主体，外包业务流程上、下游部门相关人员组成考核小组）在每月初（5号前）对乙方上月承包业务完成质量进行评估、考核。</w:t>
      </w:r>
    </w:p>
    <w:p>
      <w:pPr>
        <w:pStyle w:val="33"/>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（1）汇总当月日常检查开据《外包业务监督检查扣减报告表》，对应绩效考核表，进行汇总打分。</w:t>
      </w:r>
    </w:p>
    <w:p>
      <w:pPr>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（2）对应绩效考核表所有项目进行整体评估打分，填报《外包绩效考核表》，测算扣分总额。</w:t>
      </w:r>
    </w:p>
    <w:p>
      <w:pPr>
        <w:pStyle w:val="33"/>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（3）因乙方责任原因造成差错事故或投诉事件，致使甲方经济损失的，由乙方承担全部经济损失。</w:t>
      </w:r>
    </w:p>
    <w:p>
      <w:pPr>
        <w:pStyle w:val="33"/>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（4）《外包绩效考核表》经公司运行标准部、业务归口管理部门审核，提交公司分管副总审批。</w:t>
      </w:r>
    </w:p>
    <w:p>
      <w:pPr>
        <w:pStyle w:val="33"/>
        <w:widowControl/>
        <w:adjustRightInd w:val="0"/>
        <w:snapToGrid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（二）由装卸部根据乙方的月绩效考核表计算、填制《外包业务绩效考核扣减及承包费汇总表》，经相关部门审核和公司总经理审批后作为向乙方支付承包费依据。</w:t>
      </w:r>
    </w:p>
    <w:p>
      <w:pPr>
        <w:pStyle w:val="33"/>
        <w:widowControl/>
        <w:adjustRightInd w:val="0"/>
        <w:snapToGrid w:val="0"/>
        <w:spacing w:line="560" w:lineRule="exact"/>
        <w:ind w:firstLine="565" w:firstLineChars="17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三、日常检查和绩效考核标准。</w:t>
      </w:r>
    </w:p>
    <w:p>
      <w:pPr>
        <w:widowControl/>
        <w:adjustRightInd w:val="0"/>
        <w:snapToGrid w:val="0"/>
        <w:spacing w:line="560" w:lineRule="exact"/>
        <w:ind w:firstLine="660"/>
        <w:rPr>
          <w:rFonts w:hint="eastAsia" w:ascii="仿宋_GB2312" w:hAnsi="仿宋_GB2312" w:eastAsia="仿宋_GB2312" w:cs="仿宋_GB2312"/>
          <w:sz w:val="32"/>
          <w:szCs w:val="32"/>
        </w:rPr>
        <w:sectPr>
          <w:headerReference r:id="rId7" w:type="default"/>
          <w:footerReference r:id="rId8" w:type="default"/>
          <w:pgSz w:w="11906" w:h="16838"/>
          <w:pgMar w:top="1440" w:right="1800" w:bottom="1440" w:left="1800" w:header="851" w:footer="992" w:gutter="0"/>
          <w:cols w:space="720" w:num="1"/>
          <w:docGrid w:type="lines" w:linePitch="318" w:charSpace="0"/>
        </w:sectPr>
      </w:pPr>
      <w:r>
        <w:rPr>
          <w:rFonts w:hint="eastAsia" w:ascii="仿宋_GB2312" w:hAnsi="仿宋_GB2312" w:eastAsia="仿宋_GB2312" w:cs="仿宋_GB2312"/>
          <w:sz w:val="32"/>
          <w:szCs w:val="32"/>
        </w:rPr>
        <w:t>通常情况下，甲方实施的监督检查、考评包含但不限于以下项目（因上级考核指标项或管控需要，在实施过程中经双方认可，可对考评项目及内容进行增减完善）：见《外包业务日/周/月绩效考核表》。</w:t>
      </w:r>
    </w:p>
    <w:p>
      <w:pPr>
        <w:jc w:val="center"/>
        <w:rPr>
          <w:rFonts w:hint="eastAsia" w:ascii="宋体" w:hAnsi="宋体"/>
          <w:b/>
          <w:sz w:val="36"/>
          <w:szCs w:val="36"/>
        </w:rPr>
      </w:pPr>
      <w:r>
        <w:rPr>
          <w:rFonts w:hint="eastAsia" w:ascii="宋体" w:hAnsi="宋体"/>
          <w:b/>
          <w:sz w:val="36"/>
          <w:szCs w:val="36"/>
        </w:rPr>
        <w:t>重庆空港航空地面服务有限公司机坪装卸业务外包月考核表</w:t>
      </w:r>
    </w:p>
    <w:p>
      <w:pPr>
        <w:pStyle w:val="2"/>
      </w:pPr>
    </w:p>
    <w:p>
      <w:pPr>
        <w:rPr>
          <w:rFonts w:ascii="宋体" w:hAnsi="宋体"/>
          <w:sz w:val="24"/>
        </w:rPr>
      </w:pPr>
      <w:r>
        <w:rPr>
          <w:rFonts w:hint="eastAsia" w:ascii="宋体" w:hAnsi="宋体"/>
          <w:sz w:val="24"/>
        </w:rPr>
        <w:t>承包商：</w:t>
      </w:r>
      <w:r>
        <w:rPr>
          <w:rFonts w:hint="eastAsia" w:ascii="宋体" w:hAnsi="宋体"/>
          <w:sz w:val="24"/>
          <w:u w:val="single"/>
        </w:rPr>
        <w:t xml:space="preserve">                   </w:t>
      </w:r>
      <w:r>
        <w:rPr>
          <w:rFonts w:hint="eastAsia" w:ascii="宋体" w:hAnsi="宋体"/>
          <w:sz w:val="24"/>
        </w:rPr>
        <w:t xml:space="preserve">    监管部门：</w:t>
      </w:r>
      <w:r>
        <w:rPr>
          <w:rFonts w:hint="eastAsia" w:ascii="宋体" w:hAnsi="宋体"/>
          <w:sz w:val="24"/>
          <w:u w:val="single"/>
        </w:rPr>
        <w:t xml:space="preserve">                   </w:t>
      </w:r>
      <w:r>
        <w:rPr>
          <w:rFonts w:hint="eastAsia" w:ascii="宋体" w:hAnsi="宋体"/>
          <w:sz w:val="24"/>
        </w:rPr>
        <w:t xml:space="preserve">     考核月份：_____年____月  考核日期：____年__月___日</w:t>
      </w:r>
    </w:p>
    <w:p>
      <w:pPr>
        <w:rPr>
          <w:rFonts w:ascii="宋体" w:hAnsi="宋体"/>
          <w:sz w:val="24"/>
        </w:rPr>
      </w:pPr>
      <w:r>
        <w:rPr>
          <w:rFonts w:ascii="宋体" w:hAnsi="宋体"/>
          <w:sz w:val="24"/>
        </w:rPr>
        <w:t>一、绩效考核内容</w:t>
      </w:r>
    </w:p>
    <w:tbl>
      <w:tblPr>
        <w:tblStyle w:val="16"/>
        <w:tblW w:w="0" w:type="auto"/>
        <w:tblInd w:w="0" w:type="dxa"/>
        <w:tblLayout w:type="fixed"/>
        <w:tblCellMar>
          <w:top w:w="0" w:type="dxa"/>
          <w:left w:w="108" w:type="dxa"/>
          <w:bottom w:w="0" w:type="dxa"/>
          <w:right w:w="108" w:type="dxa"/>
        </w:tblCellMar>
      </w:tblPr>
      <w:tblGrid>
        <w:gridCol w:w="923"/>
        <w:gridCol w:w="1417"/>
        <w:gridCol w:w="4535"/>
        <w:gridCol w:w="7370"/>
      </w:tblGrid>
      <w:tr>
        <w:tblPrEx>
          <w:tblCellMar>
            <w:top w:w="0" w:type="dxa"/>
            <w:left w:w="108" w:type="dxa"/>
            <w:bottom w:w="0" w:type="dxa"/>
            <w:right w:w="108" w:type="dxa"/>
          </w:tblCellMar>
        </w:tblPrEx>
        <w:trPr>
          <w:trHeight w:val="567" w:hRule="exact"/>
        </w:trPr>
        <w:tc>
          <w:tcPr>
            <w:tcW w:w="923" w:type="dxa"/>
            <w:tcBorders>
              <w:top w:val="single" w:color="auto" w:sz="8" w:space="0"/>
              <w:left w:val="single" w:color="auto" w:sz="8" w:space="0"/>
              <w:bottom w:val="nil"/>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项目号</w:t>
            </w:r>
          </w:p>
        </w:tc>
        <w:tc>
          <w:tcPr>
            <w:tcW w:w="1417"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宋体" w:hAnsi="宋体" w:cs="宋体"/>
                <w:b/>
                <w:color w:val="000000"/>
                <w:kern w:val="0"/>
                <w:sz w:val="22"/>
                <w:szCs w:val="22"/>
                <w:lang w:bidi="ar"/>
              </w:rPr>
              <w:t>检查项目</w:t>
            </w:r>
          </w:p>
        </w:tc>
        <w:tc>
          <w:tcPr>
            <w:tcW w:w="4535" w:type="dxa"/>
            <w:tcBorders>
              <w:top w:val="single" w:color="auto" w:sz="8" w:space="0"/>
              <w:left w:val="nil"/>
              <w:bottom w:val="single" w:color="auto" w:sz="8" w:space="0"/>
              <w:right w:val="single" w:color="auto" w:sz="8" w:space="0"/>
            </w:tcBorders>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仿宋_GB2312"/>
                <w:b/>
                <w:color w:val="000000"/>
                <w:kern w:val="0"/>
                <w:szCs w:val="21"/>
                <w:lang w:bidi="ar"/>
              </w:rPr>
              <w:t>绩效考评内容</w:t>
            </w:r>
          </w:p>
        </w:tc>
        <w:tc>
          <w:tcPr>
            <w:tcW w:w="7370"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宋体" w:hAnsi="宋体" w:cs="宋体"/>
                <w:b/>
                <w:color w:val="000000"/>
                <w:kern w:val="0"/>
                <w:sz w:val="22"/>
                <w:szCs w:val="22"/>
                <w:lang w:bidi="ar"/>
              </w:rPr>
              <w:t>违反规定扣分标准</w:t>
            </w:r>
          </w:p>
        </w:tc>
      </w:tr>
      <w:tr>
        <w:tblPrEx>
          <w:tblCellMar>
            <w:top w:w="0" w:type="dxa"/>
            <w:left w:w="108" w:type="dxa"/>
            <w:bottom w:w="0" w:type="dxa"/>
            <w:right w:w="108" w:type="dxa"/>
          </w:tblCellMar>
        </w:tblPrEx>
        <w:trPr>
          <w:trHeight w:val="567" w:hRule="exact"/>
        </w:trPr>
        <w:tc>
          <w:tcPr>
            <w:tcW w:w="92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仿宋_GB2312" w:hAnsi="宋体" w:eastAsia="仿宋_GB2312" w:cs="宋体"/>
                <w:b/>
                <w:bCs/>
                <w:kern w:val="0"/>
                <w:szCs w:val="21"/>
              </w:rPr>
            </w:pPr>
            <w:r>
              <w:rPr>
                <w:rFonts w:hint="eastAsia" w:ascii="仿宋_GB2312" w:hAnsi="仿宋_GB2312" w:eastAsia="仿宋_GB2312" w:cs="仿宋_GB2312"/>
                <w:color w:val="000000"/>
                <w:kern w:val="0"/>
                <w:sz w:val="20"/>
                <w:szCs w:val="20"/>
                <w:lang w:bidi="ar"/>
              </w:rPr>
              <w:t>1.1</w:t>
            </w:r>
          </w:p>
        </w:tc>
        <w:tc>
          <w:tcPr>
            <w:tcW w:w="1417" w:type="dxa"/>
            <w:vMerge w:val="restart"/>
            <w:tcBorders>
              <w:top w:val="nil"/>
              <w:left w:val="nil"/>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仿宋_GB2312" w:eastAsia="仿宋_GB2312" w:cs="仿宋_GB2312"/>
                <w:color w:val="000000"/>
                <w:kern w:val="0"/>
                <w:sz w:val="20"/>
                <w:szCs w:val="20"/>
                <w:lang w:bidi="ar"/>
              </w:rPr>
              <w:t>安全质量</w:t>
            </w:r>
          </w:p>
        </w:tc>
        <w:tc>
          <w:tcPr>
            <w:tcW w:w="4535" w:type="dxa"/>
            <w:tcBorders>
              <w:top w:val="nil"/>
              <w:left w:val="nil"/>
              <w:bottom w:val="single" w:color="auto" w:sz="8" w:space="0"/>
              <w:right w:val="single" w:color="auto" w:sz="8" w:space="0"/>
            </w:tcBorders>
            <w:vAlign w:val="center"/>
          </w:tcPr>
          <w:p>
            <w:pPr>
              <w:widowControl/>
              <w:spacing w:line="280" w:lineRule="exact"/>
              <w:jc w:val="left"/>
              <w:textAlignment w:val="center"/>
              <w:rPr>
                <w:rFonts w:hint="eastAsia" w:ascii="仿宋_GB2312" w:hAnsi="宋体" w:eastAsia="仿宋_GB2312" w:cs="宋体"/>
                <w:b/>
                <w:bCs/>
                <w:kern w:val="0"/>
                <w:szCs w:val="21"/>
              </w:rPr>
            </w:pPr>
            <w:r>
              <w:rPr>
                <w:rFonts w:hint="eastAsia" w:ascii="仿宋_GB2312" w:hAnsi="仿宋_GB2312" w:eastAsia="仿宋_GB2312" w:cs="仿宋_GB2312"/>
                <w:color w:val="000000"/>
                <w:kern w:val="0"/>
                <w:sz w:val="20"/>
                <w:szCs w:val="20"/>
                <w:lang w:bidi="ar"/>
              </w:rPr>
              <w:t>发生责任原因造成运输航空事故、通用航空事故、空防事故及航空地面事故</w:t>
            </w:r>
          </w:p>
        </w:tc>
        <w:tc>
          <w:tcPr>
            <w:tcW w:w="7370" w:type="dxa"/>
            <w:tcBorders>
              <w:top w:val="nil"/>
              <w:left w:val="nil"/>
              <w:bottom w:val="single" w:color="auto" w:sz="8" w:space="0"/>
              <w:right w:val="single" w:color="auto" w:sz="8"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严重：扣1000分；较重：扣500分；一般：扣300分；轻微：扣200分。</w:t>
            </w:r>
          </w:p>
        </w:tc>
      </w:tr>
      <w:tr>
        <w:tblPrEx>
          <w:tblCellMar>
            <w:top w:w="0" w:type="dxa"/>
            <w:left w:w="108" w:type="dxa"/>
            <w:bottom w:w="0" w:type="dxa"/>
            <w:right w:w="108" w:type="dxa"/>
          </w:tblCellMar>
        </w:tblPrEx>
        <w:trPr>
          <w:trHeight w:val="567" w:hRule="exact"/>
        </w:trPr>
        <w:tc>
          <w:tcPr>
            <w:tcW w:w="923" w:type="dxa"/>
            <w:tcBorders>
              <w:top w:val="nil"/>
              <w:left w:val="single" w:color="auto" w:sz="8" w:space="0"/>
              <w:bottom w:val="single" w:color="auto" w:sz="8" w:space="0"/>
              <w:right w:val="single" w:color="auto" w:sz="8"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1.2</w:t>
            </w:r>
          </w:p>
        </w:tc>
        <w:tc>
          <w:tcPr>
            <w:tcW w:w="1417" w:type="dxa"/>
            <w:vMerge w:val="continue"/>
            <w:tcBorders>
              <w:left w:val="nil"/>
              <w:right w:val="single" w:color="auto" w:sz="8" w:space="0"/>
            </w:tcBorders>
            <w:vAlign w:val="center"/>
          </w:tcPr>
          <w:p>
            <w:pPr>
              <w:widowControl/>
              <w:rPr>
                <w:rFonts w:hint="eastAsia" w:ascii="仿宋_GB2312" w:hAnsi="宋体" w:eastAsia="仿宋_GB2312" w:cs="宋体"/>
                <w:kern w:val="0"/>
                <w:szCs w:val="21"/>
              </w:rPr>
            </w:pPr>
          </w:p>
        </w:tc>
        <w:tc>
          <w:tcPr>
            <w:tcW w:w="4535" w:type="dxa"/>
            <w:tcBorders>
              <w:top w:val="nil"/>
              <w:left w:val="nil"/>
              <w:bottom w:val="single" w:color="auto" w:sz="8" w:space="0"/>
              <w:right w:val="single" w:color="auto" w:sz="8"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发生责任原因的劫机、毁机事件</w:t>
            </w:r>
          </w:p>
        </w:tc>
        <w:tc>
          <w:tcPr>
            <w:tcW w:w="7370" w:type="dxa"/>
            <w:tcBorders>
              <w:top w:val="nil"/>
              <w:left w:val="nil"/>
              <w:bottom w:val="single" w:color="auto" w:sz="8" w:space="0"/>
              <w:right w:val="single" w:color="auto" w:sz="8"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严重：扣1000分；较重：扣500分；一般：扣300分；轻微：扣200分。</w:t>
            </w:r>
          </w:p>
        </w:tc>
      </w:tr>
      <w:tr>
        <w:tblPrEx>
          <w:tblCellMar>
            <w:top w:w="0" w:type="dxa"/>
            <w:left w:w="108" w:type="dxa"/>
            <w:bottom w:w="0" w:type="dxa"/>
            <w:right w:w="108" w:type="dxa"/>
          </w:tblCellMar>
        </w:tblPrEx>
        <w:trPr>
          <w:trHeight w:val="567" w:hRule="exact"/>
        </w:trPr>
        <w:tc>
          <w:tcPr>
            <w:tcW w:w="923" w:type="dxa"/>
            <w:tcBorders>
              <w:top w:val="nil"/>
              <w:left w:val="single" w:color="auto" w:sz="8" w:space="0"/>
              <w:bottom w:val="single" w:color="auto" w:sz="8" w:space="0"/>
              <w:right w:val="single" w:color="auto" w:sz="8"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1.3</w:t>
            </w:r>
          </w:p>
        </w:tc>
        <w:tc>
          <w:tcPr>
            <w:tcW w:w="1417" w:type="dxa"/>
            <w:vMerge w:val="continue"/>
            <w:tcBorders>
              <w:left w:val="nil"/>
              <w:right w:val="single" w:color="auto" w:sz="8" w:space="0"/>
            </w:tcBorders>
            <w:vAlign w:val="center"/>
          </w:tcPr>
          <w:p>
            <w:pPr>
              <w:widowControl/>
              <w:rPr>
                <w:rFonts w:hint="eastAsia" w:ascii="仿宋_GB2312" w:hAnsi="宋体" w:eastAsia="仿宋_GB2312" w:cs="宋体"/>
                <w:kern w:val="0"/>
                <w:szCs w:val="21"/>
              </w:rPr>
            </w:pPr>
          </w:p>
        </w:tc>
        <w:tc>
          <w:tcPr>
            <w:tcW w:w="4535" w:type="dxa"/>
            <w:tcBorders>
              <w:top w:val="nil"/>
              <w:left w:val="nil"/>
              <w:bottom w:val="single" w:color="auto" w:sz="8" w:space="0"/>
              <w:right w:val="single" w:color="auto" w:sz="8"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发生责任原因事故征候</w:t>
            </w:r>
          </w:p>
        </w:tc>
        <w:tc>
          <w:tcPr>
            <w:tcW w:w="7370" w:type="dxa"/>
            <w:tcBorders>
              <w:top w:val="nil"/>
              <w:left w:val="nil"/>
              <w:bottom w:val="single" w:color="auto" w:sz="8" w:space="0"/>
              <w:right w:val="single" w:color="auto" w:sz="8"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严重：扣500分；较重：扣400分；一般：扣300分；轻微：扣200分。</w:t>
            </w:r>
          </w:p>
        </w:tc>
      </w:tr>
      <w:tr>
        <w:tblPrEx>
          <w:tblCellMar>
            <w:top w:w="0" w:type="dxa"/>
            <w:left w:w="108" w:type="dxa"/>
            <w:bottom w:w="0" w:type="dxa"/>
            <w:right w:w="108" w:type="dxa"/>
          </w:tblCellMar>
        </w:tblPrEx>
        <w:trPr>
          <w:trHeight w:val="567" w:hRule="exact"/>
        </w:trPr>
        <w:tc>
          <w:tcPr>
            <w:tcW w:w="923" w:type="dxa"/>
            <w:tcBorders>
              <w:top w:val="nil"/>
              <w:left w:val="single" w:color="auto" w:sz="8" w:space="0"/>
              <w:bottom w:val="single" w:color="auto" w:sz="8" w:space="0"/>
              <w:right w:val="single" w:color="auto" w:sz="8"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1.4</w:t>
            </w:r>
          </w:p>
        </w:tc>
        <w:tc>
          <w:tcPr>
            <w:tcW w:w="1417" w:type="dxa"/>
            <w:vMerge w:val="continue"/>
            <w:tcBorders>
              <w:left w:val="nil"/>
              <w:right w:val="single" w:color="auto" w:sz="8" w:space="0"/>
            </w:tcBorders>
            <w:vAlign w:val="center"/>
          </w:tcPr>
          <w:p>
            <w:pPr>
              <w:widowControl/>
              <w:rPr>
                <w:rFonts w:hint="eastAsia" w:ascii="仿宋_GB2312" w:hAnsi="宋体" w:eastAsia="仿宋_GB2312" w:cs="宋体"/>
                <w:kern w:val="0"/>
                <w:szCs w:val="21"/>
              </w:rPr>
            </w:pPr>
          </w:p>
        </w:tc>
        <w:tc>
          <w:tcPr>
            <w:tcW w:w="4535" w:type="dxa"/>
            <w:tcBorders>
              <w:top w:val="nil"/>
              <w:left w:val="nil"/>
              <w:bottom w:val="single" w:color="auto" w:sz="8" w:space="0"/>
              <w:right w:val="single" w:color="auto" w:sz="8"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发生隔离区或场内交通事故</w:t>
            </w:r>
          </w:p>
        </w:tc>
        <w:tc>
          <w:tcPr>
            <w:tcW w:w="7370" w:type="dxa"/>
            <w:tcBorders>
              <w:top w:val="nil"/>
              <w:left w:val="nil"/>
              <w:bottom w:val="single" w:color="auto" w:sz="8" w:space="0"/>
              <w:right w:val="single" w:color="auto" w:sz="8"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严重：扣200分；较重：扣100分；一般：扣50分；轻微：扣4分。</w:t>
            </w:r>
          </w:p>
        </w:tc>
      </w:tr>
      <w:tr>
        <w:tblPrEx>
          <w:tblCellMar>
            <w:top w:w="0" w:type="dxa"/>
            <w:left w:w="108" w:type="dxa"/>
            <w:bottom w:w="0" w:type="dxa"/>
            <w:right w:w="108" w:type="dxa"/>
          </w:tblCellMar>
        </w:tblPrEx>
        <w:trPr>
          <w:trHeight w:val="567" w:hRule="exact"/>
        </w:trPr>
        <w:tc>
          <w:tcPr>
            <w:tcW w:w="923" w:type="dxa"/>
            <w:tcBorders>
              <w:top w:val="nil"/>
              <w:left w:val="single" w:color="auto" w:sz="8" w:space="0"/>
              <w:bottom w:val="single" w:color="auto" w:sz="8" w:space="0"/>
              <w:right w:val="single" w:color="auto" w:sz="8"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1.5</w:t>
            </w:r>
          </w:p>
        </w:tc>
        <w:tc>
          <w:tcPr>
            <w:tcW w:w="1417" w:type="dxa"/>
            <w:vMerge w:val="continue"/>
            <w:tcBorders>
              <w:left w:val="nil"/>
              <w:right w:val="single" w:color="auto" w:sz="8" w:space="0"/>
            </w:tcBorders>
            <w:vAlign w:val="center"/>
          </w:tcPr>
          <w:p>
            <w:pPr>
              <w:widowControl/>
              <w:rPr>
                <w:rFonts w:hint="eastAsia" w:ascii="仿宋_GB2312" w:hAnsi="宋体" w:eastAsia="仿宋_GB2312" w:cs="宋体"/>
                <w:kern w:val="0"/>
                <w:szCs w:val="21"/>
              </w:rPr>
            </w:pPr>
          </w:p>
        </w:tc>
        <w:tc>
          <w:tcPr>
            <w:tcW w:w="4535" w:type="dxa"/>
            <w:tcBorders>
              <w:top w:val="nil"/>
              <w:left w:val="nil"/>
              <w:bottom w:val="single" w:color="auto" w:sz="8" w:space="0"/>
              <w:right w:val="single" w:color="auto" w:sz="8"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发生员工工伤事故</w:t>
            </w:r>
          </w:p>
        </w:tc>
        <w:tc>
          <w:tcPr>
            <w:tcW w:w="7370" w:type="dxa"/>
            <w:tcBorders>
              <w:top w:val="nil"/>
              <w:left w:val="nil"/>
              <w:bottom w:val="single" w:color="auto" w:sz="8" w:space="0"/>
              <w:right w:val="single" w:color="auto" w:sz="8"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严重：扣100分；较重：扣80分；一般：扣50分；轻微：扣10分。</w:t>
            </w:r>
          </w:p>
        </w:tc>
      </w:tr>
      <w:tr>
        <w:tblPrEx>
          <w:tblCellMar>
            <w:top w:w="0" w:type="dxa"/>
            <w:left w:w="108" w:type="dxa"/>
            <w:bottom w:w="0" w:type="dxa"/>
            <w:right w:w="108" w:type="dxa"/>
          </w:tblCellMar>
        </w:tblPrEx>
        <w:trPr>
          <w:trHeight w:val="567" w:hRule="exact"/>
        </w:trPr>
        <w:tc>
          <w:tcPr>
            <w:tcW w:w="923" w:type="dxa"/>
            <w:tcBorders>
              <w:top w:val="nil"/>
              <w:left w:val="single" w:color="auto" w:sz="8" w:space="0"/>
              <w:bottom w:val="single" w:color="auto" w:sz="8" w:space="0"/>
              <w:right w:val="single" w:color="auto" w:sz="8"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1.6</w:t>
            </w:r>
          </w:p>
        </w:tc>
        <w:tc>
          <w:tcPr>
            <w:tcW w:w="1417" w:type="dxa"/>
            <w:vMerge w:val="continue"/>
            <w:tcBorders>
              <w:left w:val="nil"/>
              <w:right w:val="single" w:color="auto" w:sz="8" w:space="0"/>
            </w:tcBorders>
            <w:vAlign w:val="center"/>
          </w:tcPr>
          <w:p>
            <w:pPr>
              <w:widowControl/>
              <w:rPr>
                <w:rFonts w:hint="eastAsia" w:ascii="仿宋_GB2312" w:hAnsi="宋体" w:eastAsia="仿宋_GB2312" w:cs="宋体"/>
                <w:kern w:val="0"/>
                <w:szCs w:val="21"/>
              </w:rPr>
            </w:pPr>
          </w:p>
        </w:tc>
        <w:tc>
          <w:tcPr>
            <w:tcW w:w="4535" w:type="dxa"/>
            <w:tcBorders>
              <w:top w:val="nil"/>
              <w:left w:val="nil"/>
              <w:bottom w:val="single" w:color="auto" w:sz="8" w:space="0"/>
              <w:right w:val="single" w:color="auto" w:sz="8"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发生重大网络与信息安全事件</w:t>
            </w:r>
          </w:p>
        </w:tc>
        <w:tc>
          <w:tcPr>
            <w:tcW w:w="7370" w:type="dxa"/>
            <w:tcBorders>
              <w:top w:val="nil"/>
              <w:left w:val="nil"/>
              <w:bottom w:val="single" w:color="auto" w:sz="8" w:space="0"/>
              <w:right w:val="single" w:color="auto" w:sz="8"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严重：扣200分；较重：扣100分；一般：扣50分；轻微：扣4分。</w:t>
            </w:r>
          </w:p>
        </w:tc>
      </w:tr>
      <w:tr>
        <w:tblPrEx>
          <w:tblCellMar>
            <w:top w:w="0" w:type="dxa"/>
            <w:left w:w="108" w:type="dxa"/>
            <w:bottom w:w="0" w:type="dxa"/>
            <w:right w:w="108" w:type="dxa"/>
          </w:tblCellMar>
        </w:tblPrEx>
        <w:trPr>
          <w:trHeight w:val="567" w:hRule="exact"/>
        </w:trPr>
        <w:tc>
          <w:tcPr>
            <w:tcW w:w="923" w:type="dxa"/>
            <w:tcBorders>
              <w:top w:val="nil"/>
              <w:left w:val="single" w:color="auto" w:sz="8" w:space="0"/>
              <w:bottom w:val="single" w:color="auto" w:sz="4" w:space="0"/>
              <w:right w:val="single" w:color="auto" w:sz="8"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1.7</w:t>
            </w:r>
          </w:p>
        </w:tc>
        <w:tc>
          <w:tcPr>
            <w:tcW w:w="1417" w:type="dxa"/>
            <w:vMerge w:val="continue"/>
            <w:tcBorders>
              <w:left w:val="nil"/>
              <w:bottom w:val="single" w:color="auto" w:sz="4" w:space="0"/>
              <w:right w:val="single" w:color="auto" w:sz="8" w:space="0"/>
            </w:tcBorders>
            <w:vAlign w:val="center"/>
          </w:tcPr>
          <w:p>
            <w:pPr>
              <w:widowControl/>
              <w:rPr>
                <w:rFonts w:hint="eastAsia" w:ascii="仿宋_GB2312" w:hAnsi="宋体" w:eastAsia="仿宋_GB2312" w:cs="宋体"/>
                <w:kern w:val="0"/>
                <w:szCs w:val="21"/>
              </w:rPr>
            </w:pPr>
          </w:p>
        </w:tc>
        <w:tc>
          <w:tcPr>
            <w:tcW w:w="4535" w:type="dxa"/>
            <w:tcBorders>
              <w:top w:val="nil"/>
              <w:left w:val="nil"/>
              <w:bottom w:val="single" w:color="auto" w:sz="4" w:space="0"/>
              <w:right w:val="single" w:color="auto" w:sz="8"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发生综合治理案件</w:t>
            </w:r>
          </w:p>
        </w:tc>
        <w:tc>
          <w:tcPr>
            <w:tcW w:w="7370" w:type="dxa"/>
            <w:tcBorders>
              <w:top w:val="nil"/>
              <w:left w:val="nil"/>
              <w:bottom w:val="single" w:color="auto" w:sz="4" w:space="0"/>
              <w:right w:val="single" w:color="auto" w:sz="8"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严重：扣200分；较重：扣100分；一般：扣50分；轻微：扣4分。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1.8</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发生内部治安保卫案件</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严重：扣200分；较重：扣100分；一般：扣50分；轻微：扣4分。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1.9</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发生责任原因造成的货物、邮件装卸及运输等不安全事件</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严重：扣500分；较重：扣300分；一般：扣50分；轻微：扣4分。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1.10</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安全质量</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因责任原因发生锂电池及危险品运输安全事件</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严重：扣100分；较重：扣50分；一般：扣20分；轻微：扣10分。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1.11</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发生大小火灾事故（或不安全事件）和事故苗头发生。</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严重：扣1000分；较重：扣500分；一般：扣20分；轻微：扣4分。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 xml:space="preserve">1.12 </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发生责任原因造成的其他不安全事件</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严重：扣1000分；较重：扣500分；一般：扣20分；轻微：扣10分。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 xml:space="preserve">1.13 </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安全问题整改合格率未达到100%</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严重：扣50分；较重：扣40分；一般：扣30分；轻微：扣20分。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 xml:space="preserve">1.14 </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装卸设施设备检查维护率未达到100%</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严重：扣50分；较重：扣30分；一般：扣20分；轻微：扣10分。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 xml:space="preserve">1.15 </w:t>
            </w:r>
          </w:p>
        </w:tc>
        <w:tc>
          <w:tcPr>
            <w:tcW w:w="1417" w:type="dxa"/>
            <w:vMerge w:val="continue"/>
            <w:tcBorders>
              <w:top w:val="single" w:color="auto" w:sz="4" w:space="0"/>
              <w:left w:val="nil"/>
              <w:right w:val="single" w:color="auto" w:sz="8"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发生责任原因的顾客服务投诉事件和社会高度关注的服务质量事件</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 xml:space="preserve">1.16 </w:t>
            </w:r>
          </w:p>
        </w:tc>
        <w:tc>
          <w:tcPr>
            <w:tcW w:w="1417" w:type="dxa"/>
            <w:vMerge w:val="continue"/>
            <w:tcBorders>
              <w:left w:val="nil"/>
              <w:bottom w:val="single" w:color="auto" w:sz="4" w:space="0"/>
              <w:right w:val="single" w:color="auto" w:sz="8"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因为工作不到位,受到新闻单位在媒体上批评</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2.1</w:t>
            </w:r>
          </w:p>
        </w:tc>
        <w:tc>
          <w:tcPr>
            <w:tcW w:w="1417"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管理指标</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建立健全组织机构和管理体系，明确各岗位的职责和工作流程。</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严重：扣20分；较重：扣10分；一般：扣5分；轻微：扣1分。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2.2</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建立完整的业务人员培训教育体系，明确培训管理职能。</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严重：扣20分；较重：扣10分；一般：扣5分；轻微：扣1分。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2.3</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制定和落实培训制度和计划，确保业务人员具备相应的职业技能，持有上岗证书。</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严重：扣10分；较重：扣5分；一般：扣3分；轻微：扣1分。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2.4</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签订“安全、服务责任书”、“综合治理目标责任书”、“库区消防责任书”，做到层层落实，将责任分解落实到岗位和人员。</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严重：扣20分；较重：扣15分；一般：扣10分；轻微：扣5分。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建立内部监督检查制度，设立工作标准。</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严重：扣3分；较重：扣2分；一般：扣1分；轻微：扣0.5分。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2.6</w:t>
            </w:r>
          </w:p>
        </w:tc>
        <w:tc>
          <w:tcPr>
            <w:tcW w:w="1417" w:type="dxa"/>
            <w:vMerge w:val="continue"/>
            <w:tcBorders>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有专门的监督检查部门或人员，有详细的检查计划和检查标准，并保障计划的实施。</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严重：扣3分；较重：扣2分；一般：扣1分；轻微：扣0.5分。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2.7</w:t>
            </w:r>
          </w:p>
        </w:tc>
        <w:tc>
          <w:tcPr>
            <w:tcW w:w="1417"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管理指标</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制订符合代理业务的操作手册。</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严重：扣10分；较重：扣8分；一般：扣4分；轻微：扣2分。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2.8</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妥善存放现行手册、颁布的规章以及其他与所代理业务相关的文件。</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严重：扣3分；较重：扣2分；一般：扣1分；轻微：扣0.5分。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2.9</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制订手册分发保管制度，确保在各岗位的工作人员方便查用业务手册。</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严重：扣3分；较重：扣2分；一般：扣1分；轻微：扣0.5分。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2.10</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指定专人负责制定和修改操作手册及相关指引文件。</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严重：扣2分；较重：扣1.5分；一般：扣1分；轻微：扣0.5分。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2.11</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建立安全、服务记录保存制度，对发生的不安全、投诉事件的记录至少保存两年。</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严重：扣3分；较重：扣2分；一般：扣1分；轻微：扣0.5分。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2.12</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建立不安全事件逐级上报制度，不得瞒报、谎报和缓报有关安全信息。</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严重：扣5分；较重：扣4分；一般：扣3分；轻微：扣1分。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2.13</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根据不安全、服务投诉事件所反应出的问题制订整改措施，并检查落实，对员工开展培训教育，同时保存相应记录。</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严重：扣5分；较重：扣4分；一般：扣3分；轻微：扣1分。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2.14</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建立培训纪录档案，记载员工的培训以及考核情况，对记录进行保存并便于查阅；</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严重：扣3分；较重：扣2分；一般：扣1分；轻微：扣0.5分。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2.15</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员工上岗前经过业务培训并取得上岗证书；</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严重：扣3分；较重：扣2分；一般：扣1分；轻微：扣0.5分。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2.16</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对在岗的工作人员至少每年进行一次定期复训，不断提高业务技能；</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严重：扣3分；较重：扣2分；一般：扣1分；轻微：扣0.5分。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2.17</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员工换岗前针对新岗位进行培训。</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严重：扣3分；较重：扣2分；一般：扣1分；轻微：扣0.5分。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2.18</w:t>
            </w:r>
          </w:p>
        </w:tc>
        <w:tc>
          <w:tcPr>
            <w:tcW w:w="1417" w:type="dxa"/>
            <w:vMerge w:val="continue"/>
            <w:tcBorders>
              <w:left w:val="single" w:color="auto" w:sz="4" w:space="0"/>
              <w:bottom w:val="single" w:color="auto" w:sz="4" w:space="0"/>
              <w:right w:val="single" w:color="auto" w:sz="4" w:space="0"/>
            </w:tcBorders>
            <w:vAlign w:val="center"/>
          </w:tcPr>
          <w:p>
            <w:pPr>
              <w:widowControl/>
              <w:rPr>
                <w:rFonts w:ascii="仿宋_GB2312" w:hAnsi="宋体" w:eastAsia="仿宋_GB2312" w:cs="宋体"/>
                <w:b/>
                <w:bCs/>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ascii="仿宋_GB2312" w:hAnsi="宋体" w:eastAsia="仿宋_GB2312" w:cs="宋体"/>
                <w:b/>
                <w:bCs/>
                <w:kern w:val="0"/>
                <w:szCs w:val="21"/>
              </w:rPr>
            </w:pPr>
            <w:r>
              <w:rPr>
                <w:rFonts w:hint="eastAsia" w:ascii="仿宋_GB2312" w:hAnsi="仿宋_GB2312" w:eastAsia="仿宋_GB2312" w:cs="仿宋_GB2312"/>
                <w:color w:val="000000"/>
                <w:kern w:val="0"/>
                <w:sz w:val="20"/>
                <w:szCs w:val="20"/>
                <w:lang w:bidi="ar"/>
              </w:rPr>
              <w:t>不断完善培训内容，以确保培训内容符合现行规章、标准、程序等业务规范。</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rFonts w:hint="eastAsia" w:ascii="仿宋_GB2312" w:hAnsi="仿宋_GB2312" w:eastAsia="仿宋_GB2312" w:cs="仿宋_GB2312"/>
                <w:color w:val="000000"/>
                <w:kern w:val="0"/>
                <w:sz w:val="20"/>
                <w:szCs w:val="20"/>
                <w:lang w:bidi="ar"/>
              </w:rPr>
              <w:t>严重：扣5分；较重：扣4分；一般：扣3分；轻微：扣1分。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2.19</w:t>
            </w:r>
          </w:p>
        </w:tc>
        <w:tc>
          <w:tcPr>
            <w:tcW w:w="1417"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管理指标</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制订应急处置预案，明确突发事件发生时的处理措施和步骤。</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严重：扣3分；较重：扣2分；一般：扣1分；轻微：扣0.5分。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2.20</w:t>
            </w:r>
          </w:p>
        </w:tc>
        <w:tc>
          <w:tcPr>
            <w:tcW w:w="1417" w:type="dxa"/>
            <w:vMerge w:val="continue"/>
            <w:tcBorders>
              <w:left w:val="single" w:color="auto" w:sz="4" w:space="0"/>
              <w:right w:val="single" w:color="auto" w:sz="4" w:space="0"/>
            </w:tcBorders>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制订应急处置演练计划，并定期进行应急处置演练，确保发生突发事件时能够做出及时反应和适当处理。</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严重：扣3分；较重：扣2分；一般：扣1分；轻微：扣0.5分。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2.21</w:t>
            </w:r>
          </w:p>
        </w:tc>
        <w:tc>
          <w:tcPr>
            <w:tcW w:w="1417" w:type="dxa"/>
            <w:vMerge w:val="continue"/>
            <w:tcBorders>
              <w:left w:val="single" w:color="auto" w:sz="4" w:space="0"/>
              <w:right w:val="single" w:color="auto" w:sz="4" w:space="0"/>
            </w:tcBorders>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事件/事故纪录应当至少保存两年。</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严重：扣2分；较重：扣1.5分；一般：扣1分；轻微：扣0.5分。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2.22</w:t>
            </w:r>
          </w:p>
        </w:tc>
        <w:tc>
          <w:tcPr>
            <w:tcW w:w="1417" w:type="dxa"/>
            <w:vMerge w:val="continue"/>
            <w:tcBorders>
              <w:left w:val="single" w:color="auto" w:sz="4" w:space="0"/>
              <w:right w:val="single" w:color="auto" w:sz="4" w:space="0"/>
            </w:tcBorders>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应合理安排人员，按时按质完成工作任务。</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严重：扣100分；较重：扣80分；一般：扣50分；轻微：扣3分。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2.23</w:t>
            </w:r>
          </w:p>
        </w:tc>
        <w:tc>
          <w:tcPr>
            <w:tcW w:w="1417" w:type="dxa"/>
            <w:vMerge w:val="continue"/>
            <w:tcBorders>
              <w:left w:val="single" w:color="auto" w:sz="4" w:space="0"/>
              <w:right w:val="single" w:color="auto" w:sz="4" w:space="0"/>
            </w:tcBorders>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违法用工以及发生劳动纠纷或内部予盾构成社会影响或影响甲方正常运行的</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严重：扣100分；较重：扣80分；一般：扣50分；轻微：扣3分。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2.24</w:t>
            </w:r>
          </w:p>
        </w:tc>
        <w:tc>
          <w:tcPr>
            <w:tcW w:w="1417" w:type="dxa"/>
            <w:vMerge w:val="continue"/>
            <w:tcBorders>
              <w:left w:val="single" w:color="auto" w:sz="4" w:space="0"/>
              <w:right w:val="single" w:color="auto" w:sz="4" w:space="0"/>
            </w:tcBorders>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违法违规运营给甲方造成影响的</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严重：扣500分；较重：扣300分；一般：扣50分；轻微：扣4分。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2.25</w:t>
            </w:r>
          </w:p>
        </w:tc>
        <w:tc>
          <w:tcPr>
            <w:tcW w:w="1417" w:type="dxa"/>
            <w:vMerge w:val="continue"/>
            <w:tcBorders>
              <w:left w:val="single" w:color="auto" w:sz="4" w:space="0"/>
              <w:right w:val="single" w:color="auto" w:sz="4" w:space="0"/>
            </w:tcBorders>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定期召开讲评会议，及时向全员传达各项安全服务规定和工作要求，做好员工的安全思想教育，做好会议记录，并要求全员签字。</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严重：扣50分；较重：扣30分；一般：扣10分；轻微：扣1分。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2.26</w:t>
            </w:r>
          </w:p>
        </w:tc>
        <w:tc>
          <w:tcPr>
            <w:tcW w:w="1417" w:type="dxa"/>
            <w:vMerge w:val="continue"/>
            <w:tcBorders>
              <w:left w:val="single" w:color="auto" w:sz="4" w:space="0"/>
              <w:right w:val="single" w:color="auto" w:sz="4" w:space="0"/>
            </w:tcBorders>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其它违反法律法规或各类管理规定的</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2.27</w:t>
            </w:r>
          </w:p>
        </w:tc>
        <w:tc>
          <w:tcPr>
            <w:tcW w:w="1417"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乙方未向甲方申报所有装卸人员个人资料（含无犯罪证明、身体健康证明等）</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严重：扣500分；较重：扣300分；一般：扣50分；轻微：扣4分。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3.1</w:t>
            </w:r>
          </w:p>
        </w:tc>
        <w:tc>
          <w:tcPr>
            <w:tcW w:w="1417"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日常操作类</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0"/>
                <w:szCs w:val="20"/>
                <w:lang w:bidi="ar"/>
              </w:rPr>
            </w:pPr>
            <w:r>
              <w:rPr>
                <w:rFonts w:hint="eastAsia" w:ascii="仿宋_GB2312" w:hAnsi="宋体" w:eastAsia="仿宋_GB2312" w:cs="宋体"/>
                <w:kern w:val="0"/>
                <w:szCs w:val="21"/>
              </w:rPr>
              <w:t>对本月内，周检查单发现的问题进行再次检查，仍未完成整改。</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0"/>
                <w:szCs w:val="20"/>
                <w:lang w:bidi="ar"/>
              </w:rPr>
            </w:pPr>
            <w:r>
              <w:rPr>
                <w:rFonts w:hint="eastAsia" w:ascii="仿宋_GB2312" w:hAnsi="宋体" w:eastAsia="仿宋_GB2312" w:cs="宋体"/>
                <w:kern w:val="0"/>
                <w:szCs w:val="21"/>
              </w:rPr>
              <w:t>严重：扣10分；较重：扣5分；一般：扣3分；轻微：扣1分/次</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1417"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0"/>
                <w:szCs w:val="20"/>
                <w:lang w:bidi="ar"/>
              </w:rPr>
            </w:pPr>
            <w:r>
              <w:rPr>
                <w:rFonts w:hint="eastAsia" w:ascii="仿宋_GB2312" w:hAnsi="宋体" w:eastAsia="仿宋_GB2312" w:cs="宋体"/>
                <w:kern w:val="0"/>
                <w:szCs w:val="21"/>
              </w:rPr>
              <w:t>在检查中发现的其他日常操作类的问题。</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0"/>
                <w:szCs w:val="20"/>
                <w:lang w:bidi="ar"/>
              </w:rPr>
            </w:pPr>
            <w:r>
              <w:rPr>
                <w:rFonts w:hint="eastAsia" w:ascii="仿宋_GB2312" w:hAnsi="宋体" w:eastAsia="仿宋_GB2312" w:cs="宋体"/>
                <w:kern w:val="0"/>
                <w:szCs w:val="21"/>
              </w:rPr>
              <w:t>严重：扣10分；较重：扣5分；一般：扣3分；轻微：扣1分/次</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3.3</w:t>
            </w:r>
          </w:p>
        </w:tc>
        <w:tc>
          <w:tcPr>
            <w:tcW w:w="1417"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保障航班时，因装卸员不作为，造成后果的。</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严重：扣4分；较重：扣3分；一般：扣2分；轻微：扣1分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日常操作类</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按月统计，因责任原因累计拉货，给甲方单位造成影响的。</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每0.1吨扣0.1分</w:t>
            </w:r>
          </w:p>
        </w:tc>
      </w:tr>
    </w:tbl>
    <w:p>
      <w:pPr>
        <w:pStyle w:val="33"/>
        <w:adjustRightInd w:val="0"/>
        <w:snapToGrid w:val="0"/>
        <w:spacing w:line="228" w:lineRule="auto"/>
        <w:ind w:firstLine="0" w:firstLineChars="0"/>
        <w:rPr>
          <w:rFonts w:hint="eastAsia" w:ascii="仿宋_GB2312" w:hAnsi="仿宋_GB2312" w:eastAsia="仿宋_GB2312" w:cs="宋体"/>
          <w:color w:val="FF0000"/>
          <w:kern w:val="0"/>
        </w:rPr>
      </w:pPr>
    </w:p>
    <w:p>
      <w:pPr>
        <w:pStyle w:val="33"/>
        <w:adjustRightInd w:val="0"/>
        <w:snapToGrid w:val="0"/>
        <w:spacing w:line="380" w:lineRule="exact"/>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注：</w:t>
      </w:r>
    </w:p>
    <w:p>
      <w:pPr>
        <w:pStyle w:val="53"/>
        <w:tabs>
          <w:tab w:val="left" w:pos="452"/>
        </w:tabs>
        <w:spacing w:after="0" w:line="380" w:lineRule="exact"/>
        <w:rPr>
          <w:rFonts w:hint="eastAsia" w:ascii="仿宋_GB2312" w:hAnsi="仿宋_GB2312" w:eastAsia="仿宋_GB2312" w:cs="仿宋_GB2312"/>
          <w:sz w:val="24"/>
          <w:szCs w:val="24"/>
        </w:rPr>
      </w:pPr>
      <w:bookmarkStart w:id="2" w:name="bookmark20"/>
      <w:r>
        <w:rPr>
          <w:rFonts w:hint="eastAsia" w:ascii="仿宋_GB2312" w:hAnsi="仿宋_GB2312" w:eastAsia="仿宋_GB2312" w:cs="仿宋_GB2312"/>
          <w:color w:val="000000"/>
          <w:sz w:val="24"/>
          <w:szCs w:val="24"/>
        </w:rPr>
        <w:t>一</w:t>
      </w:r>
      <w:bookmarkEnd w:id="2"/>
      <w:r>
        <w:rPr>
          <w:rFonts w:hint="eastAsia" w:ascii="仿宋_GB2312" w:hAnsi="仿宋_GB2312" w:eastAsia="仿宋_GB2312" w:cs="仿宋_GB2312"/>
          <w:color w:val="000000"/>
          <w:sz w:val="24"/>
          <w:szCs w:val="24"/>
        </w:rPr>
        <w:t>、安全质量指标</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严重：发生重大不安全事故或突破指标的不安全事件；</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较重：导致较重后果或负面影响范围扩大到公司层级的各类事件；</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一般：未造成事实、未导致后果的，一个考核周期内连续发生次数</w:t>
      </w:r>
      <w:r>
        <w:rPr>
          <w:rFonts w:hint="eastAsia" w:ascii="仿宋_GB2312" w:hAnsi="仿宋_GB2312" w:eastAsia="仿宋_GB2312" w:cs="仿宋_GB2312"/>
          <w:sz w:val="24"/>
          <w:szCs w:val="24"/>
          <w:lang w:eastAsia="zh-CN"/>
        </w:rPr>
        <w:t>≥3</w:t>
      </w:r>
      <w:r>
        <w:rPr>
          <w:rFonts w:hint="eastAsia" w:ascii="仿宋_GB2312" w:hAnsi="仿宋_GB2312" w:eastAsia="仿宋_GB2312" w:cs="仿宋_GB2312"/>
          <w:color w:val="000000"/>
          <w:sz w:val="24"/>
          <w:szCs w:val="24"/>
        </w:rPr>
        <w:t>次</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轻微：未造成事实、未导致后果的，一个考核周期内连续发生</w:t>
      </w:r>
      <w:r>
        <w:rPr>
          <w:rFonts w:hint="eastAsia" w:ascii="仿宋_GB2312" w:hAnsi="仿宋_GB2312" w:eastAsia="仿宋_GB2312" w:cs="仿宋_GB2312"/>
          <w:color w:val="000000"/>
          <w:sz w:val="24"/>
          <w:szCs w:val="24"/>
          <w:lang w:val="zh-CN" w:eastAsia="zh-CN" w:bidi="zh-CN"/>
        </w:rPr>
        <w:t>次数</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color w:val="000000"/>
          <w:sz w:val="24"/>
          <w:szCs w:val="24"/>
        </w:rPr>
        <w:t>次</w:t>
      </w:r>
    </w:p>
    <w:p>
      <w:pPr>
        <w:pStyle w:val="53"/>
        <w:tabs>
          <w:tab w:val="left" w:pos="459"/>
        </w:tabs>
        <w:spacing w:after="0" w:line="380" w:lineRule="exact"/>
        <w:rPr>
          <w:rFonts w:hint="eastAsia" w:ascii="仿宋_GB2312" w:hAnsi="仿宋_GB2312" w:eastAsia="仿宋_GB2312" w:cs="仿宋_GB2312"/>
          <w:sz w:val="24"/>
          <w:szCs w:val="24"/>
        </w:rPr>
      </w:pPr>
      <w:bookmarkStart w:id="3" w:name="bookmark21"/>
      <w:r>
        <w:rPr>
          <w:rFonts w:hint="eastAsia" w:ascii="仿宋_GB2312" w:hAnsi="仿宋_GB2312" w:eastAsia="仿宋_GB2312" w:cs="仿宋_GB2312"/>
          <w:color w:val="000000"/>
          <w:sz w:val="24"/>
          <w:szCs w:val="24"/>
        </w:rPr>
        <w:t>二</w:t>
      </w:r>
      <w:bookmarkEnd w:id="3"/>
      <w:r>
        <w:rPr>
          <w:rFonts w:hint="eastAsia" w:ascii="仿宋_GB2312" w:hAnsi="仿宋_GB2312" w:eastAsia="仿宋_GB2312" w:cs="仿宋_GB2312"/>
          <w:color w:val="000000"/>
          <w:sz w:val="24"/>
          <w:szCs w:val="24"/>
        </w:rPr>
        <w:t>、管理指标</w:t>
      </w:r>
    </w:p>
    <w:p>
      <w:pPr>
        <w:pStyle w:val="53"/>
        <w:spacing w:after="0" w:line="38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严重：发生重大不安全事件或事故隐患、突破安全指标、未建立相关台账或现场管理混乱、违反监管单位规章制度且造成后果的；</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较重：导致较重后果的，影响范围扩大到公司层级的各类事件；</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一般：未完善相关台账记录，违反但未造成后果的，一个考核周期内连续发生次数</w:t>
      </w:r>
      <w:r>
        <w:rPr>
          <w:rFonts w:hint="eastAsia" w:ascii="仿宋_GB2312" w:hAnsi="仿宋_GB2312" w:eastAsia="仿宋_GB2312" w:cs="仿宋_GB2312"/>
          <w:sz w:val="24"/>
          <w:szCs w:val="24"/>
          <w:lang w:eastAsia="zh-CN"/>
        </w:rPr>
        <w:t>≥3</w:t>
      </w:r>
      <w:r>
        <w:rPr>
          <w:rFonts w:hint="eastAsia" w:ascii="仿宋_GB2312" w:hAnsi="仿宋_GB2312" w:eastAsia="仿宋_GB2312" w:cs="仿宋_GB2312"/>
          <w:color w:val="000000"/>
          <w:sz w:val="24"/>
          <w:szCs w:val="24"/>
        </w:rPr>
        <w:t>次</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轻微：违反但未造成后果的，一个考核周期内连续发生次数</w:t>
      </w:r>
      <w:r>
        <w:rPr>
          <w:rFonts w:hint="eastAsia" w:ascii="仿宋_GB2312" w:hAnsi="仿宋_GB2312" w:eastAsia="仿宋_GB2312" w:cs="仿宋_GB2312"/>
          <w:sz w:val="24"/>
          <w:szCs w:val="24"/>
        </w:rPr>
        <w:t>≦2</w:t>
      </w:r>
      <w:r>
        <w:rPr>
          <w:rFonts w:hint="eastAsia" w:ascii="仿宋_GB2312" w:hAnsi="仿宋_GB2312" w:eastAsia="仿宋_GB2312" w:cs="仿宋_GB2312"/>
          <w:color w:val="000000"/>
          <w:sz w:val="24"/>
          <w:szCs w:val="24"/>
        </w:rPr>
        <w:t>次</w:t>
      </w:r>
    </w:p>
    <w:p>
      <w:pPr>
        <w:pStyle w:val="53"/>
        <w:tabs>
          <w:tab w:val="left" w:pos="459"/>
        </w:tabs>
        <w:spacing w:after="0" w:line="380" w:lineRule="exact"/>
        <w:rPr>
          <w:rFonts w:hint="eastAsia" w:ascii="仿宋_GB2312" w:hAnsi="仿宋_GB2312" w:eastAsia="仿宋_GB2312" w:cs="仿宋_GB2312"/>
          <w:sz w:val="24"/>
          <w:szCs w:val="24"/>
        </w:rPr>
      </w:pPr>
      <w:bookmarkStart w:id="4" w:name="bookmark22"/>
      <w:r>
        <w:rPr>
          <w:rFonts w:hint="eastAsia" w:ascii="仿宋_GB2312" w:hAnsi="仿宋_GB2312" w:eastAsia="仿宋_GB2312" w:cs="仿宋_GB2312"/>
          <w:color w:val="000000"/>
          <w:sz w:val="24"/>
          <w:szCs w:val="24"/>
        </w:rPr>
        <w:t>三</w:t>
      </w:r>
      <w:bookmarkEnd w:id="4"/>
      <w:r>
        <w:rPr>
          <w:rFonts w:hint="eastAsia" w:ascii="仿宋_GB2312" w:hAnsi="仿宋_GB2312" w:eastAsia="仿宋_GB2312" w:cs="仿宋_GB2312"/>
          <w:color w:val="000000"/>
          <w:sz w:val="24"/>
          <w:szCs w:val="24"/>
        </w:rPr>
        <w:t>、日常操</w:t>
      </w:r>
      <w:r>
        <w:rPr>
          <w:rFonts w:hint="eastAsia" w:ascii="仿宋_GB2312" w:hAnsi="仿宋_GB2312" w:eastAsia="仿宋_GB2312" w:cs="仿宋_GB2312"/>
          <w:color w:val="000000"/>
          <w:sz w:val="24"/>
          <w:szCs w:val="24"/>
          <w:lang w:val="zh-CN" w:eastAsia="zh-CN" w:bidi="zh-CN"/>
        </w:rPr>
        <w:t>作类.</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Hans"/>
        </w:rPr>
        <w:t>严重</w:t>
      </w:r>
      <w:r>
        <w:rPr>
          <w:rFonts w:hint="eastAsia" w:ascii="仿宋_GB2312" w:hAnsi="仿宋_GB2312" w:eastAsia="仿宋_GB2312" w:cs="仿宋_GB2312"/>
          <w:color w:val="000000"/>
          <w:sz w:val="24"/>
          <w:szCs w:val="24"/>
          <w:lang w:eastAsia="zh-Hans"/>
        </w:rPr>
        <w:t>：</w:t>
      </w:r>
      <w:r>
        <w:rPr>
          <w:rFonts w:hint="eastAsia" w:ascii="仿宋_GB2312" w:hAnsi="仿宋_GB2312" w:eastAsia="仿宋_GB2312" w:cs="仿宋_GB2312"/>
          <w:color w:val="000000"/>
          <w:sz w:val="24"/>
          <w:szCs w:val="24"/>
        </w:rPr>
        <w:t>导致严重后果的，影响范围扩大到集团公司层级及以上的；</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较重：导致较重后果的，影响范围扩大到公司层级的；</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一般：导致后果的，影响范围控制在部门层级的；</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轻微：未造成后果，但违反相关规定，</w:t>
      </w:r>
      <w:r>
        <w:rPr>
          <w:rFonts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分/次。</w:t>
      </w:r>
    </w:p>
    <w:p>
      <w:pPr>
        <w:pStyle w:val="53"/>
        <w:spacing w:after="0" w:line="380" w:lineRule="exact"/>
        <w:rPr>
          <w:rFonts w:hint="eastAsia" w:ascii="仿宋_GB2312" w:hAnsi="仿宋_GB2312" w:eastAsia="仿宋_GB2312" w:cs="仿宋_GB2312"/>
          <w:sz w:val="24"/>
          <w:szCs w:val="24"/>
        </w:rPr>
        <w:sectPr>
          <w:headerReference r:id="rId9" w:type="default"/>
          <w:footerReference r:id="rId10" w:type="default"/>
          <w:pgSz w:w="16840" w:h="11900" w:orient="landscape"/>
          <w:pgMar w:top="1805" w:right="1270" w:bottom="1680" w:left="1306" w:header="1377" w:footer="3" w:gutter="0"/>
          <w:cols w:space="720" w:num="1"/>
          <w:docGrid w:linePitch="360" w:charSpace="0"/>
        </w:sectPr>
      </w:pPr>
      <w:r>
        <w:rPr>
          <w:rFonts w:hint="eastAsia" w:ascii="仿宋_GB2312" w:hAnsi="仿宋_GB2312" w:eastAsia="仿宋_GB2312" w:cs="仿宋_GB2312"/>
          <w:color w:val="000000"/>
          <w:sz w:val="24"/>
          <w:szCs w:val="24"/>
        </w:rPr>
        <w:t>以上扣分标准均在一个考核周期内。</w:t>
      </w:r>
    </w:p>
    <w:p>
      <w:pPr>
        <w:spacing w:line="560" w:lineRule="exact"/>
        <w:jc w:val="center"/>
        <w:rPr>
          <w:rFonts w:ascii="宋体" w:hAnsi="宋体"/>
          <w:b/>
          <w:sz w:val="36"/>
          <w:szCs w:val="36"/>
        </w:rPr>
      </w:pPr>
      <w:r>
        <w:rPr>
          <w:rFonts w:hint="eastAsia" w:ascii="宋体" w:hAnsi="宋体"/>
          <w:b/>
          <w:sz w:val="36"/>
          <w:szCs w:val="36"/>
        </w:rPr>
        <w:t>重庆空港航空地面服务有限公司机坪装卸业务外包周考核表</w:t>
      </w:r>
    </w:p>
    <w:p>
      <w:pPr>
        <w:rPr>
          <w:rFonts w:ascii="宋体" w:hAnsi="宋体"/>
          <w:sz w:val="24"/>
        </w:rPr>
      </w:pPr>
      <w:r>
        <w:rPr>
          <w:rFonts w:hint="eastAsia" w:ascii="宋体" w:hAnsi="宋体"/>
          <w:sz w:val="24"/>
        </w:rPr>
        <w:t>承包商：</w:t>
      </w:r>
      <w:r>
        <w:rPr>
          <w:rFonts w:hint="eastAsia" w:ascii="宋体" w:hAnsi="宋体"/>
          <w:sz w:val="24"/>
          <w:u w:val="single"/>
        </w:rPr>
        <w:t xml:space="preserve">               </w:t>
      </w:r>
      <w:r>
        <w:rPr>
          <w:rFonts w:hint="eastAsia" w:ascii="宋体" w:hAnsi="宋体"/>
          <w:sz w:val="24"/>
        </w:rPr>
        <w:t xml:space="preserve"> 监管部门：</w:t>
      </w:r>
      <w:r>
        <w:rPr>
          <w:rFonts w:hint="eastAsia" w:ascii="宋体" w:hAnsi="宋体"/>
          <w:sz w:val="24"/>
          <w:u w:val="single"/>
        </w:rPr>
        <w:t xml:space="preserve">                </w:t>
      </w:r>
      <w:r>
        <w:rPr>
          <w:rFonts w:hint="eastAsia" w:ascii="宋体" w:hAnsi="宋体"/>
          <w:sz w:val="24"/>
        </w:rPr>
        <w:t xml:space="preserve"> 考核时间段：_____年____月____日-____月____日 考核日期：___月___日</w:t>
      </w:r>
    </w:p>
    <w:p>
      <w:pPr>
        <w:rPr>
          <w:rFonts w:ascii="宋体" w:hAnsi="宋体"/>
          <w:sz w:val="24"/>
        </w:rPr>
      </w:pPr>
      <w:r>
        <w:rPr>
          <w:rFonts w:ascii="宋体" w:hAnsi="宋体"/>
          <w:sz w:val="24"/>
        </w:rPr>
        <w:t>一、绩效考核内容</w:t>
      </w:r>
    </w:p>
    <w:tbl>
      <w:tblPr>
        <w:tblStyle w:val="16"/>
        <w:tblW w:w="0" w:type="auto"/>
        <w:tblInd w:w="0" w:type="dxa"/>
        <w:tblLayout w:type="fixed"/>
        <w:tblCellMar>
          <w:top w:w="0" w:type="dxa"/>
          <w:left w:w="108" w:type="dxa"/>
          <w:bottom w:w="0" w:type="dxa"/>
          <w:right w:w="108" w:type="dxa"/>
        </w:tblCellMar>
      </w:tblPr>
      <w:tblGrid>
        <w:gridCol w:w="923"/>
        <w:gridCol w:w="1417"/>
        <w:gridCol w:w="4535"/>
        <w:gridCol w:w="7370"/>
      </w:tblGrid>
      <w:tr>
        <w:tblPrEx>
          <w:tblCellMar>
            <w:top w:w="0" w:type="dxa"/>
            <w:left w:w="108" w:type="dxa"/>
            <w:bottom w:w="0" w:type="dxa"/>
            <w:right w:w="108" w:type="dxa"/>
          </w:tblCellMar>
        </w:tblPrEx>
        <w:trPr>
          <w:trHeight w:val="567" w:hRule="exact"/>
        </w:trPr>
        <w:tc>
          <w:tcPr>
            <w:tcW w:w="923" w:type="dxa"/>
            <w:tcBorders>
              <w:top w:val="single" w:color="auto" w:sz="8" w:space="0"/>
              <w:left w:val="single" w:color="auto" w:sz="8" w:space="0"/>
              <w:bottom w:val="nil"/>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项目号</w:t>
            </w:r>
          </w:p>
        </w:tc>
        <w:tc>
          <w:tcPr>
            <w:tcW w:w="1417"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宋体" w:hAnsi="宋体" w:cs="宋体"/>
                <w:b/>
                <w:color w:val="000000"/>
                <w:kern w:val="0"/>
                <w:sz w:val="22"/>
                <w:szCs w:val="22"/>
                <w:lang w:bidi="ar"/>
              </w:rPr>
              <w:t>检查项目</w:t>
            </w:r>
          </w:p>
        </w:tc>
        <w:tc>
          <w:tcPr>
            <w:tcW w:w="4535" w:type="dxa"/>
            <w:tcBorders>
              <w:top w:val="single" w:color="auto" w:sz="8" w:space="0"/>
              <w:left w:val="nil"/>
              <w:bottom w:val="single" w:color="auto" w:sz="8" w:space="0"/>
              <w:right w:val="single" w:color="auto" w:sz="8" w:space="0"/>
            </w:tcBorders>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仿宋_GB2312"/>
                <w:b/>
                <w:color w:val="000000"/>
                <w:kern w:val="0"/>
                <w:szCs w:val="21"/>
                <w:lang w:bidi="ar"/>
              </w:rPr>
              <w:t>绩效考评内容</w:t>
            </w:r>
          </w:p>
        </w:tc>
        <w:tc>
          <w:tcPr>
            <w:tcW w:w="7370"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宋体" w:hAnsi="宋体" w:cs="宋体"/>
                <w:b/>
                <w:color w:val="000000"/>
                <w:kern w:val="0"/>
                <w:sz w:val="22"/>
                <w:szCs w:val="22"/>
                <w:lang w:bidi="ar"/>
              </w:rPr>
              <w:t>违反规定扣分标准</w:t>
            </w:r>
          </w:p>
        </w:tc>
      </w:tr>
      <w:tr>
        <w:tblPrEx>
          <w:tblCellMar>
            <w:top w:w="0" w:type="dxa"/>
            <w:left w:w="108" w:type="dxa"/>
            <w:bottom w:w="0" w:type="dxa"/>
            <w:right w:w="108" w:type="dxa"/>
          </w:tblCellMar>
        </w:tblPrEx>
        <w:trPr>
          <w:trHeight w:val="907" w:hRule="exact"/>
        </w:trPr>
        <w:tc>
          <w:tcPr>
            <w:tcW w:w="923"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仿宋_GB2312" w:hAnsi="宋体" w:eastAsia="仿宋_GB2312" w:cs="宋体"/>
                <w:b/>
                <w:bCs/>
                <w:kern w:val="0"/>
                <w:szCs w:val="21"/>
              </w:rPr>
            </w:pPr>
            <w:r>
              <w:rPr>
                <w:rFonts w:hint="eastAsia" w:ascii="仿宋_GB2312" w:hAnsi="仿宋_GB2312" w:eastAsia="仿宋_GB2312" w:cs="仿宋_GB2312"/>
                <w:color w:val="000000"/>
                <w:kern w:val="0"/>
                <w:sz w:val="20"/>
                <w:szCs w:val="20"/>
                <w:lang w:bidi="ar"/>
              </w:rPr>
              <w:t>1.1</w:t>
            </w:r>
          </w:p>
        </w:tc>
        <w:tc>
          <w:tcPr>
            <w:tcW w:w="1417" w:type="dxa"/>
            <w:vMerge w:val="restart"/>
            <w:tcBorders>
              <w:top w:val="nil"/>
              <w:left w:val="nil"/>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仿宋_GB2312" w:eastAsia="仿宋_GB2312" w:cs="仿宋_GB2312"/>
                <w:color w:val="000000"/>
                <w:kern w:val="0"/>
                <w:sz w:val="20"/>
                <w:szCs w:val="20"/>
                <w:lang w:bidi="ar"/>
              </w:rPr>
              <w:t>安全质量</w:t>
            </w:r>
          </w:p>
        </w:tc>
        <w:tc>
          <w:tcPr>
            <w:tcW w:w="4535" w:type="dxa"/>
            <w:tcBorders>
              <w:top w:val="nil"/>
              <w:left w:val="nil"/>
              <w:bottom w:val="single" w:color="auto" w:sz="8" w:space="0"/>
              <w:right w:val="single" w:color="auto" w:sz="8" w:space="0"/>
            </w:tcBorders>
            <w:vAlign w:val="center"/>
          </w:tcPr>
          <w:p>
            <w:pPr>
              <w:widowControl/>
              <w:spacing w:line="280" w:lineRule="exact"/>
              <w:jc w:val="left"/>
              <w:textAlignment w:val="center"/>
              <w:rPr>
                <w:rFonts w:hint="eastAsia" w:ascii="仿宋_GB2312" w:hAnsi="宋体" w:eastAsia="仿宋_GB2312" w:cs="宋体"/>
                <w:b/>
                <w:bCs/>
                <w:kern w:val="0"/>
                <w:szCs w:val="21"/>
              </w:rPr>
            </w:pPr>
            <w:r>
              <w:rPr>
                <w:rFonts w:hint="eastAsia" w:ascii="仿宋_GB2312" w:hAnsi="仿宋_GB2312" w:eastAsia="仿宋_GB2312" w:cs="仿宋_GB2312"/>
                <w:kern w:val="0"/>
                <w:sz w:val="20"/>
                <w:szCs w:val="20"/>
                <w:lang w:bidi="ar"/>
              </w:rPr>
              <w:t>违反控制区管理规定和发生员工违规进入隔离区或携带、传递违规违禁物品进入隔离区等空防安全事件</w:t>
            </w:r>
          </w:p>
        </w:tc>
        <w:tc>
          <w:tcPr>
            <w:tcW w:w="7370" w:type="dxa"/>
            <w:tcBorders>
              <w:top w:val="nil"/>
              <w:left w:val="nil"/>
              <w:bottom w:val="single" w:color="auto" w:sz="8" w:space="0"/>
              <w:right w:val="single" w:color="auto" w:sz="8"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567" w:hRule="exact"/>
        </w:trPr>
        <w:tc>
          <w:tcPr>
            <w:tcW w:w="923" w:type="dxa"/>
            <w:tcBorders>
              <w:top w:val="nil"/>
              <w:left w:val="single" w:color="auto" w:sz="8" w:space="0"/>
              <w:bottom w:val="single" w:color="auto" w:sz="8" w:space="0"/>
              <w:right w:val="single" w:color="auto" w:sz="8"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1.2</w:t>
            </w:r>
          </w:p>
        </w:tc>
        <w:tc>
          <w:tcPr>
            <w:tcW w:w="1417" w:type="dxa"/>
            <w:vMerge w:val="continue"/>
            <w:tcBorders>
              <w:left w:val="nil"/>
              <w:right w:val="single" w:color="auto" w:sz="8" w:space="0"/>
            </w:tcBorders>
            <w:vAlign w:val="center"/>
          </w:tcPr>
          <w:p>
            <w:pPr>
              <w:widowControl/>
              <w:rPr>
                <w:rFonts w:hint="eastAsia" w:ascii="仿宋_GB2312" w:hAnsi="宋体" w:eastAsia="仿宋_GB2312" w:cs="宋体"/>
                <w:kern w:val="0"/>
                <w:szCs w:val="21"/>
              </w:rPr>
            </w:pPr>
          </w:p>
        </w:tc>
        <w:tc>
          <w:tcPr>
            <w:tcW w:w="4535" w:type="dxa"/>
            <w:tcBorders>
              <w:top w:val="nil"/>
              <w:left w:val="nil"/>
              <w:bottom w:val="single" w:color="auto" w:sz="8" w:space="0"/>
              <w:right w:val="single" w:color="auto" w:sz="8"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发生偷窃货物、邮、行物品事件</w:t>
            </w:r>
          </w:p>
        </w:tc>
        <w:tc>
          <w:tcPr>
            <w:tcW w:w="7370" w:type="dxa"/>
            <w:tcBorders>
              <w:top w:val="nil"/>
              <w:left w:val="nil"/>
              <w:bottom w:val="single" w:color="auto" w:sz="8" w:space="0"/>
              <w:right w:val="single" w:color="auto" w:sz="8"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严重：扣200分；较重：扣100分；一般：扣50分；轻微：扣20分。</w:t>
            </w:r>
          </w:p>
        </w:tc>
      </w:tr>
      <w:tr>
        <w:tblPrEx>
          <w:tblCellMar>
            <w:top w:w="0" w:type="dxa"/>
            <w:left w:w="108" w:type="dxa"/>
            <w:bottom w:w="0" w:type="dxa"/>
            <w:right w:w="108" w:type="dxa"/>
          </w:tblCellMar>
        </w:tblPrEx>
        <w:trPr>
          <w:trHeight w:val="567" w:hRule="exact"/>
        </w:trPr>
        <w:tc>
          <w:tcPr>
            <w:tcW w:w="923" w:type="dxa"/>
            <w:tcBorders>
              <w:top w:val="nil"/>
              <w:left w:val="single" w:color="auto" w:sz="8" w:space="0"/>
              <w:bottom w:val="single" w:color="auto" w:sz="8" w:space="0"/>
              <w:right w:val="single" w:color="auto" w:sz="8"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1.3</w:t>
            </w:r>
          </w:p>
        </w:tc>
        <w:tc>
          <w:tcPr>
            <w:tcW w:w="1417" w:type="dxa"/>
            <w:vMerge w:val="continue"/>
            <w:tcBorders>
              <w:left w:val="nil"/>
              <w:right w:val="single" w:color="auto" w:sz="8" w:space="0"/>
            </w:tcBorders>
            <w:vAlign w:val="center"/>
          </w:tcPr>
          <w:p>
            <w:pPr>
              <w:widowControl/>
              <w:rPr>
                <w:rFonts w:hint="eastAsia" w:ascii="仿宋_GB2312" w:hAnsi="宋体" w:eastAsia="仿宋_GB2312" w:cs="宋体"/>
                <w:kern w:val="0"/>
                <w:szCs w:val="21"/>
              </w:rPr>
            </w:pPr>
          </w:p>
        </w:tc>
        <w:tc>
          <w:tcPr>
            <w:tcW w:w="4535" w:type="dxa"/>
            <w:tcBorders>
              <w:top w:val="nil"/>
              <w:left w:val="nil"/>
              <w:bottom w:val="single" w:color="auto" w:sz="8" w:space="0"/>
              <w:right w:val="single" w:color="auto" w:sz="8"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发生外包方责任原因引起的工作中断或业务停滞事件</w:t>
            </w:r>
          </w:p>
        </w:tc>
        <w:tc>
          <w:tcPr>
            <w:tcW w:w="7370" w:type="dxa"/>
            <w:tcBorders>
              <w:top w:val="nil"/>
              <w:left w:val="nil"/>
              <w:bottom w:val="single" w:color="auto" w:sz="8" w:space="0"/>
              <w:right w:val="single" w:color="auto" w:sz="8"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严重：扣100分；较重：扣500分；一般：扣200分；轻微：扣50分。</w:t>
            </w:r>
          </w:p>
        </w:tc>
      </w:tr>
      <w:tr>
        <w:tblPrEx>
          <w:tblCellMar>
            <w:top w:w="0" w:type="dxa"/>
            <w:left w:w="108" w:type="dxa"/>
            <w:bottom w:w="0" w:type="dxa"/>
            <w:right w:w="108" w:type="dxa"/>
          </w:tblCellMar>
        </w:tblPrEx>
        <w:trPr>
          <w:trHeight w:val="567" w:hRule="exact"/>
        </w:trPr>
        <w:tc>
          <w:tcPr>
            <w:tcW w:w="923" w:type="dxa"/>
            <w:tcBorders>
              <w:top w:val="nil"/>
              <w:left w:val="single" w:color="auto" w:sz="8" w:space="0"/>
              <w:bottom w:val="single" w:color="auto" w:sz="8" w:space="0"/>
              <w:right w:val="single" w:color="auto" w:sz="8"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1.4</w:t>
            </w:r>
          </w:p>
        </w:tc>
        <w:tc>
          <w:tcPr>
            <w:tcW w:w="1417" w:type="dxa"/>
            <w:vMerge w:val="continue"/>
            <w:tcBorders>
              <w:left w:val="nil"/>
              <w:right w:val="single" w:color="auto" w:sz="8" w:space="0"/>
            </w:tcBorders>
            <w:vAlign w:val="center"/>
          </w:tcPr>
          <w:p>
            <w:pPr>
              <w:widowControl/>
              <w:rPr>
                <w:rFonts w:hint="eastAsia" w:ascii="仿宋_GB2312" w:hAnsi="宋体" w:eastAsia="仿宋_GB2312" w:cs="宋体"/>
                <w:kern w:val="0"/>
                <w:szCs w:val="21"/>
              </w:rPr>
            </w:pPr>
          </w:p>
        </w:tc>
        <w:tc>
          <w:tcPr>
            <w:tcW w:w="4535" w:type="dxa"/>
            <w:tcBorders>
              <w:top w:val="nil"/>
              <w:left w:val="nil"/>
              <w:bottom w:val="single" w:color="auto" w:sz="8" w:space="0"/>
              <w:right w:val="single" w:color="auto" w:sz="8"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因责任原因造成航班延误。</w:t>
            </w:r>
          </w:p>
        </w:tc>
        <w:tc>
          <w:tcPr>
            <w:tcW w:w="7370" w:type="dxa"/>
            <w:tcBorders>
              <w:top w:val="nil"/>
              <w:left w:val="nil"/>
              <w:bottom w:val="single" w:color="auto" w:sz="8" w:space="0"/>
              <w:right w:val="single" w:color="auto" w:sz="8"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严重：扣50分；较重：扣40分；一般：扣20分；轻微：扣5分。</w:t>
            </w:r>
          </w:p>
        </w:tc>
      </w:tr>
      <w:tr>
        <w:tblPrEx>
          <w:tblCellMar>
            <w:top w:w="0" w:type="dxa"/>
            <w:left w:w="108" w:type="dxa"/>
            <w:bottom w:w="0" w:type="dxa"/>
            <w:right w:w="108" w:type="dxa"/>
          </w:tblCellMar>
        </w:tblPrEx>
        <w:trPr>
          <w:trHeight w:val="567" w:hRule="exact"/>
        </w:trPr>
        <w:tc>
          <w:tcPr>
            <w:tcW w:w="923" w:type="dxa"/>
            <w:tcBorders>
              <w:top w:val="nil"/>
              <w:left w:val="single" w:color="auto" w:sz="8" w:space="0"/>
              <w:bottom w:val="single" w:color="auto" w:sz="8" w:space="0"/>
              <w:right w:val="single" w:color="auto" w:sz="8"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1.5</w:t>
            </w:r>
          </w:p>
        </w:tc>
        <w:tc>
          <w:tcPr>
            <w:tcW w:w="1417" w:type="dxa"/>
            <w:vMerge w:val="continue"/>
            <w:tcBorders>
              <w:left w:val="nil"/>
              <w:right w:val="single" w:color="auto" w:sz="8" w:space="0"/>
            </w:tcBorders>
            <w:vAlign w:val="center"/>
          </w:tcPr>
          <w:p>
            <w:pPr>
              <w:widowControl/>
              <w:rPr>
                <w:rFonts w:hint="eastAsia" w:ascii="仿宋_GB2312" w:hAnsi="宋体" w:eastAsia="仿宋_GB2312" w:cs="宋体"/>
                <w:kern w:val="0"/>
                <w:szCs w:val="21"/>
              </w:rPr>
            </w:pPr>
          </w:p>
        </w:tc>
        <w:tc>
          <w:tcPr>
            <w:tcW w:w="4535" w:type="dxa"/>
            <w:tcBorders>
              <w:top w:val="nil"/>
              <w:left w:val="nil"/>
              <w:bottom w:val="single" w:color="auto" w:sz="8" w:space="0"/>
              <w:right w:val="single" w:color="auto" w:sz="8"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货物（行李）差错率≥1（票、件/万票、件）</w:t>
            </w:r>
          </w:p>
        </w:tc>
        <w:tc>
          <w:tcPr>
            <w:tcW w:w="7370" w:type="dxa"/>
            <w:tcBorders>
              <w:top w:val="nil"/>
              <w:left w:val="nil"/>
              <w:bottom w:val="single" w:color="auto" w:sz="8" w:space="0"/>
              <w:right w:val="single" w:color="auto" w:sz="8"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严重：扣30分；较重：扣20分；一般：扣10分；轻微：扣5分。</w:t>
            </w:r>
          </w:p>
        </w:tc>
      </w:tr>
      <w:tr>
        <w:tblPrEx>
          <w:tblCellMar>
            <w:top w:w="0" w:type="dxa"/>
            <w:left w:w="108" w:type="dxa"/>
            <w:bottom w:w="0" w:type="dxa"/>
            <w:right w:w="108" w:type="dxa"/>
          </w:tblCellMar>
        </w:tblPrEx>
        <w:trPr>
          <w:trHeight w:val="567" w:hRule="exact"/>
        </w:trPr>
        <w:tc>
          <w:tcPr>
            <w:tcW w:w="923" w:type="dxa"/>
            <w:tcBorders>
              <w:top w:val="nil"/>
              <w:left w:val="single" w:color="auto" w:sz="8" w:space="0"/>
              <w:bottom w:val="single" w:color="auto" w:sz="4" w:space="0"/>
              <w:right w:val="single" w:color="auto" w:sz="8"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1.6</w:t>
            </w:r>
          </w:p>
        </w:tc>
        <w:tc>
          <w:tcPr>
            <w:tcW w:w="1417" w:type="dxa"/>
            <w:vMerge w:val="continue"/>
            <w:tcBorders>
              <w:left w:val="nil"/>
              <w:right w:val="single" w:color="auto" w:sz="8" w:space="0"/>
            </w:tcBorders>
            <w:vAlign w:val="center"/>
          </w:tcPr>
          <w:p>
            <w:pPr>
              <w:widowControl/>
              <w:rPr>
                <w:rFonts w:hint="eastAsia" w:ascii="仿宋_GB2312" w:hAnsi="宋体" w:eastAsia="仿宋_GB2312" w:cs="宋体"/>
                <w:kern w:val="0"/>
                <w:szCs w:val="21"/>
              </w:rPr>
            </w:pPr>
          </w:p>
        </w:tc>
        <w:tc>
          <w:tcPr>
            <w:tcW w:w="4535" w:type="dxa"/>
            <w:tcBorders>
              <w:top w:val="nil"/>
              <w:left w:val="nil"/>
              <w:bottom w:val="single" w:color="auto" w:sz="4" w:space="0"/>
              <w:right w:val="single" w:color="auto" w:sz="8"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造成各类安全隐患的</w:t>
            </w:r>
          </w:p>
        </w:tc>
        <w:tc>
          <w:tcPr>
            <w:tcW w:w="7370" w:type="dxa"/>
            <w:tcBorders>
              <w:top w:val="nil"/>
              <w:left w:val="nil"/>
              <w:bottom w:val="single" w:color="auto" w:sz="4" w:space="0"/>
              <w:right w:val="single" w:color="auto" w:sz="8"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1.7</w:t>
            </w:r>
          </w:p>
        </w:tc>
        <w:tc>
          <w:tcPr>
            <w:tcW w:w="1417" w:type="dxa"/>
            <w:vMerge w:val="continue"/>
            <w:tcBorders>
              <w:left w:val="nil"/>
              <w:right w:val="single" w:color="auto" w:sz="8"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发生员工在隔离区或内吸烟及带打火机进入的。</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严重：扣5分；较重：扣4分；一般：扣3分；轻微：扣2分。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1.8</w:t>
            </w:r>
          </w:p>
        </w:tc>
        <w:tc>
          <w:tcPr>
            <w:tcW w:w="1417" w:type="dxa"/>
            <w:vMerge w:val="continue"/>
            <w:tcBorders>
              <w:left w:val="nil"/>
              <w:right w:val="single" w:color="auto" w:sz="8"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发生损坏库区内消防设施设备的</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严重：扣5分；较重：扣4分；一般：扣3分；轻微：扣2分。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1.9</w:t>
            </w:r>
          </w:p>
        </w:tc>
        <w:tc>
          <w:tcPr>
            <w:tcW w:w="1417" w:type="dxa"/>
            <w:vMerge w:val="continue"/>
            <w:tcBorders>
              <w:left w:val="nil"/>
              <w:bottom w:val="single" w:color="auto" w:sz="4" w:space="0"/>
              <w:right w:val="single" w:color="auto" w:sz="8"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发生违规使用大功率电器的或由此造成后果的。</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严重：扣200分；较重：扣100分；一般：扣20分；轻微：扣5分。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 xml:space="preserve">1.10 </w:t>
            </w:r>
          </w:p>
        </w:tc>
        <w:tc>
          <w:tcPr>
            <w:tcW w:w="1417"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安全质量</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不服从保安人员安保管理的。</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严重：扣4分；较重：扣3分；一般：扣2分；轻微：扣1分。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1.11</w:t>
            </w:r>
          </w:p>
        </w:tc>
        <w:tc>
          <w:tcPr>
            <w:tcW w:w="1417"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其它影响安全和服务质量的</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2.1</w:t>
            </w:r>
          </w:p>
        </w:tc>
        <w:tc>
          <w:tcPr>
            <w:tcW w:w="1417"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管理指标</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进行定期和不定期的工作质量检查工作，做好检查记录，及时纠正发现的问题。</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严重：扣2分；较重：扣1.5分；一般：扣1分；轻微：扣0.5分。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8" w:space="0"/>
              <w:bottom w:val="single" w:color="auto" w:sz="8" w:space="0"/>
              <w:right w:val="single" w:color="auto" w:sz="8"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2.2</w:t>
            </w:r>
          </w:p>
        </w:tc>
        <w:tc>
          <w:tcPr>
            <w:tcW w:w="1417"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nil"/>
              <w:bottom w:val="single" w:color="auto" w:sz="8" w:space="0"/>
              <w:right w:val="single" w:color="auto" w:sz="8"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加强文档管理，并建立保管、查阅、学习等有关制度。</w:t>
            </w:r>
          </w:p>
        </w:tc>
        <w:tc>
          <w:tcPr>
            <w:tcW w:w="7370" w:type="dxa"/>
            <w:tcBorders>
              <w:top w:val="single" w:color="auto" w:sz="4" w:space="0"/>
              <w:left w:val="nil"/>
              <w:bottom w:val="single" w:color="auto" w:sz="8" w:space="0"/>
              <w:right w:val="single" w:color="auto" w:sz="8"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严重：扣3分；较重：扣2分；一般：扣1分；轻微：扣0.5分。</w:t>
            </w:r>
          </w:p>
        </w:tc>
      </w:tr>
      <w:tr>
        <w:tblPrEx>
          <w:tblCellMar>
            <w:top w:w="0" w:type="dxa"/>
            <w:left w:w="108" w:type="dxa"/>
            <w:bottom w:w="0" w:type="dxa"/>
            <w:right w:w="108" w:type="dxa"/>
          </w:tblCellMar>
        </w:tblPrEx>
        <w:trPr>
          <w:trHeight w:val="680" w:hRule="exact"/>
        </w:trPr>
        <w:tc>
          <w:tcPr>
            <w:tcW w:w="923" w:type="dxa"/>
            <w:tcBorders>
              <w:top w:val="nil"/>
              <w:left w:val="single" w:color="auto" w:sz="8" w:space="0"/>
              <w:bottom w:val="single" w:color="auto" w:sz="8" w:space="0"/>
              <w:right w:val="single" w:color="auto" w:sz="8"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2.3</w:t>
            </w:r>
          </w:p>
        </w:tc>
        <w:tc>
          <w:tcPr>
            <w:tcW w:w="1417"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nil"/>
              <w:left w:val="nil"/>
              <w:bottom w:val="single" w:color="auto" w:sz="4" w:space="0"/>
              <w:right w:val="single" w:color="auto" w:sz="8"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收集地服公司或者行业发布的新的规定和标准，并在规章、工作流程、业务标准等发生变化时及时修订手册，确保手册符合现行的法律、法规。</w:t>
            </w:r>
          </w:p>
        </w:tc>
        <w:tc>
          <w:tcPr>
            <w:tcW w:w="7370" w:type="dxa"/>
            <w:tcBorders>
              <w:top w:val="nil"/>
              <w:left w:val="nil"/>
              <w:bottom w:val="single" w:color="auto" w:sz="4" w:space="0"/>
              <w:right w:val="single" w:color="auto" w:sz="8"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严重：扣3分；较重：扣2分；一般：扣1分；轻微：扣0.5分。</w:t>
            </w:r>
          </w:p>
        </w:tc>
      </w:tr>
      <w:tr>
        <w:tblPrEx>
          <w:tblCellMar>
            <w:top w:w="0" w:type="dxa"/>
            <w:left w:w="108" w:type="dxa"/>
            <w:bottom w:w="0" w:type="dxa"/>
            <w:right w:w="108" w:type="dxa"/>
          </w:tblCellMar>
        </w:tblPrEx>
        <w:trPr>
          <w:trHeight w:val="567" w:hRule="exact"/>
        </w:trPr>
        <w:tc>
          <w:tcPr>
            <w:tcW w:w="923" w:type="dxa"/>
            <w:tcBorders>
              <w:top w:val="nil"/>
              <w:left w:val="single" w:color="auto" w:sz="8" w:space="0"/>
              <w:bottom w:val="single" w:color="auto" w:sz="8"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2.4</w:t>
            </w:r>
          </w:p>
        </w:tc>
        <w:tc>
          <w:tcPr>
            <w:tcW w:w="1417"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合理安排培训项目，以确保各岗位人员获得与他们职责相一致的培训，包括以下相关内容：</w:t>
            </w:r>
          </w:p>
        </w:tc>
        <w:tc>
          <w:tcPr>
            <w:tcW w:w="7370" w:type="dxa"/>
            <w:vMerge w:val="restart"/>
            <w:tcBorders>
              <w:top w:val="single" w:color="auto" w:sz="4" w:space="0"/>
              <w:left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严重：扣2分；较重：扣1.5分；一般：扣1分；轻微：扣0.5分。</w:t>
            </w:r>
          </w:p>
        </w:tc>
      </w:tr>
      <w:tr>
        <w:tblPrEx>
          <w:tblCellMar>
            <w:top w:w="0" w:type="dxa"/>
            <w:left w:w="108" w:type="dxa"/>
            <w:bottom w:w="0" w:type="dxa"/>
            <w:right w:w="108" w:type="dxa"/>
          </w:tblCellMar>
        </w:tblPrEx>
        <w:trPr>
          <w:trHeight w:val="567" w:hRule="exact"/>
        </w:trPr>
        <w:tc>
          <w:tcPr>
            <w:tcW w:w="923" w:type="dxa"/>
            <w:tcBorders>
              <w:top w:val="nil"/>
              <w:left w:val="single" w:color="auto" w:sz="8" w:space="0"/>
              <w:bottom w:val="single" w:color="auto" w:sz="8"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417"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机坪运行管理的相关基础知识</w:t>
            </w:r>
          </w:p>
        </w:tc>
        <w:tc>
          <w:tcPr>
            <w:tcW w:w="7370" w:type="dxa"/>
            <w:vMerge w:val="continue"/>
            <w:tcBorders>
              <w:left w:val="single" w:color="auto" w:sz="4" w:space="0"/>
              <w:right w:val="single" w:color="auto" w:sz="4" w:space="0"/>
            </w:tcBorders>
            <w:vAlign w:val="center"/>
          </w:tcPr>
          <w:p>
            <w:pPr>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67" w:hRule="exact"/>
        </w:trPr>
        <w:tc>
          <w:tcPr>
            <w:tcW w:w="923" w:type="dxa"/>
            <w:tcBorders>
              <w:top w:val="nil"/>
              <w:left w:val="single" w:color="auto" w:sz="8" w:space="0"/>
              <w:bottom w:val="single" w:color="auto" w:sz="8"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2.6</w:t>
            </w:r>
          </w:p>
        </w:tc>
        <w:tc>
          <w:tcPr>
            <w:tcW w:w="1417"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通行证管理的基础知识</w:t>
            </w:r>
          </w:p>
        </w:tc>
        <w:tc>
          <w:tcPr>
            <w:tcW w:w="7370" w:type="dxa"/>
            <w:vMerge w:val="continue"/>
            <w:tcBorders>
              <w:left w:val="single" w:color="auto" w:sz="4" w:space="0"/>
              <w:right w:val="single" w:color="auto" w:sz="4" w:space="0"/>
            </w:tcBorders>
            <w:vAlign w:val="center"/>
          </w:tcPr>
          <w:p>
            <w:pPr>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67" w:hRule="exact"/>
        </w:trPr>
        <w:tc>
          <w:tcPr>
            <w:tcW w:w="923" w:type="dxa"/>
            <w:tcBorders>
              <w:top w:val="nil"/>
              <w:left w:val="single" w:color="auto" w:sz="8"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2.7</w:t>
            </w:r>
          </w:p>
        </w:tc>
        <w:tc>
          <w:tcPr>
            <w:tcW w:w="1417"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货运操作的基础知识；</w:t>
            </w:r>
          </w:p>
        </w:tc>
        <w:tc>
          <w:tcPr>
            <w:tcW w:w="7370" w:type="dxa"/>
            <w:vMerge w:val="continue"/>
            <w:tcBorders>
              <w:left w:val="single" w:color="auto" w:sz="4" w:space="0"/>
              <w:right w:val="single" w:color="auto" w:sz="4" w:space="0"/>
            </w:tcBorders>
            <w:vAlign w:val="center"/>
          </w:tcPr>
          <w:p>
            <w:pPr>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2.8</w:t>
            </w:r>
          </w:p>
        </w:tc>
        <w:tc>
          <w:tcPr>
            <w:tcW w:w="1417"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货运操作的安全、服务知识：</w:t>
            </w:r>
          </w:p>
        </w:tc>
        <w:tc>
          <w:tcPr>
            <w:tcW w:w="7370" w:type="dxa"/>
            <w:vMerge w:val="continue"/>
            <w:tcBorders>
              <w:left w:val="single" w:color="auto" w:sz="4" w:space="0"/>
              <w:right w:val="single" w:color="auto" w:sz="4" w:space="0"/>
            </w:tcBorders>
            <w:vAlign w:val="center"/>
          </w:tcPr>
          <w:p>
            <w:pPr>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2.9</w:t>
            </w:r>
          </w:p>
        </w:tc>
        <w:tc>
          <w:tcPr>
            <w:tcW w:w="1417"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突发事件的处理程序；</w:t>
            </w:r>
          </w:p>
        </w:tc>
        <w:tc>
          <w:tcPr>
            <w:tcW w:w="7370" w:type="dxa"/>
            <w:vMerge w:val="continue"/>
            <w:tcBorders>
              <w:left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2.10</w:t>
            </w:r>
          </w:p>
        </w:tc>
        <w:tc>
          <w:tcPr>
            <w:tcW w:w="1417"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消防安全知识；</w:t>
            </w:r>
          </w:p>
        </w:tc>
        <w:tc>
          <w:tcPr>
            <w:tcW w:w="7370" w:type="dxa"/>
            <w:vMerge w:val="continue"/>
            <w:tcBorders>
              <w:left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2.11</w:t>
            </w:r>
          </w:p>
        </w:tc>
        <w:tc>
          <w:tcPr>
            <w:tcW w:w="1417"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对危险品等特种货物运输的特殊要求；</w:t>
            </w:r>
          </w:p>
        </w:tc>
        <w:tc>
          <w:tcPr>
            <w:tcW w:w="7370" w:type="dxa"/>
            <w:vMerge w:val="continue"/>
            <w:tcBorders>
              <w:left w:val="single" w:color="auto" w:sz="4" w:space="0"/>
              <w:right w:val="single" w:color="auto" w:sz="4" w:space="0"/>
            </w:tcBorders>
            <w:vAlign w:val="center"/>
          </w:tcPr>
          <w:p>
            <w:pPr>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2.12</w:t>
            </w:r>
          </w:p>
        </w:tc>
        <w:tc>
          <w:tcPr>
            <w:tcW w:w="1417"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相邻或相关岗位的必要的业务知识；</w:t>
            </w:r>
          </w:p>
        </w:tc>
        <w:tc>
          <w:tcPr>
            <w:tcW w:w="7370"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2.13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管理指标</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其它安全和业务知识。</w:t>
            </w:r>
          </w:p>
        </w:tc>
        <w:tc>
          <w:tcPr>
            <w:tcW w:w="737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严重：扣2分；较重：扣1.5分；一般：扣1分；轻微：扣0.5分。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3.1</w:t>
            </w:r>
          </w:p>
        </w:tc>
        <w:tc>
          <w:tcPr>
            <w:tcW w:w="1417" w:type="dxa"/>
            <w:vMerge w:val="restart"/>
            <w:tcBorders>
              <w:top w:val="single" w:color="auto" w:sz="4" w:space="0"/>
              <w:left w:val="single" w:color="auto" w:sz="4" w:space="0"/>
              <w:right w:val="single" w:color="auto" w:sz="4" w:space="0"/>
            </w:tcBorders>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kern w:val="0"/>
                <w:szCs w:val="21"/>
              </w:rPr>
              <w:t>日常操作类</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rFonts w:hint="eastAsia" w:ascii="仿宋_GB2312" w:hAnsi="仿宋_GB2312" w:eastAsia="仿宋_GB2312" w:cs="仿宋_GB2312"/>
                <w:kern w:val="0"/>
                <w:sz w:val="20"/>
                <w:szCs w:val="20"/>
                <w:lang w:bidi="ar"/>
              </w:rPr>
              <w:t>所有机型应在航班预计离港前5 分钟完成货邮行的装载。</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b/>
                <w:bCs/>
                <w:kern w:val="0"/>
                <w:szCs w:val="21"/>
              </w:rPr>
            </w:pPr>
            <w:r>
              <w:rPr>
                <w:rFonts w:hint="eastAsia" w:ascii="仿宋_GB2312" w:hAnsi="仿宋_GB2312" w:eastAsia="仿宋_GB2312" w:cs="仿宋_GB2312"/>
                <w:kern w:val="0"/>
                <w:sz w:val="20"/>
                <w:szCs w:val="20"/>
                <w:lang w:bidi="ar"/>
              </w:rPr>
              <w:t>责任原因超出标准每一分钟扣1分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1417" w:type="dxa"/>
            <w:vMerge w:val="continue"/>
            <w:tcBorders>
              <w:left w:val="single" w:color="auto" w:sz="4" w:space="0"/>
              <w:right w:val="single" w:color="auto" w:sz="4" w:space="0"/>
            </w:tcBorders>
            <w:vAlign w:val="center"/>
          </w:tcPr>
          <w:p>
            <w:pPr>
              <w:widowControl/>
              <w:rPr>
                <w:rFonts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保持空置平板的清洁，网套栓挂牢固，平板串接不能超过5块；</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严重：扣2分；较重：扣1.5分；一般：扣1分；轻微：扣0.5分。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3.3</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color w:val="FF0000"/>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按规定位置放置生产工具及装卸设备。</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扣0.2分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3.4</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定期对各类工作设备进行检查和维护，对损坏的设备要及时维修(或报修)。</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严重：扣10分；较重：扣8分；一般：扣3分；轻微：扣1分。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货邮行搬运、装卸作业轻拿轻放，避免野蛮操作带来的货邮行损坏。</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严重：扣3分；较重：扣2分；一般：扣1分；轻微：扣0.5分。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3.6</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维持工作场地卫生及秩序。</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扣0.5分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3.7</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员工着装统一规范，具备良好形象。</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扣0.2分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3.8</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服务过程使用文明用语，严禁使用服务禁语或忌语。</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扣0.1分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3.9</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卸机时应注意观察，防止行李和货物相互错卸，卸机不得将货物卸到行李室或将行李卸到库房。</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严重：扣50分；较重：扣30分；一般：扣20分；轻微：扣1分。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3.10</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进入机坪隔离区应主动接受安检人员的检查，不得携带违禁物品进入隔离区。</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严重：扣20分；较重：扣15分；一般：扣10分；轻微：扣4分。</w:t>
            </w:r>
          </w:p>
        </w:tc>
      </w:tr>
      <w:tr>
        <w:tblPrEx>
          <w:tblCellMar>
            <w:top w:w="0" w:type="dxa"/>
            <w:left w:w="108" w:type="dxa"/>
            <w:bottom w:w="0" w:type="dxa"/>
            <w:right w:w="108" w:type="dxa"/>
          </w:tblCellMar>
        </w:tblPrEx>
        <w:trPr>
          <w:trHeight w:val="1134"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3.11</w:t>
            </w:r>
          </w:p>
        </w:tc>
        <w:tc>
          <w:tcPr>
            <w:tcW w:w="1417" w:type="dxa"/>
            <w:vMerge w:val="continue"/>
            <w:tcBorders>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贵重物品在卸机时应检查货物的包装，封志是否完整，如有异状，应立即报告；贵重物品应安排专人单独进行押运，并在贵重物品交接单上签字交接。</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3.12</w:t>
            </w:r>
          </w:p>
        </w:tc>
        <w:tc>
          <w:tcPr>
            <w:tcW w:w="1417" w:type="dxa"/>
            <w:vMerge w:val="restart"/>
            <w:tcBorders>
              <w:top w:val="single" w:color="auto" w:sz="4" w:space="0"/>
              <w:left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日常操作类</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装卸活体动物、鲜活易腐货物、鸡鸭苗、水产品等特殊货物，符合特种货物安全服务运输操作规定。</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严重：扣20分；较重：扣15分；一般：扣10分；轻微：扣4分。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3.13</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运输装卸集装器，符合集装器安全操作规定：</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1134"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3.14</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装卸飞机完毕，必须及时清理现场的装卸设备和残留物，装卸设备摆放到指定的划线待装区域，保证现场清洁、畅通，设备和货物不妨碍航空器滑行，杜绝FOD影响航空器安全。</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严重：扣200分；较重：扣100分；一般：扣20分；轻微：扣1分。</w:t>
            </w:r>
          </w:p>
        </w:tc>
      </w:tr>
      <w:tr>
        <w:tblPrEx>
          <w:tblCellMar>
            <w:top w:w="0" w:type="dxa"/>
            <w:left w:w="108" w:type="dxa"/>
            <w:bottom w:w="0" w:type="dxa"/>
            <w:right w:w="108" w:type="dxa"/>
          </w:tblCellMar>
        </w:tblPrEx>
        <w:trPr>
          <w:trHeight w:val="1134"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3.15</w:t>
            </w:r>
          </w:p>
        </w:tc>
        <w:tc>
          <w:tcPr>
            <w:tcW w:w="1417" w:type="dxa"/>
            <w:vMerge w:val="continue"/>
            <w:tcBorders>
              <w:left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杜绝因装卸责任原因，造成错装、错卸、多装、多卸、少装、少卸，杜绝发生飞机隐载时间，杜绝发生影响空防安全的事件。</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3.16</w:t>
            </w:r>
          </w:p>
        </w:tc>
        <w:tc>
          <w:tcPr>
            <w:tcW w:w="1417" w:type="dxa"/>
            <w:vMerge w:val="continue"/>
            <w:tcBorders>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进入机坪的所有人员应按规定佩戴证件，穿戴反光背心。装卸人员应穿戴好劳保用品。</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kern w:val="0"/>
                <w:sz w:val="20"/>
                <w:szCs w:val="20"/>
                <w:lang w:bidi="ar"/>
              </w:rPr>
              <w:t>严重：扣10分；较重：扣5分；一般：扣2分；轻微：扣0.3分。</w:t>
            </w:r>
          </w:p>
        </w:tc>
      </w:tr>
    </w:tbl>
    <w:p>
      <w:pPr>
        <w:pStyle w:val="33"/>
        <w:adjustRightInd w:val="0"/>
        <w:snapToGrid w:val="0"/>
        <w:spacing w:line="228" w:lineRule="auto"/>
        <w:ind w:firstLine="0" w:firstLineChars="0"/>
        <w:rPr>
          <w:rFonts w:ascii="仿宋_GB2312" w:hAnsi="仿宋_GB2312" w:eastAsia="仿宋_GB2312" w:cs="宋体"/>
          <w:kern w:val="0"/>
        </w:rPr>
      </w:pPr>
    </w:p>
    <w:p>
      <w:pPr>
        <w:pStyle w:val="33"/>
        <w:adjustRightInd w:val="0"/>
        <w:snapToGrid w:val="0"/>
        <w:spacing w:line="380" w:lineRule="exact"/>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注：</w:t>
      </w:r>
    </w:p>
    <w:p>
      <w:pPr>
        <w:pStyle w:val="53"/>
        <w:tabs>
          <w:tab w:val="left" w:pos="452"/>
        </w:tabs>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一、安全质量指标</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严重：发生重大不安全事故或突破指标的不安全事件；</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较重：导致较重后果或负面影响范围扩大到公司层级的各类事件；</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一般：未造成事实、未导致后果的，一个考核周期内连续发生次数</w:t>
      </w:r>
      <w:r>
        <w:rPr>
          <w:rFonts w:hint="eastAsia" w:ascii="仿宋_GB2312" w:hAnsi="仿宋_GB2312" w:eastAsia="仿宋_GB2312" w:cs="仿宋_GB2312"/>
          <w:sz w:val="24"/>
          <w:szCs w:val="24"/>
          <w:lang w:eastAsia="zh-CN"/>
        </w:rPr>
        <w:t>≥3</w:t>
      </w:r>
      <w:r>
        <w:rPr>
          <w:rFonts w:hint="eastAsia" w:ascii="仿宋_GB2312" w:hAnsi="仿宋_GB2312" w:eastAsia="仿宋_GB2312" w:cs="仿宋_GB2312"/>
          <w:color w:val="000000"/>
          <w:sz w:val="24"/>
          <w:szCs w:val="24"/>
        </w:rPr>
        <w:t>次</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轻微：未造成事实、未导致后果的，一个考核周期内连续发生</w:t>
      </w:r>
      <w:r>
        <w:rPr>
          <w:rFonts w:hint="eastAsia" w:ascii="仿宋_GB2312" w:hAnsi="仿宋_GB2312" w:eastAsia="仿宋_GB2312" w:cs="仿宋_GB2312"/>
          <w:color w:val="000000"/>
          <w:sz w:val="24"/>
          <w:szCs w:val="24"/>
          <w:lang w:val="zh-CN" w:eastAsia="zh-CN" w:bidi="zh-CN"/>
        </w:rPr>
        <w:t>次数</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color w:val="000000"/>
          <w:sz w:val="24"/>
          <w:szCs w:val="24"/>
        </w:rPr>
        <w:t>次</w:t>
      </w:r>
    </w:p>
    <w:p>
      <w:pPr>
        <w:pStyle w:val="53"/>
        <w:tabs>
          <w:tab w:val="left" w:pos="459"/>
        </w:tabs>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二、管理指标</w:t>
      </w:r>
    </w:p>
    <w:p>
      <w:pPr>
        <w:pStyle w:val="53"/>
        <w:spacing w:after="0" w:line="38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严重：发生重大不安全事件或事故隐患、突破安全指标、未建立相关台账或现场管理混乱、违反监管单位规章制度且造成后果的；</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较重：导致较重后果的，影响范围扩大到公司层级的各类事件；</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一般：未完善相关台账记录，违反但未造成后果的，一个考核周期内连续发生次数</w:t>
      </w:r>
      <w:r>
        <w:rPr>
          <w:rFonts w:hint="eastAsia" w:ascii="仿宋_GB2312" w:hAnsi="仿宋_GB2312" w:eastAsia="仿宋_GB2312" w:cs="仿宋_GB2312"/>
          <w:sz w:val="24"/>
          <w:szCs w:val="24"/>
          <w:lang w:eastAsia="zh-CN"/>
        </w:rPr>
        <w:t>≥3</w:t>
      </w:r>
      <w:r>
        <w:rPr>
          <w:rFonts w:hint="eastAsia" w:ascii="仿宋_GB2312" w:hAnsi="仿宋_GB2312" w:eastAsia="仿宋_GB2312" w:cs="仿宋_GB2312"/>
          <w:color w:val="000000"/>
          <w:sz w:val="24"/>
          <w:szCs w:val="24"/>
        </w:rPr>
        <w:t>次</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轻微：违反但未造成后果的，一个考核周期内连续发生次数</w:t>
      </w:r>
      <w:r>
        <w:rPr>
          <w:rFonts w:hint="eastAsia" w:ascii="仿宋_GB2312" w:hAnsi="仿宋_GB2312" w:eastAsia="仿宋_GB2312" w:cs="仿宋_GB2312"/>
          <w:sz w:val="24"/>
          <w:szCs w:val="24"/>
        </w:rPr>
        <w:t>≦2</w:t>
      </w:r>
      <w:r>
        <w:rPr>
          <w:rFonts w:hint="eastAsia" w:ascii="仿宋_GB2312" w:hAnsi="仿宋_GB2312" w:eastAsia="仿宋_GB2312" w:cs="仿宋_GB2312"/>
          <w:color w:val="000000"/>
          <w:sz w:val="24"/>
          <w:szCs w:val="24"/>
        </w:rPr>
        <w:t>次</w:t>
      </w:r>
    </w:p>
    <w:p>
      <w:pPr>
        <w:pStyle w:val="53"/>
        <w:tabs>
          <w:tab w:val="left" w:pos="459"/>
        </w:tabs>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三、日常操</w:t>
      </w:r>
      <w:r>
        <w:rPr>
          <w:rFonts w:hint="eastAsia" w:ascii="仿宋_GB2312" w:hAnsi="仿宋_GB2312" w:eastAsia="仿宋_GB2312" w:cs="仿宋_GB2312"/>
          <w:color w:val="000000"/>
          <w:sz w:val="24"/>
          <w:szCs w:val="24"/>
          <w:lang w:val="zh-CN" w:eastAsia="zh-CN" w:bidi="zh-CN"/>
        </w:rPr>
        <w:t>作类.</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Hans"/>
        </w:rPr>
        <w:t>严重</w:t>
      </w:r>
      <w:r>
        <w:rPr>
          <w:rFonts w:hint="eastAsia" w:ascii="仿宋_GB2312" w:hAnsi="仿宋_GB2312" w:eastAsia="仿宋_GB2312" w:cs="仿宋_GB2312"/>
          <w:color w:val="000000"/>
          <w:sz w:val="24"/>
          <w:szCs w:val="24"/>
          <w:lang w:eastAsia="zh-Hans"/>
        </w:rPr>
        <w:t>：</w:t>
      </w:r>
      <w:r>
        <w:rPr>
          <w:rFonts w:hint="eastAsia" w:ascii="仿宋_GB2312" w:hAnsi="仿宋_GB2312" w:eastAsia="仿宋_GB2312" w:cs="仿宋_GB2312"/>
          <w:color w:val="000000"/>
          <w:sz w:val="24"/>
          <w:szCs w:val="24"/>
        </w:rPr>
        <w:t>导致严重后果的，影响范围扩大到集团公司层级及以上的；</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较重：导致较重后果的，影响范围扩大到公司层级的；</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一般：导致后果的，影响范围控制在部门层级的；</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轻微：未造成后果，但违反相关规定，</w:t>
      </w:r>
      <w:r>
        <w:rPr>
          <w:rFonts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分/次。</w:t>
      </w:r>
    </w:p>
    <w:p>
      <w:pPr>
        <w:pStyle w:val="53"/>
        <w:spacing w:after="0" w:line="38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以上扣分标准均在一个考核周期内。</w:t>
      </w:r>
    </w:p>
    <w:p>
      <w:pPr>
        <w:pStyle w:val="53"/>
        <w:spacing w:after="0" w:line="380" w:lineRule="exact"/>
        <w:jc w:val="center"/>
        <w:rPr>
          <w:b/>
          <w:sz w:val="36"/>
          <w:szCs w:val="36"/>
        </w:rPr>
      </w:pPr>
      <w:r>
        <w:rPr>
          <w:rFonts w:ascii="微软雅黑 Light" w:hAnsi="微软雅黑 Light" w:eastAsia="微软雅黑 Light"/>
          <w:szCs w:val="21"/>
        </w:rPr>
        <w:br w:type="page"/>
      </w:r>
      <w:r>
        <w:rPr>
          <w:rFonts w:hint="eastAsia"/>
          <w:b/>
          <w:sz w:val="36"/>
          <w:szCs w:val="36"/>
        </w:rPr>
        <w:t>重庆空港航空地面服务有限公司机坪装卸业务外包</w:t>
      </w:r>
      <w:r>
        <w:rPr>
          <w:rFonts w:hint="eastAsia"/>
          <w:b/>
          <w:sz w:val="36"/>
          <w:szCs w:val="36"/>
          <w:lang w:eastAsia="zh-CN"/>
        </w:rPr>
        <w:t>日</w:t>
      </w:r>
      <w:r>
        <w:rPr>
          <w:rFonts w:hint="eastAsia"/>
          <w:b/>
          <w:sz w:val="36"/>
          <w:szCs w:val="36"/>
        </w:rPr>
        <w:t>考核表</w:t>
      </w:r>
    </w:p>
    <w:p>
      <w:pPr>
        <w:ind w:firstLine="660"/>
        <w:jc w:val="center"/>
        <w:rPr>
          <w:rFonts w:ascii="宋体" w:hAnsi="宋体"/>
          <w:b/>
          <w:sz w:val="36"/>
          <w:szCs w:val="36"/>
        </w:rPr>
      </w:pPr>
    </w:p>
    <w:p>
      <w:pPr>
        <w:jc w:val="left"/>
        <w:rPr>
          <w:rFonts w:ascii="宋体" w:hAnsi="宋体"/>
          <w:sz w:val="24"/>
        </w:rPr>
      </w:pPr>
      <w:r>
        <w:rPr>
          <w:rFonts w:hint="eastAsia" w:ascii="宋体" w:hAnsi="宋体"/>
          <w:sz w:val="24"/>
        </w:rPr>
        <w:t>承包商：</w:t>
      </w:r>
      <w:r>
        <w:rPr>
          <w:rFonts w:hint="eastAsia" w:ascii="宋体" w:hAnsi="宋体"/>
          <w:sz w:val="24"/>
          <w:u w:val="single"/>
        </w:rPr>
        <w:t xml:space="preserve">                   </w:t>
      </w:r>
      <w:r>
        <w:rPr>
          <w:rFonts w:hint="eastAsia" w:ascii="宋体" w:hAnsi="宋体"/>
          <w:sz w:val="24"/>
        </w:rPr>
        <w:t xml:space="preserve">              监管部门：</w:t>
      </w:r>
      <w:r>
        <w:rPr>
          <w:rFonts w:hint="eastAsia" w:ascii="宋体" w:hAnsi="宋体"/>
          <w:sz w:val="24"/>
          <w:u w:val="single"/>
        </w:rPr>
        <w:t xml:space="preserve">                   </w:t>
      </w:r>
      <w:r>
        <w:rPr>
          <w:rFonts w:hint="eastAsia" w:ascii="宋体" w:hAnsi="宋体"/>
          <w:sz w:val="24"/>
        </w:rPr>
        <w:t xml:space="preserve">               考核日期：____年__月___日</w:t>
      </w:r>
    </w:p>
    <w:p>
      <w:pPr>
        <w:rPr>
          <w:rFonts w:hint="eastAsia" w:ascii="宋体" w:hAnsi="宋体"/>
          <w:sz w:val="24"/>
        </w:rPr>
      </w:pPr>
      <w:r>
        <w:rPr>
          <w:rFonts w:hint="eastAsia" w:ascii="宋体" w:hAnsi="宋体"/>
          <w:sz w:val="24"/>
        </w:rPr>
        <w:t xml:space="preserve"> </w:t>
      </w:r>
    </w:p>
    <w:p>
      <w:pPr>
        <w:rPr>
          <w:rFonts w:ascii="宋体" w:hAnsi="宋体"/>
          <w:sz w:val="24"/>
        </w:rPr>
      </w:pPr>
      <w:r>
        <w:rPr>
          <w:rFonts w:ascii="宋体" w:hAnsi="宋体"/>
          <w:sz w:val="24"/>
        </w:rPr>
        <w:t>一、绩效考核内容</w:t>
      </w:r>
    </w:p>
    <w:tbl>
      <w:tblPr>
        <w:tblStyle w:val="16"/>
        <w:tblW w:w="0" w:type="auto"/>
        <w:tblInd w:w="0" w:type="dxa"/>
        <w:tblLayout w:type="fixed"/>
        <w:tblCellMar>
          <w:top w:w="0" w:type="dxa"/>
          <w:left w:w="108" w:type="dxa"/>
          <w:bottom w:w="0" w:type="dxa"/>
          <w:right w:w="108" w:type="dxa"/>
        </w:tblCellMar>
      </w:tblPr>
      <w:tblGrid>
        <w:gridCol w:w="923"/>
        <w:gridCol w:w="1417"/>
        <w:gridCol w:w="4535"/>
        <w:gridCol w:w="7370"/>
      </w:tblGrid>
      <w:tr>
        <w:tblPrEx>
          <w:tblCellMar>
            <w:top w:w="0" w:type="dxa"/>
            <w:left w:w="108" w:type="dxa"/>
            <w:bottom w:w="0" w:type="dxa"/>
            <w:right w:w="108" w:type="dxa"/>
          </w:tblCellMar>
        </w:tblPrEx>
        <w:trPr>
          <w:trHeight w:val="567" w:hRule="exact"/>
        </w:trPr>
        <w:tc>
          <w:tcPr>
            <w:tcW w:w="923" w:type="dxa"/>
            <w:tcBorders>
              <w:top w:val="single" w:color="auto" w:sz="8" w:space="0"/>
              <w:left w:val="single" w:color="auto" w:sz="8" w:space="0"/>
              <w:bottom w:val="single" w:color="auto" w:sz="4"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项目号</w:t>
            </w:r>
          </w:p>
        </w:tc>
        <w:tc>
          <w:tcPr>
            <w:tcW w:w="1417" w:type="dxa"/>
            <w:tcBorders>
              <w:top w:val="single" w:color="auto" w:sz="8" w:space="0"/>
              <w:left w:val="nil"/>
              <w:bottom w:val="single" w:color="auto" w:sz="4"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宋体" w:hAnsi="宋体" w:cs="宋体"/>
                <w:b/>
                <w:color w:val="000000"/>
                <w:kern w:val="0"/>
                <w:sz w:val="22"/>
                <w:szCs w:val="22"/>
                <w:lang w:bidi="ar"/>
              </w:rPr>
              <w:t>检查项目</w:t>
            </w:r>
          </w:p>
        </w:tc>
        <w:tc>
          <w:tcPr>
            <w:tcW w:w="4535" w:type="dxa"/>
            <w:tcBorders>
              <w:top w:val="single" w:color="auto" w:sz="8" w:space="0"/>
              <w:left w:val="nil"/>
              <w:bottom w:val="single" w:color="auto" w:sz="4" w:space="0"/>
              <w:right w:val="single" w:color="auto" w:sz="8" w:space="0"/>
            </w:tcBorders>
            <w:vAlign w:val="center"/>
          </w:tcPr>
          <w:p>
            <w:pPr>
              <w:widowControl/>
              <w:jc w:val="center"/>
              <w:rPr>
                <w:rFonts w:hint="eastAsia" w:ascii="仿宋_GB2312" w:hAnsi="宋体" w:eastAsia="仿宋_GB2312" w:cs="宋体"/>
                <w:b/>
                <w:bCs/>
                <w:kern w:val="0"/>
                <w:szCs w:val="21"/>
              </w:rPr>
            </w:pPr>
            <w:r>
              <w:rPr>
                <w:rFonts w:hint="eastAsia" w:ascii="仿宋_GB2312" w:hAnsi="宋体" w:eastAsia="仿宋_GB2312" w:cs="仿宋_GB2312"/>
                <w:b/>
                <w:color w:val="000000"/>
                <w:kern w:val="0"/>
                <w:szCs w:val="21"/>
                <w:lang w:bidi="ar"/>
              </w:rPr>
              <w:t>绩效考评内容</w:t>
            </w:r>
          </w:p>
        </w:tc>
        <w:tc>
          <w:tcPr>
            <w:tcW w:w="7370" w:type="dxa"/>
            <w:tcBorders>
              <w:top w:val="single" w:color="auto" w:sz="8" w:space="0"/>
              <w:left w:val="nil"/>
              <w:bottom w:val="single" w:color="auto" w:sz="4"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宋体" w:hAnsi="宋体" w:cs="宋体"/>
                <w:b/>
                <w:color w:val="000000"/>
                <w:kern w:val="0"/>
                <w:sz w:val="22"/>
                <w:szCs w:val="22"/>
                <w:lang w:bidi="ar"/>
              </w:rPr>
              <w:t>违反规定扣分标准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b/>
                <w:bCs/>
                <w:kern w:val="0"/>
                <w:szCs w:val="21"/>
              </w:rPr>
            </w:pPr>
            <w:r>
              <w:rPr>
                <w:rFonts w:hint="eastAsia" w:ascii="仿宋_GB2312" w:hAnsi="仿宋_GB2312" w:eastAsia="仿宋_GB2312" w:cs="仿宋_GB2312"/>
                <w:color w:val="000000"/>
                <w:kern w:val="0"/>
                <w:sz w:val="20"/>
                <w:szCs w:val="20"/>
                <w:lang w:bidi="ar"/>
              </w:rPr>
              <w:t>1.1</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仿宋_GB2312" w:eastAsia="仿宋_GB2312" w:cs="仿宋_GB2312"/>
                <w:color w:val="000000"/>
                <w:kern w:val="0"/>
                <w:sz w:val="20"/>
                <w:szCs w:val="20"/>
                <w:lang w:bidi="ar"/>
              </w:rPr>
              <w:t>安全质量</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发生责任原因的各类安全事故及事故征候。</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1.2</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违反各级安全质量管理规定及要求。</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1.3</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其它影响安全和服务质量的。</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2.1</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管理指标</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未能完成或违反合同及附件协议约定内容。</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严重：扣3分；较重：扣2分；一般：扣1分；轻微：扣0.5分。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2.2</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违反甲方与乙方签订的责任书的。</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严重：扣3分；较重：扣2分；一般：扣1分；轻微：扣0.5分。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2.3</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其它违反法律法规或各类管理规定的。</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Cs w:val="21"/>
              </w:rPr>
            </w:pPr>
            <w:r>
              <w:rPr>
                <w:rFonts w:hint="eastAsia" w:ascii="仿宋_GB2312" w:hAnsi="仿宋_GB2312" w:eastAsia="仿宋_GB2312" w:cs="仿宋_GB2312"/>
                <w:kern w:val="0"/>
                <w:sz w:val="20"/>
                <w:szCs w:val="20"/>
                <w:lang w:bidi="ar"/>
              </w:rPr>
              <w:t>严重：扣3分；较重：扣2分；一般：扣1分；轻微：扣0.5分。</w:t>
            </w:r>
          </w:p>
        </w:tc>
      </w:tr>
      <w:tr>
        <w:tblPrEx>
          <w:tblCellMar>
            <w:top w:w="0" w:type="dxa"/>
            <w:left w:w="108" w:type="dxa"/>
            <w:bottom w:w="0" w:type="dxa"/>
            <w:right w:w="108" w:type="dxa"/>
          </w:tblCellMar>
        </w:tblPrEx>
        <w:trPr>
          <w:trHeight w:val="2268"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3.1</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日常操作类</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保证飞机挡轮挡后20 分钟内将第1 件行李卸至行李转盘，全部行李应按以下标准卸完：C 类航空器必须在挡轮挡后30 分钟内行李交付完成；D 类航空器必须在挡轮挡后35 分钟内行李交付完成；E 类航空器必须在挡轮挡后40 分钟内行李交付完成； F 类航空器必须在挡轮挡后45 分钟内行李交付完成。</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责任原因超出标准每一分钟扣0.2分</w:t>
            </w:r>
          </w:p>
        </w:tc>
      </w:tr>
      <w:tr>
        <w:tblPrEx>
          <w:tblCellMar>
            <w:top w:w="0" w:type="dxa"/>
            <w:left w:w="108" w:type="dxa"/>
            <w:bottom w:w="0" w:type="dxa"/>
            <w:right w:w="108" w:type="dxa"/>
          </w:tblCellMar>
        </w:tblPrEx>
        <w:trPr>
          <w:trHeight w:val="794"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3.3</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装卸过程中，发现任何异常，如破损、渗漏、冒烟、异味、件数不符、标记不清等现象，立即报告；</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扣1分</w:t>
            </w:r>
          </w:p>
        </w:tc>
      </w:tr>
      <w:tr>
        <w:tblPrEx>
          <w:tblCellMar>
            <w:top w:w="0" w:type="dxa"/>
            <w:left w:w="108" w:type="dxa"/>
            <w:bottom w:w="0" w:type="dxa"/>
            <w:right w:w="108" w:type="dxa"/>
          </w:tblCellMar>
        </w:tblPrEx>
        <w:trPr>
          <w:trHeight w:val="90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3.4</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在搬运装卸过程中，严格按照大不压小、重不压轻、木不压纸的方式进行操作，确保货物不因挤压造成损伤；</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扣0.5分</w:t>
            </w:r>
          </w:p>
        </w:tc>
      </w:tr>
      <w:tr>
        <w:tblPrEx>
          <w:tblCellMar>
            <w:top w:w="0" w:type="dxa"/>
            <w:left w:w="108" w:type="dxa"/>
            <w:bottom w:w="0" w:type="dxa"/>
            <w:right w:w="108" w:type="dxa"/>
          </w:tblCellMar>
        </w:tblPrEx>
        <w:trPr>
          <w:trHeight w:val="1134"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安全使用平板车，板上货物（行李）堆码高度不得超过1.5米，宽度（压边）不能超过平板边缘。集装板装载货邮行，高度不超过1.5 米，压边不超过集装板锁扣。</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扣0.5分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3.6</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使用无动力装卸设备保障航班时，必须加放轮档（车辆在左前轮处加放）。</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扣0.3分</w:t>
            </w:r>
          </w:p>
        </w:tc>
      </w:tr>
      <w:tr>
        <w:tblPrEx>
          <w:tblCellMar>
            <w:top w:w="0" w:type="dxa"/>
            <w:left w:w="108" w:type="dxa"/>
            <w:bottom w:w="0" w:type="dxa"/>
            <w:right w:w="108" w:type="dxa"/>
          </w:tblCellMar>
        </w:tblPrEx>
        <w:trPr>
          <w:trHeight w:val="1134"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3.7</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使用装卸设备避免碰撞、擦挂传送带车、牵引车、平台车及其他物体，接近飞机时控制好速度和方向，与飞机保持安全距离，避免擦挂飞机。</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1134"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3.8</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日常操作类</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安全使用传动带车按钮，不得违规操作传送带车。不得随意操作货舱内的设施设备，对需要操作作业的设备必须是指定的经过培训的操作人员进行操作。</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严重：扣20分；较重：扣10分；一般：扣5分；轻微：扣1分。</w:t>
            </w:r>
          </w:p>
        </w:tc>
      </w:tr>
      <w:tr>
        <w:tblPrEx>
          <w:tblCellMar>
            <w:top w:w="0" w:type="dxa"/>
            <w:left w:w="108" w:type="dxa"/>
            <w:bottom w:w="0" w:type="dxa"/>
            <w:right w:w="108" w:type="dxa"/>
          </w:tblCellMar>
        </w:tblPrEx>
        <w:trPr>
          <w:trHeight w:val="1134"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3.9</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雨天作业，必须清除平板车上的雨水，垫上和盖好雨布，避免打湿货物、邮件、行李；机坪内闲置雨布集中存放于三围栏平板车上，并在存放雨布的车辆表面用雨布再次进行覆盖；</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严重：扣20分；较重：扣10分；一般：扣5分；轻微：扣1分。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3.10</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装卸货物邮件行李，做好签字交接工作。</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严重：扣4分；较重：扣3分；一般：扣2分；轻微：扣0.5分。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3.11</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认真清点过站航班货物邮件行李的件数，不得漏卸、错卸、多卸、少卸，确保准确无误。</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3.12</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在监装监卸员的指挥下作业，未经监装人员安排不得自作主张擅自装机。</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1134"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3.13</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装完货物的集装器在运输时未扣牢网扣、门扣，防止货物在运输时遗失；合理利用集装器空间，堆码整齐紧密；若集装器没有装满，要防止内装货物的移动或碰撞；装完货物的集装箱的重心不能偏移；</w:t>
            </w:r>
          </w:p>
        </w:tc>
        <w:tc>
          <w:tcPr>
            <w:tcW w:w="737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3.14</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装完货物的集装器在运输时要扣牢网扣、门扣，防止货物在运输时遗失；</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1134"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3.15</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集装器在货舱内装载，必须符合载重平衡和装载要求，必须将每个集装器严格按照装机单上指定的位置装载；</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3.16</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集装器装载在飞机货舱内，必须固定好，防止移动；</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3.17</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集装器在地面运输时，应在集装箱托盘上固定好，避免集装器翻滚、掉落。</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1134"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3.18</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日常操作类</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飞机货舱内装载货物，根据货物的性质、形状和运输注意事项，整齐紧密合理码放，使货物间能相互作用而固定；合理利用货舱空间，提高飞机载运量。</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严重：扣20分；较重：扣10分；一般：扣4分；轻微：扣0.5分。</w:t>
            </w:r>
          </w:p>
        </w:tc>
      </w:tr>
      <w:tr>
        <w:tblPrEx>
          <w:tblCellMar>
            <w:top w:w="0" w:type="dxa"/>
            <w:left w:w="108" w:type="dxa"/>
            <w:bottom w:w="0" w:type="dxa"/>
            <w:right w:w="108" w:type="dxa"/>
          </w:tblCellMar>
        </w:tblPrEx>
        <w:trPr>
          <w:trHeight w:val="1134"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3.19</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pPr>
            <w:r>
              <w:rPr>
                <w:rFonts w:hint="eastAsia" w:ascii="仿宋_GB2312" w:hAnsi="仿宋_GB2312" w:eastAsia="仿宋_GB2312" w:cs="仿宋_GB2312"/>
                <w:color w:val="000000"/>
                <w:kern w:val="0"/>
                <w:sz w:val="20"/>
                <w:szCs w:val="20"/>
                <w:lang w:bidi="ar"/>
              </w:rPr>
              <w:t>严禁装卸设备在飞机发动机、机身、机翼下穿行；严禁在发动机未关车、防撞灯未熄灭、防撞锥未摆放到位、监装员未开舱门以前，装卸人员、装卸设备、车辆靠近飞机。</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b/>
                <w:bCs/>
                <w:kern w:val="0"/>
                <w:szCs w:val="21"/>
              </w:rPr>
            </w:pPr>
            <w:r>
              <w:rPr>
                <w:rFonts w:hint="eastAsia" w:ascii="仿宋_GB2312" w:hAnsi="仿宋_GB2312" w:eastAsia="仿宋_GB2312" w:cs="仿宋_GB2312"/>
                <w:color w:val="000000"/>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3.20</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装卸人员严禁私自开关飞机货舱门。</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严重：扣20分；较重：扣15分；一般：扣10分；轻微：扣4分。</w:t>
            </w:r>
          </w:p>
        </w:tc>
      </w:tr>
      <w:tr>
        <w:tblPrEx>
          <w:tblCellMar>
            <w:top w:w="0" w:type="dxa"/>
            <w:left w:w="108" w:type="dxa"/>
            <w:bottom w:w="0" w:type="dxa"/>
            <w:right w:w="108" w:type="dxa"/>
          </w:tblCellMar>
        </w:tblPrEx>
        <w:trPr>
          <w:trHeight w:val="56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3.21</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FF0000"/>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装卸机过程中严禁将衣服、手套、毛巾等物品随意放置在机舱、机位和装卸设备等部位上。</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严重：扣20分；较重：扣10分；一般：扣4分；轻微：扣0.3分。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3.22</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装卸人员不得在机坪地上采取坐或蹲的姿势作业、休息。</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严重：扣20分；较重：扣10分；一般：扣4分；轻微：扣0.5分。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3.23</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装卸人员不得在运行的传送带车辆上行走。</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严重：扣20分；较重：扣10分；一般：扣4分；轻微：扣0.5分。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3.24</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机坪内出现故障的车辆设备应立即报告，并及时移开机坪。</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3.25</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遵守各项机坪安全管理规定，不随意横穿机坪，人员和设备主动避让滑行飞机。</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3.26</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其它违反装卸工作程序、标准要求或运输安全质量保障制度和管理规定的</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严重：扣200分；较重：扣100分；一般：扣20分；轻微：扣4分。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3.27</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在不影响货邮行装载及航班正点的情况下，每架次航班装卸员不得少于6人。</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严重：扣4分；较重：扣3分；一般：扣2分；轻微：扣1分。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3.28</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车辆启动前必须绕车一周进行检查。</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严重：扣4分；较重：扣3分；一般：扣2分；轻微：扣1分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3.29</w:t>
            </w:r>
          </w:p>
        </w:tc>
        <w:tc>
          <w:tcPr>
            <w:tcW w:w="1417"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日常操作类</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每天准确、及时调整无动力设备数量至所需位置，以保障货邮行的正常运输。</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严重：扣4分；较重：扣3分；一般：扣2分；轻微：扣1分</w:t>
            </w:r>
          </w:p>
        </w:tc>
      </w:tr>
      <w:tr>
        <w:tblPrEx>
          <w:tblCellMar>
            <w:top w:w="0" w:type="dxa"/>
            <w:left w:w="108" w:type="dxa"/>
            <w:bottom w:w="0" w:type="dxa"/>
            <w:right w:w="108" w:type="dxa"/>
          </w:tblCellMar>
        </w:tblPrEx>
        <w:trPr>
          <w:trHeight w:val="680"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3.30</w:t>
            </w:r>
          </w:p>
        </w:tc>
        <w:tc>
          <w:tcPr>
            <w:tcW w:w="1417"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兼职驾驶员做好日常检查台账，严禁将甲方车辆驶出隔离区外。</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Cs w:val="21"/>
              </w:rPr>
            </w:pPr>
            <w:r>
              <w:rPr>
                <w:rFonts w:hint="eastAsia" w:ascii="仿宋_GB2312" w:hAnsi="仿宋_GB2312" w:eastAsia="仿宋_GB2312" w:cs="仿宋_GB2312"/>
                <w:color w:val="000000"/>
                <w:kern w:val="0"/>
                <w:sz w:val="20"/>
                <w:szCs w:val="20"/>
                <w:lang w:bidi="ar"/>
              </w:rPr>
              <w:t>严重：扣4分；较重：扣3分；一般：扣2分；轻微：扣1分</w:t>
            </w:r>
          </w:p>
        </w:tc>
      </w:tr>
      <w:tr>
        <w:tblPrEx>
          <w:tblCellMar>
            <w:top w:w="0" w:type="dxa"/>
            <w:left w:w="108" w:type="dxa"/>
            <w:bottom w:w="0" w:type="dxa"/>
            <w:right w:w="108" w:type="dxa"/>
          </w:tblCellMar>
        </w:tblPrEx>
        <w:trPr>
          <w:trHeight w:val="90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3.31</w:t>
            </w:r>
          </w:p>
        </w:tc>
        <w:tc>
          <w:tcPr>
            <w:tcW w:w="1417"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装卸人员保障完毕后，在航空器靠近货舱一侧的翼尖正下方对装舱信息进行手指口述复核流程，并同监装监卸员在装机单上签字确认。</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严重：扣4分；较重：扣3分；一般：扣2分；轻微：扣1分</w:t>
            </w:r>
          </w:p>
        </w:tc>
      </w:tr>
      <w:tr>
        <w:tblPrEx>
          <w:tblCellMar>
            <w:top w:w="0" w:type="dxa"/>
            <w:left w:w="108" w:type="dxa"/>
            <w:bottom w:w="0" w:type="dxa"/>
            <w:right w:w="108" w:type="dxa"/>
          </w:tblCellMar>
        </w:tblPrEx>
        <w:trPr>
          <w:trHeight w:val="907" w:hRule="exact"/>
        </w:trPr>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3.32</w:t>
            </w:r>
          </w:p>
        </w:tc>
        <w:tc>
          <w:tcPr>
            <w:tcW w:w="1417" w:type="dxa"/>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p>
        </w:tc>
        <w:tc>
          <w:tcPr>
            <w:tcW w:w="45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装卸人员在保障航班前后，严格按照防疫最新指示要求在指定地点合理合规穿脱防护装备。</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严重：扣4分；较重：扣3分；一般：扣2分；轻微：扣1分</w:t>
            </w:r>
          </w:p>
        </w:tc>
      </w:tr>
    </w:tbl>
    <w:p>
      <w:pPr>
        <w:pStyle w:val="33"/>
        <w:adjustRightInd w:val="0"/>
        <w:snapToGrid w:val="0"/>
        <w:spacing w:line="228" w:lineRule="auto"/>
        <w:ind w:firstLine="0" w:firstLineChars="0"/>
        <w:rPr>
          <w:rFonts w:hint="eastAsia" w:ascii="仿宋_GB2312" w:hAnsi="仿宋_GB2312" w:eastAsia="仿宋_GB2312" w:cs="宋体"/>
          <w:kern w:val="0"/>
        </w:rPr>
      </w:pPr>
    </w:p>
    <w:p>
      <w:pPr>
        <w:pStyle w:val="33"/>
        <w:adjustRightInd w:val="0"/>
        <w:snapToGrid w:val="0"/>
        <w:spacing w:line="380" w:lineRule="exact"/>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注：</w:t>
      </w:r>
    </w:p>
    <w:p>
      <w:pPr>
        <w:pStyle w:val="53"/>
        <w:tabs>
          <w:tab w:val="left" w:pos="452"/>
        </w:tabs>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一、安全质量指标</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严重：发生重大不安全事故或突破指标的不安全事件；</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较重：导致较重后果或负面影响范围扩大到公司层级的各类事件；</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一般：未造成事实、未导致后果的，一个考核周期内连续发生次数</w:t>
      </w:r>
      <w:r>
        <w:rPr>
          <w:rFonts w:hint="eastAsia" w:ascii="仿宋_GB2312" w:hAnsi="仿宋_GB2312" w:eastAsia="仿宋_GB2312" w:cs="仿宋_GB2312"/>
          <w:sz w:val="24"/>
          <w:szCs w:val="24"/>
          <w:lang w:eastAsia="zh-CN"/>
        </w:rPr>
        <w:t>≥3</w:t>
      </w:r>
      <w:r>
        <w:rPr>
          <w:rFonts w:hint="eastAsia" w:ascii="仿宋_GB2312" w:hAnsi="仿宋_GB2312" w:eastAsia="仿宋_GB2312" w:cs="仿宋_GB2312"/>
          <w:color w:val="000000"/>
          <w:sz w:val="24"/>
          <w:szCs w:val="24"/>
        </w:rPr>
        <w:t>次</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轻微：未造成事实、未导致后果的，一个考核周期内连续发生</w:t>
      </w:r>
      <w:r>
        <w:rPr>
          <w:rFonts w:hint="eastAsia" w:ascii="仿宋_GB2312" w:hAnsi="仿宋_GB2312" w:eastAsia="仿宋_GB2312" w:cs="仿宋_GB2312"/>
          <w:color w:val="000000"/>
          <w:sz w:val="24"/>
          <w:szCs w:val="24"/>
          <w:lang w:val="zh-CN" w:eastAsia="zh-CN" w:bidi="zh-CN"/>
        </w:rPr>
        <w:t>次数</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color w:val="000000"/>
          <w:sz w:val="24"/>
          <w:szCs w:val="24"/>
        </w:rPr>
        <w:t>次</w:t>
      </w:r>
    </w:p>
    <w:p>
      <w:pPr>
        <w:pStyle w:val="53"/>
        <w:tabs>
          <w:tab w:val="left" w:pos="459"/>
        </w:tabs>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二、管理指标</w:t>
      </w:r>
    </w:p>
    <w:p>
      <w:pPr>
        <w:pStyle w:val="53"/>
        <w:spacing w:after="0" w:line="38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严重：发生重大不安全事件或事故隐患、突破安全指标、未建立相关台账或现场管理混乱、违反监管单位规章制度且造成后果的；</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较重：导致较重后果的，影响范围扩大到公司层级的各类事件；</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一般：未完善相关台账记录，违反但未造成后果的，一个考核周期内连续发生次数</w:t>
      </w:r>
      <w:r>
        <w:rPr>
          <w:rFonts w:hint="eastAsia" w:ascii="仿宋_GB2312" w:hAnsi="仿宋_GB2312" w:eastAsia="仿宋_GB2312" w:cs="仿宋_GB2312"/>
          <w:sz w:val="24"/>
          <w:szCs w:val="24"/>
          <w:lang w:eastAsia="zh-CN"/>
        </w:rPr>
        <w:t>≥3</w:t>
      </w:r>
      <w:r>
        <w:rPr>
          <w:rFonts w:hint="eastAsia" w:ascii="仿宋_GB2312" w:hAnsi="仿宋_GB2312" w:eastAsia="仿宋_GB2312" w:cs="仿宋_GB2312"/>
          <w:color w:val="000000"/>
          <w:sz w:val="24"/>
          <w:szCs w:val="24"/>
        </w:rPr>
        <w:t>次</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轻微：违反但未造成后果的，一个考核周期内连续发生次数</w:t>
      </w:r>
      <w:r>
        <w:rPr>
          <w:rFonts w:hint="eastAsia" w:ascii="仿宋_GB2312" w:hAnsi="仿宋_GB2312" w:eastAsia="仿宋_GB2312" w:cs="仿宋_GB2312"/>
          <w:sz w:val="24"/>
          <w:szCs w:val="24"/>
        </w:rPr>
        <w:t>≦2</w:t>
      </w:r>
      <w:r>
        <w:rPr>
          <w:rFonts w:hint="eastAsia" w:ascii="仿宋_GB2312" w:hAnsi="仿宋_GB2312" w:eastAsia="仿宋_GB2312" w:cs="仿宋_GB2312"/>
          <w:color w:val="000000"/>
          <w:sz w:val="24"/>
          <w:szCs w:val="24"/>
        </w:rPr>
        <w:t>次</w:t>
      </w:r>
    </w:p>
    <w:p>
      <w:pPr>
        <w:pStyle w:val="53"/>
        <w:tabs>
          <w:tab w:val="left" w:pos="459"/>
        </w:tabs>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三、日常操</w:t>
      </w:r>
      <w:r>
        <w:rPr>
          <w:rFonts w:hint="eastAsia" w:ascii="仿宋_GB2312" w:hAnsi="仿宋_GB2312" w:eastAsia="仿宋_GB2312" w:cs="仿宋_GB2312"/>
          <w:color w:val="000000"/>
          <w:sz w:val="24"/>
          <w:szCs w:val="24"/>
          <w:lang w:val="zh-CN" w:eastAsia="zh-CN" w:bidi="zh-CN"/>
        </w:rPr>
        <w:t>作类.</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Hans"/>
        </w:rPr>
        <w:t>严重</w:t>
      </w:r>
      <w:r>
        <w:rPr>
          <w:rFonts w:hint="eastAsia" w:ascii="仿宋_GB2312" w:hAnsi="仿宋_GB2312" w:eastAsia="仿宋_GB2312" w:cs="仿宋_GB2312"/>
          <w:color w:val="000000"/>
          <w:sz w:val="24"/>
          <w:szCs w:val="24"/>
          <w:lang w:eastAsia="zh-Hans"/>
        </w:rPr>
        <w:t>：</w:t>
      </w:r>
      <w:r>
        <w:rPr>
          <w:rFonts w:hint="eastAsia" w:ascii="仿宋_GB2312" w:hAnsi="仿宋_GB2312" w:eastAsia="仿宋_GB2312" w:cs="仿宋_GB2312"/>
          <w:color w:val="000000"/>
          <w:sz w:val="24"/>
          <w:szCs w:val="24"/>
        </w:rPr>
        <w:t>导致严重后果的，影响范围扩大到集团公司层级及以上的；</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较重：导致较重后果的，影响范围扩大到公司层级的；</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一般：导致后果的，影响范围控制在部门层级的；</w:t>
      </w:r>
    </w:p>
    <w:p>
      <w:pPr>
        <w:pStyle w:val="53"/>
        <w:spacing w:after="0" w:line="380" w:lineRule="exac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轻微：未造成后果，但违反相关规定，</w:t>
      </w:r>
      <w:r>
        <w:rPr>
          <w:rFonts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分/次。</w:t>
      </w:r>
    </w:p>
    <w:p>
      <w:pPr>
        <w:pStyle w:val="53"/>
        <w:spacing w:after="0" w:line="38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以上扣分标准均在一个考核周期内。</w:t>
      </w:r>
    </w:p>
    <w:p>
      <w:pPr>
        <w:pStyle w:val="53"/>
        <w:spacing w:after="0" w:line="380" w:lineRule="exact"/>
        <w:rPr>
          <w:lang w:val="en-US" w:eastAsia="zh-CN"/>
        </w:rPr>
        <w:sectPr>
          <w:headerReference r:id="rId11" w:type="default"/>
          <w:footerReference r:id="rId12" w:type="default"/>
          <w:pgSz w:w="16838" w:h="11906" w:orient="landscape"/>
          <w:pgMar w:top="1800" w:right="1157" w:bottom="1800" w:left="1157" w:header="851" w:footer="992" w:gutter="0"/>
          <w:cols w:space="720" w:num="1"/>
          <w:docGrid w:type="lines" w:linePitch="312" w:charSpace="0"/>
        </w:sectPr>
      </w:pPr>
    </w:p>
    <w:p>
      <w:pPr>
        <w:rPr>
          <w:b/>
          <w:sz w:val="28"/>
        </w:rPr>
      </w:pPr>
      <w:r>
        <w:rPr>
          <w:rFonts w:hint="eastAsia"/>
          <w:b/>
          <w:sz w:val="28"/>
        </w:rPr>
        <w:t>附件三：</w:t>
      </w:r>
    </w:p>
    <w:p>
      <w:pPr>
        <w:widowControl/>
        <w:adjustRightInd w:val="0"/>
        <w:snapToGrid w:val="0"/>
        <w:jc w:val="center"/>
        <w:rPr>
          <w:rFonts w:ascii="宋体" w:hAnsi="宋体"/>
          <w:b/>
          <w:sz w:val="40"/>
        </w:rPr>
      </w:pPr>
      <w:r>
        <w:rPr>
          <w:rFonts w:hint="eastAsia"/>
          <w:b/>
          <w:sz w:val="32"/>
        </w:rPr>
        <w:t>重庆空港航空地面服务有限公司</w:t>
      </w:r>
    </w:p>
    <w:p>
      <w:pPr>
        <w:widowControl/>
        <w:adjustRightInd w:val="0"/>
        <w:snapToGrid w:val="0"/>
        <w:jc w:val="center"/>
        <w:rPr>
          <w:b/>
          <w:sz w:val="32"/>
        </w:rPr>
      </w:pPr>
      <w:r>
        <w:rPr>
          <w:rFonts w:hint="eastAsia"/>
          <w:b/>
          <w:sz w:val="32"/>
        </w:rPr>
        <w:t>外包业务监督检查扣减报告表</w:t>
      </w:r>
    </w:p>
    <w:p>
      <w:pPr>
        <w:widowControl/>
        <w:adjustRightInd w:val="0"/>
        <w:snapToGrid w:val="0"/>
        <w:rPr>
          <w:rFonts w:ascii="宋体" w:hAnsi="宋体"/>
          <w:sz w:val="28"/>
          <w:szCs w:val="28"/>
        </w:rPr>
      </w:pPr>
      <w:r>
        <w:rPr>
          <w:rFonts w:hint="eastAsia" w:ascii="宋体" w:hAnsi="宋体"/>
          <w:sz w:val="28"/>
          <w:szCs w:val="28"/>
        </w:rPr>
        <w:t>填报部门：</w:t>
      </w:r>
      <w:r>
        <w:rPr>
          <w:rFonts w:hint="eastAsia" w:ascii="仿宋_GB2312" w:eastAsia="仿宋_GB2312"/>
          <w:sz w:val="32"/>
          <w:szCs w:val="32"/>
        </w:rPr>
        <w:t xml:space="preserve">                               </w:t>
      </w:r>
      <w:r>
        <w:rPr>
          <w:rFonts w:hint="eastAsia" w:ascii="宋体" w:hAnsi="宋体"/>
          <w:sz w:val="28"/>
          <w:szCs w:val="28"/>
        </w:rPr>
        <w:t>填报日期：</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3"/>
        <w:gridCol w:w="1331"/>
        <w:gridCol w:w="1276"/>
        <w:gridCol w:w="1080"/>
        <w:gridCol w:w="1080"/>
        <w:gridCol w:w="1800"/>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gridSpan w:val="2"/>
            <w:vAlign w:val="center"/>
          </w:tcPr>
          <w:p>
            <w:pPr>
              <w:widowControl/>
              <w:adjustRightInd w:val="0"/>
              <w:snapToGrid w:val="0"/>
              <w:jc w:val="center"/>
              <w:rPr>
                <w:rFonts w:ascii="仿宋_GB2312" w:eastAsia="仿宋_GB2312"/>
                <w:sz w:val="32"/>
                <w:szCs w:val="32"/>
              </w:rPr>
            </w:pPr>
            <w:r>
              <w:rPr>
                <w:rFonts w:hint="eastAsia" w:ascii="宋体" w:hAnsi="宋体"/>
                <w:sz w:val="28"/>
                <w:szCs w:val="28"/>
              </w:rPr>
              <w:t>单  位</w:t>
            </w:r>
          </w:p>
        </w:tc>
        <w:tc>
          <w:tcPr>
            <w:tcW w:w="2607" w:type="dxa"/>
            <w:gridSpan w:val="2"/>
            <w:vAlign w:val="center"/>
          </w:tcPr>
          <w:p>
            <w:pPr>
              <w:widowControl/>
              <w:adjustRightInd w:val="0"/>
              <w:snapToGrid w:val="0"/>
              <w:jc w:val="center"/>
              <w:rPr>
                <w:rFonts w:ascii="仿宋_GB2312" w:eastAsia="仿宋_GB2312"/>
                <w:sz w:val="32"/>
                <w:szCs w:val="32"/>
              </w:rPr>
            </w:pPr>
          </w:p>
        </w:tc>
        <w:tc>
          <w:tcPr>
            <w:tcW w:w="1080" w:type="dxa"/>
            <w:vAlign w:val="center"/>
          </w:tcPr>
          <w:p>
            <w:pPr>
              <w:widowControl/>
              <w:adjustRightInd w:val="0"/>
              <w:snapToGrid w:val="0"/>
              <w:jc w:val="center"/>
              <w:rPr>
                <w:rFonts w:ascii="宋体" w:hAnsi="宋体"/>
                <w:sz w:val="28"/>
                <w:szCs w:val="28"/>
              </w:rPr>
            </w:pPr>
            <w:r>
              <w:rPr>
                <w:rFonts w:hint="eastAsia" w:ascii="宋体" w:hAnsi="宋体"/>
                <w:sz w:val="28"/>
                <w:szCs w:val="28"/>
              </w:rPr>
              <w:t>岗位</w:t>
            </w:r>
          </w:p>
        </w:tc>
        <w:tc>
          <w:tcPr>
            <w:tcW w:w="1080" w:type="dxa"/>
            <w:vAlign w:val="center"/>
          </w:tcPr>
          <w:p>
            <w:pPr>
              <w:widowControl/>
              <w:adjustRightInd w:val="0"/>
              <w:snapToGrid w:val="0"/>
              <w:jc w:val="center"/>
              <w:rPr>
                <w:rFonts w:ascii="仿宋_GB2312" w:eastAsia="仿宋_GB2312"/>
                <w:sz w:val="32"/>
                <w:szCs w:val="32"/>
              </w:rPr>
            </w:pPr>
          </w:p>
        </w:tc>
        <w:tc>
          <w:tcPr>
            <w:tcW w:w="1800" w:type="dxa"/>
            <w:vAlign w:val="center"/>
          </w:tcPr>
          <w:p>
            <w:pPr>
              <w:widowControl/>
              <w:adjustRightInd w:val="0"/>
              <w:snapToGrid w:val="0"/>
              <w:jc w:val="center"/>
              <w:rPr>
                <w:rFonts w:ascii="仿宋_GB2312" w:eastAsia="仿宋_GB2312"/>
                <w:sz w:val="32"/>
                <w:szCs w:val="32"/>
              </w:rPr>
            </w:pPr>
            <w:r>
              <w:rPr>
                <w:rFonts w:hint="eastAsia" w:ascii="宋体" w:hAnsi="宋体"/>
                <w:sz w:val="28"/>
                <w:szCs w:val="28"/>
              </w:rPr>
              <w:t>发生时间</w:t>
            </w:r>
          </w:p>
        </w:tc>
        <w:tc>
          <w:tcPr>
            <w:tcW w:w="1466" w:type="dxa"/>
            <w:vAlign w:val="center"/>
          </w:tcPr>
          <w:p>
            <w:pPr>
              <w:widowControl/>
              <w:adjustRightInd w:val="0"/>
              <w:snapToGrid w:val="0"/>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83" w:type="dxa"/>
            <w:gridSpan w:val="2"/>
            <w:vAlign w:val="center"/>
          </w:tcPr>
          <w:p>
            <w:pPr>
              <w:widowControl/>
              <w:adjustRightInd w:val="0"/>
              <w:snapToGrid w:val="0"/>
              <w:jc w:val="center"/>
              <w:rPr>
                <w:rFonts w:ascii="宋体" w:hAnsi="宋体"/>
                <w:sz w:val="28"/>
                <w:szCs w:val="28"/>
              </w:rPr>
            </w:pPr>
            <w:r>
              <w:rPr>
                <w:rFonts w:hint="eastAsia" w:ascii="宋体" w:hAnsi="宋体"/>
                <w:sz w:val="28"/>
                <w:szCs w:val="28"/>
              </w:rPr>
              <w:t>责任人</w:t>
            </w:r>
          </w:p>
        </w:tc>
        <w:tc>
          <w:tcPr>
            <w:tcW w:w="2607" w:type="dxa"/>
            <w:gridSpan w:val="2"/>
            <w:vAlign w:val="center"/>
          </w:tcPr>
          <w:p>
            <w:pPr>
              <w:widowControl/>
              <w:adjustRightInd w:val="0"/>
              <w:snapToGrid w:val="0"/>
              <w:jc w:val="center"/>
              <w:rPr>
                <w:rFonts w:ascii="宋体" w:hAnsi="宋体"/>
                <w:sz w:val="28"/>
                <w:szCs w:val="28"/>
              </w:rPr>
            </w:pPr>
          </w:p>
        </w:tc>
        <w:tc>
          <w:tcPr>
            <w:tcW w:w="1080" w:type="dxa"/>
            <w:vAlign w:val="center"/>
          </w:tcPr>
          <w:p>
            <w:pPr>
              <w:widowControl/>
              <w:adjustRightInd w:val="0"/>
              <w:snapToGrid w:val="0"/>
              <w:jc w:val="center"/>
              <w:rPr>
                <w:rFonts w:ascii="仿宋_GB2312" w:eastAsia="仿宋_GB2312"/>
                <w:sz w:val="32"/>
                <w:szCs w:val="32"/>
              </w:rPr>
            </w:pPr>
            <w:r>
              <w:rPr>
                <w:rFonts w:hint="eastAsia" w:ascii="宋体" w:hAnsi="宋体"/>
                <w:sz w:val="28"/>
                <w:szCs w:val="28"/>
              </w:rPr>
              <w:t>性别</w:t>
            </w:r>
          </w:p>
        </w:tc>
        <w:tc>
          <w:tcPr>
            <w:tcW w:w="1080" w:type="dxa"/>
            <w:vAlign w:val="center"/>
          </w:tcPr>
          <w:p>
            <w:pPr>
              <w:widowControl/>
              <w:adjustRightInd w:val="0"/>
              <w:snapToGrid w:val="0"/>
              <w:jc w:val="center"/>
              <w:rPr>
                <w:rFonts w:ascii="仿宋_GB2312" w:eastAsia="仿宋_GB2312"/>
                <w:sz w:val="32"/>
                <w:szCs w:val="32"/>
              </w:rPr>
            </w:pPr>
          </w:p>
        </w:tc>
        <w:tc>
          <w:tcPr>
            <w:tcW w:w="1800" w:type="dxa"/>
            <w:vAlign w:val="center"/>
          </w:tcPr>
          <w:p>
            <w:pPr>
              <w:widowControl/>
              <w:adjustRightInd w:val="0"/>
              <w:snapToGrid w:val="0"/>
              <w:jc w:val="center"/>
              <w:rPr>
                <w:rFonts w:ascii="宋体" w:hAnsi="宋体"/>
                <w:sz w:val="28"/>
                <w:szCs w:val="28"/>
              </w:rPr>
            </w:pPr>
            <w:r>
              <w:rPr>
                <w:rFonts w:hint="eastAsia" w:ascii="宋体" w:hAnsi="宋体"/>
                <w:sz w:val="28"/>
                <w:szCs w:val="28"/>
              </w:rPr>
              <w:t>员工号</w:t>
            </w:r>
          </w:p>
        </w:tc>
        <w:tc>
          <w:tcPr>
            <w:tcW w:w="1466" w:type="dxa"/>
            <w:vAlign w:val="center"/>
          </w:tcPr>
          <w:p>
            <w:pPr>
              <w:widowControl/>
              <w:adjustRightInd w:val="0"/>
              <w:snapToGrid w:val="0"/>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660" w:type="dxa"/>
            <w:vMerge w:val="restart"/>
            <w:vAlign w:val="center"/>
          </w:tcPr>
          <w:p>
            <w:pPr>
              <w:widowControl/>
              <w:adjustRightInd w:val="0"/>
              <w:snapToGrid w:val="0"/>
              <w:jc w:val="center"/>
              <w:rPr>
                <w:rFonts w:ascii="宋体" w:hAnsi="宋体"/>
                <w:sz w:val="28"/>
                <w:szCs w:val="28"/>
              </w:rPr>
            </w:pPr>
            <w:r>
              <w:rPr>
                <w:rFonts w:hint="eastAsia" w:ascii="宋体" w:hAnsi="宋体"/>
                <w:sz w:val="28"/>
                <w:szCs w:val="28"/>
              </w:rPr>
              <w:t>扣分事实记录</w:t>
            </w:r>
          </w:p>
        </w:tc>
        <w:tc>
          <w:tcPr>
            <w:tcW w:w="8856" w:type="dxa"/>
            <w:gridSpan w:val="7"/>
          </w:tcPr>
          <w:p>
            <w:pPr>
              <w:widowControl/>
              <w:adjustRightInd w:val="0"/>
              <w:snapToGrid w:val="0"/>
              <w:rPr>
                <w:rFonts w:ascii="仿宋_GB2312" w:eastAsia="仿宋_GB2312"/>
                <w:sz w:val="32"/>
                <w:szCs w:val="32"/>
              </w:rPr>
            </w:pPr>
          </w:p>
          <w:p>
            <w:pPr>
              <w:widowControl/>
              <w:tabs>
                <w:tab w:val="left" w:pos="5820"/>
              </w:tabs>
              <w:adjustRightInd w:val="0"/>
              <w:snapToGrid w:val="0"/>
              <w:rPr>
                <w:rFonts w:ascii="仿宋_GB2312" w:eastAsia="仿宋_GB2312"/>
                <w:sz w:val="32"/>
                <w:szCs w:val="32"/>
              </w:rPr>
            </w:pPr>
            <w:r>
              <w:rPr>
                <w:rFonts w:ascii="仿宋_GB2312" w:eastAsia="仿宋_GB2312"/>
                <w:sz w:val="32"/>
                <w:szCs w:val="3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0" w:type="dxa"/>
            <w:vMerge w:val="continue"/>
          </w:tcPr>
          <w:p>
            <w:pPr>
              <w:widowControl/>
              <w:adjustRightInd w:val="0"/>
              <w:snapToGrid w:val="0"/>
              <w:jc w:val="center"/>
              <w:rPr>
                <w:rFonts w:ascii="仿宋_GB2312" w:eastAsia="仿宋_GB2312"/>
                <w:sz w:val="32"/>
                <w:szCs w:val="32"/>
              </w:rPr>
            </w:pPr>
          </w:p>
        </w:tc>
        <w:tc>
          <w:tcPr>
            <w:tcW w:w="8856" w:type="dxa"/>
            <w:gridSpan w:val="7"/>
          </w:tcPr>
          <w:p>
            <w:pPr>
              <w:widowControl/>
              <w:adjustRightInd w:val="0"/>
              <w:snapToGrid w:val="0"/>
              <w:spacing w:before="63" w:beforeLines="20"/>
              <w:rPr>
                <w:rFonts w:ascii="宋体" w:hAnsi="宋体"/>
                <w:w w:val="80"/>
                <w:sz w:val="28"/>
                <w:szCs w:val="28"/>
                <w:u w:val="single"/>
              </w:rPr>
            </w:pPr>
            <w:r>
              <w:rPr>
                <w:rFonts w:hint="eastAsia" w:ascii="宋体" w:hAnsi="宋体"/>
                <w:w w:val="80"/>
                <w:sz w:val="28"/>
                <w:szCs w:val="28"/>
              </w:rPr>
              <w:t>事实认可：</w:t>
            </w:r>
            <w:r>
              <w:rPr>
                <w:rFonts w:hint="eastAsia" w:ascii="宋体" w:hAnsi="宋体"/>
                <w:sz w:val="28"/>
                <w:szCs w:val="28"/>
              </w:rPr>
              <w:t>□</w:t>
            </w:r>
            <w:r>
              <w:rPr>
                <w:rFonts w:hint="eastAsia" w:ascii="宋体" w:hAnsi="宋体"/>
                <w:w w:val="80"/>
                <w:sz w:val="28"/>
                <w:szCs w:val="28"/>
              </w:rPr>
              <w:t>认可  □不认可，要求重新调查。   责任人确认（签字）：</w:t>
            </w:r>
            <w:r>
              <w:rPr>
                <w:rFonts w:hint="eastAsia" w:ascii="宋体" w:hAnsi="宋体"/>
                <w:w w:val="80"/>
                <w:sz w:val="28"/>
                <w:szCs w:val="28"/>
                <w:u w:val="single"/>
              </w:rPr>
              <w:t xml:space="preserve">         </w:t>
            </w:r>
          </w:p>
          <w:p>
            <w:pPr>
              <w:widowControl/>
              <w:adjustRightInd w:val="0"/>
              <w:snapToGrid w:val="0"/>
              <w:rPr>
                <w:rFonts w:ascii="宋体" w:hAnsi="宋体"/>
                <w:sz w:val="28"/>
                <w:szCs w:val="28"/>
              </w:rPr>
            </w:pPr>
            <w:r>
              <w:rPr>
                <w:rFonts w:hint="eastAsia" w:ascii="宋体" w:hAnsi="宋体"/>
                <w:sz w:val="28"/>
                <w:szCs w:val="28"/>
              </w:rPr>
              <w:t>填报人：</w:t>
            </w:r>
            <w:r>
              <w:rPr>
                <w:rFonts w:hint="eastAsia" w:ascii="宋体" w:hAnsi="宋体"/>
                <w:sz w:val="28"/>
                <w:szCs w:val="28"/>
                <w:u w:val="single"/>
              </w:rPr>
              <w:t xml:space="preserve">         </w:t>
            </w:r>
            <w:r>
              <w:rPr>
                <w:rFonts w:hint="eastAsia" w:ascii="宋体" w:hAnsi="宋体"/>
                <w:sz w:val="28"/>
                <w:szCs w:val="28"/>
              </w:rPr>
              <w:t xml:space="preserve"> 调查人：</w:t>
            </w:r>
            <w:r>
              <w:rPr>
                <w:rFonts w:hint="eastAsia" w:ascii="宋体" w:hAnsi="宋体"/>
                <w:sz w:val="28"/>
                <w:szCs w:val="28"/>
                <w:u w:val="single"/>
              </w:rPr>
              <w:t xml:space="preserve">           </w:t>
            </w:r>
            <w:r>
              <w:rPr>
                <w:rFonts w:hint="eastAsia" w:ascii="宋体" w:hAnsi="宋体"/>
                <w:sz w:val="28"/>
                <w:szCs w:val="28"/>
              </w:rPr>
              <w:t>证明人：</w:t>
            </w:r>
            <w:r>
              <w:rPr>
                <w:rFonts w:hint="eastAsia" w:ascii="宋体" w:hAnsi="宋体"/>
                <w:sz w:val="28"/>
                <w:szCs w:val="28"/>
                <w:u w:val="single"/>
              </w:rPr>
              <w:t xml:space="preserve">               </w:t>
            </w: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60" w:type="dxa"/>
            <w:vMerge w:val="restart"/>
            <w:vAlign w:val="center"/>
          </w:tcPr>
          <w:p>
            <w:pPr>
              <w:widowControl/>
              <w:adjustRightInd w:val="0"/>
              <w:snapToGrid w:val="0"/>
              <w:jc w:val="center"/>
              <w:rPr>
                <w:rFonts w:ascii="仿宋_GB2312" w:eastAsia="仿宋_GB2312"/>
                <w:sz w:val="32"/>
                <w:szCs w:val="32"/>
              </w:rPr>
            </w:pPr>
            <w:r>
              <w:rPr>
                <w:rFonts w:hint="eastAsia" w:ascii="宋体" w:hAnsi="宋体"/>
                <w:sz w:val="28"/>
                <w:szCs w:val="28"/>
              </w:rPr>
              <w:t>扣分意见</w:t>
            </w:r>
          </w:p>
        </w:tc>
        <w:tc>
          <w:tcPr>
            <w:tcW w:w="8856" w:type="dxa"/>
            <w:gridSpan w:val="7"/>
          </w:tcPr>
          <w:p>
            <w:pPr>
              <w:widowControl/>
              <w:adjustRightInd w:val="0"/>
              <w:snapToGrid w:val="0"/>
              <w:rPr>
                <w:rFonts w:ascii="仿宋_GB2312" w:eastAsia="仿宋_GB2312"/>
                <w:sz w:val="32"/>
                <w:szCs w:val="32"/>
              </w:rPr>
            </w:pPr>
            <w:r>
              <w:rPr>
                <w:rFonts w:hint="eastAsia" w:ascii="宋体" w:hAnsi="宋体"/>
                <w:sz w:val="28"/>
                <w:szCs w:val="28"/>
              </w:rPr>
              <w:t>扣减依据：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0" w:type="dxa"/>
            <w:vMerge w:val="continue"/>
          </w:tcPr>
          <w:p>
            <w:pPr>
              <w:widowControl/>
              <w:adjustRightInd w:val="0"/>
              <w:snapToGrid w:val="0"/>
              <w:jc w:val="center"/>
              <w:rPr>
                <w:rFonts w:ascii="仿宋_GB2312" w:eastAsia="仿宋_GB2312"/>
                <w:sz w:val="32"/>
                <w:szCs w:val="32"/>
              </w:rPr>
            </w:pPr>
          </w:p>
        </w:tc>
        <w:tc>
          <w:tcPr>
            <w:tcW w:w="8856" w:type="dxa"/>
            <w:gridSpan w:val="7"/>
          </w:tcPr>
          <w:p>
            <w:pPr>
              <w:widowControl/>
              <w:adjustRightInd w:val="0"/>
              <w:snapToGrid w:val="0"/>
              <w:rPr>
                <w:rFonts w:ascii="仿宋_GB2312" w:eastAsia="仿宋_GB2312"/>
                <w:sz w:val="32"/>
                <w:szCs w:val="32"/>
              </w:rPr>
            </w:pPr>
            <w:r>
              <w:rPr>
                <w:rFonts w:hint="eastAsia" w:ascii="宋体" w:hAnsi="宋体"/>
                <w:sz w:val="28"/>
                <w:szCs w:val="28"/>
              </w:rPr>
              <w:t>扣减分值：</w:t>
            </w:r>
            <w:r>
              <w:rPr>
                <w:rFonts w:hint="eastAsia" w:ascii="宋体" w:hAnsi="宋体"/>
                <w:sz w:val="28"/>
                <w:szCs w:val="28"/>
                <w:u w:val="single"/>
              </w:rPr>
              <w:t xml:space="preserve">      </w:t>
            </w:r>
            <w:r>
              <w:rPr>
                <w:rFonts w:hint="eastAsia" w:ascii="宋体" w:hAnsi="宋体"/>
                <w:sz w:val="28"/>
                <w:szCs w:val="28"/>
              </w:rPr>
              <w:t>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60" w:type="dxa"/>
            <w:vMerge w:val="continue"/>
          </w:tcPr>
          <w:p>
            <w:pPr>
              <w:widowControl/>
              <w:adjustRightInd w:val="0"/>
              <w:snapToGrid w:val="0"/>
              <w:jc w:val="center"/>
              <w:rPr>
                <w:rFonts w:ascii="仿宋_GB2312" w:eastAsia="仿宋_GB2312"/>
                <w:sz w:val="32"/>
                <w:szCs w:val="32"/>
              </w:rPr>
            </w:pPr>
          </w:p>
        </w:tc>
        <w:tc>
          <w:tcPr>
            <w:tcW w:w="8856" w:type="dxa"/>
            <w:gridSpan w:val="7"/>
          </w:tcPr>
          <w:p>
            <w:pPr>
              <w:widowControl/>
              <w:adjustRightInd w:val="0"/>
              <w:snapToGrid w:val="0"/>
              <w:rPr>
                <w:rFonts w:ascii="宋体" w:hAnsi="宋体"/>
                <w:w w:val="80"/>
                <w:sz w:val="28"/>
                <w:szCs w:val="28"/>
              </w:rPr>
            </w:pPr>
            <w:r>
              <w:rPr>
                <w:rFonts w:hint="eastAsia" w:ascii="宋体" w:hAnsi="宋体"/>
                <w:w w:val="80"/>
                <w:sz w:val="28"/>
                <w:szCs w:val="28"/>
              </w:rPr>
              <w:t>责任单位负责人签字：</w:t>
            </w:r>
            <w:r>
              <w:rPr>
                <w:rFonts w:hint="eastAsia" w:ascii="宋体" w:hAnsi="宋体"/>
                <w:w w:val="80"/>
                <w:sz w:val="28"/>
                <w:szCs w:val="28"/>
                <w:u w:val="single"/>
              </w:rPr>
              <w:t xml:space="preserve">             </w:t>
            </w:r>
            <w:r>
              <w:rPr>
                <w:rFonts w:hint="eastAsia" w:ascii="宋体" w:hAnsi="宋体"/>
                <w:w w:val="80"/>
                <w:sz w:val="28"/>
                <w:szCs w:val="28"/>
              </w:rPr>
              <w:t xml:space="preserve">           责任人确认（签字）：</w:t>
            </w:r>
            <w:r>
              <w:rPr>
                <w:rFonts w:hint="eastAsia" w:ascii="宋体" w:hAnsi="宋体"/>
                <w:w w:val="8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660" w:type="dxa"/>
            <w:vMerge w:val="restart"/>
            <w:vAlign w:val="center"/>
          </w:tcPr>
          <w:p>
            <w:pPr>
              <w:widowControl/>
              <w:adjustRightInd w:val="0"/>
              <w:snapToGrid w:val="0"/>
              <w:jc w:val="center"/>
              <w:rPr>
                <w:rFonts w:ascii="宋体" w:hAnsi="宋体"/>
                <w:w w:val="80"/>
                <w:sz w:val="28"/>
                <w:szCs w:val="28"/>
              </w:rPr>
            </w:pPr>
            <w:r>
              <w:rPr>
                <w:rFonts w:hint="eastAsia" w:ascii="宋体" w:hAnsi="宋体"/>
                <w:w w:val="80"/>
                <w:sz w:val="28"/>
                <w:szCs w:val="28"/>
              </w:rPr>
              <w:t>审核审批意见</w:t>
            </w:r>
          </w:p>
        </w:tc>
        <w:tc>
          <w:tcPr>
            <w:tcW w:w="2154" w:type="dxa"/>
            <w:gridSpan w:val="2"/>
            <w:vAlign w:val="center"/>
          </w:tcPr>
          <w:p>
            <w:pPr>
              <w:widowControl/>
              <w:adjustRightInd w:val="0"/>
              <w:snapToGrid w:val="0"/>
              <w:jc w:val="center"/>
              <w:rPr>
                <w:rFonts w:ascii="宋体" w:hAnsi="宋体"/>
                <w:sz w:val="28"/>
                <w:szCs w:val="28"/>
              </w:rPr>
            </w:pPr>
            <w:r>
              <w:rPr>
                <w:rFonts w:hint="eastAsia" w:ascii="宋体" w:hAnsi="宋体"/>
                <w:w w:val="80"/>
                <w:sz w:val="28"/>
                <w:szCs w:val="28"/>
              </w:rPr>
              <w:t>业务监管部门</w:t>
            </w:r>
          </w:p>
        </w:tc>
        <w:tc>
          <w:tcPr>
            <w:tcW w:w="6702" w:type="dxa"/>
            <w:gridSpan w:val="5"/>
            <w:vAlign w:val="bottom"/>
          </w:tcPr>
          <w:p>
            <w:pPr>
              <w:widowControl/>
              <w:tabs>
                <w:tab w:val="left" w:pos="8090"/>
              </w:tabs>
              <w:adjustRightInd w:val="0"/>
              <w:snapToGrid w:val="0"/>
              <w:ind w:right="277" w:rightChars="132" w:firstLine="4256" w:firstLineChars="1900"/>
              <w:rPr>
                <w:rFonts w:ascii="仿宋_GB2312" w:eastAsia="仿宋_GB2312"/>
                <w:sz w:val="32"/>
                <w:szCs w:val="32"/>
              </w:rPr>
            </w:pPr>
            <w:r>
              <w:rPr>
                <w:rFonts w:hint="eastAsia" w:ascii="宋体" w:hAnsi="宋体"/>
                <w:w w:val="80"/>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0" w:type="dxa"/>
            <w:vMerge w:val="continue"/>
          </w:tcPr>
          <w:p>
            <w:pPr>
              <w:widowControl/>
              <w:adjustRightInd w:val="0"/>
              <w:snapToGrid w:val="0"/>
              <w:jc w:val="center"/>
              <w:rPr>
                <w:rFonts w:ascii="宋体" w:hAnsi="宋体"/>
                <w:sz w:val="28"/>
                <w:szCs w:val="28"/>
              </w:rPr>
            </w:pPr>
          </w:p>
        </w:tc>
        <w:tc>
          <w:tcPr>
            <w:tcW w:w="2154" w:type="dxa"/>
            <w:gridSpan w:val="2"/>
            <w:vAlign w:val="center"/>
          </w:tcPr>
          <w:p>
            <w:pPr>
              <w:widowControl/>
              <w:adjustRightInd w:val="0"/>
              <w:snapToGrid w:val="0"/>
              <w:jc w:val="center"/>
              <w:rPr>
                <w:rFonts w:ascii="宋体" w:hAnsi="宋体"/>
                <w:w w:val="80"/>
                <w:sz w:val="28"/>
                <w:szCs w:val="28"/>
              </w:rPr>
            </w:pPr>
            <w:r>
              <w:rPr>
                <w:rFonts w:hint="eastAsia" w:ascii="宋体" w:hAnsi="宋体"/>
                <w:w w:val="80"/>
                <w:sz w:val="28"/>
                <w:szCs w:val="28"/>
              </w:rPr>
              <w:t>运行标准部</w:t>
            </w:r>
          </w:p>
        </w:tc>
        <w:tc>
          <w:tcPr>
            <w:tcW w:w="6702" w:type="dxa"/>
            <w:gridSpan w:val="5"/>
            <w:vAlign w:val="bottom"/>
          </w:tcPr>
          <w:p>
            <w:pPr>
              <w:widowControl/>
              <w:tabs>
                <w:tab w:val="left" w:pos="8090"/>
              </w:tabs>
              <w:adjustRightInd w:val="0"/>
              <w:snapToGrid w:val="0"/>
              <w:ind w:right="277" w:rightChars="132" w:firstLine="4256" w:firstLineChars="1900"/>
              <w:rPr>
                <w:rFonts w:ascii="宋体" w:hAnsi="宋体"/>
                <w:w w:val="80"/>
                <w:sz w:val="28"/>
                <w:szCs w:val="28"/>
              </w:rPr>
            </w:pPr>
            <w:r>
              <w:rPr>
                <w:rFonts w:hint="eastAsia" w:ascii="宋体" w:hAnsi="宋体"/>
                <w:w w:val="80"/>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0" w:type="dxa"/>
            <w:vMerge w:val="continue"/>
          </w:tcPr>
          <w:p>
            <w:pPr>
              <w:widowControl/>
              <w:adjustRightInd w:val="0"/>
              <w:snapToGrid w:val="0"/>
              <w:jc w:val="center"/>
              <w:rPr>
                <w:rFonts w:ascii="宋体" w:hAnsi="宋体"/>
                <w:sz w:val="28"/>
                <w:szCs w:val="28"/>
              </w:rPr>
            </w:pPr>
          </w:p>
        </w:tc>
        <w:tc>
          <w:tcPr>
            <w:tcW w:w="2154" w:type="dxa"/>
            <w:gridSpan w:val="2"/>
            <w:vAlign w:val="center"/>
          </w:tcPr>
          <w:p>
            <w:pPr>
              <w:widowControl/>
              <w:adjustRightInd w:val="0"/>
              <w:snapToGrid w:val="0"/>
              <w:jc w:val="center"/>
              <w:rPr>
                <w:rFonts w:ascii="宋体" w:hAnsi="宋体"/>
                <w:w w:val="80"/>
                <w:sz w:val="28"/>
                <w:szCs w:val="28"/>
              </w:rPr>
            </w:pPr>
            <w:r>
              <w:rPr>
                <w:rFonts w:hint="eastAsia" w:ascii="宋体" w:hAnsi="宋体"/>
                <w:w w:val="80"/>
                <w:sz w:val="28"/>
                <w:szCs w:val="28"/>
              </w:rPr>
              <w:t>业务归口管理部门</w:t>
            </w:r>
          </w:p>
        </w:tc>
        <w:tc>
          <w:tcPr>
            <w:tcW w:w="6702" w:type="dxa"/>
            <w:gridSpan w:val="5"/>
            <w:vAlign w:val="bottom"/>
          </w:tcPr>
          <w:p>
            <w:pPr>
              <w:widowControl/>
              <w:tabs>
                <w:tab w:val="left" w:pos="8090"/>
              </w:tabs>
              <w:adjustRightInd w:val="0"/>
              <w:snapToGrid w:val="0"/>
              <w:ind w:right="277" w:rightChars="132" w:firstLine="4256" w:firstLineChars="1900"/>
              <w:rPr>
                <w:rFonts w:ascii="宋体" w:hAnsi="宋体"/>
                <w:w w:val="80"/>
                <w:sz w:val="28"/>
                <w:szCs w:val="28"/>
              </w:rPr>
            </w:pPr>
            <w:r>
              <w:rPr>
                <w:rFonts w:hint="eastAsia" w:ascii="宋体" w:hAnsi="宋体"/>
                <w:w w:val="80"/>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0" w:type="dxa"/>
            <w:vMerge w:val="continue"/>
          </w:tcPr>
          <w:p>
            <w:pPr>
              <w:widowControl/>
              <w:adjustRightInd w:val="0"/>
              <w:snapToGrid w:val="0"/>
              <w:jc w:val="center"/>
              <w:rPr>
                <w:rFonts w:ascii="宋体" w:hAnsi="宋体"/>
                <w:w w:val="80"/>
                <w:sz w:val="28"/>
                <w:szCs w:val="28"/>
              </w:rPr>
            </w:pPr>
          </w:p>
        </w:tc>
        <w:tc>
          <w:tcPr>
            <w:tcW w:w="2154" w:type="dxa"/>
            <w:gridSpan w:val="2"/>
            <w:vAlign w:val="center"/>
          </w:tcPr>
          <w:p>
            <w:pPr>
              <w:widowControl/>
              <w:adjustRightInd w:val="0"/>
              <w:snapToGrid w:val="0"/>
              <w:jc w:val="center"/>
              <w:rPr>
                <w:rFonts w:ascii="宋体" w:hAnsi="宋体"/>
                <w:w w:val="80"/>
                <w:sz w:val="28"/>
                <w:szCs w:val="28"/>
              </w:rPr>
            </w:pPr>
            <w:r>
              <w:rPr>
                <w:rFonts w:hint="eastAsia" w:ascii="宋体" w:hAnsi="宋体"/>
                <w:w w:val="80"/>
                <w:sz w:val="28"/>
                <w:szCs w:val="28"/>
              </w:rPr>
              <w:t>分管领导</w:t>
            </w:r>
          </w:p>
        </w:tc>
        <w:tc>
          <w:tcPr>
            <w:tcW w:w="6702" w:type="dxa"/>
            <w:gridSpan w:val="5"/>
          </w:tcPr>
          <w:p>
            <w:pPr>
              <w:widowControl/>
              <w:tabs>
                <w:tab w:val="left" w:pos="8090"/>
              </w:tabs>
              <w:adjustRightInd w:val="0"/>
              <w:snapToGrid w:val="0"/>
              <w:ind w:right="277" w:rightChars="132" w:firstLine="4256" w:firstLineChars="1900"/>
              <w:rPr>
                <w:rFonts w:ascii="宋体" w:hAnsi="宋体"/>
                <w:w w:val="80"/>
                <w:sz w:val="28"/>
                <w:szCs w:val="28"/>
              </w:rPr>
            </w:pPr>
            <w:r>
              <w:rPr>
                <w:rFonts w:hint="eastAsia" w:ascii="宋体" w:hAnsi="宋体"/>
                <w:w w:val="80"/>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0" w:type="dxa"/>
            <w:vMerge w:val="continue"/>
          </w:tcPr>
          <w:p>
            <w:pPr>
              <w:widowControl/>
              <w:adjustRightInd w:val="0"/>
              <w:snapToGrid w:val="0"/>
              <w:jc w:val="center"/>
              <w:rPr>
                <w:rFonts w:ascii="宋体" w:hAnsi="宋体"/>
                <w:w w:val="80"/>
                <w:sz w:val="28"/>
                <w:szCs w:val="28"/>
              </w:rPr>
            </w:pPr>
          </w:p>
        </w:tc>
        <w:tc>
          <w:tcPr>
            <w:tcW w:w="2154" w:type="dxa"/>
            <w:gridSpan w:val="2"/>
            <w:vAlign w:val="center"/>
          </w:tcPr>
          <w:p>
            <w:pPr>
              <w:widowControl/>
              <w:adjustRightInd w:val="0"/>
              <w:snapToGrid w:val="0"/>
              <w:jc w:val="center"/>
              <w:rPr>
                <w:rFonts w:ascii="宋体" w:hAnsi="宋体"/>
                <w:w w:val="80"/>
                <w:sz w:val="28"/>
                <w:szCs w:val="28"/>
              </w:rPr>
            </w:pPr>
            <w:r>
              <w:rPr>
                <w:rFonts w:hint="eastAsia" w:ascii="宋体" w:hAnsi="宋体"/>
                <w:w w:val="80"/>
                <w:sz w:val="28"/>
                <w:szCs w:val="28"/>
              </w:rPr>
              <w:t>总 经 理</w:t>
            </w:r>
          </w:p>
        </w:tc>
        <w:tc>
          <w:tcPr>
            <w:tcW w:w="6702" w:type="dxa"/>
            <w:gridSpan w:val="5"/>
          </w:tcPr>
          <w:p>
            <w:pPr>
              <w:widowControl/>
              <w:tabs>
                <w:tab w:val="left" w:pos="8090"/>
              </w:tabs>
              <w:adjustRightInd w:val="0"/>
              <w:snapToGrid w:val="0"/>
              <w:ind w:right="277" w:rightChars="132" w:firstLine="4256" w:firstLineChars="1900"/>
              <w:rPr>
                <w:rFonts w:ascii="宋体" w:hAnsi="宋体"/>
                <w:w w:val="80"/>
                <w:sz w:val="28"/>
                <w:szCs w:val="28"/>
              </w:rPr>
            </w:pPr>
            <w:r>
              <w:rPr>
                <w:rFonts w:hint="eastAsia" w:ascii="宋体" w:hAnsi="宋体"/>
                <w:w w:val="80"/>
                <w:sz w:val="28"/>
                <w:szCs w:val="28"/>
              </w:rPr>
              <w:t>签字：</w:t>
            </w:r>
          </w:p>
        </w:tc>
      </w:tr>
    </w:tbl>
    <w:p>
      <w:pPr>
        <w:widowControl/>
        <w:adjustRightInd w:val="0"/>
        <w:snapToGrid w:val="0"/>
        <w:ind w:left="-540" w:leftChars="-257" w:firstLine="780" w:firstLineChars="500"/>
        <w:rPr>
          <w:rFonts w:ascii="黑体" w:hAnsi="宋体" w:eastAsia="黑体"/>
          <w:spacing w:val="-6"/>
          <w:w w:val="80"/>
          <w:szCs w:val="21"/>
        </w:rPr>
      </w:pPr>
    </w:p>
    <w:p>
      <w:pPr>
        <w:widowControl/>
        <w:adjustRightInd w:val="0"/>
        <w:snapToGrid w:val="0"/>
        <w:ind w:left="-540" w:leftChars="-257"/>
        <w:rPr>
          <w:rFonts w:ascii="黑体" w:hAnsi="宋体" w:eastAsia="黑体"/>
          <w:spacing w:val="-6"/>
          <w:w w:val="80"/>
          <w:szCs w:val="21"/>
        </w:rPr>
      </w:pPr>
      <w:r>
        <w:rPr>
          <w:rFonts w:hint="eastAsia" w:ascii="黑体" w:hAnsi="宋体" w:eastAsia="黑体"/>
          <w:spacing w:val="-6"/>
          <w:w w:val="80"/>
          <w:szCs w:val="21"/>
        </w:rPr>
        <w:t>填报说明：1、“扣分事实记录”一栏首次填报时由报告部门填写，如责任人对事实签字认可，调查人和证明人可不填。如因责任人对事实不认可或审核审批时认为与事实有出入，由地服公司与承包单位进行重新调查时，调查人须签字。如经调查责任人还不认可事实的，可由证明人签字证实。2、“扣减分值及意意见”栏原则上由提出报告部门根据规定提出意见，如相关规定不明确或审核审批认为处理不恰当需重新处理的，由责任职能部门填写。3、“审核审批意见”按程序和权限进行审核或审批。4、如需重新调查或处理时可另启表填写，违纪实事记录填不下时可另附页，其它证明材料作为本表附件。5、本表原件一份，经审批后由监管部门留存，复印件送达相关职能部门、责任单位。</w:t>
      </w:r>
    </w:p>
    <w:p>
      <w:pPr>
        <w:widowControl/>
        <w:adjustRightInd w:val="0"/>
        <w:snapToGrid w:val="0"/>
        <w:rPr>
          <w:lang w:val="zh-CN"/>
        </w:rPr>
        <w:sectPr>
          <w:pgSz w:w="11905" w:h="16838"/>
          <w:pgMar w:top="1440" w:right="1803" w:bottom="1440" w:left="1803" w:header="850" w:footer="992" w:gutter="0"/>
          <w:cols w:space="720" w:num="1"/>
          <w:docGrid w:type="lines" w:linePitch="319" w:charSpace="0"/>
        </w:sectPr>
      </w:pPr>
    </w:p>
    <w:tbl>
      <w:tblPr>
        <w:tblStyle w:val="16"/>
        <w:tblW w:w="0" w:type="auto"/>
        <w:jc w:val="center"/>
        <w:tblLayout w:type="fixed"/>
        <w:tblCellMar>
          <w:top w:w="15" w:type="dxa"/>
          <w:left w:w="15" w:type="dxa"/>
          <w:bottom w:w="15" w:type="dxa"/>
          <w:right w:w="15" w:type="dxa"/>
        </w:tblCellMar>
      </w:tblPr>
      <w:tblGrid>
        <w:gridCol w:w="495"/>
        <w:gridCol w:w="1005"/>
        <w:gridCol w:w="613"/>
        <w:gridCol w:w="347"/>
        <w:gridCol w:w="840"/>
        <w:gridCol w:w="765"/>
        <w:gridCol w:w="870"/>
        <w:gridCol w:w="825"/>
        <w:gridCol w:w="1858"/>
        <w:gridCol w:w="331"/>
        <w:gridCol w:w="1439"/>
      </w:tblGrid>
      <w:tr>
        <w:tblPrEx>
          <w:tblCellMar>
            <w:top w:w="15" w:type="dxa"/>
            <w:left w:w="15" w:type="dxa"/>
            <w:bottom w:w="15" w:type="dxa"/>
            <w:right w:w="15" w:type="dxa"/>
          </w:tblCellMar>
        </w:tblPrEx>
        <w:trPr>
          <w:trHeight w:val="660" w:hRule="atLeast"/>
          <w:jc w:val="center"/>
        </w:trPr>
        <w:tc>
          <w:tcPr>
            <w:tcW w:w="9388" w:type="dxa"/>
            <w:gridSpan w:val="11"/>
            <w:vAlign w:val="center"/>
          </w:tcPr>
          <w:p>
            <w:pPr>
              <w:widowControl/>
              <w:textAlignment w:val="center"/>
              <w:rPr>
                <w:rFonts w:ascii="黑体" w:hAnsi="宋体" w:eastAsia="黑体" w:cs="黑体"/>
                <w:b/>
                <w:sz w:val="36"/>
                <w:szCs w:val="36"/>
              </w:rPr>
            </w:pPr>
            <w:r>
              <w:rPr>
                <w:rFonts w:hint="eastAsia"/>
                <w:b/>
                <w:sz w:val="28"/>
              </w:rPr>
              <w:t>附件四：</w:t>
            </w:r>
            <w:r>
              <w:rPr>
                <w:rFonts w:hint="eastAsia" w:ascii="黑体" w:hAnsi="宋体" w:eastAsia="黑体" w:cs="黑体"/>
                <w:b/>
                <w:kern w:val="0"/>
                <w:sz w:val="36"/>
                <w:szCs w:val="36"/>
              </w:rPr>
              <w:t xml:space="preserve">       重庆空港航空地面服务有限公司</w:t>
            </w:r>
          </w:p>
        </w:tc>
      </w:tr>
      <w:tr>
        <w:tblPrEx>
          <w:tblCellMar>
            <w:top w:w="15" w:type="dxa"/>
            <w:left w:w="15" w:type="dxa"/>
            <w:bottom w:w="15" w:type="dxa"/>
            <w:right w:w="15" w:type="dxa"/>
          </w:tblCellMar>
        </w:tblPrEx>
        <w:trPr>
          <w:trHeight w:val="630" w:hRule="atLeast"/>
          <w:jc w:val="center"/>
        </w:trPr>
        <w:tc>
          <w:tcPr>
            <w:tcW w:w="9388" w:type="dxa"/>
            <w:gridSpan w:val="11"/>
            <w:tcBorders>
              <w:bottom w:val="single" w:color="000000" w:sz="4" w:space="0"/>
            </w:tcBorders>
          </w:tcPr>
          <w:p>
            <w:pPr>
              <w:widowControl/>
              <w:jc w:val="center"/>
              <w:textAlignment w:val="top"/>
              <w:rPr>
                <w:rFonts w:ascii="黑体" w:hAnsi="宋体" w:eastAsia="黑体" w:cs="黑体"/>
                <w:b/>
                <w:sz w:val="36"/>
                <w:szCs w:val="36"/>
              </w:rPr>
            </w:pPr>
            <w:r>
              <w:rPr>
                <w:rFonts w:hint="eastAsia" w:ascii="黑体" w:hAnsi="宋体" w:eastAsia="黑体" w:cs="黑体"/>
                <w:b/>
                <w:kern w:val="0"/>
                <w:sz w:val="36"/>
                <w:szCs w:val="36"/>
              </w:rPr>
              <w:t xml:space="preserve"> 外包业务整改通知及反馈表</w:t>
            </w:r>
          </w:p>
        </w:tc>
      </w:tr>
      <w:tr>
        <w:tblPrEx>
          <w:tblCellMar>
            <w:top w:w="15" w:type="dxa"/>
            <w:left w:w="15" w:type="dxa"/>
            <w:bottom w:w="15" w:type="dxa"/>
            <w:right w:w="15" w:type="dxa"/>
          </w:tblCellMar>
        </w:tblPrEx>
        <w:trPr>
          <w:trHeight w:val="600" w:hRule="atLeast"/>
          <w:jc w:val="center"/>
        </w:trPr>
        <w:tc>
          <w:tcPr>
            <w:tcW w:w="211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rPr>
            </w:pPr>
            <w:r>
              <w:rPr>
                <w:rFonts w:hint="eastAsia" w:ascii="宋体" w:hAnsi="宋体" w:cs="宋体"/>
                <w:b/>
                <w:kern w:val="0"/>
                <w:sz w:val="24"/>
              </w:rPr>
              <w:t>责任单位</w:t>
            </w:r>
          </w:p>
        </w:tc>
        <w:tc>
          <w:tcPr>
            <w:tcW w:w="1952" w:type="dxa"/>
            <w:gridSpan w:val="3"/>
            <w:tcBorders>
              <w:top w:val="single" w:color="000000" w:sz="4" w:space="0"/>
              <w:left w:val="single" w:color="000000" w:sz="4" w:space="0"/>
              <w:bottom w:val="single" w:color="000000" w:sz="4" w:space="0"/>
              <w:right w:val="single" w:color="000000" w:sz="4" w:space="0"/>
            </w:tcBorders>
          </w:tcPr>
          <w:p>
            <w:pPr>
              <w:jc w:val="center"/>
              <w:rPr>
                <w:rFonts w:ascii="宋体" w:hAnsi="宋体" w:cs="宋体"/>
                <w:b/>
                <w:sz w:val="24"/>
              </w:rPr>
            </w:pP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rPr>
            </w:pPr>
            <w:r>
              <w:rPr>
                <w:rFonts w:hint="eastAsia" w:ascii="宋体" w:hAnsi="宋体" w:cs="宋体"/>
                <w:b/>
                <w:kern w:val="0"/>
                <w:sz w:val="24"/>
              </w:rPr>
              <w:t>编号</w:t>
            </w:r>
          </w:p>
        </w:tc>
        <w:tc>
          <w:tcPr>
            <w:tcW w:w="825" w:type="dxa"/>
            <w:tcBorders>
              <w:top w:val="single" w:color="000000" w:sz="4" w:space="0"/>
              <w:left w:val="single" w:color="000000" w:sz="4" w:space="0"/>
              <w:bottom w:val="single" w:color="000000" w:sz="4" w:space="0"/>
              <w:right w:val="single" w:color="000000" w:sz="4" w:space="0"/>
            </w:tcBorders>
          </w:tcPr>
          <w:p>
            <w:pPr>
              <w:jc w:val="center"/>
              <w:rPr>
                <w:b/>
                <w:sz w:val="24"/>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rPr>
            </w:pPr>
            <w:r>
              <w:rPr>
                <w:rFonts w:hint="eastAsia" w:ascii="宋体" w:hAnsi="宋体" w:cs="宋体"/>
                <w:b/>
                <w:kern w:val="0"/>
                <w:sz w:val="24"/>
              </w:rPr>
              <w:t>整改项目</w:t>
            </w:r>
          </w:p>
        </w:tc>
        <w:tc>
          <w:tcPr>
            <w:tcW w:w="1770" w:type="dxa"/>
            <w:gridSpan w:val="2"/>
            <w:tcBorders>
              <w:top w:val="single" w:color="000000" w:sz="4" w:space="0"/>
              <w:left w:val="single" w:color="000000" w:sz="4" w:space="0"/>
              <w:bottom w:val="single" w:color="000000" w:sz="4" w:space="0"/>
              <w:right w:val="single" w:color="000000" w:sz="4" w:space="0"/>
            </w:tcBorders>
          </w:tcPr>
          <w:p>
            <w:pPr>
              <w:jc w:val="center"/>
              <w:rPr>
                <w:rFonts w:ascii="宋体" w:hAnsi="宋体" w:cs="宋体"/>
                <w:b/>
                <w:sz w:val="24"/>
              </w:rPr>
            </w:pPr>
          </w:p>
        </w:tc>
      </w:tr>
      <w:tr>
        <w:tblPrEx>
          <w:tblCellMar>
            <w:top w:w="15" w:type="dxa"/>
            <w:left w:w="15" w:type="dxa"/>
            <w:bottom w:w="15" w:type="dxa"/>
            <w:right w:w="15" w:type="dxa"/>
          </w:tblCellMar>
        </w:tblPrEx>
        <w:trPr>
          <w:trHeight w:val="704" w:hRule="atLeast"/>
          <w:jc w:val="center"/>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rPr>
            </w:pPr>
            <w:r>
              <w:rPr>
                <w:rFonts w:hint="eastAsia" w:ascii="宋体" w:hAnsi="宋体" w:cs="宋体"/>
                <w:b/>
                <w:kern w:val="0"/>
                <w:sz w:val="24"/>
              </w:rPr>
              <w:t>整改通知</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rPr>
            </w:pPr>
            <w:r>
              <w:rPr>
                <w:rFonts w:hint="eastAsia" w:ascii="宋体" w:hAnsi="宋体" w:cs="宋体"/>
                <w:b/>
                <w:kern w:val="0"/>
                <w:sz w:val="24"/>
              </w:rPr>
              <w:t>现状  描述</w:t>
            </w:r>
          </w:p>
        </w:tc>
        <w:tc>
          <w:tcPr>
            <w:tcW w:w="7275" w:type="dxa"/>
            <w:gridSpan w:val="8"/>
            <w:tcBorders>
              <w:top w:val="single" w:color="000000" w:sz="4" w:space="0"/>
              <w:left w:val="single" w:color="000000" w:sz="4" w:space="0"/>
              <w:bottom w:val="single" w:color="000000" w:sz="4" w:space="0"/>
              <w:right w:val="single" w:color="000000" w:sz="4" w:space="0"/>
            </w:tcBorders>
          </w:tcPr>
          <w:p>
            <w:pPr>
              <w:jc w:val="center"/>
              <w:rPr>
                <w:rFonts w:ascii="宋体" w:hAnsi="宋体" w:cs="宋体"/>
                <w:b/>
                <w:sz w:val="24"/>
              </w:rPr>
            </w:pPr>
          </w:p>
        </w:tc>
      </w:tr>
      <w:tr>
        <w:tblPrEx>
          <w:tblCellMar>
            <w:top w:w="15" w:type="dxa"/>
            <w:left w:w="15" w:type="dxa"/>
            <w:bottom w:w="15" w:type="dxa"/>
            <w:right w:w="15" w:type="dxa"/>
          </w:tblCellMar>
        </w:tblPrEx>
        <w:trPr>
          <w:trHeight w:val="711"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rPr>
            </w:pPr>
            <w:r>
              <w:rPr>
                <w:rFonts w:hint="eastAsia" w:ascii="宋体" w:hAnsi="宋体" w:cs="宋体"/>
                <w:b/>
                <w:kern w:val="0"/>
                <w:sz w:val="24"/>
              </w:rPr>
              <w:t>整改  要求</w:t>
            </w:r>
          </w:p>
        </w:tc>
        <w:tc>
          <w:tcPr>
            <w:tcW w:w="7275" w:type="dxa"/>
            <w:gridSpan w:val="8"/>
            <w:tcBorders>
              <w:top w:val="single" w:color="000000" w:sz="4" w:space="0"/>
              <w:left w:val="single" w:color="000000" w:sz="4" w:space="0"/>
              <w:bottom w:val="single" w:color="000000" w:sz="4" w:space="0"/>
              <w:right w:val="single" w:color="000000" w:sz="4" w:space="0"/>
            </w:tcBorders>
          </w:tcPr>
          <w:p>
            <w:pPr>
              <w:jc w:val="center"/>
              <w:rPr>
                <w:rFonts w:ascii="宋体" w:hAnsi="宋体" w:cs="宋体"/>
                <w:b/>
                <w:sz w:val="24"/>
              </w:rPr>
            </w:pPr>
          </w:p>
        </w:tc>
      </w:tr>
      <w:tr>
        <w:tblPrEx>
          <w:tblCellMar>
            <w:top w:w="15" w:type="dxa"/>
            <w:left w:w="15" w:type="dxa"/>
            <w:bottom w:w="15" w:type="dxa"/>
            <w:right w:w="15" w:type="dxa"/>
          </w:tblCellMar>
        </w:tblPrEx>
        <w:trPr>
          <w:trHeight w:val="540"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rPr>
            </w:pPr>
            <w:r>
              <w:rPr>
                <w:rFonts w:hint="eastAsia" w:ascii="宋体" w:hAnsi="宋体" w:cs="宋体"/>
                <w:b/>
                <w:kern w:val="0"/>
                <w:sz w:val="24"/>
              </w:rPr>
              <w:t>时间  要求</w:t>
            </w:r>
          </w:p>
        </w:tc>
        <w:tc>
          <w:tcPr>
            <w:tcW w:w="7275" w:type="dxa"/>
            <w:gridSpan w:val="8"/>
            <w:tcBorders>
              <w:top w:val="single" w:color="000000" w:sz="4" w:space="0"/>
              <w:left w:val="single" w:color="000000" w:sz="4" w:space="0"/>
              <w:bottom w:val="single" w:color="000000" w:sz="4" w:space="0"/>
              <w:right w:val="single" w:color="000000" w:sz="4" w:space="0"/>
            </w:tcBorders>
          </w:tcPr>
          <w:p>
            <w:pPr>
              <w:jc w:val="center"/>
              <w:rPr>
                <w:rFonts w:ascii="宋体" w:hAnsi="宋体" w:cs="宋体"/>
                <w:b/>
                <w:sz w:val="24"/>
              </w:rPr>
            </w:pPr>
          </w:p>
        </w:tc>
      </w:tr>
      <w:tr>
        <w:tblPrEx>
          <w:tblCellMar>
            <w:top w:w="15" w:type="dxa"/>
            <w:left w:w="15" w:type="dxa"/>
            <w:bottom w:w="15" w:type="dxa"/>
            <w:right w:w="15" w:type="dxa"/>
          </w:tblCellMar>
        </w:tblPrEx>
        <w:trPr>
          <w:trHeight w:val="1092"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c>
          <w:tcPr>
            <w:tcW w:w="5265"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sz w:val="24"/>
              </w:rPr>
            </w:pPr>
            <w:r>
              <w:rPr>
                <w:rFonts w:hint="eastAsia" w:ascii="宋体" w:hAnsi="宋体" w:cs="宋体"/>
                <w:b/>
                <w:kern w:val="0"/>
                <w:sz w:val="24"/>
              </w:rPr>
              <w:t>部门签发人</w:t>
            </w:r>
            <w:r>
              <w:rPr>
                <w:rStyle w:val="48"/>
                <w:rFonts w:hint="default"/>
              </w:rPr>
              <w:t>（提出单位盖章）</w:t>
            </w:r>
            <w:r>
              <w:rPr>
                <w:rStyle w:val="47"/>
                <w:rFonts w:hint="default"/>
              </w:rPr>
              <w:t>：</w:t>
            </w:r>
          </w:p>
        </w:tc>
        <w:tc>
          <w:tcPr>
            <w:tcW w:w="21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rPr>
            </w:pPr>
            <w:r>
              <w:rPr>
                <w:rFonts w:hint="eastAsia" w:ascii="宋体" w:hAnsi="宋体" w:cs="宋体"/>
                <w:b/>
                <w:kern w:val="0"/>
                <w:sz w:val="24"/>
              </w:rPr>
              <w:t>签发时间</w:t>
            </w:r>
          </w:p>
        </w:tc>
        <w:tc>
          <w:tcPr>
            <w:tcW w:w="14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r>
      <w:tr>
        <w:tblPrEx>
          <w:tblCellMar>
            <w:top w:w="15" w:type="dxa"/>
            <w:left w:w="15" w:type="dxa"/>
            <w:bottom w:w="15" w:type="dxa"/>
            <w:right w:w="15" w:type="dxa"/>
          </w:tblCellMar>
        </w:tblPrEx>
        <w:trPr>
          <w:trHeight w:val="615"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kern w:val="0"/>
                <w:sz w:val="20"/>
              </w:rPr>
              <w:t>承包商</w:t>
            </w:r>
            <w:r>
              <w:rPr>
                <w:rFonts w:hint="eastAsia" w:ascii="宋体" w:hAnsi="宋体" w:cs="宋体"/>
                <w:b/>
                <w:kern w:val="0"/>
                <w:sz w:val="20"/>
              </w:rPr>
              <w:br w:type="textWrapping"/>
            </w:r>
            <w:r>
              <w:rPr>
                <w:rFonts w:hint="eastAsia" w:ascii="宋体" w:hAnsi="宋体" w:cs="宋体"/>
                <w:b/>
                <w:kern w:val="0"/>
                <w:sz w:val="20"/>
              </w:rPr>
              <w:t>接收人</w:t>
            </w:r>
          </w:p>
        </w:tc>
        <w:tc>
          <w:tcPr>
            <w:tcW w:w="426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c>
          <w:tcPr>
            <w:tcW w:w="21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rPr>
            </w:pPr>
            <w:r>
              <w:rPr>
                <w:rFonts w:hint="eastAsia" w:ascii="宋体" w:hAnsi="宋体" w:cs="宋体"/>
                <w:b/>
                <w:kern w:val="0"/>
                <w:sz w:val="24"/>
              </w:rPr>
              <w:t>接收时间</w:t>
            </w:r>
          </w:p>
        </w:tc>
        <w:tc>
          <w:tcPr>
            <w:tcW w:w="14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r>
      <w:tr>
        <w:tblPrEx>
          <w:tblCellMar>
            <w:top w:w="15" w:type="dxa"/>
            <w:left w:w="15" w:type="dxa"/>
            <w:bottom w:w="15" w:type="dxa"/>
            <w:right w:w="15" w:type="dxa"/>
          </w:tblCellMar>
        </w:tblPrEx>
        <w:trPr>
          <w:trHeight w:val="1085" w:hRule="atLeast"/>
          <w:jc w:val="center"/>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rPr>
            </w:pPr>
            <w:r>
              <w:rPr>
                <w:rFonts w:hint="eastAsia" w:ascii="宋体" w:hAnsi="宋体" w:cs="宋体"/>
                <w:b/>
                <w:kern w:val="0"/>
                <w:sz w:val="24"/>
              </w:rPr>
              <w:t>整改落实</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rPr>
            </w:pPr>
            <w:r>
              <w:rPr>
                <w:rFonts w:hint="eastAsia" w:ascii="宋体" w:hAnsi="宋体" w:cs="宋体"/>
                <w:b/>
                <w:kern w:val="0"/>
                <w:sz w:val="24"/>
              </w:rPr>
              <w:t>整改结果描述</w:t>
            </w:r>
          </w:p>
        </w:tc>
        <w:tc>
          <w:tcPr>
            <w:tcW w:w="7888" w:type="dxa"/>
            <w:gridSpan w:val="9"/>
            <w:tcBorders>
              <w:top w:val="single" w:color="000000" w:sz="4" w:space="0"/>
              <w:left w:val="single" w:color="000000" w:sz="4" w:space="0"/>
              <w:bottom w:val="single" w:color="000000" w:sz="4" w:space="0"/>
              <w:right w:val="single" w:color="000000" w:sz="4" w:space="0"/>
            </w:tcBorders>
          </w:tcPr>
          <w:p>
            <w:pPr>
              <w:jc w:val="center"/>
              <w:rPr>
                <w:rFonts w:ascii="宋体" w:hAnsi="宋体" w:cs="宋体"/>
                <w:b/>
                <w:sz w:val="24"/>
              </w:rPr>
            </w:pPr>
          </w:p>
        </w:tc>
      </w:tr>
      <w:tr>
        <w:tblPrEx>
          <w:tblCellMar>
            <w:top w:w="15" w:type="dxa"/>
            <w:left w:w="15" w:type="dxa"/>
            <w:bottom w:w="15" w:type="dxa"/>
            <w:right w:w="15" w:type="dxa"/>
          </w:tblCellMar>
        </w:tblPrEx>
        <w:trPr>
          <w:trHeight w:val="1260"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c>
          <w:tcPr>
            <w:tcW w:w="5265"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sz w:val="24"/>
              </w:rPr>
            </w:pPr>
            <w:r>
              <w:rPr>
                <w:rFonts w:hint="eastAsia" w:ascii="宋体" w:hAnsi="宋体" w:cs="宋体"/>
                <w:b/>
                <w:kern w:val="0"/>
                <w:sz w:val="24"/>
              </w:rPr>
              <w:t xml:space="preserve">承包商负责人签字                              </w:t>
            </w:r>
            <w:r>
              <w:rPr>
                <w:rStyle w:val="48"/>
                <w:rFonts w:hint="default"/>
              </w:rPr>
              <w:t>（单位盖章）</w:t>
            </w:r>
            <w:r>
              <w:rPr>
                <w:rStyle w:val="44"/>
              </w:rPr>
              <w:t>：</w:t>
            </w:r>
          </w:p>
        </w:tc>
        <w:tc>
          <w:tcPr>
            <w:tcW w:w="21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rPr>
            </w:pPr>
            <w:r>
              <w:rPr>
                <w:rFonts w:hint="eastAsia" w:ascii="宋体" w:hAnsi="宋体" w:cs="宋体"/>
                <w:b/>
                <w:kern w:val="0"/>
                <w:sz w:val="24"/>
              </w:rPr>
              <w:t>反馈时间</w:t>
            </w:r>
          </w:p>
        </w:tc>
        <w:tc>
          <w:tcPr>
            <w:tcW w:w="14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r>
      <w:tr>
        <w:tblPrEx>
          <w:tblCellMar>
            <w:top w:w="15" w:type="dxa"/>
            <w:left w:w="15" w:type="dxa"/>
            <w:bottom w:w="15" w:type="dxa"/>
            <w:right w:w="15" w:type="dxa"/>
          </w:tblCellMar>
        </w:tblPrEx>
        <w:trPr>
          <w:trHeight w:val="375" w:hRule="atLeast"/>
          <w:jc w:val="center"/>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rPr>
            </w:pPr>
            <w:r>
              <w:rPr>
                <w:rFonts w:hint="eastAsia" w:ascii="宋体" w:hAnsi="宋体" w:cs="宋体"/>
                <w:b/>
                <w:kern w:val="0"/>
                <w:sz w:val="24"/>
              </w:rPr>
              <w:t>整改评价</w:t>
            </w:r>
          </w:p>
        </w:tc>
        <w:tc>
          <w:tcPr>
            <w:tcW w:w="5265" w:type="dxa"/>
            <w:gridSpan w:val="7"/>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b/>
                <w:sz w:val="24"/>
              </w:rPr>
            </w:pPr>
            <w:r>
              <w:rPr>
                <w:rFonts w:hint="eastAsia" w:ascii="宋体" w:hAnsi="宋体" w:cs="宋体"/>
                <w:b/>
                <w:kern w:val="0"/>
                <w:sz w:val="24"/>
              </w:rPr>
              <w:t>提出单位评价整改情况</w:t>
            </w:r>
          </w:p>
        </w:tc>
        <w:tc>
          <w:tcPr>
            <w:tcW w:w="3628"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sz w:val="24"/>
              </w:rPr>
            </w:pPr>
            <w:r>
              <w:rPr>
                <w:rFonts w:hint="eastAsia" w:ascii="宋体" w:hAnsi="宋体" w:cs="宋体"/>
                <w:b/>
                <w:kern w:val="0"/>
                <w:sz w:val="24"/>
              </w:rPr>
              <w:t xml:space="preserve">负责人签字                   </w:t>
            </w:r>
            <w:r>
              <w:rPr>
                <w:rStyle w:val="48"/>
                <w:rFonts w:hint="default"/>
              </w:rPr>
              <w:t>（单位盖章）：</w:t>
            </w:r>
          </w:p>
        </w:tc>
      </w:tr>
      <w:tr>
        <w:tblPrEx>
          <w:tblCellMar>
            <w:top w:w="15" w:type="dxa"/>
            <w:left w:w="15" w:type="dxa"/>
            <w:bottom w:w="15" w:type="dxa"/>
            <w:right w:w="15" w:type="dxa"/>
          </w:tblCellMar>
        </w:tblPrEx>
        <w:trPr>
          <w:trHeight w:val="570"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整改  效果</w:t>
            </w:r>
          </w:p>
        </w:tc>
        <w:tc>
          <w:tcPr>
            <w:tcW w:w="960"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sz w:val="24"/>
              </w:rPr>
            </w:pPr>
            <w:r>
              <w:rPr>
                <w:rFonts w:hint="eastAsia" w:ascii="仿宋_GB2312" w:hAnsi="宋体" w:eastAsia="仿宋_GB2312" w:cs="仿宋_GB2312"/>
                <w:kern w:val="0"/>
                <w:sz w:val="24"/>
              </w:rPr>
              <w:t>效果非常明显</w:t>
            </w:r>
          </w:p>
        </w:tc>
        <w:tc>
          <w:tcPr>
            <w:tcW w:w="84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sz w:val="24"/>
              </w:rPr>
            </w:pPr>
            <w:r>
              <w:rPr>
                <w:rFonts w:hint="eastAsia" w:ascii="仿宋_GB2312" w:hAnsi="宋体" w:eastAsia="仿宋_GB2312" w:cs="仿宋_GB2312"/>
                <w:kern w:val="0"/>
                <w:sz w:val="24"/>
              </w:rPr>
              <w:t>效果明显</w:t>
            </w:r>
          </w:p>
        </w:tc>
        <w:tc>
          <w:tcPr>
            <w:tcW w:w="76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sz w:val="24"/>
              </w:rPr>
            </w:pPr>
            <w:r>
              <w:rPr>
                <w:rFonts w:hint="eastAsia" w:ascii="仿宋_GB2312" w:hAnsi="宋体" w:eastAsia="仿宋_GB2312" w:cs="仿宋_GB2312"/>
                <w:kern w:val="0"/>
                <w:sz w:val="24"/>
              </w:rPr>
              <w:t>一般</w:t>
            </w:r>
          </w:p>
        </w:tc>
        <w:tc>
          <w:tcPr>
            <w:tcW w:w="87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sz w:val="24"/>
              </w:rPr>
            </w:pPr>
            <w:r>
              <w:rPr>
                <w:rFonts w:hint="eastAsia" w:ascii="仿宋_GB2312" w:hAnsi="宋体" w:eastAsia="仿宋_GB2312" w:cs="仿宋_GB2312"/>
                <w:kern w:val="0"/>
                <w:sz w:val="24"/>
              </w:rPr>
              <w:t>效果不明显</w:t>
            </w:r>
          </w:p>
        </w:tc>
        <w:tc>
          <w:tcPr>
            <w:tcW w:w="82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sz w:val="24"/>
              </w:rPr>
            </w:pPr>
            <w:r>
              <w:rPr>
                <w:rFonts w:hint="eastAsia" w:ascii="仿宋_GB2312" w:hAnsi="宋体" w:eastAsia="仿宋_GB2312" w:cs="仿宋_GB2312"/>
                <w:kern w:val="0"/>
                <w:sz w:val="24"/>
              </w:rPr>
              <w:t>完全没有效果</w:t>
            </w:r>
          </w:p>
        </w:tc>
        <w:tc>
          <w:tcPr>
            <w:tcW w:w="362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4"/>
              </w:rPr>
            </w:pPr>
          </w:p>
        </w:tc>
      </w:tr>
      <w:tr>
        <w:tblPrEx>
          <w:tblCellMar>
            <w:top w:w="15" w:type="dxa"/>
            <w:left w:w="15" w:type="dxa"/>
            <w:bottom w:w="15" w:type="dxa"/>
            <w:right w:w="15" w:type="dxa"/>
          </w:tblCellMar>
        </w:tblPrEx>
        <w:trPr>
          <w:trHeight w:val="285"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rPr>
            </w:pPr>
          </w:p>
        </w:tc>
        <w:tc>
          <w:tcPr>
            <w:tcW w:w="960" w:type="dxa"/>
            <w:gridSpan w:val="2"/>
            <w:tcBorders>
              <w:top w:val="single" w:color="000000" w:sz="4" w:space="0"/>
              <w:left w:val="single" w:color="000000" w:sz="4" w:space="0"/>
              <w:bottom w:val="single" w:color="000000" w:sz="4" w:space="0"/>
              <w:right w:val="single" w:color="000000" w:sz="4" w:space="0"/>
            </w:tcBorders>
          </w:tcPr>
          <w:p>
            <w:pPr>
              <w:rPr>
                <w:rFonts w:ascii="仿宋_GB2312" w:hAnsi="宋体" w:eastAsia="仿宋_GB2312" w:cs="仿宋_GB2312"/>
                <w:sz w:val="24"/>
              </w:rPr>
            </w:pPr>
          </w:p>
        </w:tc>
        <w:tc>
          <w:tcPr>
            <w:tcW w:w="840" w:type="dxa"/>
            <w:tcBorders>
              <w:top w:val="single" w:color="000000" w:sz="4" w:space="0"/>
              <w:left w:val="single" w:color="000000" w:sz="4" w:space="0"/>
              <w:bottom w:val="single" w:color="000000" w:sz="4" w:space="0"/>
              <w:right w:val="single" w:color="000000" w:sz="4" w:space="0"/>
            </w:tcBorders>
          </w:tcPr>
          <w:p>
            <w:pPr>
              <w:rPr>
                <w:rFonts w:ascii="仿宋_GB2312" w:hAnsi="宋体" w:eastAsia="仿宋_GB2312" w:cs="仿宋_GB2312"/>
                <w:sz w:val="24"/>
              </w:rPr>
            </w:pPr>
          </w:p>
        </w:tc>
        <w:tc>
          <w:tcPr>
            <w:tcW w:w="765" w:type="dxa"/>
            <w:tcBorders>
              <w:top w:val="single" w:color="000000" w:sz="4" w:space="0"/>
              <w:left w:val="single" w:color="000000" w:sz="4" w:space="0"/>
              <w:bottom w:val="single" w:color="000000" w:sz="4" w:space="0"/>
              <w:right w:val="single" w:color="000000" w:sz="4" w:space="0"/>
            </w:tcBorders>
          </w:tcPr>
          <w:p>
            <w:pPr>
              <w:rPr>
                <w:rFonts w:ascii="仿宋_GB2312" w:hAnsi="宋体" w:eastAsia="仿宋_GB2312" w:cs="仿宋_GB2312"/>
                <w:sz w:val="24"/>
              </w:rPr>
            </w:pPr>
          </w:p>
        </w:tc>
        <w:tc>
          <w:tcPr>
            <w:tcW w:w="870" w:type="dxa"/>
            <w:tcBorders>
              <w:top w:val="single" w:color="000000" w:sz="4" w:space="0"/>
              <w:left w:val="single" w:color="000000" w:sz="4" w:space="0"/>
              <w:bottom w:val="single" w:color="000000" w:sz="4" w:space="0"/>
              <w:right w:val="single" w:color="000000" w:sz="4" w:space="0"/>
            </w:tcBorders>
          </w:tcPr>
          <w:p>
            <w:pPr>
              <w:rPr>
                <w:rFonts w:ascii="仿宋_GB2312" w:hAnsi="宋体" w:eastAsia="仿宋_GB2312" w:cs="仿宋_GB2312"/>
                <w:sz w:val="24"/>
              </w:rPr>
            </w:pPr>
          </w:p>
        </w:tc>
        <w:tc>
          <w:tcPr>
            <w:tcW w:w="825" w:type="dxa"/>
            <w:tcBorders>
              <w:top w:val="single" w:color="000000" w:sz="4" w:space="0"/>
              <w:left w:val="single" w:color="000000" w:sz="4" w:space="0"/>
              <w:bottom w:val="single" w:color="000000" w:sz="4" w:space="0"/>
              <w:right w:val="single" w:color="000000" w:sz="4" w:space="0"/>
            </w:tcBorders>
          </w:tcPr>
          <w:p>
            <w:pPr>
              <w:rPr>
                <w:rFonts w:ascii="仿宋_GB2312" w:hAnsi="宋体" w:eastAsia="仿宋_GB2312" w:cs="仿宋_GB2312"/>
                <w:sz w:val="24"/>
              </w:rPr>
            </w:pPr>
          </w:p>
        </w:tc>
        <w:tc>
          <w:tcPr>
            <w:tcW w:w="362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4"/>
              </w:rPr>
            </w:pPr>
          </w:p>
        </w:tc>
      </w:tr>
      <w:tr>
        <w:tblPrEx>
          <w:tblCellMar>
            <w:top w:w="15" w:type="dxa"/>
            <w:left w:w="15" w:type="dxa"/>
            <w:bottom w:w="15" w:type="dxa"/>
            <w:right w:w="15" w:type="dxa"/>
          </w:tblCellMar>
        </w:tblPrEx>
        <w:trPr>
          <w:trHeight w:val="570"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响应   时间</w:t>
            </w:r>
          </w:p>
        </w:tc>
        <w:tc>
          <w:tcPr>
            <w:tcW w:w="960"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sz w:val="24"/>
              </w:rPr>
            </w:pPr>
            <w:r>
              <w:rPr>
                <w:rFonts w:hint="eastAsia" w:ascii="仿宋_GB2312" w:hAnsi="宋体" w:eastAsia="仿宋_GB2312" w:cs="仿宋_GB2312"/>
                <w:kern w:val="0"/>
                <w:sz w:val="24"/>
              </w:rPr>
              <w:t>3天内</w:t>
            </w:r>
          </w:p>
        </w:tc>
        <w:tc>
          <w:tcPr>
            <w:tcW w:w="840" w:type="dxa"/>
            <w:tcBorders>
              <w:top w:val="single" w:color="000000" w:sz="4" w:space="0"/>
              <w:left w:val="single" w:color="000000" w:sz="4" w:space="0"/>
              <w:bottom w:val="single" w:color="000000" w:sz="4" w:space="0"/>
              <w:right w:val="single" w:color="000000" w:sz="4" w:space="0"/>
            </w:tcBorders>
          </w:tcPr>
          <w:p>
            <w:pPr>
              <w:widowControl/>
              <w:textAlignment w:val="top"/>
              <w:rPr>
                <w:rFonts w:ascii="仿宋_GB2312" w:hAnsi="宋体" w:eastAsia="仿宋_GB2312" w:cs="仿宋_GB2312"/>
                <w:sz w:val="24"/>
              </w:rPr>
            </w:pPr>
            <w:r>
              <w:rPr>
                <w:rFonts w:hint="eastAsia" w:ascii="仿宋_GB2312" w:hAnsi="宋体" w:eastAsia="仿宋_GB2312" w:cs="仿宋_GB2312"/>
                <w:kern w:val="0"/>
                <w:sz w:val="24"/>
              </w:rPr>
              <w:t>5天内</w:t>
            </w:r>
          </w:p>
        </w:tc>
        <w:tc>
          <w:tcPr>
            <w:tcW w:w="76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sz w:val="24"/>
              </w:rPr>
            </w:pPr>
            <w:r>
              <w:rPr>
                <w:rFonts w:hint="eastAsia" w:ascii="仿宋_GB2312" w:hAnsi="宋体" w:eastAsia="仿宋_GB2312" w:cs="仿宋_GB2312"/>
                <w:kern w:val="0"/>
                <w:sz w:val="24"/>
              </w:rPr>
              <w:t>一周内</w:t>
            </w:r>
          </w:p>
        </w:tc>
        <w:tc>
          <w:tcPr>
            <w:tcW w:w="87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sz w:val="24"/>
              </w:rPr>
            </w:pPr>
            <w:r>
              <w:rPr>
                <w:rFonts w:hint="eastAsia" w:ascii="仿宋_GB2312" w:hAnsi="宋体" w:eastAsia="仿宋_GB2312" w:cs="仿宋_GB2312"/>
                <w:kern w:val="0"/>
                <w:sz w:val="24"/>
              </w:rPr>
              <w:t>超过一周</w:t>
            </w:r>
          </w:p>
        </w:tc>
        <w:tc>
          <w:tcPr>
            <w:tcW w:w="82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hAnsi="宋体" w:eastAsia="仿宋_GB2312" w:cs="仿宋_GB2312"/>
                <w:sz w:val="24"/>
              </w:rPr>
            </w:pPr>
            <w:r>
              <w:rPr>
                <w:rFonts w:hint="eastAsia" w:ascii="仿宋_GB2312" w:hAnsi="宋体" w:eastAsia="仿宋_GB2312" w:cs="仿宋_GB2312"/>
                <w:kern w:val="0"/>
                <w:sz w:val="24"/>
              </w:rPr>
              <w:t>超过两周</w:t>
            </w:r>
          </w:p>
        </w:tc>
        <w:tc>
          <w:tcPr>
            <w:tcW w:w="362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4"/>
              </w:rPr>
            </w:pPr>
          </w:p>
        </w:tc>
      </w:tr>
      <w:tr>
        <w:tblPrEx>
          <w:tblCellMar>
            <w:top w:w="15" w:type="dxa"/>
            <w:left w:w="15" w:type="dxa"/>
            <w:bottom w:w="15" w:type="dxa"/>
            <w:right w:w="15" w:type="dxa"/>
          </w:tblCellMar>
        </w:tblPrEx>
        <w:trPr>
          <w:trHeight w:val="315"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rPr>
            </w:pPr>
          </w:p>
        </w:tc>
        <w:tc>
          <w:tcPr>
            <w:tcW w:w="960" w:type="dxa"/>
            <w:gridSpan w:val="2"/>
            <w:tcBorders>
              <w:top w:val="single" w:color="000000" w:sz="4" w:space="0"/>
              <w:left w:val="single" w:color="000000" w:sz="4" w:space="0"/>
              <w:bottom w:val="single" w:color="000000" w:sz="4" w:space="0"/>
              <w:right w:val="single" w:color="000000" w:sz="4" w:space="0"/>
            </w:tcBorders>
          </w:tcPr>
          <w:p>
            <w:pPr>
              <w:rPr>
                <w:rFonts w:ascii="仿宋_GB2312" w:hAnsi="宋体" w:eastAsia="仿宋_GB2312" w:cs="仿宋_GB2312"/>
                <w:sz w:val="24"/>
              </w:rPr>
            </w:pPr>
          </w:p>
        </w:tc>
        <w:tc>
          <w:tcPr>
            <w:tcW w:w="840" w:type="dxa"/>
            <w:tcBorders>
              <w:top w:val="single" w:color="000000" w:sz="4" w:space="0"/>
              <w:left w:val="single" w:color="000000" w:sz="4" w:space="0"/>
              <w:bottom w:val="single" w:color="000000" w:sz="4" w:space="0"/>
              <w:right w:val="single" w:color="000000" w:sz="4" w:space="0"/>
            </w:tcBorders>
          </w:tcPr>
          <w:p>
            <w:pPr>
              <w:rPr>
                <w:rFonts w:ascii="仿宋_GB2312" w:hAnsi="宋体" w:eastAsia="仿宋_GB2312" w:cs="仿宋_GB2312"/>
                <w:sz w:val="24"/>
              </w:rPr>
            </w:pPr>
          </w:p>
        </w:tc>
        <w:tc>
          <w:tcPr>
            <w:tcW w:w="765" w:type="dxa"/>
            <w:tcBorders>
              <w:top w:val="single" w:color="000000" w:sz="4" w:space="0"/>
              <w:left w:val="single" w:color="000000" w:sz="4" w:space="0"/>
              <w:bottom w:val="single" w:color="000000" w:sz="4" w:space="0"/>
              <w:right w:val="single" w:color="000000" w:sz="4" w:space="0"/>
            </w:tcBorders>
          </w:tcPr>
          <w:p>
            <w:pPr>
              <w:rPr>
                <w:rFonts w:ascii="仿宋_GB2312" w:hAnsi="宋体" w:eastAsia="仿宋_GB2312" w:cs="仿宋_GB2312"/>
                <w:sz w:val="24"/>
              </w:rPr>
            </w:pPr>
          </w:p>
        </w:tc>
        <w:tc>
          <w:tcPr>
            <w:tcW w:w="870" w:type="dxa"/>
            <w:tcBorders>
              <w:top w:val="single" w:color="000000" w:sz="4" w:space="0"/>
              <w:left w:val="single" w:color="000000" w:sz="4" w:space="0"/>
              <w:bottom w:val="single" w:color="000000" w:sz="4" w:space="0"/>
              <w:right w:val="single" w:color="000000" w:sz="4" w:space="0"/>
            </w:tcBorders>
          </w:tcPr>
          <w:p>
            <w:pPr>
              <w:rPr>
                <w:rFonts w:ascii="仿宋_GB2312" w:hAnsi="宋体" w:eastAsia="仿宋_GB2312" w:cs="仿宋_GB2312"/>
                <w:sz w:val="24"/>
              </w:rPr>
            </w:pPr>
          </w:p>
        </w:tc>
        <w:tc>
          <w:tcPr>
            <w:tcW w:w="825" w:type="dxa"/>
            <w:tcBorders>
              <w:top w:val="single" w:color="000000" w:sz="4" w:space="0"/>
              <w:left w:val="single" w:color="000000" w:sz="4" w:space="0"/>
              <w:bottom w:val="single" w:color="000000" w:sz="4" w:space="0"/>
              <w:right w:val="single" w:color="000000" w:sz="4" w:space="0"/>
            </w:tcBorders>
          </w:tcPr>
          <w:p>
            <w:pPr>
              <w:rPr>
                <w:rFonts w:ascii="仿宋_GB2312" w:hAnsi="宋体" w:eastAsia="仿宋_GB2312" w:cs="仿宋_GB2312"/>
                <w:sz w:val="24"/>
              </w:rPr>
            </w:pPr>
          </w:p>
        </w:tc>
        <w:tc>
          <w:tcPr>
            <w:tcW w:w="362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4"/>
              </w:rPr>
            </w:pPr>
          </w:p>
        </w:tc>
      </w:tr>
      <w:tr>
        <w:tblPrEx>
          <w:tblCellMar>
            <w:top w:w="15" w:type="dxa"/>
            <w:left w:w="15" w:type="dxa"/>
            <w:bottom w:w="15" w:type="dxa"/>
            <w:right w:w="15" w:type="dxa"/>
          </w:tblCellMar>
        </w:tblPrEx>
        <w:trPr>
          <w:trHeight w:val="754"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rPr>
            </w:pPr>
            <w:r>
              <w:rPr>
                <w:rFonts w:hint="eastAsia" w:ascii="宋体" w:hAnsi="宋体" w:cs="宋体"/>
                <w:b/>
                <w:kern w:val="0"/>
                <w:sz w:val="24"/>
              </w:rPr>
              <w:t>提出单位综合评价</w:t>
            </w:r>
          </w:p>
        </w:tc>
        <w:tc>
          <w:tcPr>
            <w:tcW w:w="4260" w:type="dxa"/>
            <w:gridSpan w:val="6"/>
            <w:tcBorders>
              <w:top w:val="single" w:color="000000" w:sz="4" w:space="0"/>
              <w:left w:val="single" w:color="000000" w:sz="4" w:space="0"/>
              <w:bottom w:val="single" w:color="000000" w:sz="4" w:space="0"/>
              <w:right w:val="single" w:color="000000" w:sz="4" w:space="0"/>
            </w:tcBorders>
          </w:tcPr>
          <w:p>
            <w:pPr>
              <w:jc w:val="center"/>
              <w:rPr>
                <w:rFonts w:ascii="宋体" w:hAnsi="宋体" w:cs="宋体"/>
                <w:b/>
                <w:sz w:val="24"/>
              </w:rPr>
            </w:pPr>
          </w:p>
        </w:tc>
        <w:tc>
          <w:tcPr>
            <w:tcW w:w="21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4"/>
              </w:rPr>
            </w:pPr>
            <w:r>
              <w:rPr>
                <w:rFonts w:hint="eastAsia" w:ascii="宋体" w:hAnsi="宋体" w:cs="宋体"/>
                <w:b/>
                <w:kern w:val="0"/>
                <w:sz w:val="24"/>
              </w:rPr>
              <w:t>评价时间</w:t>
            </w:r>
          </w:p>
        </w:tc>
        <w:tc>
          <w:tcPr>
            <w:tcW w:w="14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p>
        </w:tc>
      </w:tr>
      <w:tr>
        <w:tblPrEx>
          <w:tblCellMar>
            <w:top w:w="15" w:type="dxa"/>
            <w:left w:w="15" w:type="dxa"/>
            <w:bottom w:w="15" w:type="dxa"/>
            <w:right w:w="15" w:type="dxa"/>
          </w:tblCellMar>
        </w:tblPrEx>
        <w:trPr>
          <w:trHeight w:val="285" w:hRule="atLeast"/>
          <w:jc w:val="center"/>
        </w:trPr>
        <w:tc>
          <w:tcPr>
            <w:tcW w:w="9388" w:type="dxa"/>
            <w:gridSpan w:val="11"/>
            <w:vAlign w:val="bottom"/>
          </w:tcPr>
          <w:p>
            <w:pPr>
              <w:widowControl/>
              <w:jc w:val="left"/>
              <w:textAlignment w:val="bottom"/>
              <w:rPr>
                <w:rFonts w:ascii="仿宋_GB2312" w:hAnsi="宋体" w:eastAsia="仿宋_GB2312" w:cs="仿宋_GB2312"/>
                <w:b/>
                <w:sz w:val="24"/>
              </w:rPr>
            </w:pPr>
            <w:r>
              <w:rPr>
                <w:rFonts w:hint="eastAsia" w:ascii="黑体" w:hAnsi="宋体" w:eastAsia="黑体"/>
                <w:spacing w:val="-6"/>
                <w:w w:val="80"/>
                <w:szCs w:val="21"/>
              </w:rPr>
              <w:t>备注：本表原件一份，经审批后由监管部门留存，复印件送达相关职能部门、责任单位</w:t>
            </w:r>
          </w:p>
        </w:tc>
      </w:tr>
    </w:tbl>
    <w:p>
      <w:pPr>
        <w:pStyle w:val="3"/>
        <w:sectPr>
          <w:pgSz w:w="11905" w:h="16838"/>
          <w:pgMar w:top="1440" w:right="1803" w:bottom="1440" w:left="1803" w:header="850" w:footer="992" w:gutter="0"/>
          <w:cols w:space="720" w:num="1"/>
          <w:docGrid w:type="lines" w:linePitch="319" w:charSpace="0"/>
        </w:sectPr>
      </w:pPr>
    </w:p>
    <w:tbl>
      <w:tblPr>
        <w:tblStyle w:val="16"/>
        <w:tblW w:w="0" w:type="auto"/>
        <w:jc w:val="center"/>
        <w:tblLayout w:type="fixed"/>
        <w:tblCellMar>
          <w:top w:w="15" w:type="dxa"/>
          <w:left w:w="15" w:type="dxa"/>
          <w:bottom w:w="15" w:type="dxa"/>
          <w:right w:w="15" w:type="dxa"/>
        </w:tblCellMar>
      </w:tblPr>
      <w:tblGrid>
        <w:gridCol w:w="934"/>
        <w:gridCol w:w="2113"/>
        <w:gridCol w:w="1081"/>
        <w:gridCol w:w="1681"/>
        <w:gridCol w:w="1039"/>
        <w:gridCol w:w="1006"/>
        <w:gridCol w:w="699"/>
        <w:gridCol w:w="522"/>
      </w:tblGrid>
      <w:tr>
        <w:tblPrEx>
          <w:tblCellMar>
            <w:top w:w="15" w:type="dxa"/>
            <w:left w:w="15" w:type="dxa"/>
            <w:bottom w:w="15" w:type="dxa"/>
            <w:right w:w="15" w:type="dxa"/>
          </w:tblCellMar>
        </w:tblPrEx>
        <w:trPr>
          <w:trHeight w:val="23" w:hRule="atLeast"/>
          <w:jc w:val="center"/>
        </w:trPr>
        <w:tc>
          <w:tcPr>
            <w:tcW w:w="9075" w:type="dxa"/>
            <w:gridSpan w:val="8"/>
            <w:vAlign w:val="bottom"/>
          </w:tcPr>
          <w:p>
            <w:pPr>
              <w:widowControl/>
              <w:textAlignment w:val="bottom"/>
              <w:rPr>
                <w:rFonts w:ascii="黑体" w:hAnsi="宋体" w:eastAsia="黑体" w:cs="黑体"/>
                <w:b/>
                <w:sz w:val="32"/>
                <w:szCs w:val="32"/>
              </w:rPr>
            </w:pPr>
            <w:r>
              <w:rPr>
                <w:rFonts w:hint="eastAsia"/>
                <w:b/>
                <w:sz w:val="28"/>
              </w:rPr>
              <w:t xml:space="preserve">附件五：         </w:t>
            </w:r>
            <w:r>
              <w:rPr>
                <w:rFonts w:hint="eastAsia" w:ascii="黑体" w:hAnsi="宋体" w:eastAsia="黑体" w:cs="黑体"/>
                <w:b/>
                <w:color w:val="000000"/>
                <w:kern w:val="0"/>
                <w:sz w:val="32"/>
                <w:szCs w:val="32"/>
                <w:lang w:bidi="ar"/>
              </w:rPr>
              <w:t>重庆空港航空地面服务有限公司</w:t>
            </w:r>
          </w:p>
        </w:tc>
      </w:tr>
      <w:tr>
        <w:tblPrEx>
          <w:tblCellMar>
            <w:top w:w="15" w:type="dxa"/>
            <w:left w:w="15" w:type="dxa"/>
            <w:bottom w:w="15" w:type="dxa"/>
            <w:right w:w="15" w:type="dxa"/>
          </w:tblCellMar>
        </w:tblPrEx>
        <w:trPr>
          <w:trHeight w:val="23" w:hRule="atLeast"/>
          <w:jc w:val="center"/>
        </w:trPr>
        <w:tc>
          <w:tcPr>
            <w:tcW w:w="9075" w:type="dxa"/>
            <w:gridSpan w:val="8"/>
            <w:vAlign w:val="center"/>
          </w:tcPr>
          <w:p>
            <w:pPr>
              <w:widowControl/>
              <w:jc w:val="center"/>
              <w:textAlignment w:val="center"/>
              <w:rPr>
                <w:rFonts w:ascii="黑体" w:hAnsi="宋体" w:eastAsia="黑体" w:cs="黑体"/>
                <w:b/>
                <w:sz w:val="36"/>
                <w:szCs w:val="36"/>
              </w:rPr>
            </w:pPr>
            <w:r>
              <w:rPr>
                <w:rFonts w:hint="eastAsia" w:ascii="黑体" w:hAnsi="宋体" w:eastAsia="黑体" w:cs="黑体"/>
                <w:b/>
                <w:color w:val="000000"/>
                <w:kern w:val="0"/>
                <w:sz w:val="32"/>
                <w:szCs w:val="32"/>
                <w:lang w:bidi="ar"/>
              </w:rPr>
              <w:t>外包项目绩效考核扣减及承包费汇总表</w:t>
            </w:r>
          </w:p>
        </w:tc>
      </w:tr>
      <w:tr>
        <w:tblPrEx>
          <w:tblCellMar>
            <w:top w:w="15" w:type="dxa"/>
            <w:left w:w="15" w:type="dxa"/>
            <w:bottom w:w="15" w:type="dxa"/>
            <w:right w:w="15" w:type="dxa"/>
          </w:tblCellMar>
        </w:tblPrEx>
        <w:trPr>
          <w:trHeight w:val="23" w:hRule="atLeast"/>
          <w:jc w:val="center"/>
        </w:trPr>
        <w:tc>
          <w:tcPr>
            <w:tcW w:w="6848" w:type="dxa"/>
            <w:gridSpan w:val="5"/>
            <w:vAlign w:val="center"/>
          </w:tcPr>
          <w:p>
            <w:pPr>
              <w:widowControl/>
              <w:jc w:val="left"/>
              <w:textAlignment w:val="center"/>
              <w:rPr>
                <w:rFonts w:ascii="宋体" w:hAnsi="宋体" w:cs="宋体"/>
                <w:sz w:val="20"/>
              </w:rPr>
            </w:pPr>
            <w:r>
              <w:rPr>
                <w:rFonts w:hint="eastAsia" w:ascii="宋体" w:hAnsi="宋体" w:cs="宋体"/>
                <w:color w:val="000000"/>
                <w:kern w:val="0"/>
                <w:sz w:val="24"/>
                <w:lang w:bidi="ar"/>
              </w:rPr>
              <w:t>考核月份：</w:t>
            </w:r>
          </w:p>
        </w:tc>
        <w:tc>
          <w:tcPr>
            <w:tcW w:w="2227" w:type="dxa"/>
            <w:gridSpan w:val="3"/>
            <w:vAlign w:val="center"/>
          </w:tcPr>
          <w:p>
            <w:pPr>
              <w:widowControl/>
              <w:jc w:val="left"/>
              <w:textAlignment w:val="center"/>
            </w:pPr>
            <w:r>
              <w:rPr>
                <w:rFonts w:hint="eastAsia" w:ascii="宋体" w:hAnsi="宋体" w:cs="宋体"/>
                <w:color w:val="000000"/>
                <w:kern w:val="0"/>
                <w:sz w:val="24"/>
                <w:lang w:bidi="ar"/>
              </w:rPr>
              <w:t>填报时间：</w:t>
            </w:r>
          </w:p>
        </w:tc>
      </w:tr>
      <w:tr>
        <w:tblPrEx>
          <w:tblCellMar>
            <w:top w:w="15" w:type="dxa"/>
            <w:left w:w="15" w:type="dxa"/>
            <w:bottom w:w="15" w:type="dxa"/>
            <w:right w:w="15" w:type="dxa"/>
          </w:tblCellMar>
        </w:tblPrEx>
        <w:trPr>
          <w:gridAfter w:val="1"/>
          <w:wAfter w:w="522" w:type="dxa"/>
          <w:trHeight w:val="23" w:hRule="atLeast"/>
          <w:jc w:val="center"/>
        </w:trPr>
        <w:tc>
          <w:tcPr>
            <w:tcW w:w="6848" w:type="dxa"/>
            <w:gridSpan w:val="5"/>
            <w:tcBorders>
              <w:bottom w:val="single" w:color="000000" w:sz="4" w:space="0"/>
            </w:tcBorders>
            <w:vAlign w:val="center"/>
          </w:tcPr>
          <w:p>
            <w:pPr>
              <w:widowControl/>
              <w:jc w:val="left"/>
              <w:textAlignment w:val="center"/>
              <w:rPr>
                <w:rFonts w:ascii="宋体" w:hAnsi="宋体" w:cs="宋体"/>
                <w:sz w:val="20"/>
              </w:rPr>
            </w:pPr>
            <w:r>
              <w:rPr>
                <w:rFonts w:hint="eastAsia" w:ascii="宋体" w:hAnsi="宋体" w:cs="宋体"/>
                <w:color w:val="000000"/>
                <w:kern w:val="0"/>
                <w:sz w:val="24"/>
                <w:lang w:bidi="ar"/>
              </w:rPr>
              <w:t>承包商：</w:t>
            </w:r>
          </w:p>
        </w:tc>
        <w:tc>
          <w:tcPr>
            <w:tcW w:w="1705" w:type="dxa"/>
            <w:gridSpan w:val="2"/>
            <w:tcBorders>
              <w:bottom w:val="single" w:color="000000" w:sz="4" w:space="0"/>
            </w:tcBorders>
            <w:vAlign w:val="center"/>
          </w:tcPr>
          <w:p>
            <w:pPr>
              <w:widowControl/>
              <w:jc w:val="left"/>
              <w:textAlignment w:val="center"/>
              <w:rPr>
                <w:rFonts w:ascii="宋体" w:hAnsi="宋体" w:cs="宋体"/>
                <w:sz w:val="20"/>
              </w:rPr>
            </w:pPr>
            <w:r>
              <w:rPr>
                <w:rFonts w:hint="eastAsia" w:ascii="宋体" w:hAnsi="宋体" w:cs="宋体"/>
                <w:color w:val="000000"/>
                <w:kern w:val="0"/>
                <w:sz w:val="24"/>
                <w:lang w:bidi="ar"/>
              </w:rPr>
              <w:t>填报人(签字):</w:t>
            </w:r>
          </w:p>
        </w:tc>
      </w:tr>
      <w:tr>
        <w:tblPrEx>
          <w:tblCellMar>
            <w:top w:w="15" w:type="dxa"/>
            <w:left w:w="15" w:type="dxa"/>
            <w:bottom w:w="15" w:type="dxa"/>
            <w:right w:w="15"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color w:val="000000"/>
                <w:kern w:val="0"/>
                <w:sz w:val="24"/>
                <w:lang w:bidi="ar"/>
              </w:rPr>
              <w:t>序号</w:t>
            </w:r>
          </w:p>
        </w:tc>
        <w:tc>
          <w:tcPr>
            <w:tcW w:w="487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color w:val="000000"/>
                <w:kern w:val="0"/>
                <w:sz w:val="24"/>
                <w:lang w:bidi="ar"/>
              </w:rPr>
              <w:t>项    目</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color w:val="000000"/>
                <w:kern w:val="0"/>
                <w:sz w:val="24"/>
                <w:lang w:bidi="ar"/>
              </w:rPr>
              <w:t>金额（元）</w:t>
            </w:r>
          </w:p>
        </w:tc>
        <w:tc>
          <w:tcPr>
            <w:tcW w:w="222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color w:val="000000"/>
                <w:kern w:val="0"/>
                <w:sz w:val="24"/>
                <w:lang w:bidi="ar"/>
              </w:rPr>
              <w:t>备    注</w:t>
            </w:r>
          </w:p>
        </w:tc>
      </w:tr>
      <w:tr>
        <w:tblPrEx>
          <w:tblCellMar>
            <w:top w:w="15" w:type="dxa"/>
            <w:left w:w="15" w:type="dxa"/>
            <w:bottom w:w="15" w:type="dxa"/>
            <w:right w:w="15"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color w:val="000000"/>
                <w:kern w:val="0"/>
                <w:sz w:val="24"/>
                <w:lang w:bidi="ar"/>
              </w:rPr>
              <w:t>1</w:t>
            </w:r>
          </w:p>
        </w:tc>
        <w:tc>
          <w:tcPr>
            <w:tcW w:w="48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rPr>
            </w:pPr>
            <w:r>
              <w:rPr>
                <w:rFonts w:hint="eastAsia" w:ascii="宋体" w:hAnsi="宋体" w:cs="宋体"/>
                <w:color w:val="000000"/>
                <w:kern w:val="0"/>
                <w:sz w:val="24"/>
                <w:lang w:bidi="ar"/>
              </w:rPr>
              <w:t>应支付承包费总额</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p>
        </w:tc>
        <w:tc>
          <w:tcPr>
            <w:tcW w:w="222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p>
        </w:tc>
      </w:tr>
      <w:tr>
        <w:tblPrEx>
          <w:tblCellMar>
            <w:top w:w="15" w:type="dxa"/>
            <w:left w:w="15" w:type="dxa"/>
            <w:bottom w:w="15" w:type="dxa"/>
            <w:right w:w="15"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color w:val="000000"/>
                <w:kern w:val="0"/>
                <w:sz w:val="24"/>
                <w:lang w:bidi="ar"/>
              </w:rPr>
              <w:t>2</w:t>
            </w:r>
          </w:p>
        </w:tc>
        <w:tc>
          <w:tcPr>
            <w:tcW w:w="48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rPr>
            </w:pPr>
            <w:r>
              <w:rPr>
                <w:rFonts w:hint="eastAsia" w:ascii="宋体" w:hAnsi="宋体" w:cs="宋体"/>
                <w:color w:val="000000"/>
                <w:kern w:val="0"/>
                <w:sz w:val="24"/>
                <w:lang w:bidi="ar"/>
              </w:rPr>
              <w:t>其它应支付金额</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2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r>
      <w:tr>
        <w:tblPrEx>
          <w:tblCellMar>
            <w:top w:w="15" w:type="dxa"/>
            <w:left w:w="15" w:type="dxa"/>
            <w:bottom w:w="15" w:type="dxa"/>
            <w:right w:w="15" w:type="dxa"/>
          </w:tblCellMar>
        </w:tblPrEx>
        <w:trPr>
          <w:trHeight w:val="23" w:hRule="atLeast"/>
          <w:jc w:val="center"/>
        </w:trPr>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color w:val="000000"/>
                <w:kern w:val="0"/>
                <w:sz w:val="24"/>
                <w:lang w:bidi="ar"/>
              </w:rPr>
              <w:t>3</w:t>
            </w:r>
          </w:p>
        </w:tc>
        <w:tc>
          <w:tcPr>
            <w:tcW w:w="48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rPr>
            </w:pPr>
            <w:r>
              <w:rPr>
                <w:rFonts w:hint="eastAsia" w:ascii="宋体" w:hAnsi="宋体" w:cs="宋体"/>
                <w:color w:val="000000"/>
                <w:kern w:val="0"/>
                <w:sz w:val="24"/>
                <w:lang w:bidi="ar"/>
              </w:rPr>
              <w:t>绩效考核扣减金额=(1)×(2)</w:t>
            </w:r>
          </w:p>
        </w:tc>
        <w:tc>
          <w:tcPr>
            <w:tcW w:w="10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p>
        </w:tc>
        <w:tc>
          <w:tcPr>
            <w:tcW w:w="2227"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r>
      <w:tr>
        <w:tblPrEx>
          <w:tblCellMar>
            <w:top w:w="15" w:type="dxa"/>
            <w:left w:w="15" w:type="dxa"/>
            <w:bottom w:w="15" w:type="dxa"/>
            <w:right w:w="15" w:type="dxa"/>
          </w:tblCellMar>
        </w:tblPrEx>
        <w:trPr>
          <w:trHeight w:val="23" w:hRule="atLeast"/>
          <w:jc w:val="center"/>
        </w:trPr>
        <w:tc>
          <w:tcPr>
            <w:tcW w:w="93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31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20"/>
              </w:rPr>
            </w:pPr>
            <w:r>
              <w:rPr>
                <w:rFonts w:hint="eastAsia" w:ascii="宋体" w:hAnsi="宋体" w:cs="宋体"/>
                <w:color w:val="000000"/>
                <w:kern w:val="0"/>
                <w:sz w:val="24"/>
                <w:lang w:bidi="ar"/>
              </w:rPr>
              <w:t>(1)扣减分值</w:t>
            </w:r>
          </w:p>
        </w:tc>
        <w:tc>
          <w:tcPr>
            <w:tcW w:w="1681" w:type="dxa"/>
            <w:tcBorders>
              <w:left w:val="single" w:color="000000" w:sz="4" w:space="0"/>
              <w:bottom w:val="single" w:color="000000" w:sz="4" w:space="0"/>
              <w:right w:val="single" w:color="000000" w:sz="4" w:space="0"/>
            </w:tcBorders>
            <w:vAlign w:val="center"/>
          </w:tcPr>
          <w:p>
            <w:pPr>
              <w:jc w:val="left"/>
              <w:rPr>
                <w:rFonts w:ascii="宋体" w:hAnsi="宋体" w:cs="宋体"/>
                <w:sz w:val="20"/>
              </w:rPr>
            </w:pPr>
          </w:p>
        </w:tc>
        <w:tc>
          <w:tcPr>
            <w:tcW w:w="10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2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15" w:type="dxa"/>
            <w:left w:w="15" w:type="dxa"/>
            <w:bottom w:w="15" w:type="dxa"/>
            <w:right w:w="15" w:type="dxa"/>
          </w:tblCellMar>
        </w:tblPrEx>
        <w:trPr>
          <w:trHeight w:val="23"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31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20"/>
              </w:rPr>
            </w:pPr>
            <w:r>
              <w:rPr>
                <w:rFonts w:hint="eastAsia" w:ascii="宋体" w:hAnsi="宋体" w:cs="宋体"/>
                <w:color w:val="000000"/>
                <w:kern w:val="0"/>
                <w:sz w:val="24"/>
                <w:lang w:bidi="ar"/>
              </w:rPr>
              <w:t>(2)绩效基数</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rPr>
            </w:pPr>
          </w:p>
        </w:tc>
        <w:tc>
          <w:tcPr>
            <w:tcW w:w="10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2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15" w:type="dxa"/>
            <w:left w:w="15" w:type="dxa"/>
            <w:bottom w:w="15" w:type="dxa"/>
            <w:right w:w="15"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color w:val="000000"/>
                <w:kern w:val="0"/>
                <w:sz w:val="24"/>
                <w:lang w:bidi="ar"/>
              </w:rPr>
              <w:t>4</w:t>
            </w:r>
          </w:p>
        </w:tc>
        <w:tc>
          <w:tcPr>
            <w:tcW w:w="48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rPr>
            </w:pPr>
            <w:r>
              <w:rPr>
                <w:rFonts w:hint="eastAsia" w:ascii="宋体" w:hAnsi="宋体" w:cs="宋体"/>
                <w:color w:val="000000"/>
                <w:kern w:val="0"/>
                <w:sz w:val="24"/>
                <w:lang w:bidi="ar"/>
              </w:rPr>
              <w:t>其它违规违约扣减</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2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r>
      <w:tr>
        <w:tblPrEx>
          <w:tblCellMar>
            <w:top w:w="15" w:type="dxa"/>
            <w:left w:w="15" w:type="dxa"/>
            <w:bottom w:w="15" w:type="dxa"/>
            <w:right w:w="15" w:type="dxa"/>
          </w:tblCellMar>
        </w:tblPrEx>
        <w:trPr>
          <w:trHeight w:val="23" w:hRule="atLeast"/>
          <w:jc w:val="center"/>
        </w:trPr>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color w:val="000000"/>
                <w:kern w:val="0"/>
                <w:sz w:val="24"/>
                <w:lang w:bidi="ar"/>
              </w:rPr>
              <w:t>5</w:t>
            </w:r>
          </w:p>
        </w:tc>
        <w:tc>
          <w:tcPr>
            <w:tcW w:w="487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rPr>
            </w:pPr>
            <w:r>
              <w:rPr>
                <w:rFonts w:hint="eastAsia" w:ascii="宋体" w:hAnsi="宋体" w:cs="宋体"/>
                <w:color w:val="000000"/>
                <w:kern w:val="0"/>
                <w:sz w:val="24"/>
                <w:lang w:bidi="ar"/>
              </w:rPr>
              <w:t>其它应扣费用（办证、培训等）</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2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r>
      <w:tr>
        <w:tblPrEx>
          <w:tblCellMar>
            <w:top w:w="15" w:type="dxa"/>
            <w:left w:w="15" w:type="dxa"/>
            <w:bottom w:w="15" w:type="dxa"/>
            <w:right w:w="15" w:type="dxa"/>
          </w:tblCellMar>
        </w:tblPrEx>
        <w:trPr>
          <w:trHeight w:val="23"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487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222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r>
      <w:tr>
        <w:tblPrEx>
          <w:tblCellMar>
            <w:top w:w="15" w:type="dxa"/>
            <w:left w:w="15" w:type="dxa"/>
            <w:bottom w:w="15" w:type="dxa"/>
            <w:right w:w="15"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color w:val="000000"/>
                <w:kern w:val="0"/>
                <w:sz w:val="24"/>
                <w:lang w:bidi="ar"/>
              </w:rPr>
              <w:t>6</w:t>
            </w:r>
          </w:p>
        </w:tc>
        <w:tc>
          <w:tcPr>
            <w:tcW w:w="48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0"/>
              </w:rPr>
            </w:pPr>
            <w:r>
              <w:rPr>
                <w:rFonts w:hint="eastAsia" w:ascii="宋体" w:hAnsi="宋体" w:cs="宋体"/>
                <w:color w:val="000000"/>
                <w:kern w:val="0"/>
                <w:sz w:val="24"/>
                <w:lang w:bidi="ar"/>
              </w:rPr>
              <w:t>实际支付承包费总额={(1+2)-(3+4+5)}*税率</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p>
        </w:tc>
        <w:tc>
          <w:tcPr>
            <w:tcW w:w="222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p>
        </w:tc>
      </w:tr>
      <w:tr>
        <w:tblPrEx>
          <w:tblCellMar>
            <w:top w:w="15" w:type="dxa"/>
            <w:left w:w="15" w:type="dxa"/>
            <w:bottom w:w="15" w:type="dxa"/>
            <w:right w:w="15" w:type="dxa"/>
          </w:tblCellMar>
        </w:tblPrEx>
        <w:trPr>
          <w:trHeight w:val="23" w:hRule="atLeast"/>
          <w:jc w:val="center"/>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b/>
                <w:color w:val="000000"/>
                <w:kern w:val="0"/>
                <w:sz w:val="24"/>
                <w:lang w:bidi="ar"/>
              </w:rPr>
              <w:t>其它</w:t>
            </w:r>
            <w:r>
              <w:rPr>
                <w:rFonts w:hint="eastAsia" w:ascii="宋体" w:hAnsi="宋体" w:cs="宋体"/>
                <w:b/>
                <w:color w:val="000000"/>
                <w:kern w:val="0"/>
                <w:sz w:val="24"/>
                <w:lang w:bidi="ar"/>
              </w:rPr>
              <w:br w:type="textWrapping"/>
            </w:r>
            <w:r>
              <w:rPr>
                <w:rFonts w:hint="eastAsia" w:ascii="宋体" w:hAnsi="宋体" w:cs="宋体"/>
                <w:b/>
                <w:color w:val="000000"/>
                <w:kern w:val="0"/>
                <w:sz w:val="24"/>
                <w:lang w:bidi="ar"/>
              </w:rPr>
              <w:t>说明</w:t>
            </w:r>
          </w:p>
        </w:tc>
        <w:tc>
          <w:tcPr>
            <w:tcW w:w="8141"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0"/>
              </w:rPr>
            </w:pPr>
          </w:p>
        </w:tc>
      </w:tr>
      <w:tr>
        <w:tblPrEx>
          <w:tblCellMar>
            <w:top w:w="15" w:type="dxa"/>
            <w:left w:w="15" w:type="dxa"/>
            <w:bottom w:w="15" w:type="dxa"/>
            <w:right w:w="15" w:type="dxa"/>
          </w:tblCellMar>
        </w:tblPrEx>
        <w:trPr>
          <w:trHeight w:val="23" w:hRule="atLeast"/>
          <w:jc w:val="center"/>
        </w:trPr>
        <w:tc>
          <w:tcPr>
            <w:tcW w:w="30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b/>
                <w:color w:val="000000"/>
                <w:kern w:val="0"/>
                <w:sz w:val="24"/>
                <w:lang w:bidi="ar"/>
              </w:rPr>
              <w:t>承包商负责人签字</w:t>
            </w:r>
          </w:p>
        </w:tc>
        <w:tc>
          <w:tcPr>
            <w:tcW w:w="380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rPr>
            </w:pP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b/>
                <w:color w:val="000000"/>
                <w:kern w:val="0"/>
                <w:sz w:val="24"/>
                <w:lang w:bidi="ar"/>
              </w:rPr>
              <w:t>确认时间</w:t>
            </w:r>
          </w:p>
        </w:tc>
        <w:tc>
          <w:tcPr>
            <w:tcW w:w="1221" w:type="dxa"/>
            <w:gridSpan w:val="2"/>
            <w:tcBorders>
              <w:top w:val="single" w:color="000000" w:sz="4" w:space="0"/>
              <w:left w:val="single" w:color="000000" w:sz="4" w:space="0"/>
              <w:bottom w:val="single" w:color="000000" w:sz="4" w:space="0"/>
              <w:right w:val="single" w:color="000000" w:sz="4" w:space="0"/>
            </w:tcBorders>
            <w:vAlign w:val="center"/>
          </w:tcPr>
          <w:p/>
        </w:tc>
      </w:tr>
      <w:tr>
        <w:tblPrEx>
          <w:tblCellMar>
            <w:top w:w="15" w:type="dxa"/>
            <w:left w:w="15" w:type="dxa"/>
            <w:bottom w:w="15" w:type="dxa"/>
            <w:right w:w="15" w:type="dxa"/>
          </w:tblCellMar>
        </w:tblPrEx>
        <w:trPr>
          <w:trHeight w:val="23" w:hRule="atLeast"/>
          <w:jc w:val="center"/>
        </w:trPr>
        <w:tc>
          <w:tcPr>
            <w:tcW w:w="30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color w:val="000000"/>
                <w:kern w:val="0"/>
                <w:sz w:val="24"/>
                <w:lang w:bidi="ar"/>
              </w:rPr>
              <w:t>业务监管部门负责人签字</w:t>
            </w:r>
          </w:p>
        </w:tc>
        <w:tc>
          <w:tcPr>
            <w:tcW w:w="380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cs="宋体"/>
                <w:b/>
                <w:color w:val="000000"/>
                <w:kern w:val="0"/>
                <w:sz w:val="24"/>
                <w:lang w:bidi="ar"/>
              </w:rPr>
              <w:t>确认时间</w:t>
            </w:r>
          </w:p>
        </w:tc>
        <w:tc>
          <w:tcPr>
            <w:tcW w:w="1221" w:type="dxa"/>
            <w:gridSpan w:val="2"/>
            <w:tcBorders>
              <w:top w:val="single" w:color="000000" w:sz="4" w:space="0"/>
              <w:left w:val="single" w:color="000000" w:sz="4" w:space="0"/>
              <w:bottom w:val="single" w:color="000000" w:sz="4" w:space="0"/>
              <w:right w:val="single" w:color="000000" w:sz="4" w:space="0"/>
            </w:tcBorders>
            <w:vAlign w:val="center"/>
          </w:tcPr>
          <w:p/>
        </w:tc>
      </w:tr>
      <w:tr>
        <w:tblPrEx>
          <w:tblCellMar>
            <w:top w:w="15" w:type="dxa"/>
            <w:left w:w="15" w:type="dxa"/>
            <w:bottom w:w="15" w:type="dxa"/>
            <w:right w:w="15" w:type="dxa"/>
          </w:tblCellMar>
        </w:tblPrEx>
        <w:trPr>
          <w:trHeight w:val="23" w:hRule="atLeast"/>
          <w:jc w:val="center"/>
        </w:trPr>
        <w:tc>
          <w:tcPr>
            <w:tcW w:w="30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color w:val="000000"/>
                <w:kern w:val="0"/>
                <w:sz w:val="24"/>
                <w:lang w:bidi="ar"/>
              </w:rPr>
              <w:t>业务归口部门负责人签字</w:t>
            </w:r>
          </w:p>
        </w:tc>
        <w:tc>
          <w:tcPr>
            <w:tcW w:w="380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color w:val="000000"/>
                <w:kern w:val="0"/>
                <w:sz w:val="24"/>
                <w:lang w:bidi="ar"/>
              </w:rPr>
              <w:t>确认时间</w:t>
            </w:r>
          </w:p>
        </w:tc>
        <w:tc>
          <w:tcPr>
            <w:tcW w:w="122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rPr>
            </w:pPr>
          </w:p>
        </w:tc>
      </w:tr>
      <w:tr>
        <w:tblPrEx>
          <w:tblCellMar>
            <w:top w:w="15" w:type="dxa"/>
            <w:left w:w="15" w:type="dxa"/>
            <w:bottom w:w="15" w:type="dxa"/>
            <w:right w:w="15" w:type="dxa"/>
          </w:tblCellMar>
        </w:tblPrEx>
        <w:trPr>
          <w:trHeight w:val="23" w:hRule="atLeast"/>
          <w:jc w:val="center"/>
        </w:trPr>
        <w:tc>
          <w:tcPr>
            <w:tcW w:w="30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color w:val="000000"/>
                <w:kern w:val="0"/>
                <w:sz w:val="24"/>
                <w:lang w:bidi="ar"/>
              </w:rPr>
              <w:t>财务管理部负责人签字</w:t>
            </w:r>
          </w:p>
        </w:tc>
        <w:tc>
          <w:tcPr>
            <w:tcW w:w="380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0"/>
              </w:rPr>
            </w:pP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color w:val="000000"/>
                <w:kern w:val="0"/>
                <w:sz w:val="24"/>
                <w:lang w:bidi="ar"/>
              </w:rPr>
              <w:t>确认时间</w:t>
            </w:r>
          </w:p>
        </w:tc>
        <w:tc>
          <w:tcPr>
            <w:tcW w:w="122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rPr>
            </w:pPr>
          </w:p>
        </w:tc>
      </w:tr>
      <w:tr>
        <w:tblPrEx>
          <w:tblCellMar>
            <w:top w:w="15" w:type="dxa"/>
            <w:left w:w="15" w:type="dxa"/>
            <w:bottom w:w="15" w:type="dxa"/>
            <w:right w:w="15" w:type="dxa"/>
          </w:tblCellMar>
        </w:tblPrEx>
        <w:trPr>
          <w:trHeight w:val="23" w:hRule="atLeast"/>
          <w:jc w:val="center"/>
        </w:trPr>
        <w:tc>
          <w:tcPr>
            <w:tcW w:w="3047"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color w:val="000000"/>
                <w:kern w:val="0"/>
                <w:sz w:val="24"/>
                <w:lang w:bidi="ar"/>
              </w:rPr>
              <w:t>董事长签字</w:t>
            </w:r>
          </w:p>
        </w:tc>
        <w:tc>
          <w:tcPr>
            <w:tcW w:w="3801"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b/>
                <w:sz w:val="20"/>
              </w:rPr>
            </w:pPr>
          </w:p>
        </w:tc>
        <w:tc>
          <w:tcPr>
            <w:tcW w:w="100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sz w:val="20"/>
              </w:rPr>
            </w:pPr>
            <w:r>
              <w:rPr>
                <w:rFonts w:hint="eastAsia" w:ascii="宋体" w:hAnsi="宋体" w:cs="宋体"/>
                <w:b/>
                <w:color w:val="000000"/>
                <w:kern w:val="0"/>
                <w:sz w:val="24"/>
                <w:lang w:bidi="ar"/>
              </w:rPr>
              <w:t>确认时间</w:t>
            </w:r>
          </w:p>
        </w:tc>
        <w:tc>
          <w:tcPr>
            <w:tcW w:w="1221" w:type="dxa"/>
            <w:gridSpan w:val="2"/>
            <w:tcBorders>
              <w:top w:val="single" w:color="000000" w:sz="4" w:space="0"/>
              <w:left w:val="single" w:color="000000" w:sz="4" w:space="0"/>
              <w:bottom w:val="single" w:color="auto" w:sz="4" w:space="0"/>
              <w:right w:val="single" w:color="000000" w:sz="4" w:space="0"/>
            </w:tcBorders>
            <w:vAlign w:val="center"/>
          </w:tcPr>
          <w:p>
            <w:pPr>
              <w:rPr>
                <w:rFonts w:ascii="宋体" w:hAnsi="宋体" w:cs="宋体"/>
                <w:sz w:val="20"/>
              </w:rPr>
            </w:pPr>
          </w:p>
        </w:tc>
      </w:tr>
      <w:tr>
        <w:tblPrEx>
          <w:tblCellMar>
            <w:top w:w="15" w:type="dxa"/>
            <w:left w:w="15" w:type="dxa"/>
            <w:bottom w:w="15" w:type="dxa"/>
            <w:right w:w="15" w:type="dxa"/>
          </w:tblCellMar>
        </w:tblPrEx>
        <w:trPr>
          <w:trHeight w:val="23"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sz w:val="20"/>
              </w:rPr>
            </w:pPr>
            <w:r>
              <w:rPr>
                <w:rFonts w:hint="eastAsia" w:ascii="仿宋_GB2312" w:hAnsi="宋体" w:eastAsia="仿宋_GB2312" w:cs="仿宋_GB2312"/>
                <w:b/>
                <w:color w:val="000000"/>
                <w:kern w:val="0"/>
                <w:sz w:val="24"/>
                <w:lang w:bidi="ar"/>
              </w:rPr>
              <w:t>备注：</w:t>
            </w:r>
          </w:p>
        </w:tc>
        <w:tc>
          <w:tcPr>
            <w:tcW w:w="8141" w:type="dxa"/>
            <w:gridSpan w:val="7"/>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0"/>
              </w:rPr>
            </w:pPr>
            <w:r>
              <w:rPr>
                <w:rFonts w:hint="eastAsia" w:ascii="仿宋_GB2312" w:hAnsi="宋体" w:eastAsia="仿宋_GB2312" w:cs="仿宋_GB2312"/>
                <w:color w:val="000000"/>
                <w:kern w:val="0"/>
                <w:sz w:val="24"/>
                <w:lang w:bidi="ar"/>
              </w:rPr>
              <w:t>1、本表为重庆空港航空地面服务有限公司支付外包项目的费用依据。</w:t>
            </w:r>
          </w:p>
        </w:tc>
      </w:tr>
      <w:tr>
        <w:tblPrEx>
          <w:tblCellMar>
            <w:top w:w="15" w:type="dxa"/>
            <w:left w:w="15" w:type="dxa"/>
            <w:bottom w:w="15" w:type="dxa"/>
            <w:right w:w="15" w:type="dxa"/>
          </w:tblCellMar>
        </w:tblPrEx>
        <w:trPr>
          <w:trHeight w:val="23"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 w:val="20"/>
              </w:rPr>
            </w:pPr>
          </w:p>
        </w:tc>
        <w:tc>
          <w:tcPr>
            <w:tcW w:w="8141" w:type="dxa"/>
            <w:gridSpan w:val="7"/>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20"/>
              </w:rPr>
            </w:pPr>
            <w:r>
              <w:rPr>
                <w:rFonts w:hint="eastAsia" w:ascii="仿宋_GB2312" w:hAnsi="宋体" w:eastAsia="仿宋_GB2312" w:cs="仿宋_GB2312"/>
                <w:color w:val="000000"/>
                <w:kern w:val="0"/>
                <w:sz w:val="24"/>
                <w:lang w:bidi="ar"/>
              </w:rPr>
              <w:t>2、本表由归口部门填制。</w:t>
            </w:r>
          </w:p>
        </w:tc>
      </w:tr>
      <w:tr>
        <w:tblPrEx>
          <w:tblCellMar>
            <w:top w:w="15" w:type="dxa"/>
            <w:left w:w="15" w:type="dxa"/>
            <w:bottom w:w="15" w:type="dxa"/>
            <w:right w:w="15" w:type="dxa"/>
          </w:tblCellMar>
        </w:tblPrEx>
        <w:trPr>
          <w:trHeight w:val="23"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b/>
                <w:sz w:val="18"/>
                <w:szCs w:val="18"/>
              </w:rPr>
            </w:pPr>
          </w:p>
        </w:tc>
        <w:tc>
          <w:tcPr>
            <w:tcW w:w="8141" w:type="dxa"/>
            <w:gridSpan w:val="7"/>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仿宋_GB2312"/>
                <w:sz w:val="18"/>
                <w:szCs w:val="18"/>
              </w:rPr>
            </w:pPr>
            <w:r>
              <w:rPr>
                <w:rFonts w:hint="eastAsia" w:ascii="仿宋_GB2312" w:hAnsi="宋体" w:eastAsia="仿宋_GB2312" w:cs="仿宋_GB2312"/>
                <w:color w:val="000000"/>
                <w:kern w:val="0"/>
                <w:sz w:val="24"/>
                <w:lang w:bidi="ar"/>
              </w:rPr>
              <w:t>3、本表原件交财务管理部，归口管理部门、承包商留存复印件。</w:t>
            </w:r>
          </w:p>
        </w:tc>
      </w:tr>
      <w:tr>
        <w:tblPrEx>
          <w:tblCellMar>
            <w:top w:w="15" w:type="dxa"/>
            <w:left w:w="15" w:type="dxa"/>
            <w:bottom w:w="15" w:type="dxa"/>
            <w:right w:w="15" w:type="dxa"/>
          </w:tblCellMar>
        </w:tblPrEx>
        <w:trPr>
          <w:trHeight w:val="23" w:hRule="atLeast"/>
          <w:jc w:val="center"/>
        </w:trPr>
        <w:tc>
          <w:tcPr>
            <w:tcW w:w="934" w:type="dxa"/>
            <w:vAlign w:val="center"/>
          </w:tcPr>
          <w:p>
            <w:pPr>
              <w:rPr>
                <w:rFonts w:ascii="仿宋_GB2312" w:hAnsi="宋体" w:eastAsia="仿宋_GB2312" w:cs="仿宋_GB2312"/>
                <w:b/>
                <w:sz w:val="18"/>
                <w:szCs w:val="18"/>
              </w:rPr>
            </w:pPr>
          </w:p>
        </w:tc>
        <w:tc>
          <w:tcPr>
            <w:tcW w:w="2113" w:type="dxa"/>
            <w:vAlign w:val="center"/>
          </w:tcPr>
          <w:p>
            <w:pPr>
              <w:rPr>
                <w:rFonts w:ascii="仿宋_GB2312" w:hAnsi="宋体" w:eastAsia="仿宋_GB2312" w:cs="仿宋_GB2312"/>
                <w:sz w:val="18"/>
                <w:szCs w:val="18"/>
              </w:rPr>
            </w:pPr>
          </w:p>
        </w:tc>
        <w:tc>
          <w:tcPr>
            <w:tcW w:w="6028" w:type="dxa"/>
            <w:gridSpan w:val="6"/>
            <w:vAlign w:val="center"/>
          </w:tcPr>
          <w:p>
            <w:pPr>
              <w:widowControl/>
              <w:jc w:val="center"/>
              <w:textAlignment w:val="center"/>
            </w:pPr>
            <w:r>
              <w:rPr>
                <w:rFonts w:hint="eastAsia" w:ascii="宋体" w:hAnsi="宋体" w:cs="宋体"/>
                <w:color w:val="000000"/>
                <w:kern w:val="0"/>
                <w:sz w:val="24"/>
                <w:lang w:bidi="ar"/>
              </w:rPr>
              <w:t>重庆空港航空地面服务有限公司（印章）</w:t>
            </w:r>
          </w:p>
        </w:tc>
      </w:tr>
      <w:tr>
        <w:tblPrEx>
          <w:tblCellMar>
            <w:top w:w="15" w:type="dxa"/>
            <w:left w:w="15" w:type="dxa"/>
            <w:bottom w:w="15" w:type="dxa"/>
            <w:right w:w="15" w:type="dxa"/>
          </w:tblCellMar>
        </w:tblPrEx>
        <w:trPr>
          <w:trHeight w:val="23" w:hRule="atLeast"/>
          <w:jc w:val="center"/>
        </w:trPr>
        <w:tc>
          <w:tcPr>
            <w:tcW w:w="934" w:type="dxa"/>
            <w:vAlign w:val="center"/>
          </w:tcPr>
          <w:p>
            <w:pPr>
              <w:rPr>
                <w:rFonts w:ascii="宋体" w:hAnsi="宋体" w:cs="宋体"/>
                <w:sz w:val="24"/>
              </w:rPr>
            </w:pPr>
          </w:p>
        </w:tc>
        <w:tc>
          <w:tcPr>
            <w:tcW w:w="2113" w:type="dxa"/>
            <w:vAlign w:val="center"/>
          </w:tcPr>
          <w:p>
            <w:pPr>
              <w:rPr>
                <w:rFonts w:ascii="宋体" w:hAnsi="宋体" w:cs="宋体"/>
                <w:sz w:val="24"/>
              </w:rPr>
            </w:pPr>
          </w:p>
        </w:tc>
        <w:tc>
          <w:tcPr>
            <w:tcW w:w="6028" w:type="dxa"/>
            <w:gridSpan w:val="6"/>
            <w:vAlign w:val="center"/>
          </w:tcPr>
          <w:p>
            <w:pPr>
              <w:widowControl/>
              <w:jc w:val="center"/>
              <w:textAlignment w:val="center"/>
              <w:rPr>
                <w:rFonts w:ascii="宋体" w:hAnsi="宋体" w:cs="宋体"/>
                <w:sz w:val="20"/>
              </w:rPr>
            </w:pPr>
            <w:r>
              <w:rPr>
                <w:rFonts w:hint="eastAsia" w:ascii="宋体" w:hAnsi="宋体" w:cs="宋体"/>
                <w:color w:val="000000"/>
                <w:kern w:val="0"/>
                <w:sz w:val="24"/>
                <w:lang w:bidi="ar"/>
              </w:rPr>
              <w:t>年    月    日</w:t>
            </w:r>
          </w:p>
        </w:tc>
      </w:tr>
    </w:tbl>
    <w:p>
      <w:pPr>
        <w:pStyle w:val="53"/>
        <w:spacing w:after="0" w:line="380" w:lineRule="exact"/>
        <w:rPr>
          <w:lang w:val="en-US" w:eastAsia="zh-CN"/>
        </w:rPr>
      </w:pPr>
    </w:p>
    <w:p>
      <w:pPr>
        <w:adjustRightInd w:val="0"/>
        <w:snapToGrid w:val="0"/>
        <w:jc w:val="left"/>
        <w:rPr>
          <w:rFonts w:ascii="华文中宋" w:hAnsi="华文中宋" w:eastAsia="华文中宋" w:cs="仿宋_GB2312"/>
          <w:b/>
          <w:bCs/>
          <w:sz w:val="28"/>
          <w:szCs w:val="28"/>
        </w:rPr>
      </w:pPr>
      <w:r>
        <w:rPr>
          <w:rFonts w:hint="eastAsia" w:ascii="华文中宋" w:hAnsi="华文中宋" w:eastAsia="华文中宋" w:cs="仿宋_GB2312"/>
          <w:b/>
          <w:bCs/>
          <w:sz w:val="28"/>
          <w:szCs w:val="28"/>
        </w:rPr>
        <w:t>附件六：</w:t>
      </w:r>
    </w:p>
    <w:p>
      <w:pPr>
        <w:adjustRightInd w:val="0"/>
        <w:snapToGrid w:val="0"/>
        <w:jc w:val="center"/>
        <w:rPr>
          <w:rFonts w:ascii="华文中宋" w:hAnsi="华文中宋" w:eastAsia="华文中宋" w:cs="仿宋_GB2312"/>
          <w:b/>
          <w:bCs/>
          <w:sz w:val="44"/>
          <w:szCs w:val="44"/>
        </w:rPr>
      </w:pPr>
      <w:r>
        <w:rPr>
          <w:rFonts w:hint="eastAsia" w:ascii="华文中宋" w:hAnsi="华文中宋" w:eastAsia="华文中宋" w:cs="仿宋_GB2312"/>
          <w:b/>
          <w:bCs/>
          <w:sz w:val="44"/>
          <w:szCs w:val="44"/>
        </w:rPr>
        <w:t>重庆空港航空地面服务有限公司</w:t>
      </w:r>
    </w:p>
    <w:p>
      <w:pPr>
        <w:adjustRightInd w:val="0"/>
        <w:snapToGrid w:val="0"/>
        <w:jc w:val="center"/>
        <w:rPr>
          <w:rFonts w:ascii="华文中宋" w:hAnsi="华文中宋" w:eastAsia="华文中宋" w:cs="仿宋_GB2312"/>
          <w:b/>
          <w:bCs/>
          <w:sz w:val="44"/>
          <w:szCs w:val="44"/>
        </w:rPr>
      </w:pPr>
      <w:r>
        <w:rPr>
          <w:rFonts w:hint="eastAsia" w:ascii="华文中宋" w:hAnsi="华文中宋" w:eastAsia="华文中宋" w:cs="仿宋_GB2312"/>
          <w:b/>
          <w:bCs/>
          <w:sz w:val="44"/>
          <w:szCs w:val="44"/>
        </w:rPr>
        <w:t>机坪装卸外包业务安保协议</w:t>
      </w:r>
    </w:p>
    <w:p>
      <w:pPr>
        <w:adjustRightInd w:val="0"/>
        <w:snapToGrid w:val="0"/>
        <w:jc w:val="center"/>
        <w:rPr>
          <w:rFonts w:ascii="华文中宋" w:hAnsi="华文中宋" w:eastAsia="华文中宋" w:cs="仿宋_GB2312"/>
          <w:b/>
          <w:bCs/>
          <w:sz w:val="32"/>
          <w:szCs w:val="32"/>
        </w:rPr>
      </w:pPr>
    </w:p>
    <w:p>
      <w:pPr>
        <w:rPr>
          <w:rFonts w:hint="eastAsia" w:ascii="宋体" w:hAnsi="宋体" w:cs="仿宋_GB2312"/>
          <w:b/>
          <w:szCs w:val="21"/>
        </w:rPr>
      </w:pPr>
      <w:r>
        <w:rPr>
          <w:rFonts w:hint="eastAsia" w:ascii="宋体" w:hAnsi="宋体" w:cs="仿宋_GB2312"/>
          <w:b/>
          <w:szCs w:val="21"/>
        </w:rPr>
        <w:t>甲方：重庆空港航空地面服务有限公司</w:t>
      </w:r>
    </w:p>
    <w:p>
      <w:pPr>
        <w:rPr>
          <w:rFonts w:ascii="宋体" w:hAnsi="宋体" w:cs="仿宋_GB2312"/>
          <w:b/>
          <w:szCs w:val="21"/>
        </w:rPr>
      </w:pPr>
      <w:r>
        <w:rPr>
          <w:rFonts w:hint="eastAsia" w:ascii="宋体" w:hAnsi="宋体" w:cs="仿宋_GB2312"/>
          <w:b/>
          <w:szCs w:val="21"/>
        </w:rPr>
        <w:t>乙方:</w:t>
      </w:r>
    </w:p>
    <w:p>
      <w:pPr>
        <w:widowControl/>
        <w:adjustRightInd w:val="0"/>
        <w:snapToGrid w:val="0"/>
        <w:spacing w:line="560" w:lineRule="exact"/>
        <w:ind w:firstLine="420" w:firstLineChars="200"/>
        <w:jc w:val="left"/>
        <w:rPr>
          <w:rFonts w:ascii="宋体" w:hAnsi="宋体"/>
          <w:szCs w:val="21"/>
        </w:rPr>
      </w:pPr>
      <w:r>
        <w:rPr>
          <w:rFonts w:hint="eastAsia" w:ascii="宋体" w:hAnsi="宋体"/>
          <w:szCs w:val="21"/>
        </w:rPr>
        <w:t>甲方将机坪装卸业务承包给乙方,为了明确外包业务安保责任,落实各项空防、安保法律、法规、管理规定及措施，乙方应遵守和落实以下条款，以共同维护重庆机场的空防，保卫安全。</w:t>
      </w:r>
    </w:p>
    <w:p>
      <w:pPr>
        <w:adjustRightInd w:val="0"/>
        <w:snapToGrid w:val="0"/>
        <w:spacing w:line="440" w:lineRule="exact"/>
        <w:ind w:firstLine="462" w:firstLineChars="220"/>
        <w:rPr>
          <w:rFonts w:ascii="宋体" w:hAnsi="宋体" w:cs="仿宋_GB2312"/>
          <w:szCs w:val="21"/>
        </w:rPr>
      </w:pPr>
      <w:r>
        <w:rPr>
          <w:rFonts w:hint="eastAsia" w:ascii="宋体" w:hAnsi="宋体" w:cs="仿宋_GB2312"/>
          <w:szCs w:val="21"/>
        </w:rPr>
        <w:t>一、执行《重庆江北国际机场航空安全保卫方案》，遵守机场各项空防安全管理规定，切实落实各项空防安全管理措施，认真履行各项安全保卫职责。</w:t>
      </w:r>
    </w:p>
    <w:p>
      <w:pPr>
        <w:adjustRightInd w:val="0"/>
        <w:snapToGrid w:val="0"/>
        <w:spacing w:line="440" w:lineRule="exact"/>
        <w:ind w:firstLine="462" w:firstLineChars="220"/>
        <w:rPr>
          <w:rFonts w:ascii="宋体" w:hAnsi="宋体" w:cs="仿宋_GB2312"/>
          <w:szCs w:val="21"/>
        </w:rPr>
      </w:pPr>
      <w:r>
        <w:rPr>
          <w:rFonts w:hint="eastAsia" w:ascii="宋体" w:hAnsi="宋体" w:cs="仿宋_GB2312"/>
          <w:szCs w:val="21"/>
        </w:rPr>
        <w:t>二、背景调查责任：根据《民用航空背景调查规定》，认真开展对所属员工的背景调查工作，建立背景调查档案，并将背景调查资料复印件报甲方审核、留存。及时、准确向安检站填报员工（含无证人员）基本信息。加强对员工现实表现情况的掌握，及时排查内部矛盾和隐患。严禁录用隔离区禁用人员和可能危及空防，航空保卫的人员。</w:t>
      </w:r>
    </w:p>
    <w:p>
      <w:pPr>
        <w:adjustRightInd w:val="0"/>
        <w:snapToGrid w:val="0"/>
        <w:spacing w:line="440" w:lineRule="exact"/>
        <w:ind w:firstLine="462" w:firstLineChars="220"/>
        <w:rPr>
          <w:rFonts w:ascii="宋体" w:hAnsi="宋体" w:cs="仿宋_GB2312"/>
          <w:szCs w:val="21"/>
        </w:rPr>
      </w:pPr>
      <w:r>
        <w:rPr>
          <w:rFonts w:hint="eastAsia" w:ascii="宋体" w:hAnsi="宋体" w:cs="仿宋_GB2312"/>
          <w:szCs w:val="21"/>
        </w:rPr>
        <w:t>三、空防安全教育培训制度：建立各单位安保培训教育工作制度，严格开展安保工作专项检查，建立安保工作记录台账；认真开展对新进员工空防安全教育、培训，以及定期对在职员工进行安全教育复训（各单位根据各自实际情况规定培训的次数及学时），规范教育培训、台账；制定本单位安保工作措施和操作规程，明确安保工作职责；切实提高员工安保意识，着重培养员工遵章守纪意识、防范意识、注意发现安全问题、异常情况意识以及报告意识等。</w:t>
      </w:r>
    </w:p>
    <w:p>
      <w:pPr>
        <w:adjustRightInd w:val="0"/>
        <w:snapToGrid w:val="0"/>
        <w:spacing w:line="440" w:lineRule="exact"/>
        <w:ind w:firstLine="462" w:firstLineChars="220"/>
        <w:rPr>
          <w:rFonts w:ascii="宋体" w:hAnsi="宋体" w:cs="仿宋_GB2312"/>
          <w:szCs w:val="21"/>
        </w:rPr>
      </w:pPr>
      <w:r>
        <w:rPr>
          <w:rFonts w:hint="eastAsia" w:ascii="宋体" w:hAnsi="宋体" w:cs="仿宋_GB2312"/>
          <w:szCs w:val="21"/>
        </w:rPr>
        <w:t>四、控制区通行证件管理责任：严格按照《重庆江北国际机场控制区通行证件管理规定》申办、管理控制区证件；建立本单位证件使用、管理制度，完善证件管理基础台账，定期清理本单位证件，及时清退离职人员证件，有效防止证件遗失、被盗、损毁或失控。</w:t>
      </w:r>
    </w:p>
    <w:p>
      <w:pPr>
        <w:adjustRightInd w:val="0"/>
        <w:snapToGrid w:val="0"/>
        <w:spacing w:line="440" w:lineRule="exact"/>
        <w:ind w:firstLine="462" w:firstLineChars="220"/>
        <w:rPr>
          <w:rFonts w:ascii="宋体" w:hAnsi="宋体" w:cs="仿宋_GB2312"/>
          <w:szCs w:val="21"/>
        </w:rPr>
      </w:pPr>
      <w:r>
        <w:rPr>
          <w:rFonts w:hint="eastAsia" w:ascii="宋体" w:hAnsi="宋体" w:cs="仿宋_GB2312"/>
          <w:szCs w:val="21"/>
        </w:rPr>
        <w:t>五、控制区刀具和限制物品管理责任：严格按照《重庆江北国际机场控制区刀具管理办法》和《重庆江北国际机场限制物品带入控制区管理办法》，加强对控制区刀具和限制物品的管理，建立、完善本单位使用、管理制度，规范各类台账，确保使用安全。</w:t>
      </w:r>
    </w:p>
    <w:p>
      <w:pPr>
        <w:adjustRightInd w:val="0"/>
        <w:snapToGrid w:val="0"/>
        <w:spacing w:line="440" w:lineRule="exact"/>
        <w:ind w:firstLine="462" w:firstLineChars="220"/>
        <w:rPr>
          <w:rFonts w:ascii="宋体" w:hAnsi="宋体" w:cs="仿宋_GB2312"/>
          <w:szCs w:val="21"/>
        </w:rPr>
      </w:pPr>
      <w:r>
        <w:rPr>
          <w:rFonts w:hint="eastAsia" w:ascii="宋体" w:hAnsi="宋体" w:cs="仿宋_GB2312"/>
          <w:szCs w:val="21"/>
        </w:rPr>
        <w:t>六、对机坪装卸人员的安保要求：装卸工必须按规定程序操作，听从监装监卸人员的安排和指挥，防止发生运输差错事故；禁止将进出港货物、邮件及行李摆放在无人监控或职守的地方以防止无关人员接触货物、行李及邮件，防止将未经授权的货物、邮件及行李装上飞机；进入机场隔离控制区，装卸工必须自觉接受安全检查，严禁将违禁物品带入机场控制区；装卸工必须遵守《民用机场运行安全管理规定》和《机坪运行管理手册》的相关规定，防止发生安全事故；发现货物行李发生异常情况时，应立即报告监装监卸人员和监管部门负责人。</w:t>
      </w:r>
    </w:p>
    <w:p>
      <w:pPr>
        <w:adjustRightInd w:val="0"/>
        <w:snapToGrid w:val="0"/>
        <w:spacing w:line="440" w:lineRule="exact"/>
        <w:rPr>
          <w:rFonts w:ascii="宋体" w:hAnsi="宋体" w:cs="仿宋_GB2312"/>
          <w:szCs w:val="21"/>
        </w:rPr>
      </w:pPr>
      <w:r>
        <w:rPr>
          <w:rFonts w:hint="eastAsia" w:ascii="宋体" w:hAnsi="宋体" w:cs="仿宋_GB2312"/>
          <w:szCs w:val="21"/>
        </w:rPr>
        <w:t xml:space="preserve">    七、遵守国家、行业、机场管理机构或甲方关于空防，安保方面新近出台，更新、修订的法律、法规、规章制度及要求等。</w:t>
      </w:r>
    </w:p>
    <w:p>
      <w:pPr>
        <w:adjustRightInd w:val="0"/>
        <w:snapToGrid w:val="0"/>
        <w:spacing w:line="440" w:lineRule="exact"/>
        <w:ind w:firstLine="464" w:firstLineChars="221"/>
        <w:rPr>
          <w:rFonts w:ascii="宋体" w:hAnsi="宋体"/>
          <w:szCs w:val="21"/>
        </w:rPr>
      </w:pPr>
      <w:r>
        <w:rPr>
          <w:rFonts w:hint="eastAsia" w:ascii="宋体" w:hAnsi="宋体"/>
          <w:szCs w:val="21"/>
        </w:rPr>
        <w:t>以上内容，乙方如有违反，重庆机场相关管理机构或甲方将按相关规定对其进行处罚，情况特别严重导致乙方无能力或丧失承包业务运行条件时，甲方可解除承包合同，后果由乙方自负。</w:t>
      </w:r>
    </w:p>
    <w:p>
      <w:pPr>
        <w:pStyle w:val="53"/>
        <w:spacing w:after="0" w:line="380" w:lineRule="exact"/>
        <w:rPr>
          <w:lang w:val="en-US" w:eastAsia="zh-CN"/>
        </w:rPr>
      </w:pPr>
    </w:p>
    <w:p>
      <w:pPr>
        <w:pStyle w:val="53"/>
        <w:spacing w:after="0" w:line="380" w:lineRule="exact"/>
        <w:rPr>
          <w:lang w:val="en-US" w:eastAsia="zh-CN"/>
        </w:rPr>
      </w:pPr>
    </w:p>
    <w:p>
      <w:pPr>
        <w:pStyle w:val="53"/>
        <w:spacing w:after="0" w:line="380" w:lineRule="exact"/>
        <w:rPr>
          <w:lang w:val="en-US" w:eastAsia="zh-CN"/>
        </w:rPr>
      </w:pPr>
    </w:p>
    <w:p>
      <w:pPr>
        <w:pStyle w:val="53"/>
        <w:spacing w:after="0" w:line="380" w:lineRule="exact"/>
        <w:rPr>
          <w:lang w:val="en-US" w:eastAsia="zh-CN"/>
        </w:rPr>
      </w:pPr>
    </w:p>
    <w:p>
      <w:pPr>
        <w:pStyle w:val="53"/>
        <w:spacing w:after="0" w:line="380" w:lineRule="exact"/>
        <w:rPr>
          <w:lang w:val="en-US" w:eastAsia="zh-CN"/>
        </w:rPr>
      </w:pPr>
    </w:p>
    <w:p>
      <w:pPr>
        <w:pStyle w:val="53"/>
        <w:spacing w:after="0" w:line="380" w:lineRule="exact"/>
        <w:rPr>
          <w:lang w:val="en-US" w:eastAsia="zh-CN"/>
        </w:rPr>
      </w:pPr>
    </w:p>
    <w:p>
      <w:pPr>
        <w:pStyle w:val="53"/>
        <w:spacing w:after="0" w:line="380" w:lineRule="exact"/>
        <w:rPr>
          <w:lang w:val="en-US" w:eastAsia="zh-CN"/>
        </w:rPr>
      </w:pPr>
    </w:p>
    <w:p>
      <w:pPr>
        <w:pStyle w:val="53"/>
        <w:spacing w:after="0" w:line="380" w:lineRule="exact"/>
        <w:rPr>
          <w:lang w:val="en-US" w:eastAsia="zh-CN"/>
        </w:rPr>
      </w:pPr>
    </w:p>
    <w:p>
      <w:pPr>
        <w:pStyle w:val="53"/>
        <w:spacing w:after="0" w:line="380" w:lineRule="exact"/>
        <w:rPr>
          <w:lang w:val="en-US" w:eastAsia="zh-CN"/>
        </w:rPr>
      </w:pPr>
    </w:p>
    <w:p>
      <w:pPr>
        <w:pStyle w:val="53"/>
        <w:spacing w:after="0" w:line="380" w:lineRule="exact"/>
        <w:rPr>
          <w:lang w:val="en-US" w:eastAsia="zh-CN"/>
        </w:rPr>
      </w:pPr>
    </w:p>
    <w:p>
      <w:pPr>
        <w:pStyle w:val="53"/>
        <w:spacing w:after="0" w:line="380" w:lineRule="exact"/>
        <w:rPr>
          <w:lang w:val="en-US" w:eastAsia="zh-CN"/>
        </w:rPr>
      </w:pPr>
    </w:p>
    <w:p>
      <w:pPr>
        <w:pStyle w:val="53"/>
        <w:spacing w:after="0" w:line="380" w:lineRule="exact"/>
        <w:rPr>
          <w:lang w:val="en-US" w:eastAsia="zh-CN"/>
        </w:rPr>
      </w:pPr>
    </w:p>
    <w:p>
      <w:pPr>
        <w:pStyle w:val="53"/>
        <w:spacing w:after="0" w:line="380" w:lineRule="exact"/>
        <w:rPr>
          <w:lang w:val="en-US" w:eastAsia="zh-CN"/>
        </w:rPr>
      </w:pPr>
    </w:p>
    <w:p>
      <w:pPr>
        <w:pStyle w:val="53"/>
        <w:spacing w:after="0" w:line="380" w:lineRule="exact"/>
        <w:rPr>
          <w:lang w:val="en-US" w:eastAsia="zh-CN"/>
        </w:rPr>
      </w:pPr>
    </w:p>
    <w:p>
      <w:pPr>
        <w:pStyle w:val="53"/>
        <w:spacing w:after="0" w:line="380" w:lineRule="exact"/>
        <w:rPr>
          <w:lang w:val="en-US" w:eastAsia="zh-CN"/>
        </w:rPr>
      </w:pPr>
    </w:p>
    <w:p>
      <w:pPr>
        <w:pStyle w:val="53"/>
        <w:spacing w:after="0" w:line="380" w:lineRule="exact"/>
        <w:rPr>
          <w:lang w:val="en-US" w:eastAsia="zh-CN"/>
        </w:rPr>
      </w:pPr>
    </w:p>
    <w:p>
      <w:pPr>
        <w:pStyle w:val="53"/>
        <w:spacing w:after="0" w:line="380" w:lineRule="exact"/>
        <w:rPr>
          <w:lang w:val="en-US" w:eastAsia="zh-CN"/>
        </w:rPr>
      </w:pPr>
    </w:p>
    <w:p>
      <w:pPr>
        <w:pStyle w:val="53"/>
        <w:spacing w:after="0" w:line="380" w:lineRule="exact"/>
        <w:rPr>
          <w:lang w:val="en-US" w:eastAsia="zh-CN"/>
        </w:rPr>
      </w:pPr>
    </w:p>
    <w:p>
      <w:pPr>
        <w:adjustRightInd w:val="0"/>
        <w:snapToGrid w:val="0"/>
        <w:jc w:val="left"/>
        <w:rPr>
          <w:rFonts w:ascii="华文中宋" w:hAnsi="华文中宋" w:eastAsia="华文中宋" w:cs="仿宋_GB2312"/>
          <w:b/>
          <w:bCs/>
          <w:sz w:val="28"/>
          <w:szCs w:val="28"/>
        </w:rPr>
      </w:pPr>
      <w:r>
        <w:rPr>
          <w:rFonts w:hint="eastAsia" w:ascii="华文中宋" w:hAnsi="华文中宋" w:eastAsia="华文中宋" w:cs="仿宋_GB2312"/>
          <w:b/>
          <w:bCs/>
          <w:sz w:val="28"/>
          <w:szCs w:val="28"/>
        </w:rPr>
        <w:t>附件七：</w:t>
      </w:r>
    </w:p>
    <w:p>
      <w:pPr>
        <w:spacing w:line="520" w:lineRule="exact"/>
        <w:jc w:val="center"/>
        <w:rPr>
          <w:rFonts w:hint="eastAsia" w:ascii="仿宋_GB2312" w:hAnsi="宋体" w:eastAsia="仿宋_GB2312"/>
          <w:b/>
          <w:sz w:val="32"/>
          <w:szCs w:val="32"/>
        </w:rPr>
      </w:pPr>
      <w:r>
        <w:rPr>
          <w:rFonts w:hint="eastAsia" w:ascii="仿宋_GB2312" w:hAnsi="宋体" w:eastAsia="仿宋_GB2312"/>
          <w:b/>
          <w:sz w:val="32"/>
          <w:szCs w:val="32"/>
        </w:rPr>
        <w:t>重庆空港航空地面服务有限公司</w:t>
      </w:r>
    </w:p>
    <w:p>
      <w:pPr>
        <w:spacing w:line="520" w:lineRule="exact"/>
        <w:jc w:val="center"/>
        <w:rPr>
          <w:rFonts w:hint="eastAsia" w:ascii="仿宋_GB2312" w:hAnsi="宋体" w:eastAsia="仿宋_GB2312"/>
          <w:b/>
          <w:sz w:val="32"/>
          <w:szCs w:val="32"/>
        </w:rPr>
      </w:pPr>
      <w:r>
        <w:rPr>
          <w:rFonts w:hint="eastAsia" w:ascii="仿宋_GB2312" w:hAnsi="宋体" w:eastAsia="仿宋_GB2312"/>
          <w:b/>
          <w:sz w:val="32"/>
          <w:szCs w:val="32"/>
        </w:rPr>
        <w:t>新冠肺炎疫情防控责任协议书</w:t>
      </w:r>
    </w:p>
    <w:p>
      <w:pPr>
        <w:adjustRightInd w:val="0"/>
        <w:snapToGrid w:val="0"/>
        <w:spacing w:line="360" w:lineRule="auto"/>
        <w:rPr>
          <w:rFonts w:ascii="微软雅黑 Light" w:hAnsi="微软雅黑 Light" w:eastAsia="微软雅黑 Light"/>
        </w:rPr>
      </w:pPr>
    </w:p>
    <w:p>
      <w:pPr>
        <w:spacing w:line="520" w:lineRule="exact"/>
        <w:rPr>
          <w:rFonts w:hint="eastAsia" w:ascii="仿宋_GB2312" w:eastAsia="仿宋_GB2312"/>
          <w:b/>
          <w:sz w:val="28"/>
          <w:szCs w:val="28"/>
        </w:rPr>
      </w:pPr>
      <w:r>
        <w:rPr>
          <w:rFonts w:hint="eastAsia" w:ascii="仿宋_GB2312" w:eastAsia="仿宋_GB2312"/>
          <w:b/>
          <w:sz w:val="28"/>
          <w:szCs w:val="28"/>
        </w:rPr>
        <w:t>甲方：重庆空港航空地面服务有限公司</w:t>
      </w:r>
    </w:p>
    <w:p>
      <w:pPr>
        <w:spacing w:line="520" w:lineRule="exact"/>
        <w:rPr>
          <w:rFonts w:hint="eastAsia" w:ascii="仿宋_GB2312" w:eastAsia="仿宋_GB2312"/>
          <w:b/>
          <w:sz w:val="28"/>
          <w:szCs w:val="28"/>
        </w:rPr>
      </w:pPr>
      <w:r>
        <w:rPr>
          <w:rFonts w:hint="eastAsia" w:ascii="仿宋_GB2312" w:eastAsia="仿宋_GB2312"/>
          <w:b/>
          <w:sz w:val="28"/>
          <w:szCs w:val="28"/>
        </w:rPr>
        <w:t>乙方：</w:t>
      </w:r>
    </w:p>
    <w:p>
      <w:pPr>
        <w:spacing w:line="520" w:lineRule="exact"/>
        <w:ind w:firstLine="482"/>
        <w:rPr>
          <w:rFonts w:hint="eastAsia" w:ascii="仿宋_GB2312" w:eastAsia="仿宋_GB2312"/>
          <w:sz w:val="28"/>
          <w:szCs w:val="28"/>
        </w:rPr>
      </w:pPr>
      <w:r>
        <w:rPr>
          <w:rFonts w:hint="eastAsia" w:ascii="仿宋_GB2312" w:eastAsia="仿宋_GB2312"/>
          <w:sz w:val="28"/>
          <w:szCs w:val="28"/>
        </w:rPr>
        <w:t>为持续做好常态化疫情防控工作，加强“外防输入、内防反弹”各项防控措施，进一步明确甲乙双方疫情防控工作中的责任和权利，根据国务院《关于印发全国机场疫情防控工作方案的通知》和民航局《运输机场疫情防控技术指南（最新版）》等上级文件相关规定，经双方协商，现甲乙双方签订疫情防控责任协议书如下:</w:t>
      </w:r>
    </w:p>
    <w:p>
      <w:pPr>
        <w:spacing w:line="520" w:lineRule="exact"/>
        <w:ind w:firstLine="482"/>
        <w:jc w:val="center"/>
        <w:rPr>
          <w:rFonts w:hint="eastAsia" w:ascii="仿宋_GB2312" w:eastAsia="仿宋_GB2312"/>
          <w:b/>
          <w:bCs/>
          <w:sz w:val="28"/>
          <w:szCs w:val="28"/>
        </w:rPr>
      </w:pPr>
      <w:r>
        <w:rPr>
          <w:rFonts w:hint="eastAsia" w:ascii="仿宋_GB2312" w:eastAsia="仿宋_GB2312"/>
          <w:b/>
          <w:bCs/>
          <w:sz w:val="28"/>
          <w:szCs w:val="28"/>
        </w:rPr>
        <w:t>第一章  总则</w:t>
      </w:r>
    </w:p>
    <w:p>
      <w:pPr>
        <w:spacing w:line="520" w:lineRule="exact"/>
        <w:ind w:firstLine="482"/>
        <w:rPr>
          <w:rFonts w:hint="eastAsia" w:ascii="仿宋_GB2312" w:eastAsia="仿宋_GB2312"/>
          <w:sz w:val="28"/>
          <w:szCs w:val="28"/>
        </w:rPr>
      </w:pPr>
      <w:r>
        <w:rPr>
          <w:rFonts w:hint="eastAsia" w:ascii="仿宋_GB2312" w:eastAsia="仿宋_GB2312"/>
          <w:sz w:val="28"/>
          <w:szCs w:val="28"/>
        </w:rPr>
        <w:t>1.1宗旨</w:t>
      </w:r>
    </w:p>
    <w:p>
      <w:pPr>
        <w:spacing w:line="520" w:lineRule="exact"/>
        <w:ind w:firstLine="482"/>
        <w:rPr>
          <w:rFonts w:hint="eastAsia" w:ascii="仿宋_GB2312" w:eastAsia="仿宋_GB2312"/>
          <w:sz w:val="28"/>
          <w:szCs w:val="28"/>
        </w:rPr>
      </w:pPr>
      <w:r>
        <w:rPr>
          <w:rFonts w:hint="eastAsia" w:ascii="仿宋_GB2312" w:eastAsia="仿宋_GB2312"/>
          <w:sz w:val="28"/>
          <w:szCs w:val="28"/>
        </w:rPr>
        <w:t>签署本协议，旨在明确甲乙双方在新冠肺炎疫情防控工作中的责任和权利，各自履行职责，以实现机场疫情防控工作平稳可控。</w:t>
      </w:r>
    </w:p>
    <w:p>
      <w:pPr>
        <w:spacing w:line="520" w:lineRule="exact"/>
        <w:ind w:firstLine="482"/>
        <w:rPr>
          <w:rFonts w:hint="eastAsia" w:ascii="仿宋_GB2312" w:eastAsia="仿宋_GB2312"/>
          <w:sz w:val="28"/>
          <w:szCs w:val="28"/>
        </w:rPr>
      </w:pPr>
      <w:r>
        <w:rPr>
          <w:rFonts w:hint="eastAsia" w:ascii="仿宋_GB2312" w:eastAsia="仿宋_GB2312"/>
          <w:sz w:val="28"/>
          <w:szCs w:val="28"/>
        </w:rPr>
        <w:t>1.2基本原则</w:t>
      </w:r>
    </w:p>
    <w:p>
      <w:pPr>
        <w:spacing w:line="520" w:lineRule="exact"/>
        <w:ind w:firstLine="482"/>
        <w:rPr>
          <w:rFonts w:hint="eastAsia" w:ascii="仿宋_GB2312" w:eastAsia="仿宋_GB2312"/>
          <w:sz w:val="28"/>
          <w:szCs w:val="28"/>
        </w:rPr>
      </w:pPr>
      <w:r>
        <w:rPr>
          <w:rFonts w:hint="eastAsia" w:ascii="仿宋_GB2312" w:eastAsia="仿宋_GB2312"/>
          <w:sz w:val="28"/>
          <w:szCs w:val="28"/>
        </w:rPr>
        <w:t>公平原则和诚实信用原则，是订立和履行本协议的基本原则。在签订和履行本协议的过程中，甲乙双方应当自觉遵守公平原则和诚实信用原则，以善意的方式理解本协议及协议履行过程中的分歧与矛盾，通过协商解决争议。</w:t>
      </w:r>
    </w:p>
    <w:p>
      <w:pPr>
        <w:spacing w:line="520" w:lineRule="exact"/>
        <w:ind w:firstLine="482"/>
        <w:jc w:val="center"/>
        <w:rPr>
          <w:rFonts w:hint="eastAsia" w:ascii="仿宋_GB2312" w:eastAsia="仿宋_GB2312"/>
          <w:b/>
          <w:bCs/>
          <w:sz w:val="28"/>
          <w:szCs w:val="28"/>
        </w:rPr>
      </w:pPr>
      <w:r>
        <w:rPr>
          <w:rFonts w:hint="eastAsia" w:ascii="仿宋_GB2312" w:eastAsia="仿宋_GB2312"/>
          <w:b/>
          <w:bCs/>
          <w:sz w:val="28"/>
          <w:szCs w:val="28"/>
        </w:rPr>
        <w:t>第二章  甲方的责任和权利</w:t>
      </w:r>
    </w:p>
    <w:p>
      <w:pPr>
        <w:spacing w:line="520" w:lineRule="exact"/>
        <w:ind w:firstLine="482"/>
        <w:rPr>
          <w:rFonts w:hint="eastAsia" w:ascii="仿宋_GB2312" w:eastAsia="仿宋_GB2312"/>
          <w:sz w:val="28"/>
          <w:szCs w:val="28"/>
        </w:rPr>
      </w:pPr>
      <w:r>
        <w:rPr>
          <w:rFonts w:hint="eastAsia" w:ascii="仿宋_GB2312" w:eastAsia="仿宋_GB2312"/>
          <w:sz w:val="28"/>
          <w:szCs w:val="28"/>
        </w:rPr>
        <w:t>2.1甲方负责向乙方传达机场疫情防控方面的政策和要求。</w:t>
      </w:r>
    </w:p>
    <w:p>
      <w:pPr>
        <w:spacing w:line="520" w:lineRule="exact"/>
        <w:ind w:firstLine="482"/>
        <w:rPr>
          <w:rFonts w:hint="eastAsia" w:ascii="仿宋_GB2312" w:eastAsia="仿宋_GB2312"/>
          <w:sz w:val="28"/>
          <w:szCs w:val="28"/>
        </w:rPr>
      </w:pPr>
      <w:r>
        <w:rPr>
          <w:rFonts w:hint="eastAsia" w:ascii="仿宋_GB2312" w:eastAsia="仿宋_GB2312"/>
          <w:sz w:val="28"/>
          <w:szCs w:val="28"/>
        </w:rPr>
        <w:t>2.2甲方根据实际情况，可要求乙方建立疫情防控机构或确定疫情防控专（兼）职联络员。</w:t>
      </w:r>
    </w:p>
    <w:p>
      <w:pPr>
        <w:spacing w:line="520" w:lineRule="exact"/>
        <w:ind w:firstLine="482"/>
        <w:rPr>
          <w:rFonts w:hint="eastAsia" w:ascii="仿宋_GB2312" w:eastAsia="仿宋_GB2312"/>
          <w:sz w:val="28"/>
          <w:szCs w:val="28"/>
        </w:rPr>
      </w:pPr>
      <w:r>
        <w:rPr>
          <w:rFonts w:hint="eastAsia" w:ascii="仿宋_GB2312" w:eastAsia="仿宋_GB2312"/>
          <w:sz w:val="28"/>
          <w:szCs w:val="28"/>
        </w:rPr>
        <w:t>2.3甲方应根据疫情防控形势，定期/非定期召集乙方疫情防控负责人、专（兼）职联络员召开疫情防控协调会。</w:t>
      </w:r>
    </w:p>
    <w:p>
      <w:pPr>
        <w:spacing w:line="520" w:lineRule="exact"/>
        <w:ind w:firstLine="482"/>
        <w:rPr>
          <w:rFonts w:hint="eastAsia" w:ascii="仿宋_GB2312" w:eastAsia="仿宋_GB2312"/>
          <w:sz w:val="28"/>
          <w:szCs w:val="28"/>
        </w:rPr>
      </w:pPr>
      <w:r>
        <w:rPr>
          <w:rFonts w:hint="eastAsia" w:ascii="仿宋_GB2312" w:eastAsia="仿宋_GB2312"/>
          <w:sz w:val="28"/>
          <w:szCs w:val="28"/>
        </w:rPr>
        <w:t>2.4针对保障国际业务的高风险岗位，甲方应要求乙方建立专门团队，纳入甲方管理体系直接管理，如工作考勤、工作安排、培训教育等，甲方负责高风险岗位闭环期间的人员食宿、通勤车辆、证照办理、核酸检测、作业场所等安排工作。</w:t>
      </w:r>
    </w:p>
    <w:p>
      <w:pPr>
        <w:spacing w:line="520" w:lineRule="exact"/>
        <w:ind w:firstLine="482"/>
        <w:rPr>
          <w:rFonts w:hint="eastAsia" w:ascii="仿宋_GB2312" w:eastAsia="仿宋_GB2312"/>
          <w:sz w:val="28"/>
          <w:szCs w:val="28"/>
        </w:rPr>
      </w:pPr>
      <w:r>
        <w:rPr>
          <w:rFonts w:hint="eastAsia" w:ascii="仿宋_GB2312" w:eastAsia="仿宋_GB2312"/>
          <w:sz w:val="28"/>
          <w:szCs w:val="28"/>
        </w:rPr>
        <w:t>2.5甲方应在符合机场空防安全的前提下保证乙方的防疫物资按机场处置流程进入规定区域。</w:t>
      </w:r>
    </w:p>
    <w:p>
      <w:pPr>
        <w:spacing w:line="520" w:lineRule="exact"/>
        <w:ind w:firstLine="482"/>
        <w:rPr>
          <w:rFonts w:hint="eastAsia" w:ascii="仿宋_GB2312" w:eastAsia="仿宋_GB2312"/>
          <w:sz w:val="28"/>
          <w:szCs w:val="28"/>
        </w:rPr>
      </w:pPr>
      <w:r>
        <w:rPr>
          <w:rFonts w:hint="eastAsia" w:ascii="仿宋_GB2312" w:eastAsia="仿宋_GB2312"/>
          <w:sz w:val="28"/>
          <w:szCs w:val="28"/>
        </w:rPr>
        <w:t>2.6甲方为乙方提供相应岗位工作所需的疫情防控标准、防疫操作流程及文件资料等。</w:t>
      </w:r>
    </w:p>
    <w:p>
      <w:pPr>
        <w:spacing w:line="520" w:lineRule="exact"/>
        <w:ind w:firstLine="482"/>
        <w:rPr>
          <w:rFonts w:hint="eastAsia" w:ascii="仿宋_GB2312" w:eastAsia="仿宋_GB2312"/>
          <w:sz w:val="28"/>
          <w:szCs w:val="28"/>
        </w:rPr>
      </w:pPr>
      <w:r>
        <w:rPr>
          <w:rFonts w:hint="eastAsia" w:ascii="仿宋_GB2312" w:eastAsia="仿宋_GB2312"/>
          <w:sz w:val="28"/>
          <w:szCs w:val="28"/>
        </w:rPr>
        <w:t>2.7甲方应当为乙方的疫情防控管理提供必要的帮助，并协调处理双方工作中的配合关系。</w:t>
      </w:r>
    </w:p>
    <w:p>
      <w:pPr>
        <w:spacing w:line="520" w:lineRule="exact"/>
        <w:ind w:firstLine="482"/>
        <w:rPr>
          <w:rFonts w:hint="eastAsia" w:ascii="仿宋_GB2312" w:eastAsia="仿宋_GB2312"/>
          <w:sz w:val="28"/>
          <w:szCs w:val="28"/>
        </w:rPr>
      </w:pPr>
      <w:r>
        <w:rPr>
          <w:rFonts w:hint="eastAsia" w:ascii="仿宋_GB2312" w:eastAsia="仿宋_GB2312"/>
          <w:sz w:val="28"/>
          <w:szCs w:val="28"/>
        </w:rPr>
        <w:t>2.8甲方有权要求乙方进行疫情防控专项保障和有权调动指挥乙方进行疫情突发事件处置。</w:t>
      </w:r>
    </w:p>
    <w:p>
      <w:pPr>
        <w:spacing w:line="520" w:lineRule="exact"/>
        <w:ind w:firstLine="482"/>
        <w:rPr>
          <w:rFonts w:hint="eastAsia" w:ascii="仿宋_GB2312" w:eastAsia="仿宋_GB2312"/>
          <w:sz w:val="28"/>
          <w:szCs w:val="28"/>
        </w:rPr>
      </w:pPr>
      <w:r>
        <w:rPr>
          <w:rFonts w:hint="eastAsia" w:ascii="仿宋_GB2312" w:eastAsia="仿宋_GB2312"/>
          <w:sz w:val="28"/>
          <w:szCs w:val="28"/>
        </w:rPr>
        <w:t>2.9甲方有权督促、检查、指导乙方做好疫情防控工作，对乙方疫情防控工作中存在的问题和风险隐患，发出整改要求。</w:t>
      </w:r>
    </w:p>
    <w:p>
      <w:pPr>
        <w:spacing w:line="520" w:lineRule="exact"/>
        <w:ind w:firstLine="482"/>
        <w:rPr>
          <w:rFonts w:ascii="仿宋_GB2312" w:eastAsia="仿宋_GB2312"/>
          <w:sz w:val="28"/>
          <w:szCs w:val="28"/>
        </w:rPr>
      </w:pPr>
      <w:r>
        <w:rPr>
          <w:rFonts w:hint="eastAsia" w:ascii="仿宋_GB2312" w:eastAsia="仿宋_GB2312"/>
          <w:sz w:val="28"/>
          <w:szCs w:val="28"/>
        </w:rPr>
        <w:t>2.10针对乙方高风险岗位人员（保障国际入境客货机业务）薪酬管理要求，甲方定期检查乙方执行情况，包含但不限于薪酬发放、足额缴纳社保等。</w:t>
      </w:r>
    </w:p>
    <w:p>
      <w:pPr>
        <w:spacing w:line="520" w:lineRule="exact"/>
        <w:ind w:firstLine="482"/>
        <w:jc w:val="center"/>
        <w:rPr>
          <w:rFonts w:hint="eastAsia" w:ascii="仿宋_GB2312" w:eastAsia="仿宋_GB2312"/>
          <w:b/>
          <w:bCs/>
          <w:sz w:val="28"/>
          <w:szCs w:val="28"/>
        </w:rPr>
      </w:pPr>
      <w:r>
        <w:rPr>
          <w:rFonts w:hint="eastAsia" w:ascii="仿宋_GB2312" w:eastAsia="仿宋_GB2312"/>
          <w:b/>
          <w:bCs/>
          <w:sz w:val="28"/>
          <w:szCs w:val="28"/>
        </w:rPr>
        <w:t>第三章  乙方的责任和权利</w:t>
      </w:r>
    </w:p>
    <w:p>
      <w:pPr>
        <w:spacing w:line="520" w:lineRule="exact"/>
        <w:ind w:firstLine="482"/>
        <w:rPr>
          <w:rFonts w:hint="eastAsia" w:ascii="仿宋_GB2312" w:eastAsia="仿宋_GB2312"/>
          <w:sz w:val="28"/>
          <w:szCs w:val="28"/>
        </w:rPr>
      </w:pPr>
      <w:r>
        <w:rPr>
          <w:rFonts w:hint="eastAsia" w:ascii="仿宋_GB2312" w:eastAsia="仿宋_GB2312"/>
          <w:sz w:val="28"/>
          <w:szCs w:val="28"/>
        </w:rPr>
        <w:t>3.1人员资质</w:t>
      </w:r>
    </w:p>
    <w:p>
      <w:pPr>
        <w:spacing w:line="520" w:lineRule="exact"/>
        <w:ind w:firstLine="482"/>
        <w:rPr>
          <w:rFonts w:hint="eastAsia" w:ascii="仿宋_GB2312" w:eastAsia="仿宋_GB2312"/>
          <w:sz w:val="28"/>
          <w:szCs w:val="28"/>
        </w:rPr>
      </w:pPr>
      <w:r>
        <w:rPr>
          <w:rFonts w:hint="eastAsia" w:ascii="仿宋_GB2312" w:eastAsia="仿宋_GB2312"/>
          <w:sz w:val="28"/>
          <w:szCs w:val="28"/>
        </w:rPr>
        <w:t>3.1.1乙方选派机场工作人员必须完成全程疫苗接种，未完成全程疫苗接种的，不得参与机场保障业务，以保护员工、降低染疫风险。</w:t>
      </w:r>
    </w:p>
    <w:p>
      <w:pPr>
        <w:spacing w:line="520" w:lineRule="exact"/>
        <w:ind w:firstLine="482"/>
        <w:rPr>
          <w:rFonts w:hint="eastAsia" w:ascii="仿宋_GB2312" w:eastAsia="仿宋_GB2312"/>
          <w:sz w:val="28"/>
          <w:szCs w:val="28"/>
        </w:rPr>
      </w:pPr>
      <w:r>
        <w:rPr>
          <w:rFonts w:hint="eastAsia" w:ascii="仿宋_GB2312" w:eastAsia="仿宋_GB2312"/>
          <w:sz w:val="28"/>
          <w:szCs w:val="28"/>
        </w:rPr>
        <w:t>3.1.2乙方如参与入境国际客货航班保障，应安排专门团队参与，纳入甲方管理体系直接管理，并与其他保障人员严格区分，不得交叉。对保障入境国际客货航班的专门团队登记造册、清单实名制管理，并将名册提交甲方备案，名册若有变更第一时间报备甲方。</w:t>
      </w:r>
    </w:p>
    <w:p>
      <w:pPr>
        <w:spacing w:line="520" w:lineRule="exact"/>
        <w:ind w:firstLine="482"/>
        <w:rPr>
          <w:rFonts w:hint="eastAsia" w:ascii="仿宋_GB2312" w:eastAsia="仿宋_GB2312"/>
          <w:sz w:val="28"/>
          <w:szCs w:val="28"/>
        </w:rPr>
      </w:pPr>
      <w:r>
        <w:rPr>
          <w:rFonts w:hint="eastAsia" w:ascii="仿宋_GB2312" w:eastAsia="仿宋_GB2312"/>
          <w:sz w:val="28"/>
          <w:szCs w:val="28"/>
        </w:rPr>
        <w:t>3.1.3结合机场防控要求，乙方从满足3.1.1和3.1.2两个条件的工作人员中选派思想稳定、身体状况、心理状况和行为习惯良好的工作人员作为入境国际客货航班保障闭环人员。</w:t>
      </w:r>
    </w:p>
    <w:p>
      <w:pPr>
        <w:spacing w:line="520" w:lineRule="exact"/>
        <w:ind w:firstLine="482"/>
        <w:rPr>
          <w:rFonts w:hint="eastAsia" w:ascii="仿宋_GB2312" w:eastAsia="仿宋_GB2312"/>
          <w:sz w:val="28"/>
          <w:szCs w:val="28"/>
        </w:rPr>
      </w:pPr>
      <w:r>
        <w:rPr>
          <w:rFonts w:hint="eastAsia" w:ascii="仿宋_GB2312" w:eastAsia="仿宋_GB2312"/>
          <w:sz w:val="28"/>
          <w:szCs w:val="28"/>
        </w:rPr>
        <w:t>3.2培训考核</w:t>
      </w:r>
    </w:p>
    <w:p>
      <w:pPr>
        <w:spacing w:line="520" w:lineRule="exact"/>
        <w:ind w:firstLine="482"/>
        <w:rPr>
          <w:rFonts w:hint="eastAsia" w:ascii="仿宋_GB2312" w:eastAsia="仿宋_GB2312"/>
          <w:sz w:val="28"/>
          <w:szCs w:val="28"/>
        </w:rPr>
      </w:pPr>
      <w:r>
        <w:rPr>
          <w:rFonts w:hint="eastAsia" w:ascii="仿宋_GB2312" w:eastAsia="仿宋_GB2312"/>
          <w:sz w:val="28"/>
          <w:szCs w:val="28"/>
        </w:rPr>
        <w:t>3.2.1为提高员工防疫知识和技能，提升疫情防控意识，乙方应确保所有涉及防疫相关的工作人员均接受疫情防控培训。</w:t>
      </w:r>
    </w:p>
    <w:p>
      <w:pPr>
        <w:spacing w:line="520" w:lineRule="exact"/>
        <w:ind w:firstLine="482"/>
        <w:rPr>
          <w:rFonts w:hint="eastAsia" w:ascii="仿宋_GB2312" w:eastAsia="仿宋_GB2312"/>
          <w:sz w:val="28"/>
          <w:szCs w:val="28"/>
        </w:rPr>
      </w:pPr>
      <w:r>
        <w:rPr>
          <w:rFonts w:hint="eastAsia" w:ascii="仿宋_GB2312" w:eastAsia="仿宋_GB2312"/>
          <w:sz w:val="28"/>
          <w:szCs w:val="28"/>
        </w:rPr>
        <w:t>3.2.2乙方选派机场的工作人员在疫情防控专业知识培训结束考核合格后方能上岗。</w:t>
      </w:r>
    </w:p>
    <w:p>
      <w:pPr>
        <w:spacing w:line="520" w:lineRule="exact"/>
        <w:ind w:firstLine="482"/>
        <w:rPr>
          <w:rFonts w:hint="eastAsia" w:ascii="仿宋_GB2312" w:eastAsia="仿宋_GB2312"/>
          <w:sz w:val="28"/>
          <w:szCs w:val="28"/>
        </w:rPr>
      </w:pPr>
      <w:r>
        <w:rPr>
          <w:rFonts w:hint="eastAsia" w:ascii="仿宋_GB2312" w:eastAsia="仿宋_GB2312"/>
          <w:sz w:val="28"/>
          <w:szCs w:val="28"/>
        </w:rPr>
        <w:t>3.2.3乙方自行组织员工开展疫情防控专业知识培训及考核，每年至少组织4次复训考核，以检验复训培训工作的效果。考核不合格者由乙方安排补考，补考不合格者，乙方应对其进行处罚并安排参加补训。</w:t>
      </w:r>
    </w:p>
    <w:p>
      <w:pPr>
        <w:spacing w:line="520" w:lineRule="exact"/>
        <w:ind w:firstLine="482"/>
        <w:rPr>
          <w:rFonts w:hint="eastAsia" w:ascii="仿宋_GB2312" w:eastAsia="仿宋_GB2312"/>
          <w:sz w:val="28"/>
          <w:szCs w:val="28"/>
        </w:rPr>
      </w:pPr>
      <w:r>
        <w:rPr>
          <w:rFonts w:hint="eastAsia" w:ascii="仿宋_GB2312" w:eastAsia="仿宋_GB2312"/>
          <w:sz w:val="28"/>
          <w:szCs w:val="28"/>
        </w:rPr>
        <w:t>3.2.4 乙方要参与甲方或者机场管理机构牵头组织的各类防控培训和应急演练，并将相关内容更新至各类岗位操作人员。</w:t>
      </w:r>
    </w:p>
    <w:p>
      <w:pPr>
        <w:spacing w:line="520" w:lineRule="exact"/>
        <w:ind w:firstLine="482"/>
        <w:rPr>
          <w:rFonts w:hint="eastAsia" w:ascii="仿宋_GB2312" w:eastAsia="仿宋_GB2312"/>
          <w:sz w:val="28"/>
          <w:szCs w:val="28"/>
        </w:rPr>
      </w:pPr>
      <w:r>
        <w:rPr>
          <w:rFonts w:hint="eastAsia" w:ascii="仿宋_GB2312" w:eastAsia="仿宋_GB2312"/>
          <w:sz w:val="28"/>
          <w:szCs w:val="28"/>
        </w:rPr>
        <w:t>3.3个人防护</w:t>
      </w:r>
    </w:p>
    <w:p>
      <w:pPr>
        <w:spacing w:line="520" w:lineRule="exact"/>
        <w:ind w:firstLine="482"/>
        <w:rPr>
          <w:rFonts w:hint="eastAsia" w:ascii="仿宋_GB2312" w:eastAsia="仿宋_GB2312"/>
          <w:sz w:val="28"/>
          <w:szCs w:val="28"/>
        </w:rPr>
      </w:pPr>
      <w:r>
        <w:rPr>
          <w:rFonts w:hint="eastAsia" w:ascii="仿宋_GB2312" w:eastAsia="仿宋_GB2312"/>
          <w:sz w:val="28"/>
          <w:szCs w:val="28"/>
        </w:rPr>
        <w:t>3.3.1乙方员工应知晓本岗位防护用品穿戴标准。</w:t>
      </w:r>
    </w:p>
    <w:p>
      <w:pPr>
        <w:spacing w:line="520" w:lineRule="exact"/>
        <w:ind w:firstLine="482"/>
        <w:rPr>
          <w:rFonts w:hint="eastAsia" w:ascii="仿宋_GB2312" w:eastAsia="仿宋_GB2312"/>
          <w:sz w:val="28"/>
          <w:szCs w:val="28"/>
        </w:rPr>
      </w:pPr>
      <w:r>
        <w:rPr>
          <w:rFonts w:hint="eastAsia" w:ascii="仿宋_GB2312" w:eastAsia="仿宋_GB2312"/>
          <w:sz w:val="28"/>
          <w:szCs w:val="28"/>
        </w:rPr>
        <w:t>3.3.2乙方员工应熟练掌握防护用品穿脱流程。</w:t>
      </w:r>
    </w:p>
    <w:p>
      <w:pPr>
        <w:spacing w:line="520" w:lineRule="exact"/>
        <w:ind w:firstLine="482"/>
        <w:rPr>
          <w:rFonts w:hint="eastAsia" w:ascii="仿宋_GB2312" w:eastAsia="仿宋_GB2312"/>
          <w:sz w:val="28"/>
          <w:szCs w:val="28"/>
        </w:rPr>
      </w:pPr>
      <w:r>
        <w:rPr>
          <w:rFonts w:hint="eastAsia" w:ascii="仿宋_GB2312" w:eastAsia="仿宋_GB2312"/>
          <w:sz w:val="28"/>
          <w:szCs w:val="28"/>
        </w:rPr>
        <w:t>3.3.3乙方高风险岗位员工应知晓防护解除管理规定。</w:t>
      </w:r>
    </w:p>
    <w:p>
      <w:pPr>
        <w:spacing w:line="520" w:lineRule="exact"/>
        <w:ind w:firstLine="482"/>
        <w:rPr>
          <w:rFonts w:hint="eastAsia" w:ascii="仿宋_GB2312" w:eastAsia="仿宋_GB2312"/>
          <w:sz w:val="28"/>
          <w:szCs w:val="28"/>
        </w:rPr>
      </w:pPr>
      <w:r>
        <w:rPr>
          <w:rFonts w:hint="eastAsia" w:ascii="仿宋_GB2312" w:eastAsia="仿宋_GB2312"/>
          <w:sz w:val="28"/>
          <w:szCs w:val="28"/>
        </w:rPr>
        <w:t>3.3.4岗位个人防护标准参考《运输航空公司、机场疫情防控技术指南》（最新版）和《重庆空港航空地面服务有限公司疫情防控指南》（最新版）中的相关要求执行。</w:t>
      </w:r>
    </w:p>
    <w:p>
      <w:pPr>
        <w:spacing w:line="520" w:lineRule="exact"/>
        <w:ind w:firstLine="482"/>
        <w:rPr>
          <w:rFonts w:hint="eastAsia" w:ascii="仿宋_GB2312" w:eastAsia="仿宋_GB2312"/>
          <w:sz w:val="28"/>
          <w:szCs w:val="28"/>
        </w:rPr>
      </w:pPr>
      <w:r>
        <w:rPr>
          <w:rFonts w:hint="eastAsia" w:ascii="仿宋_GB2312" w:eastAsia="仿宋_GB2312"/>
          <w:sz w:val="28"/>
          <w:szCs w:val="28"/>
        </w:rPr>
        <w:t>3.3.5具体防护服穿脱流程参考《运输航空公司、机场疫情防控技术指南》（最新版）和机场管理机构制定的《个人防护穿脱及就地解除和集中解除操作规范》(最新版）。</w:t>
      </w:r>
    </w:p>
    <w:p>
      <w:pPr>
        <w:spacing w:line="520" w:lineRule="exact"/>
        <w:ind w:firstLine="482"/>
        <w:rPr>
          <w:rFonts w:hint="eastAsia" w:ascii="仿宋_GB2312" w:eastAsia="仿宋_GB2312"/>
          <w:sz w:val="28"/>
          <w:szCs w:val="28"/>
        </w:rPr>
      </w:pPr>
      <w:r>
        <w:rPr>
          <w:rFonts w:hint="eastAsia" w:ascii="仿宋_GB2312" w:eastAsia="仿宋_GB2312"/>
          <w:sz w:val="28"/>
          <w:szCs w:val="28"/>
        </w:rPr>
        <w:t>3.4核酸检测</w:t>
      </w:r>
    </w:p>
    <w:p>
      <w:pPr>
        <w:spacing w:line="520" w:lineRule="exact"/>
        <w:ind w:firstLine="482"/>
        <w:rPr>
          <w:rFonts w:hint="eastAsia" w:ascii="仿宋_GB2312" w:eastAsia="仿宋_GB2312"/>
          <w:sz w:val="28"/>
          <w:szCs w:val="28"/>
        </w:rPr>
      </w:pPr>
      <w:r>
        <w:rPr>
          <w:rFonts w:hint="eastAsia" w:ascii="仿宋_GB2312" w:eastAsia="仿宋_GB2312"/>
          <w:sz w:val="28"/>
          <w:szCs w:val="28"/>
        </w:rPr>
        <w:t>3.4.1乙方员工在岗集中封闭管理期间的闭环管理人员（直接从事国际旅客、进口货物和国际航班航空器相关服务的一线工作人员）每天开展1次检测。</w:t>
      </w:r>
    </w:p>
    <w:p>
      <w:pPr>
        <w:spacing w:line="520" w:lineRule="exact"/>
        <w:ind w:firstLine="482"/>
        <w:rPr>
          <w:rFonts w:hint="eastAsia" w:ascii="仿宋_GB2312" w:eastAsia="仿宋_GB2312"/>
          <w:sz w:val="28"/>
          <w:szCs w:val="28"/>
        </w:rPr>
      </w:pPr>
      <w:r>
        <w:rPr>
          <w:rFonts w:hint="eastAsia" w:ascii="仿宋_GB2312" w:eastAsia="仿宋_GB2312"/>
          <w:sz w:val="28"/>
          <w:szCs w:val="28"/>
        </w:rPr>
        <w:t>3.4.2乙方员工参与国际进港航班保障流程中未直接接触旅客、货物、航空器和垃圾的工作人员，与闭环管理人员有直接接触或近距离接触的人员每隔1天开展1次检测。</w:t>
      </w:r>
    </w:p>
    <w:p>
      <w:pPr>
        <w:spacing w:line="520" w:lineRule="exact"/>
        <w:ind w:firstLine="482"/>
        <w:rPr>
          <w:rFonts w:hint="eastAsia" w:ascii="仿宋_GB2312" w:eastAsia="仿宋_GB2312"/>
          <w:sz w:val="28"/>
          <w:szCs w:val="28"/>
        </w:rPr>
      </w:pPr>
      <w:r>
        <w:rPr>
          <w:rFonts w:hint="eastAsia" w:ascii="仿宋_GB2312" w:eastAsia="仿宋_GB2312"/>
          <w:sz w:val="28"/>
          <w:szCs w:val="28"/>
        </w:rPr>
        <w:t>3.4.3乙方员工国内航班保障人员，接触闭环管理人员的各类生活后勤服务及管理人员，直接接触旅客、货主、货物的一线工作人员每7天开展2次检测，每次间隔2天以上。</w:t>
      </w:r>
    </w:p>
    <w:p>
      <w:pPr>
        <w:spacing w:line="520" w:lineRule="exact"/>
        <w:ind w:firstLine="482"/>
        <w:rPr>
          <w:rFonts w:hint="eastAsia" w:ascii="仿宋_GB2312" w:eastAsia="仿宋_GB2312"/>
          <w:sz w:val="28"/>
          <w:szCs w:val="28"/>
        </w:rPr>
      </w:pPr>
      <w:r>
        <w:rPr>
          <w:rFonts w:hint="eastAsia" w:ascii="仿宋_GB2312" w:eastAsia="仿宋_GB2312"/>
          <w:sz w:val="28"/>
          <w:szCs w:val="28"/>
        </w:rPr>
        <w:t>3.4.4以上检测频次若有变动，以机场管理机构制定的《关于印发江北机场高风险岗位人员闭环管理指南（试行）的通知》（最新版）和《重庆机场集团有限公司常态化核酸检测工作方案》（最新版）为准。</w:t>
      </w:r>
    </w:p>
    <w:p>
      <w:pPr>
        <w:spacing w:line="520" w:lineRule="exact"/>
        <w:ind w:firstLine="482"/>
        <w:rPr>
          <w:rFonts w:hint="eastAsia" w:ascii="仿宋_GB2312" w:eastAsia="仿宋_GB2312"/>
          <w:sz w:val="28"/>
          <w:szCs w:val="28"/>
        </w:rPr>
      </w:pPr>
      <w:r>
        <w:rPr>
          <w:rFonts w:hint="eastAsia" w:ascii="仿宋_GB2312" w:eastAsia="仿宋_GB2312"/>
          <w:sz w:val="28"/>
          <w:szCs w:val="28"/>
        </w:rPr>
        <w:t>3.5健康监测</w:t>
      </w:r>
    </w:p>
    <w:p>
      <w:pPr>
        <w:spacing w:line="520" w:lineRule="exact"/>
        <w:ind w:firstLine="482"/>
        <w:rPr>
          <w:rFonts w:hint="eastAsia" w:ascii="仿宋_GB2312" w:eastAsia="仿宋_GB2312"/>
          <w:sz w:val="28"/>
          <w:szCs w:val="28"/>
        </w:rPr>
      </w:pPr>
      <w:r>
        <w:rPr>
          <w:rFonts w:hint="eastAsia" w:ascii="仿宋_GB2312" w:eastAsia="仿宋_GB2312"/>
          <w:sz w:val="28"/>
          <w:szCs w:val="28"/>
        </w:rPr>
        <w:t>3.5.1乙方应持续落实各岗位员工个人防护措施，重点岗位员工岗前测温等健康检测管理，员工出现发热等症状第一时间就医并向相应甲方监管部门报备。闭环管理人员应每日开展健康监测，至少每天上、下午各开展一次体温和症状监测，并做好记录。对所有发热(≥37.3℃ )开展新冠病毒核酸检测。对无发热但有干咳、乏力、咽痛、嗅（味）觉减退、腹泻等症状者等症状者,立即开展核酸检测和排查诊断等应急处置。如发现疑似病例、确诊病例或无症状感染者,立即严格按照国家和重庆市疫情防控相关要求处置。</w:t>
      </w:r>
    </w:p>
    <w:p>
      <w:pPr>
        <w:spacing w:line="520" w:lineRule="exact"/>
        <w:ind w:firstLine="482"/>
        <w:rPr>
          <w:rFonts w:hint="eastAsia" w:ascii="仿宋_GB2312" w:eastAsia="仿宋_GB2312"/>
          <w:sz w:val="28"/>
          <w:szCs w:val="28"/>
        </w:rPr>
      </w:pPr>
      <w:r>
        <w:rPr>
          <w:rFonts w:hint="eastAsia" w:ascii="仿宋_GB2312" w:eastAsia="仿宋_GB2312"/>
          <w:sz w:val="28"/>
          <w:szCs w:val="28"/>
        </w:rPr>
        <w:t>3.6高风险岗位管理（保障国际入境客货机业务）</w:t>
      </w:r>
    </w:p>
    <w:p>
      <w:pPr>
        <w:spacing w:line="520" w:lineRule="exact"/>
        <w:ind w:firstLine="482"/>
        <w:rPr>
          <w:rFonts w:hint="eastAsia" w:ascii="仿宋_GB2312" w:eastAsia="仿宋_GB2312"/>
          <w:sz w:val="28"/>
          <w:szCs w:val="28"/>
        </w:rPr>
      </w:pPr>
      <w:r>
        <w:rPr>
          <w:rFonts w:hint="eastAsia" w:ascii="仿宋_GB2312" w:eastAsia="仿宋_GB2312"/>
          <w:sz w:val="28"/>
          <w:szCs w:val="28"/>
        </w:rPr>
        <w:t>3.6.1乙方应建立《高风险岗位员工疫情管理制度》，制度中应明确对高风险岗位人员的日常管理要求，并向甲方备案。</w:t>
      </w:r>
    </w:p>
    <w:p>
      <w:pPr>
        <w:spacing w:line="520" w:lineRule="exact"/>
        <w:ind w:firstLine="482"/>
        <w:rPr>
          <w:rFonts w:hint="eastAsia" w:ascii="仿宋_GB2312" w:eastAsia="仿宋_GB2312"/>
          <w:sz w:val="28"/>
          <w:szCs w:val="28"/>
        </w:rPr>
      </w:pPr>
      <w:r>
        <w:rPr>
          <w:rFonts w:hint="eastAsia" w:ascii="仿宋_GB2312" w:eastAsia="仿宋_GB2312"/>
          <w:sz w:val="28"/>
          <w:szCs w:val="28"/>
        </w:rPr>
        <w:t>3.6.2乙方应将每日岗位排班情况和考勤情况报备甲方监管部门，并接受甲方监管部门的统筹调配。</w:t>
      </w:r>
    </w:p>
    <w:p>
      <w:pPr>
        <w:spacing w:line="520" w:lineRule="exact"/>
        <w:ind w:firstLine="482"/>
        <w:rPr>
          <w:rFonts w:ascii="仿宋_GB2312" w:eastAsia="仿宋_GB2312"/>
          <w:sz w:val="28"/>
          <w:szCs w:val="28"/>
        </w:rPr>
      </w:pPr>
      <w:r>
        <w:rPr>
          <w:rFonts w:hint="eastAsia" w:ascii="仿宋_GB2312" w:eastAsia="仿宋_GB2312"/>
          <w:sz w:val="28"/>
          <w:szCs w:val="28"/>
        </w:rPr>
        <w:t>3.6.3乙方应建立高风险岗位人员薪酬保障制度（涵盖闭环人员津补贴），并提交甲方备案。乙方应每月5日前将上月高风险岗位人员薪酬发放清单报甲方备案。</w:t>
      </w:r>
    </w:p>
    <w:p>
      <w:pPr>
        <w:spacing w:line="520" w:lineRule="exact"/>
        <w:ind w:firstLine="482"/>
        <w:rPr>
          <w:rFonts w:hint="eastAsia" w:ascii="仿宋_GB2312" w:eastAsia="仿宋_GB2312"/>
          <w:sz w:val="28"/>
          <w:szCs w:val="28"/>
        </w:rPr>
      </w:pPr>
      <w:r>
        <w:rPr>
          <w:rFonts w:hint="eastAsia" w:ascii="仿宋_GB2312" w:eastAsia="仿宋_GB2312"/>
          <w:sz w:val="28"/>
          <w:szCs w:val="28"/>
        </w:rPr>
        <w:t>3.7监督检查</w:t>
      </w:r>
    </w:p>
    <w:p>
      <w:pPr>
        <w:spacing w:line="520" w:lineRule="exact"/>
        <w:ind w:firstLine="482"/>
        <w:rPr>
          <w:rFonts w:hint="eastAsia" w:ascii="仿宋_GB2312" w:eastAsia="仿宋_GB2312"/>
          <w:sz w:val="28"/>
          <w:szCs w:val="28"/>
        </w:rPr>
      </w:pPr>
      <w:r>
        <w:rPr>
          <w:rFonts w:hint="eastAsia" w:ascii="仿宋_GB2312" w:eastAsia="仿宋_GB2312"/>
          <w:sz w:val="28"/>
          <w:szCs w:val="28"/>
        </w:rPr>
        <w:t>3.7.1乙方应落实疫情防控责任，强化监督自查，应采用现场检查、远程检查等方式，定期组织各岗位开展疫情防控风险排查和措施检查。至少每周开展一次疫情防控专项检查，重点检查岗位人员资质、疫情防控知识培训、岗位人员防护用品穿戴、操作流程等，对发现的问题及时督促整改到位。</w:t>
      </w:r>
    </w:p>
    <w:p>
      <w:pPr>
        <w:spacing w:line="520" w:lineRule="exact"/>
        <w:ind w:firstLine="482"/>
        <w:rPr>
          <w:rFonts w:hint="eastAsia" w:ascii="仿宋_GB2312" w:eastAsia="仿宋_GB2312"/>
          <w:sz w:val="28"/>
          <w:szCs w:val="28"/>
        </w:rPr>
      </w:pPr>
      <w:r>
        <w:rPr>
          <w:rFonts w:hint="eastAsia" w:ascii="仿宋_GB2312" w:eastAsia="仿宋_GB2312"/>
          <w:sz w:val="28"/>
          <w:szCs w:val="28"/>
        </w:rPr>
        <w:t>3.8应急处置</w:t>
      </w:r>
    </w:p>
    <w:p>
      <w:pPr>
        <w:spacing w:line="520" w:lineRule="exact"/>
        <w:ind w:firstLine="482"/>
        <w:rPr>
          <w:rFonts w:hint="eastAsia" w:ascii="仿宋_GB2312" w:eastAsia="仿宋_GB2312"/>
          <w:sz w:val="28"/>
          <w:szCs w:val="28"/>
        </w:rPr>
      </w:pPr>
      <w:r>
        <w:rPr>
          <w:rFonts w:hint="eastAsia" w:ascii="仿宋_GB2312" w:eastAsia="仿宋_GB2312"/>
          <w:sz w:val="28"/>
          <w:szCs w:val="28"/>
        </w:rPr>
        <w:t>3.8.1 乙方日常工作和员工管理过程中突发与防疫防控相关的事件应在第一时间向甲方上报，做好涉疫员工的就地管控。</w:t>
      </w:r>
    </w:p>
    <w:p>
      <w:pPr>
        <w:spacing w:line="520" w:lineRule="exact"/>
        <w:ind w:firstLine="482"/>
        <w:rPr>
          <w:rFonts w:ascii="仿宋_GB2312" w:eastAsia="仿宋_GB2312"/>
          <w:sz w:val="28"/>
          <w:szCs w:val="28"/>
        </w:rPr>
      </w:pPr>
      <w:r>
        <w:rPr>
          <w:rFonts w:hint="eastAsia" w:ascii="仿宋_GB2312" w:eastAsia="仿宋_GB2312"/>
          <w:sz w:val="28"/>
          <w:szCs w:val="28"/>
        </w:rPr>
        <w:t>3.8.2 乙方应按照机场管理机构制定的《重庆江北国际机场新冠肺炎疫情防控应急预案》来开展实施，由甲方来统一安排，服从现场的调配和指挥，实现协同共防、联动群防的目标。</w:t>
      </w:r>
    </w:p>
    <w:p>
      <w:pPr>
        <w:spacing w:line="520" w:lineRule="exact"/>
        <w:ind w:firstLine="482"/>
        <w:jc w:val="center"/>
        <w:rPr>
          <w:rFonts w:hint="eastAsia" w:ascii="仿宋_GB2312" w:eastAsia="仿宋_GB2312"/>
          <w:b/>
          <w:bCs/>
          <w:sz w:val="28"/>
          <w:szCs w:val="28"/>
        </w:rPr>
      </w:pPr>
      <w:r>
        <w:rPr>
          <w:rFonts w:hint="eastAsia" w:ascii="仿宋_GB2312" w:eastAsia="仿宋_GB2312"/>
          <w:b/>
          <w:bCs/>
          <w:sz w:val="28"/>
          <w:szCs w:val="28"/>
        </w:rPr>
        <w:t>第四章</w:t>
      </w:r>
      <w:r>
        <w:rPr>
          <w:rFonts w:hint="eastAsia" w:ascii="仿宋_GB2312" w:eastAsia="仿宋_GB2312"/>
          <w:b/>
          <w:bCs/>
          <w:sz w:val="28"/>
          <w:szCs w:val="28"/>
        </w:rPr>
        <w:tab/>
      </w:r>
      <w:r>
        <w:rPr>
          <w:rFonts w:hint="eastAsia" w:ascii="仿宋_GB2312" w:eastAsia="仿宋_GB2312"/>
          <w:b/>
          <w:bCs/>
          <w:sz w:val="28"/>
          <w:szCs w:val="28"/>
        </w:rPr>
        <w:t>检查与验收</w:t>
      </w:r>
    </w:p>
    <w:p>
      <w:pPr>
        <w:spacing w:line="520" w:lineRule="exact"/>
        <w:ind w:firstLine="482"/>
        <w:rPr>
          <w:rFonts w:hint="eastAsia" w:ascii="仿宋_GB2312" w:eastAsia="仿宋_GB2312"/>
          <w:sz w:val="28"/>
          <w:szCs w:val="28"/>
        </w:rPr>
      </w:pPr>
      <w:r>
        <w:rPr>
          <w:rFonts w:hint="eastAsia" w:ascii="仿宋_GB2312" w:eastAsia="仿宋_GB2312"/>
          <w:sz w:val="28"/>
          <w:szCs w:val="28"/>
        </w:rPr>
        <w:t>4.1 甲方有权在协议生效后，对乙方在业务范围内的疫情防控工作落实情况，包含但不限于疫情防控安全责任落实、人员、设备、培训、管理等方面进行检查。乙方必须接受甲方的监督和检查，并提供甲方所需的有关资料和数据。</w:t>
      </w:r>
    </w:p>
    <w:p>
      <w:pPr>
        <w:spacing w:line="520" w:lineRule="exact"/>
        <w:ind w:firstLine="482"/>
        <w:rPr>
          <w:rFonts w:hint="eastAsia" w:ascii="仿宋_GB2312" w:eastAsia="仿宋_GB2312"/>
          <w:sz w:val="28"/>
          <w:szCs w:val="28"/>
        </w:rPr>
      </w:pPr>
      <w:r>
        <w:rPr>
          <w:rFonts w:hint="eastAsia" w:ascii="仿宋_GB2312" w:eastAsia="仿宋_GB2312"/>
          <w:sz w:val="28"/>
          <w:szCs w:val="28"/>
        </w:rPr>
        <w:t>4.2 甲方对在疫情防控专项检查中发现的问题，将及时地以书面（整改单/提示单）或口头方式通知乙方。乙方应调查原因、分析问题，根据有关规定进行处置，并在72小时内将处理结果以书面（整改通知回复单/工作提示回复单）或口头方式回复给甲方。甲、乙双方均应做好记录存档工作。</w:t>
      </w:r>
    </w:p>
    <w:p>
      <w:pPr>
        <w:spacing w:line="520" w:lineRule="exact"/>
        <w:ind w:firstLine="482"/>
        <w:rPr>
          <w:rFonts w:hint="eastAsia" w:ascii="仿宋_GB2312" w:eastAsia="仿宋_GB2312"/>
          <w:sz w:val="28"/>
          <w:szCs w:val="28"/>
        </w:rPr>
      </w:pPr>
      <w:r>
        <w:rPr>
          <w:rFonts w:hint="eastAsia" w:ascii="仿宋_GB2312" w:eastAsia="仿宋_GB2312"/>
          <w:sz w:val="28"/>
          <w:szCs w:val="28"/>
        </w:rPr>
        <w:t>4.3 甲、乙双方均应对检查出的问题经处置后进行验证，以检查处理结果的有效性。如结果不符合要求与标准的，乙方需重新进行整改，直至达到防疫要求标准。</w:t>
      </w:r>
    </w:p>
    <w:p>
      <w:pPr>
        <w:spacing w:line="520" w:lineRule="exact"/>
        <w:ind w:firstLine="482"/>
        <w:jc w:val="center"/>
        <w:rPr>
          <w:rFonts w:hint="eastAsia" w:ascii="仿宋_GB2312" w:eastAsia="仿宋_GB2312"/>
          <w:b/>
          <w:bCs/>
          <w:sz w:val="28"/>
          <w:szCs w:val="28"/>
        </w:rPr>
      </w:pPr>
      <w:r>
        <w:rPr>
          <w:rFonts w:hint="eastAsia" w:ascii="仿宋_GB2312" w:eastAsia="仿宋_GB2312"/>
          <w:b/>
          <w:bCs/>
          <w:sz w:val="28"/>
          <w:szCs w:val="28"/>
        </w:rPr>
        <w:t>第五章  违约处理</w:t>
      </w:r>
    </w:p>
    <w:p>
      <w:pPr>
        <w:spacing w:line="520" w:lineRule="exact"/>
        <w:ind w:firstLine="482"/>
        <w:rPr>
          <w:rFonts w:hint="eastAsia" w:ascii="仿宋_GB2312" w:eastAsia="仿宋_GB2312"/>
          <w:sz w:val="28"/>
          <w:szCs w:val="28"/>
        </w:rPr>
      </w:pPr>
      <w:r>
        <w:rPr>
          <w:rFonts w:hint="eastAsia" w:ascii="仿宋_GB2312" w:eastAsia="仿宋_GB2312"/>
          <w:sz w:val="28"/>
          <w:szCs w:val="28"/>
        </w:rPr>
        <w:t>5.1乙方在协议期内违反本协议内容，未造成严重后果的，甲方按双方签订的外包合同相关绩效条款进行处罚。</w:t>
      </w:r>
    </w:p>
    <w:p>
      <w:pPr>
        <w:spacing w:line="520" w:lineRule="exact"/>
        <w:ind w:firstLine="482"/>
        <w:rPr>
          <w:rFonts w:ascii="仿宋_GB2312" w:eastAsia="仿宋_GB2312"/>
          <w:sz w:val="28"/>
          <w:szCs w:val="28"/>
        </w:rPr>
      </w:pPr>
      <w:r>
        <w:rPr>
          <w:rFonts w:hint="eastAsia" w:ascii="仿宋_GB2312" w:eastAsia="仿宋_GB2312"/>
          <w:sz w:val="28"/>
          <w:szCs w:val="28"/>
        </w:rPr>
        <w:t>5.2甲乙双方因疏于管理或者摸排工作不及时造成疫情扩散等严重情况，应依法依规承担相应责任。</w:t>
      </w:r>
    </w:p>
    <w:p>
      <w:pPr>
        <w:pStyle w:val="2"/>
        <w:rPr>
          <w:rFonts w:hint="eastAsia"/>
        </w:rPr>
        <w:sectPr>
          <w:pgSz w:w="11906" w:h="16838"/>
          <w:pgMar w:top="1560" w:right="1800" w:bottom="1440" w:left="1800" w:header="851" w:footer="992" w:gutter="0"/>
          <w:cols w:space="425" w:num="1"/>
          <w:docGrid w:type="lines" w:linePitch="312" w:charSpace="0"/>
        </w:sectPr>
      </w:pPr>
    </w:p>
    <w:p>
      <w:pPr>
        <w:spacing w:line="560" w:lineRule="exact"/>
        <w:rPr>
          <w:rFonts w:eastAsia="仿宋_GB2312"/>
          <w:b/>
          <w:bCs/>
          <w:color w:val="000000" w:themeColor="text1"/>
          <w:sz w:val="28"/>
          <w:szCs w:val="28"/>
          <w14:textFill>
            <w14:solidFill>
              <w14:schemeClr w14:val="tx1"/>
            </w14:solidFill>
          </w14:textFill>
        </w:rPr>
      </w:pPr>
      <w:r>
        <w:rPr>
          <w:rFonts w:hint="eastAsia" w:eastAsia="仿宋_GB2312"/>
          <w:b/>
          <w:bCs/>
          <w:color w:val="000000" w:themeColor="text1"/>
          <w:sz w:val="28"/>
          <w:szCs w:val="28"/>
          <w14:textFill>
            <w14:solidFill>
              <w14:schemeClr w14:val="tx1"/>
            </w14:solidFill>
          </w14:textFill>
        </w:rPr>
        <w:t>比选响应文件格式:</w:t>
      </w:r>
    </w:p>
    <w:p>
      <w:pPr>
        <w:tabs>
          <w:tab w:val="left" w:pos="450"/>
          <w:tab w:val="left" w:pos="8280"/>
        </w:tabs>
        <w:rPr>
          <w:rFonts w:ascii="仿宋_GB2312" w:hAnsi="仿宋" w:eastAsia="仿宋_GB2312"/>
          <w:b/>
          <w:color w:val="000000"/>
          <w:sz w:val="28"/>
          <w:szCs w:val="28"/>
        </w:rPr>
      </w:pPr>
      <w:r>
        <w:rPr>
          <w:rFonts w:hint="eastAsia" w:ascii="仿宋_GB2312" w:hAnsi="仿宋" w:eastAsia="仿宋_GB2312"/>
          <w:b/>
          <w:color w:val="000000"/>
          <w:sz w:val="28"/>
          <w:szCs w:val="28"/>
        </w:rPr>
        <w:t>封面</w:t>
      </w:r>
    </w:p>
    <w:p>
      <w:pPr>
        <w:tabs>
          <w:tab w:val="left" w:pos="450"/>
          <w:tab w:val="left" w:pos="8280"/>
        </w:tabs>
        <w:jc w:val="center"/>
        <w:rPr>
          <w:rFonts w:ascii="仿宋_GB2312" w:hAnsi="仿宋" w:eastAsia="仿宋_GB2312"/>
          <w:b/>
          <w:color w:val="000000"/>
          <w:sz w:val="32"/>
          <w:szCs w:val="32"/>
          <w:lang w:val="zh-CN"/>
        </w:rPr>
      </w:pPr>
      <w:r>
        <w:rPr>
          <w:rFonts w:hint="eastAsia" w:ascii="仿宋_GB2312" w:hAnsi="仿宋" w:eastAsia="仿宋_GB2312"/>
          <w:b/>
          <w:color w:val="000000"/>
          <w:sz w:val="32"/>
          <w:szCs w:val="32"/>
          <w:lang w:val="zh-CN"/>
        </w:rPr>
        <w:t>重庆空港航空地面服务有限公司</w:t>
      </w:r>
    </w:p>
    <w:p>
      <w:pPr>
        <w:tabs>
          <w:tab w:val="left" w:pos="450"/>
          <w:tab w:val="left" w:pos="8280"/>
        </w:tabs>
        <w:jc w:val="center"/>
        <w:rPr>
          <w:rFonts w:ascii="仿宋_GB2312" w:hAnsi="仿宋" w:eastAsia="仿宋_GB2312"/>
          <w:b/>
          <w:color w:val="000000"/>
          <w:sz w:val="32"/>
          <w:szCs w:val="32"/>
          <w:lang w:val="zh-CN"/>
        </w:rPr>
      </w:pPr>
      <w:r>
        <w:rPr>
          <w:rFonts w:hint="eastAsia" w:ascii="仿宋_GB2312" w:hAnsi="仿宋" w:eastAsia="仿宋_GB2312"/>
          <w:b/>
          <w:color w:val="000000"/>
          <w:sz w:val="32"/>
          <w:szCs w:val="32"/>
          <w:lang w:val="zh-CN"/>
        </w:rPr>
        <w:t>国际（地区）航班机坪装卸业务增加装卸人员外包项目</w:t>
      </w:r>
    </w:p>
    <w:p>
      <w:pPr>
        <w:tabs>
          <w:tab w:val="left" w:pos="450"/>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lang w:val="zh-CN"/>
        </w:rPr>
        <w:t>比选</w:t>
      </w:r>
      <w:r>
        <w:rPr>
          <w:rFonts w:hint="eastAsia" w:ascii="仿宋_GB2312" w:hAnsi="仿宋" w:eastAsia="仿宋_GB2312"/>
          <w:b/>
          <w:color w:val="000000"/>
          <w:sz w:val="32"/>
          <w:szCs w:val="32"/>
        </w:rPr>
        <w:t>响应文件</w:t>
      </w:r>
    </w:p>
    <w:p>
      <w:pPr>
        <w:tabs>
          <w:tab w:val="left" w:pos="8280"/>
        </w:tabs>
        <w:jc w:val="center"/>
        <w:rPr>
          <w:rFonts w:ascii="仿宋_GB2312" w:hAnsi="仿宋" w:eastAsia="仿宋_GB2312"/>
          <w:b/>
          <w:color w:val="000000"/>
          <w:sz w:val="32"/>
          <w:szCs w:val="32"/>
        </w:rPr>
      </w:pPr>
    </w:p>
    <w:p>
      <w:pPr>
        <w:tabs>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rPr>
        <w:t>（正本或副本）</w:t>
      </w:r>
    </w:p>
    <w:p>
      <w:pPr>
        <w:tabs>
          <w:tab w:val="left" w:pos="8280"/>
        </w:tabs>
        <w:jc w:val="center"/>
        <w:rPr>
          <w:rFonts w:ascii="仿宋_GB2312" w:hAnsi="仿宋" w:eastAsia="仿宋_GB2312"/>
          <w:b/>
          <w:color w:val="000000"/>
          <w:sz w:val="32"/>
          <w:szCs w:val="32"/>
        </w:rPr>
      </w:pPr>
    </w:p>
    <w:p>
      <w:pPr>
        <w:tabs>
          <w:tab w:val="left" w:pos="765"/>
          <w:tab w:val="left" w:pos="8280"/>
        </w:tabs>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r>
        <w:rPr>
          <w:rFonts w:hint="eastAsia" w:ascii="仿宋_GB2312" w:hAnsi="仿宋" w:eastAsia="仿宋_GB2312"/>
          <w:b/>
          <w:color w:val="000000"/>
          <w:sz w:val="32"/>
          <w:szCs w:val="32"/>
        </w:rPr>
        <w:t>比选响应人名称（加盖公章）：</w:t>
      </w:r>
      <w:r>
        <w:rPr>
          <w:rFonts w:hint="eastAsia" w:ascii="仿宋_GB2312" w:hAnsi="仿宋" w:eastAsia="仿宋_GB2312"/>
          <w:b/>
          <w:color w:val="000000"/>
          <w:sz w:val="32"/>
          <w:szCs w:val="32"/>
          <w:u w:val="single"/>
        </w:rPr>
        <w:t xml:space="preserve">                                </w:t>
      </w:r>
    </w:p>
    <w:p>
      <w:pPr>
        <w:tabs>
          <w:tab w:val="left" w:pos="8280"/>
        </w:tabs>
        <w:rPr>
          <w:rFonts w:ascii="仿宋_GB2312" w:hAnsi="仿宋" w:eastAsia="仿宋_GB2312"/>
          <w:b/>
          <w:color w:val="000000"/>
          <w:sz w:val="32"/>
          <w:szCs w:val="32"/>
        </w:rPr>
      </w:pPr>
    </w:p>
    <w:p>
      <w:pPr>
        <w:tabs>
          <w:tab w:val="left" w:pos="8280"/>
        </w:tabs>
        <w:rPr>
          <w:rFonts w:ascii="仿宋_GB2312" w:hAnsi="仿宋" w:eastAsia="仿宋_GB2312"/>
          <w:b/>
          <w:color w:val="000000"/>
          <w:sz w:val="32"/>
          <w:szCs w:val="32"/>
        </w:rPr>
      </w:pPr>
    </w:p>
    <w:p>
      <w:pPr>
        <w:tabs>
          <w:tab w:val="left" w:pos="8280"/>
        </w:tabs>
        <w:rPr>
          <w:rFonts w:ascii="仿宋_GB2312" w:hAnsi="仿宋" w:eastAsia="仿宋_GB2312"/>
          <w:b/>
          <w:color w:val="000000"/>
          <w:sz w:val="32"/>
          <w:szCs w:val="32"/>
        </w:rPr>
      </w:pPr>
    </w:p>
    <w:p>
      <w:pPr>
        <w:tabs>
          <w:tab w:val="left" w:pos="8280"/>
        </w:tabs>
        <w:ind w:firstLine="3196" w:firstLineChars="995"/>
        <w:rPr>
          <w:rFonts w:ascii="仿宋_GB2312" w:hAnsi="仿宋" w:eastAsia="仿宋_GB2312"/>
          <w:b/>
          <w:color w:val="000000"/>
          <w:sz w:val="32"/>
          <w:szCs w:val="32"/>
          <w:lang w:val="zh-CN"/>
        </w:rPr>
      </w:pPr>
      <w:r>
        <w:rPr>
          <w:rFonts w:hint="eastAsia" w:ascii="仿宋_GB2312" w:hAnsi="仿宋" w:eastAsia="仿宋_GB2312"/>
          <w:b/>
          <w:color w:val="000000"/>
          <w:sz w:val="32"/>
          <w:szCs w:val="32"/>
        </w:rPr>
        <w:t xml:space="preserve">       年     月     日</w:t>
      </w:r>
    </w:p>
    <w:p>
      <w:pPr>
        <w:autoSpaceDE w:val="0"/>
        <w:autoSpaceDN w:val="0"/>
        <w:adjustRightInd w:val="0"/>
        <w:spacing w:line="360" w:lineRule="auto"/>
        <w:rPr>
          <w:rFonts w:ascii="仿宋_GB2312" w:hAnsi="仿宋" w:eastAsia="仿宋_GB2312"/>
          <w:b/>
          <w:color w:val="000000"/>
          <w:sz w:val="32"/>
          <w:szCs w:val="32"/>
          <w:lang w:val="zh-CN"/>
        </w:rPr>
      </w:pPr>
    </w:p>
    <w:p>
      <w:pPr>
        <w:autoSpaceDE w:val="0"/>
        <w:autoSpaceDN w:val="0"/>
        <w:adjustRightInd w:val="0"/>
        <w:spacing w:line="360" w:lineRule="auto"/>
        <w:ind w:firstLine="315" w:firstLineChars="98"/>
        <w:jc w:val="center"/>
        <w:rPr>
          <w:rFonts w:ascii="仿宋_GB2312" w:hAnsi="仿宋" w:eastAsia="仿宋_GB2312"/>
          <w:b/>
          <w:color w:val="000000"/>
          <w:sz w:val="32"/>
          <w:szCs w:val="32"/>
          <w:lang w:val="zh-CN"/>
        </w:rPr>
      </w:pPr>
    </w:p>
    <w:p>
      <w:pPr>
        <w:autoSpaceDE w:val="0"/>
        <w:autoSpaceDN w:val="0"/>
        <w:adjustRightInd w:val="0"/>
        <w:spacing w:line="360" w:lineRule="auto"/>
        <w:rPr>
          <w:rFonts w:ascii="仿宋_GB2312" w:hAnsi="仿宋" w:eastAsia="仿宋_GB2312"/>
          <w:b/>
          <w:color w:val="000000"/>
          <w:sz w:val="32"/>
          <w:szCs w:val="32"/>
          <w:lang w:val="zh-CN"/>
        </w:rPr>
      </w:pPr>
    </w:p>
    <w:p>
      <w:pPr>
        <w:spacing w:line="560" w:lineRule="exact"/>
        <w:rPr>
          <w:rFonts w:eastAsia="仿宋_GB2312"/>
          <w:b/>
          <w:bCs/>
          <w:color w:val="000000" w:themeColor="text1"/>
          <w:sz w:val="44"/>
          <w:szCs w:val="44"/>
          <w14:textFill>
            <w14:solidFill>
              <w14:schemeClr w14:val="tx1"/>
            </w14:solidFill>
          </w14:textFill>
        </w:rPr>
      </w:pPr>
    </w:p>
    <w:p>
      <w:pPr>
        <w:spacing w:line="560" w:lineRule="exac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一、投标函部分</w:t>
      </w:r>
    </w:p>
    <w:p>
      <w:pPr>
        <w:spacing w:line="560" w:lineRule="exac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二、商务部分</w:t>
      </w:r>
    </w:p>
    <w:p>
      <w:pPr>
        <w:spacing w:line="560" w:lineRule="exac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三、技术部分</w:t>
      </w:r>
    </w:p>
    <w:p>
      <w:pPr>
        <w:spacing w:line="560" w:lineRule="exact"/>
        <w:rPr>
          <w:rFonts w:eastAsia="仿宋"/>
          <w:b/>
          <w:bCs/>
          <w:color w:val="000000" w:themeColor="text1"/>
          <w:sz w:val="28"/>
          <w:szCs w:val="28"/>
          <w14:textFill>
            <w14:solidFill>
              <w14:schemeClr w14:val="tx1"/>
            </w14:solidFill>
          </w14:textFill>
        </w:rPr>
      </w:pPr>
    </w:p>
    <w:p>
      <w:pPr>
        <w:spacing w:line="560" w:lineRule="exact"/>
        <w:rPr>
          <w:rFonts w:eastAsia="仿宋"/>
          <w:b/>
          <w:bCs/>
          <w:color w:val="000000" w:themeColor="text1"/>
          <w:sz w:val="28"/>
          <w:szCs w:val="28"/>
          <w14:textFill>
            <w14:solidFill>
              <w14:schemeClr w14:val="tx1"/>
            </w14:solidFill>
          </w14:textFill>
        </w:rPr>
      </w:pPr>
    </w:p>
    <w:p>
      <w:pPr>
        <w:spacing w:line="560" w:lineRule="exact"/>
        <w:rPr>
          <w:rFonts w:eastAsia="仿宋"/>
          <w:b/>
          <w:bCs/>
          <w:color w:val="000000" w:themeColor="text1"/>
          <w:sz w:val="28"/>
          <w:szCs w:val="28"/>
          <w14:textFill>
            <w14:solidFill>
              <w14:schemeClr w14:val="tx1"/>
            </w14:solidFill>
          </w14:textFill>
        </w:rPr>
      </w:pPr>
    </w:p>
    <w:p>
      <w:pPr>
        <w:pStyle w:val="15"/>
        <w:spacing w:line="560" w:lineRule="exact"/>
        <w:outlineLvl w:val="9"/>
        <w:rPr>
          <w:rFonts w:eastAsia="仿宋"/>
          <w:color w:val="000000" w:themeColor="text1"/>
          <w:sz w:val="28"/>
          <w:szCs w:val="28"/>
          <w14:textFill>
            <w14:solidFill>
              <w14:schemeClr w14:val="tx1"/>
            </w14:solidFill>
          </w14:textFill>
        </w:rPr>
      </w:pPr>
    </w:p>
    <w:p>
      <w:pPr>
        <w:spacing w:line="560" w:lineRule="exact"/>
        <w:rPr>
          <w:rFonts w:eastAsia="仿宋"/>
          <w:b/>
          <w:bCs/>
          <w:color w:val="000000" w:themeColor="text1"/>
          <w:sz w:val="28"/>
          <w:szCs w:val="28"/>
          <w14:textFill>
            <w14:solidFill>
              <w14:schemeClr w14:val="tx1"/>
            </w14:solidFill>
          </w14:textFill>
        </w:rPr>
      </w:pPr>
    </w:p>
    <w:p>
      <w:pPr>
        <w:pStyle w:val="15"/>
        <w:spacing w:line="560" w:lineRule="exact"/>
        <w:outlineLvl w:val="9"/>
        <w:rPr>
          <w:rFonts w:eastAsia="仿宋"/>
          <w:color w:val="000000" w:themeColor="text1"/>
          <w:sz w:val="28"/>
          <w:szCs w:val="28"/>
          <w14:textFill>
            <w14:solidFill>
              <w14:schemeClr w14:val="tx1"/>
            </w14:solidFill>
          </w14:textFill>
        </w:rPr>
      </w:pPr>
    </w:p>
    <w:p>
      <w:pPr>
        <w:spacing w:line="560" w:lineRule="exact"/>
        <w:rPr>
          <w:rFonts w:eastAsia="仿宋"/>
          <w:b/>
          <w:bCs/>
          <w:color w:val="000000" w:themeColor="text1"/>
          <w:sz w:val="28"/>
          <w:szCs w:val="28"/>
          <w14:textFill>
            <w14:solidFill>
              <w14:schemeClr w14:val="tx1"/>
            </w14:solidFill>
          </w14:textFill>
        </w:rPr>
      </w:pPr>
    </w:p>
    <w:p>
      <w:pPr>
        <w:pStyle w:val="15"/>
        <w:spacing w:line="560" w:lineRule="exact"/>
        <w:outlineLvl w:val="9"/>
        <w:rPr>
          <w:rFonts w:eastAsia="仿宋"/>
          <w:color w:val="000000" w:themeColor="text1"/>
          <w:sz w:val="28"/>
          <w:szCs w:val="28"/>
          <w14:textFill>
            <w14:solidFill>
              <w14:schemeClr w14:val="tx1"/>
            </w14:solidFill>
          </w14:textFill>
        </w:rPr>
      </w:pPr>
    </w:p>
    <w:p>
      <w:pPr>
        <w:spacing w:line="560" w:lineRule="exact"/>
        <w:rPr>
          <w:rFonts w:eastAsia="仿宋"/>
          <w:b/>
          <w:bCs/>
          <w:color w:val="000000" w:themeColor="text1"/>
          <w:sz w:val="28"/>
          <w:szCs w:val="28"/>
          <w14:textFill>
            <w14:solidFill>
              <w14:schemeClr w14:val="tx1"/>
            </w14:solidFill>
          </w14:textFill>
        </w:rPr>
      </w:pPr>
    </w:p>
    <w:p>
      <w:pPr>
        <w:pStyle w:val="15"/>
        <w:spacing w:line="560" w:lineRule="exact"/>
        <w:outlineLvl w:val="9"/>
      </w:pPr>
    </w:p>
    <w:p>
      <w:pPr>
        <w:spacing w:line="560" w:lineRule="exact"/>
        <w:rPr>
          <w:rFonts w:eastAsia="仿宋"/>
          <w:b/>
          <w:bCs/>
          <w:color w:val="000000" w:themeColor="text1"/>
          <w:sz w:val="28"/>
          <w:szCs w:val="28"/>
          <w14:textFill>
            <w14:solidFill>
              <w14:schemeClr w14:val="tx1"/>
            </w14:solidFill>
          </w14:textFill>
        </w:rPr>
      </w:pPr>
    </w:p>
    <w:p>
      <w:pPr>
        <w:spacing w:line="560" w:lineRule="exact"/>
        <w:rPr>
          <w:rFonts w:eastAsia="仿宋"/>
          <w:b/>
          <w:bCs/>
          <w:color w:val="000000" w:themeColor="text1"/>
          <w:sz w:val="28"/>
          <w:szCs w:val="28"/>
          <w14:textFill>
            <w14:solidFill>
              <w14:schemeClr w14:val="tx1"/>
            </w14:solidFill>
          </w14:textFill>
        </w:rPr>
      </w:pPr>
    </w:p>
    <w:p>
      <w:pPr>
        <w:spacing w:line="560" w:lineRule="exact"/>
        <w:rPr>
          <w:rFonts w:eastAsia="仿宋"/>
          <w:b/>
          <w:bCs/>
          <w:color w:val="000000" w:themeColor="text1"/>
          <w:sz w:val="28"/>
          <w:szCs w:val="28"/>
          <w14:textFill>
            <w14:solidFill>
              <w14:schemeClr w14:val="tx1"/>
            </w14:solidFill>
          </w14:textFill>
        </w:rPr>
      </w:pPr>
    </w:p>
    <w:p>
      <w:pPr>
        <w:pStyle w:val="15"/>
        <w:outlineLvl w:val="9"/>
        <w:rPr>
          <w:rFonts w:eastAsia="仿宋"/>
          <w:color w:val="000000" w:themeColor="text1"/>
          <w:sz w:val="28"/>
          <w:szCs w:val="28"/>
          <w14:textFill>
            <w14:solidFill>
              <w14:schemeClr w14:val="tx1"/>
            </w14:solidFill>
          </w14:textFill>
        </w:rPr>
      </w:pPr>
    </w:p>
    <w:p>
      <w:pPr>
        <w:rPr>
          <w:rFonts w:eastAsia="仿宋"/>
          <w:b/>
          <w:bCs/>
          <w:color w:val="000000" w:themeColor="text1"/>
          <w:sz w:val="28"/>
          <w:szCs w:val="28"/>
          <w14:textFill>
            <w14:solidFill>
              <w14:schemeClr w14:val="tx1"/>
            </w14:solidFill>
          </w14:textFill>
        </w:rPr>
      </w:pPr>
    </w:p>
    <w:p>
      <w:pPr>
        <w:pStyle w:val="15"/>
        <w:outlineLvl w:val="9"/>
      </w:pPr>
    </w:p>
    <w:p/>
    <w:p>
      <w:pPr>
        <w:pStyle w:val="15"/>
        <w:outlineLvl w:val="9"/>
      </w:pPr>
    </w:p>
    <w:p>
      <w:pPr>
        <w:numPr>
          <w:ilvl w:val="0"/>
          <w:numId w:val="3"/>
        </w:numPr>
        <w:spacing w:line="560" w:lineRule="exact"/>
        <w:rPr>
          <w:rFonts w:eastAsia="仿宋"/>
          <w:b/>
          <w:bCs/>
          <w:color w:val="000000" w:themeColor="text1"/>
          <w:sz w:val="28"/>
          <w:szCs w:val="28"/>
          <w14:textFill>
            <w14:solidFill>
              <w14:schemeClr w14:val="tx1"/>
            </w14:solidFill>
          </w14:textFill>
        </w:rPr>
      </w:pPr>
      <w:r>
        <w:rPr>
          <w:rFonts w:hint="eastAsia" w:eastAsia="仿宋"/>
          <w:b/>
          <w:bCs/>
          <w:color w:val="000000" w:themeColor="text1"/>
          <w:sz w:val="28"/>
          <w:szCs w:val="28"/>
          <w14:textFill>
            <w14:solidFill>
              <w14:schemeClr w14:val="tx1"/>
            </w14:solidFill>
          </w14:textFill>
        </w:rPr>
        <w:t>报价函部分</w:t>
      </w:r>
    </w:p>
    <w:p>
      <w:pPr>
        <w:spacing w:line="560" w:lineRule="exact"/>
        <w:jc w:val="center"/>
        <w:rPr>
          <w:rFonts w:eastAsia="方正仿宋_GBK"/>
          <w:bCs/>
          <w:color w:val="000000" w:themeColor="text1"/>
          <w:sz w:val="28"/>
          <w:szCs w:val="28"/>
          <w14:textFill>
            <w14:solidFill>
              <w14:schemeClr w14:val="tx1"/>
            </w14:solidFill>
          </w14:textFill>
        </w:rPr>
      </w:pPr>
      <w:r>
        <w:rPr>
          <w:rFonts w:eastAsia="方正小标宋_GBK"/>
          <w:bCs/>
          <w:color w:val="000000" w:themeColor="text1"/>
          <w:sz w:val="28"/>
          <w:szCs w:val="28"/>
          <w14:textFill>
            <w14:solidFill>
              <w14:schemeClr w14:val="tx1"/>
            </w14:solidFill>
          </w14:textFill>
        </w:rPr>
        <w:t>报价函</w:t>
      </w:r>
    </w:p>
    <w:p>
      <w:pPr>
        <w:pStyle w:val="6"/>
        <w:spacing w:after="0" w:line="560" w:lineRule="exact"/>
        <w:rPr>
          <w:rFonts w:eastAsia="方正仿宋_GBK"/>
          <w:bCs/>
          <w:color w:val="000000" w:themeColor="text1"/>
          <w:sz w:val="28"/>
          <w:szCs w:val="28"/>
          <w14:textFill>
            <w14:solidFill>
              <w14:schemeClr w14:val="tx1"/>
            </w14:solidFill>
          </w14:textFill>
        </w:rPr>
      </w:pPr>
      <w:r>
        <w:rPr>
          <w:rFonts w:hint="eastAsia" w:eastAsia="方正仿宋_GBK"/>
          <w:bCs/>
          <w:color w:val="000000" w:themeColor="text1"/>
          <w:sz w:val="28"/>
          <w:szCs w:val="28"/>
          <w:u w:val="single"/>
          <w14:textFill>
            <w14:solidFill>
              <w14:schemeClr w14:val="tx1"/>
            </w14:solidFill>
          </w14:textFill>
        </w:rPr>
        <w:t>重庆空港航空地面服务有限</w:t>
      </w:r>
      <w:r>
        <w:rPr>
          <w:rFonts w:eastAsia="方正仿宋_GBK"/>
          <w:bCs/>
          <w:color w:val="000000" w:themeColor="text1"/>
          <w:sz w:val="28"/>
          <w:szCs w:val="28"/>
          <w:u w:val="single"/>
          <w14:textFill>
            <w14:solidFill>
              <w14:schemeClr w14:val="tx1"/>
            </w14:solidFill>
          </w14:textFill>
        </w:rPr>
        <w:t>公司</w:t>
      </w:r>
      <w:r>
        <w:rPr>
          <w:rFonts w:eastAsia="方正仿宋_GBK"/>
          <w:bCs/>
          <w:color w:val="000000" w:themeColor="text1"/>
          <w:sz w:val="28"/>
          <w:szCs w:val="28"/>
          <w14:textFill>
            <w14:solidFill>
              <w14:schemeClr w14:val="tx1"/>
            </w14:solidFill>
          </w14:textFill>
        </w:rPr>
        <w:t>：</w:t>
      </w:r>
    </w:p>
    <w:p>
      <w:pPr>
        <w:pStyle w:val="6"/>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1．我方已仔细研究</w:t>
      </w:r>
      <w:r>
        <w:rPr>
          <w:rFonts w:hint="eastAsia" w:eastAsia="方正仿宋_GBK"/>
          <w:bCs/>
          <w:color w:val="000000" w:themeColor="text1"/>
          <w:sz w:val="28"/>
          <w:szCs w:val="28"/>
          <w:u w:val="single"/>
          <w14:textFill>
            <w14:solidFill>
              <w14:schemeClr w14:val="tx1"/>
            </w14:solidFill>
          </w14:textFill>
        </w:rPr>
        <w:t>重庆空港航空地面服务有限</w:t>
      </w:r>
      <w:r>
        <w:rPr>
          <w:rFonts w:eastAsia="方正仿宋_GBK"/>
          <w:bCs/>
          <w:color w:val="000000" w:themeColor="text1"/>
          <w:sz w:val="28"/>
          <w:szCs w:val="28"/>
          <w:u w:val="single"/>
          <w14:textFill>
            <w14:solidFill>
              <w14:schemeClr w14:val="tx1"/>
            </w14:solidFill>
          </w14:textFill>
        </w:rPr>
        <w:t>公司</w:t>
      </w:r>
      <w:r>
        <w:rPr>
          <w:rFonts w:hint="eastAsia" w:eastAsia="方正仿宋_GBK"/>
          <w:bCs/>
          <w:color w:val="000000" w:themeColor="text1"/>
          <w:sz w:val="28"/>
          <w:szCs w:val="28"/>
          <w:u w:val="single"/>
          <w14:textFill>
            <w14:solidFill>
              <w14:schemeClr w14:val="tx1"/>
            </w14:solidFill>
          </w14:textFill>
        </w:rPr>
        <w:t>国际（地区）航班机坪装卸业务增加装卸人员外包项目</w:t>
      </w:r>
      <w:r>
        <w:rPr>
          <w:rFonts w:eastAsia="方正仿宋_GBK"/>
          <w:bCs/>
          <w:color w:val="000000" w:themeColor="text1"/>
          <w:sz w:val="28"/>
          <w:szCs w:val="28"/>
          <w14:textFill>
            <w14:solidFill>
              <w14:schemeClr w14:val="tx1"/>
            </w14:solidFill>
          </w14:textFill>
        </w:rPr>
        <w:t>比选</w:t>
      </w:r>
      <w:r>
        <w:rPr>
          <w:rFonts w:hint="eastAsia" w:eastAsia="方正仿宋_GBK"/>
          <w:bCs/>
          <w:color w:val="000000" w:themeColor="text1"/>
          <w:sz w:val="28"/>
          <w:szCs w:val="28"/>
          <w14:textFill>
            <w14:solidFill>
              <w14:schemeClr w14:val="tx1"/>
            </w14:solidFill>
          </w14:textFill>
        </w:rPr>
        <w:t>采购</w:t>
      </w:r>
      <w:r>
        <w:rPr>
          <w:rFonts w:eastAsia="方正仿宋_GBK"/>
          <w:bCs/>
          <w:color w:val="000000" w:themeColor="text1"/>
          <w:sz w:val="28"/>
          <w:szCs w:val="28"/>
          <w14:textFill>
            <w14:solidFill>
              <w14:schemeClr w14:val="tx1"/>
            </w14:solidFill>
          </w14:textFill>
        </w:rPr>
        <w:t>文件的全部内容，并承诺响应比选</w:t>
      </w:r>
      <w:r>
        <w:rPr>
          <w:rFonts w:hint="eastAsia" w:eastAsia="方正仿宋_GBK"/>
          <w:bCs/>
          <w:color w:val="000000" w:themeColor="text1"/>
          <w:sz w:val="28"/>
          <w:szCs w:val="28"/>
          <w14:textFill>
            <w14:solidFill>
              <w14:schemeClr w14:val="tx1"/>
            </w14:solidFill>
          </w14:textFill>
        </w:rPr>
        <w:t>采购</w:t>
      </w:r>
      <w:r>
        <w:rPr>
          <w:rFonts w:eastAsia="方正仿宋_GBK"/>
          <w:bCs/>
          <w:color w:val="000000" w:themeColor="text1"/>
          <w:sz w:val="28"/>
          <w:szCs w:val="28"/>
          <w14:textFill>
            <w14:solidFill>
              <w14:schemeClr w14:val="tx1"/>
            </w14:solidFill>
          </w14:textFill>
        </w:rPr>
        <w:t>文件</w:t>
      </w:r>
      <w:r>
        <w:rPr>
          <w:rFonts w:hint="eastAsia" w:eastAsia="方正仿宋_GBK"/>
          <w:bCs/>
          <w:color w:val="000000" w:themeColor="text1"/>
          <w:sz w:val="28"/>
          <w:szCs w:val="28"/>
          <w14:textFill>
            <w14:solidFill>
              <w14:schemeClr w14:val="tx1"/>
            </w14:solidFill>
          </w14:textFill>
        </w:rPr>
        <w:t>的</w:t>
      </w:r>
      <w:r>
        <w:rPr>
          <w:rFonts w:eastAsia="方正仿宋_GBK"/>
          <w:bCs/>
          <w:color w:val="000000" w:themeColor="text1"/>
          <w:sz w:val="28"/>
          <w:szCs w:val="28"/>
          <w14:textFill>
            <w14:solidFill>
              <w14:schemeClr w14:val="tx1"/>
            </w14:solidFill>
          </w14:textFill>
        </w:rPr>
        <w:t>所有要求，</w:t>
      </w:r>
      <w:r>
        <w:rPr>
          <w:rFonts w:hint="eastAsia" w:eastAsia="方正仿宋_GBK"/>
          <w:bCs/>
          <w:color w:val="000000" w:themeColor="text1"/>
          <w:sz w:val="28"/>
          <w:szCs w:val="28"/>
          <w14:textFill>
            <w14:solidFill>
              <w14:schemeClr w14:val="tx1"/>
            </w14:solidFill>
          </w14:textFill>
        </w:rPr>
        <w:t>我方的不含增值税报价为：每人每月</w:t>
      </w:r>
      <w:r>
        <w:rPr>
          <w:rFonts w:hint="eastAsia" w:eastAsia="方正仿宋_GBK"/>
          <w:bCs/>
          <w:color w:val="000000" w:themeColor="text1"/>
          <w:sz w:val="28"/>
          <w:szCs w:val="28"/>
          <w:u w:val="single"/>
          <w:lang w:eastAsia="zh-CN"/>
          <w14:textFill>
            <w14:solidFill>
              <w14:schemeClr w14:val="tx1"/>
            </w14:solidFill>
          </w14:textFill>
        </w:rPr>
        <w:t>人民币（大写）</w:t>
      </w:r>
      <w:r>
        <w:rPr>
          <w:rFonts w:hint="eastAsia" w:eastAsia="方正仿宋_GBK"/>
          <w:bCs/>
          <w:color w:val="000000" w:themeColor="text1"/>
          <w:sz w:val="28"/>
          <w:szCs w:val="28"/>
          <w:u w:val="single"/>
          <w:lang w:val="en-US" w:eastAsia="zh-CN"/>
          <w14:textFill>
            <w14:solidFill>
              <w14:schemeClr w14:val="tx1"/>
            </w14:solidFill>
          </w14:textFill>
        </w:rPr>
        <w:t xml:space="preserve">          </w:t>
      </w:r>
      <w:r>
        <w:rPr>
          <w:rFonts w:hint="eastAsia" w:eastAsia="方正仿宋_GBK"/>
          <w:bCs/>
          <w:color w:val="000000" w:themeColor="text1"/>
          <w:sz w:val="28"/>
          <w:szCs w:val="28"/>
          <w:u w:val="single"/>
          <w14:textFill>
            <w14:solidFill>
              <w14:schemeClr w14:val="tx1"/>
            </w14:solidFill>
          </w14:textFill>
        </w:rPr>
        <w:t xml:space="preserve"> </w:t>
      </w:r>
      <w:r>
        <w:rPr>
          <w:rFonts w:eastAsia="方正仿宋_GBK"/>
          <w:bCs/>
          <w:color w:val="000000" w:themeColor="text1"/>
          <w:sz w:val="28"/>
          <w:szCs w:val="28"/>
          <w:u w:val="single"/>
          <w14:textFill>
            <w14:solidFill>
              <w14:schemeClr w14:val="tx1"/>
            </w14:solidFill>
          </w14:textFill>
        </w:rPr>
        <w:t xml:space="preserve">    </w:t>
      </w:r>
      <w:r>
        <w:rPr>
          <w:rFonts w:hint="eastAsia" w:eastAsia="方正仿宋_GBK"/>
          <w:bCs/>
          <w:color w:val="000000" w:themeColor="text1"/>
          <w:sz w:val="28"/>
          <w:szCs w:val="28"/>
          <w:u w:val="single"/>
          <w:lang w:val="en-US" w:eastAsia="zh-CN"/>
          <w14:textFill>
            <w14:solidFill>
              <w14:schemeClr w14:val="tx1"/>
            </w14:solidFill>
          </w14:textFill>
        </w:rPr>
        <w:t xml:space="preserve">     </w:t>
      </w:r>
      <w:r>
        <w:rPr>
          <w:rFonts w:hint="eastAsia" w:eastAsia="方正仿宋_GBK"/>
          <w:bCs/>
          <w:color w:val="000000" w:themeColor="text1"/>
          <w:sz w:val="28"/>
          <w:szCs w:val="28"/>
          <w:u w:val="single"/>
          <w:lang w:eastAsia="zh-CN"/>
          <w14:textFill>
            <w14:solidFill>
              <w14:schemeClr w14:val="tx1"/>
            </w14:solidFill>
          </w14:textFill>
        </w:rPr>
        <w:t>（小写：</w:t>
      </w:r>
      <w:r>
        <w:rPr>
          <w:rFonts w:hint="eastAsia" w:eastAsia="方正仿宋_GBK"/>
          <w:bCs/>
          <w:color w:val="000000" w:themeColor="text1"/>
          <w:sz w:val="28"/>
          <w:szCs w:val="28"/>
          <w:u w:val="single"/>
          <w:lang w:val="en-US" w:eastAsia="zh-CN"/>
          <w14:textFill>
            <w14:solidFill>
              <w14:schemeClr w14:val="tx1"/>
            </w14:solidFill>
          </w14:textFill>
        </w:rPr>
        <w:t xml:space="preserve">        </w:t>
      </w:r>
      <w:r>
        <w:rPr>
          <w:rFonts w:hint="eastAsia" w:eastAsia="方正仿宋_GBK"/>
          <w:bCs/>
          <w:color w:val="000000" w:themeColor="text1"/>
          <w:sz w:val="28"/>
          <w:szCs w:val="28"/>
          <w:u w:val="single"/>
          <w:lang w:eastAsia="zh-CN"/>
          <w14:textFill>
            <w14:solidFill>
              <w14:schemeClr w14:val="tx1"/>
            </w14:solidFill>
          </w14:textFill>
        </w:rPr>
        <w:t>）</w:t>
      </w:r>
      <w:r>
        <w:rPr>
          <w:rFonts w:hint="eastAsia" w:eastAsia="方正仿宋_GBK"/>
          <w:bCs/>
          <w:color w:val="000000" w:themeColor="text1"/>
          <w:sz w:val="28"/>
          <w:szCs w:val="28"/>
          <w14:textFill>
            <w14:solidFill>
              <w14:schemeClr w14:val="tx1"/>
            </w14:solidFill>
          </w14:textFill>
        </w:rPr>
        <w:t>；我方自愿</w:t>
      </w:r>
      <w:r>
        <w:rPr>
          <w:rFonts w:eastAsia="方正仿宋_GBK"/>
          <w:bCs/>
          <w:color w:val="000000" w:themeColor="text1"/>
          <w:sz w:val="28"/>
          <w:szCs w:val="28"/>
          <w14:textFill>
            <w14:solidFill>
              <w14:schemeClr w14:val="tx1"/>
            </w14:solidFill>
          </w14:textFill>
        </w:rPr>
        <w:t>按合同约定实施和完成项目的全部工作。</w:t>
      </w:r>
      <w:r>
        <w:rPr>
          <w:rFonts w:hint="eastAsia" w:eastAsia="方正仿宋_GBK"/>
          <w:bCs/>
          <w:color w:val="000000" w:themeColor="text1"/>
          <w:sz w:val="28"/>
          <w:szCs w:val="28"/>
          <w14:textFill>
            <w14:solidFill>
              <w14:schemeClr w14:val="tx1"/>
            </w14:solidFill>
          </w14:textFill>
        </w:rPr>
        <w:t xml:space="preserve"> </w:t>
      </w:r>
    </w:p>
    <w:p>
      <w:pPr>
        <w:pStyle w:val="6"/>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2．我方承诺在比选有效期内</w:t>
      </w:r>
      <w:r>
        <w:rPr>
          <w:rFonts w:hint="eastAsia" w:eastAsia="方正仿宋_GBK"/>
          <w:bCs/>
          <w:color w:val="000000" w:themeColor="text1"/>
          <w:sz w:val="28"/>
          <w:szCs w:val="28"/>
          <w14:textFill>
            <w14:solidFill>
              <w14:schemeClr w14:val="tx1"/>
            </w14:solidFill>
          </w14:textFill>
        </w:rPr>
        <w:t>（90天）</w:t>
      </w:r>
      <w:r>
        <w:rPr>
          <w:rFonts w:eastAsia="方正仿宋_GBK"/>
          <w:bCs/>
          <w:color w:val="000000" w:themeColor="text1"/>
          <w:sz w:val="28"/>
          <w:szCs w:val="28"/>
          <w14:textFill>
            <w14:solidFill>
              <w14:schemeClr w14:val="tx1"/>
            </w14:solidFill>
          </w14:textFill>
        </w:rPr>
        <w:t>不修改、撤销比选响应文件。</w:t>
      </w:r>
    </w:p>
    <w:p>
      <w:pPr>
        <w:pStyle w:val="6"/>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3．如我方成交：</w:t>
      </w:r>
    </w:p>
    <w:p>
      <w:pPr>
        <w:pStyle w:val="6"/>
        <w:spacing w:after="0" w:line="560" w:lineRule="exact"/>
        <w:ind w:firstLine="280" w:firstLineChars="1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（1）我方承诺在收到成交通知后，在规定的期限内与你方签订合同。</w:t>
      </w:r>
    </w:p>
    <w:p>
      <w:pPr>
        <w:pStyle w:val="6"/>
        <w:spacing w:after="0" w:line="560" w:lineRule="exact"/>
        <w:ind w:firstLine="280" w:firstLineChars="1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（2）随同本报价函递交的报价函附录属于合同文件的组成部分。</w:t>
      </w:r>
    </w:p>
    <w:p>
      <w:pPr>
        <w:pStyle w:val="6"/>
        <w:spacing w:after="0" w:line="560" w:lineRule="exact"/>
        <w:ind w:firstLine="280" w:firstLineChars="1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（3）我方承诺在约定的期限内完成并移交全部合同项目和成果。</w:t>
      </w:r>
    </w:p>
    <w:p>
      <w:pPr>
        <w:pStyle w:val="6"/>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4．我方在此声明，所递交的比选响应文件及有关资料内容完整、真实和准确。</w:t>
      </w:r>
    </w:p>
    <w:p>
      <w:pPr>
        <w:pStyle w:val="6"/>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hint="eastAsia" w:eastAsia="方正仿宋_GBK"/>
          <w:bCs/>
          <w:color w:val="000000" w:themeColor="text1"/>
          <w:sz w:val="28"/>
          <w:szCs w:val="28"/>
          <w14:textFill>
            <w14:solidFill>
              <w14:schemeClr w14:val="tx1"/>
            </w14:solidFill>
          </w14:textFill>
        </w:rPr>
        <w:t>5.</w:t>
      </w:r>
      <w:r>
        <w:rPr>
          <w:rFonts w:eastAsia="方正仿宋_GBK"/>
          <w:bCs/>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pStyle w:val="6"/>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比选</w:t>
      </w:r>
      <w:r>
        <w:rPr>
          <w:rFonts w:hint="eastAsia" w:eastAsia="方正仿宋_GBK"/>
          <w:bCs/>
          <w:color w:val="000000" w:themeColor="text1"/>
          <w:sz w:val="28"/>
          <w:szCs w:val="28"/>
          <w14:textFill>
            <w14:solidFill>
              <w14:schemeClr w14:val="tx1"/>
            </w14:solidFill>
          </w14:textFill>
        </w:rPr>
        <w:t>响应</w:t>
      </w:r>
      <w:r>
        <w:rPr>
          <w:rFonts w:eastAsia="方正仿宋_GBK"/>
          <w:bCs/>
          <w:color w:val="000000" w:themeColor="text1"/>
          <w:sz w:val="28"/>
          <w:szCs w:val="28"/>
          <w14:textFill>
            <w14:solidFill>
              <w14:schemeClr w14:val="tx1"/>
            </w14:solidFill>
          </w14:textFill>
        </w:rPr>
        <w:t>人：（盖单位公章）</w:t>
      </w:r>
    </w:p>
    <w:p>
      <w:pPr>
        <w:pStyle w:val="6"/>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法定代表人或其委托代理人： （签字）</w:t>
      </w:r>
    </w:p>
    <w:p>
      <w:pPr>
        <w:pStyle w:val="6"/>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地址：                        网址：　　　　　　　　　　　　　　</w:t>
      </w:r>
    </w:p>
    <w:p>
      <w:pPr>
        <w:pStyle w:val="6"/>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电话：　　　　　　　　　　　　传真：　　　　　　　　　　　　　　</w:t>
      </w:r>
    </w:p>
    <w:p>
      <w:pPr>
        <w:pStyle w:val="6"/>
        <w:spacing w:after="0" w:line="560" w:lineRule="exact"/>
        <w:ind w:firstLine="560" w:firstLineChars="200"/>
        <w:rPr>
          <w:rFonts w:eastAsia="方正仿宋_GBK"/>
          <w:bCs/>
          <w:color w:val="000000" w:themeColor="text1"/>
          <w:sz w:val="28"/>
          <w:szCs w:val="28"/>
          <w14:textFill>
            <w14:solidFill>
              <w14:schemeClr w14:val="tx1"/>
            </w14:solidFill>
          </w14:textFill>
        </w:rPr>
        <w:sectPr>
          <w:pgSz w:w="11906" w:h="16838"/>
          <w:pgMar w:top="1560" w:right="1800" w:bottom="1440" w:left="1800" w:header="851" w:footer="992" w:gutter="0"/>
          <w:cols w:space="425" w:num="1"/>
          <w:docGrid w:type="lines" w:linePitch="312" w:charSpace="0"/>
        </w:sectPr>
      </w:pPr>
      <w:r>
        <w:rPr>
          <w:rFonts w:eastAsia="方正仿宋_GBK"/>
          <w:bCs/>
          <w:color w:val="000000" w:themeColor="text1"/>
          <w:sz w:val="28"/>
          <w:szCs w:val="28"/>
          <w14:textFill>
            <w14:solidFill>
              <w14:schemeClr w14:val="tx1"/>
            </w14:solidFill>
          </w14:textFill>
        </w:rPr>
        <w:t>邮政编码：　　</w:t>
      </w:r>
      <w:r>
        <w:rPr>
          <w:rFonts w:hint="eastAsia" w:eastAsia="方正仿宋_GBK"/>
          <w:bCs/>
          <w:color w:val="000000" w:themeColor="text1"/>
          <w:sz w:val="28"/>
          <w:szCs w:val="28"/>
          <w14:textFill>
            <w14:solidFill>
              <w14:schemeClr w14:val="tx1"/>
            </w14:solidFill>
          </w14:textFill>
        </w:rPr>
        <w:t xml:space="preserve">              </w:t>
      </w:r>
      <w:r>
        <w:rPr>
          <w:rFonts w:eastAsia="方正仿宋_GBK"/>
          <w:bCs/>
          <w:color w:val="000000" w:themeColor="text1"/>
          <w:sz w:val="28"/>
          <w:szCs w:val="28"/>
          <w14:textFill>
            <w14:solidFill>
              <w14:schemeClr w14:val="tx1"/>
            </w14:solidFill>
          </w14:textFill>
        </w:rPr>
        <w:t>     年   月   日</w:t>
      </w:r>
    </w:p>
    <w:p>
      <w:pPr>
        <w:spacing w:line="560" w:lineRule="exact"/>
        <w:ind w:firstLine="3080" w:firstLineChars="1100"/>
        <w:rPr>
          <w:rFonts w:eastAsia="方正小标宋_GBK"/>
          <w:bCs/>
          <w:color w:val="000000" w:themeColor="text1"/>
          <w:sz w:val="28"/>
          <w:szCs w:val="28"/>
          <w14:textFill>
            <w14:solidFill>
              <w14:schemeClr w14:val="tx1"/>
            </w14:solidFill>
          </w14:textFill>
        </w:rPr>
      </w:pPr>
      <w:r>
        <w:rPr>
          <w:rFonts w:eastAsia="方正小标宋_GBK"/>
          <w:bCs/>
          <w:color w:val="000000" w:themeColor="text1"/>
          <w:sz w:val="28"/>
          <w:szCs w:val="28"/>
          <w14:textFill>
            <w14:solidFill>
              <w14:schemeClr w14:val="tx1"/>
            </w14:solidFill>
          </w14:textFill>
        </w:rPr>
        <w:t>授权</w:t>
      </w:r>
      <w:r>
        <w:rPr>
          <w:rFonts w:hint="eastAsia" w:eastAsia="方正小标宋_GBK"/>
          <w:bCs/>
          <w:color w:val="000000" w:themeColor="text1"/>
          <w:sz w:val="28"/>
          <w:szCs w:val="28"/>
          <w14:textFill>
            <w14:solidFill>
              <w14:schemeClr w14:val="tx1"/>
            </w14:solidFill>
          </w14:textFill>
        </w:rPr>
        <w:t>委托</w:t>
      </w:r>
      <w:r>
        <w:rPr>
          <w:rFonts w:eastAsia="方正小标宋_GBK"/>
          <w:bCs/>
          <w:color w:val="000000" w:themeColor="text1"/>
          <w:sz w:val="28"/>
          <w:szCs w:val="28"/>
          <w14:textFill>
            <w14:solidFill>
              <w14:schemeClr w14:val="tx1"/>
            </w14:solidFill>
          </w14:textFill>
        </w:rPr>
        <w:t>书</w:t>
      </w:r>
    </w:p>
    <w:p>
      <w:pPr>
        <w:spacing w:line="560" w:lineRule="exact"/>
        <w:ind w:right="-694"/>
        <w:rPr>
          <w:rFonts w:eastAsia="方正仿宋_GBK"/>
          <w:color w:val="000000" w:themeColor="text1"/>
          <w:sz w:val="28"/>
          <w:szCs w:val="28"/>
          <w14:textFill>
            <w14:solidFill>
              <w14:schemeClr w14:val="tx1"/>
            </w14:solidFill>
          </w14:textFill>
        </w:rPr>
      </w:pPr>
    </w:p>
    <w:p>
      <w:pPr>
        <w:spacing w:line="560" w:lineRule="exact"/>
        <w:ind w:firstLine="700" w:firstLineChars="250"/>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本授权书申明______________(</w:t>
      </w:r>
      <w:r>
        <w:rPr>
          <w:rFonts w:hint="eastAsia" w:eastAsia="方正仿宋_GBK"/>
          <w:color w:val="000000" w:themeColor="text1"/>
          <w:sz w:val="28"/>
          <w:szCs w:val="28"/>
          <w14:textFill>
            <w14:solidFill>
              <w14:schemeClr w14:val="tx1"/>
            </w14:solidFill>
          </w14:textFill>
        </w:rPr>
        <w:t>比选响应人</w:t>
      </w:r>
      <w:r>
        <w:rPr>
          <w:rFonts w:eastAsia="方正仿宋_GBK"/>
          <w:color w:val="000000" w:themeColor="text1"/>
          <w:sz w:val="28"/>
          <w:szCs w:val="28"/>
          <w14:textFill>
            <w14:solidFill>
              <w14:schemeClr w14:val="tx1"/>
            </w14:solidFill>
          </w14:textFill>
        </w:rPr>
        <w:t>名称)</w:t>
      </w:r>
      <w:r>
        <w:rPr>
          <w:rFonts w:hint="eastAsia" w:eastAsia="方正仿宋_GBK"/>
          <w:color w:val="000000" w:themeColor="text1"/>
          <w:sz w:val="28"/>
          <w:szCs w:val="28"/>
          <w14:textFill>
            <w14:solidFill>
              <w14:schemeClr w14:val="tx1"/>
            </w14:solidFill>
          </w14:textFill>
        </w:rPr>
        <w:t>在此合法授权我单位</w:t>
      </w:r>
      <w:r>
        <w:rPr>
          <w:rFonts w:eastAsia="方正仿宋_GBK"/>
          <w:color w:val="000000" w:themeColor="text1"/>
          <w:sz w:val="28"/>
          <w:szCs w:val="28"/>
          <w14:textFill>
            <w14:solidFill>
              <w14:schemeClr w14:val="tx1"/>
            </w14:solidFill>
          </w14:textFill>
        </w:rPr>
        <w:t>_________(</w:t>
      </w:r>
      <w:r>
        <w:rPr>
          <w:rFonts w:hint="eastAsia" w:eastAsia="方正仿宋_GBK"/>
          <w:color w:val="000000" w:themeColor="text1"/>
          <w:sz w:val="28"/>
          <w:szCs w:val="28"/>
          <w14:textFill>
            <w14:solidFill>
              <w14:schemeClr w14:val="tx1"/>
            </w14:solidFill>
          </w14:textFill>
        </w:rPr>
        <w:t>姓名</w:t>
      </w:r>
      <w:r>
        <w:rPr>
          <w:rFonts w:eastAsia="方正仿宋_GBK"/>
          <w:color w:val="000000" w:themeColor="text1"/>
          <w:sz w:val="28"/>
          <w:szCs w:val="28"/>
          <w14:textFill>
            <w14:solidFill>
              <w14:schemeClr w14:val="tx1"/>
            </w14:solidFill>
          </w14:textFill>
        </w:rPr>
        <w:t>)</w:t>
      </w:r>
      <w:r>
        <w:rPr>
          <w:rFonts w:hint="eastAsia" w:eastAsia="方正仿宋_GBK"/>
          <w:color w:val="000000" w:themeColor="text1"/>
          <w:sz w:val="28"/>
          <w:szCs w:val="28"/>
          <w14:textFill>
            <w14:solidFill>
              <w14:schemeClr w14:val="tx1"/>
            </w14:solidFill>
          </w14:textFill>
        </w:rPr>
        <w:t>为本所合法代理人，</w:t>
      </w:r>
      <w:r>
        <w:rPr>
          <w:rFonts w:eastAsia="方正仿宋_GBK"/>
          <w:color w:val="000000" w:themeColor="text1"/>
          <w:sz w:val="28"/>
          <w:szCs w:val="28"/>
          <w14:textFill>
            <w14:solidFill>
              <w14:schemeClr w14:val="tx1"/>
            </w14:solidFill>
          </w14:textFill>
        </w:rPr>
        <w:t>在</w:t>
      </w:r>
      <w:r>
        <w:rPr>
          <w:rFonts w:hint="eastAsia" w:eastAsia="方正仿宋_GBK"/>
          <w:color w:val="000000" w:themeColor="text1"/>
          <w:sz w:val="28"/>
          <w:szCs w:val="28"/>
          <w14:textFill>
            <w14:solidFill>
              <w14:schemeClr w14:val="tx1"/>
            </w14:solidFill>
          </w14:textFill>
        </w:rPr>
        <w:t>重庆空港航空地面服务有限公司国际（地区）航班机坪装卸业务增加装卸人员外包项目</w:t>
      </w:r>
      <w:r>
        <w:rPr>
          <w:rFonts w:eastAsia="方正仿宋_GBK"/>
          <w:color w:val="000000" w:themeColor="text1"/>
          <w:sz w:val="28"/>
          <w:szCs w:val="28"/>
          <w14:textFill>
            <w14:solidFill>
              <w14:schemeClr w14:val="tx1"/>
            </w14:solidFill>
          </w14:textFill>
        </w:rPr>
        <w:t>的比选活动中，以我</w:t>
      </w:r>
      <w:r>
        <w:rPr>
          <w:rFonts w:hint="eastAsia" w:eastAsia="方正仿宋_GBK"/>
          <w:color w:val="000000" w:themeColor="text1"/>
          <w:sz w:val="28"/>
          <w:szCs w:val="28"/>
          <w14:textFill>
            <w14:solidFill>
              <w14:schemeClr w14:val="tx1"/>
            </w14:solidFill>
          </w14:textFill>
        </w:rPr>
        <w:t>所</w:t>
      </w:r>
      <w:r>
        <w:rPr>
          <w:rFonts w:eastAsia="方正仿宋_GBK"/>
          <w:color w:val="000000" w:themeColor="text1"/>
          <w:sz w:val="28"/>
          <w:szCs w:val="28"/>
          <w14:textFill>
            <w14:solidFill>
              <w14:schemeClr w14:val="tx1"/>
            </w14:solidFill>
          </w14:textFill>
        </w:rPr>
        <w:t>的名义签署比选响应文件，与</w:t>
      </w:r>
      <w:r>
        <w:rPr>
          <w:rFonts w:hint="eastAsia" w:eastAsia="方正仿宋_GBK"/>
          <w:color w:val="000000" w:themeColor="text1"/>
          <w:sz w:val="28"/>
          <w:szCs w:val="28"/>
          <w14:textFill>
            <w14:solidFill>
              <w14:schemeClr w14:val="tx1"/>
            </w14:solidFill>
          </w14:textFill>
        </w:rPr>
        <w:t>比选人</w:t>
      </w:r>
      <w:r>
        <w:rPr>
          <w:rFonts w:eastAsia="方正仿宋_GBK"/>
          <w:color w:val="000000" w:themeColor="text1"/>
          <w:sz w:val="28"/>
          <w:szCs w:val="28"/>
          <w14:textFill>
            <w14:solidFill>
              <w14:schemeClr w14:val="tx1"/>
            </w14:solidFill>
          </w14:textFill>
        </w:rPr>
        <w:t>协商、签定合同协议书以及执行一切与此有关的事务。</w:t>
      </w:r>
    </w:p>
    <w:p>
      <w:pPr>
        <w:spacing w:line="560" w:lineRule="exact"/>
        <w:rPr>
          <w:rFonts w:eastAsia="方正仿宋_GBK"/>
          <w:color w:val="000000" w:themeColor="text1"/>
          <w:sz w:val="28"/>
          <w:szCs w:val="28"/>
          <w14:textFill>
            <w14:solidFill>
              <w14:schemeClr w14:val="tx1"/>
            </w14:solidFill>
          </w14:textFill>
        </w:rPr>
      </w:pPr>
    </w:p>
    <w:p>
      <w:pPr>
        <w:spacing w:line="560" w:lineRule="exact"/>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被授权人</w:t>
      </w:r>
      <w:r>
        <w:rPr>
          <w:rFonts w:hint="eastAsia" w:eastAsia="方正仿宋_GBK"/>
          <w:color w:val="000000" w:themeColor="text1"/>
          <w:sz w:val="28"/>
          <w:szCs w:val="28"/>
          <w14:textFill>
            <w14:solidFill>
              <w14:schemeClr w14:val="tx1"/>
            </w14:solidFill>
          </w14:textFill>
        </w:rPr>
        <w:t>（</w:t>
      </w:r>
      <w:r>
        <w:rPr>
          <w:rFonts w:eastAsia="方正仿宋_GBK"/>
          <w:color w:val="000000" w:themeColor="text1"/>
          <w:sz w:val="28"/>
          <w:szCs w:val="28"/>
          <w14:textFill>
            <w14:solidFill>
              <w14:schemeClr w14:val="tx1"/>
            </w14:solidFill>
          </w14:textFill>
        </w:rPr>
        <w:t>代理人</w:t>
      </w:r>
      <w:r>
        <w:rPr>
          <w:rFonts w:hint="eastAsia" w:eastAsia="方正仿宋_GBK"/>
          <w:color w:val="000000" w:themeColor="text1"/>
          <w:sz w:val="28"/>
          <w:szCs w:val="28"/>
          <w14:textFill>
            <w14:solidFill>
              <w14:schemeClr w14:val="tx1"/>
            </w14:solidFill>
          </w14:textFill>
        </w:rPr>
        <w:t>）</w:t>
      </w:r>
      <w:r>
        <w:rPr>
          <w:rFonts w:eastAsia="方正仿宋_GBK"/>
          <w:color w:val="000000" w:themeColor="text1"/>
          <w:sz w:val="28"/>
          <w:szCs w:val="28"/>
          <w14:textFill>
            <w14:solidFill>
              <w14:schemeClr w14:val="tx1"/>
            </w14:solidFill>
          </w14:textFill>
        </w:rPr>
        <w:t>：____________（签章）</w:t>
      </w:r>
    </w:p>
    <w:p>
      <w:pPr>
        <w:pStyle w:val="15"/>
        <w:spacing w:line="560" w:lineRule="exact"/>
        <w:outlineLvl w:val="9"/>
      </w:pPr>
    </w:p>
    <w:p>
      <w:pPr>
        <w:spacing w:line="560" w:lineRule="exact"/>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比选响应</w:t>
      </w:r>
      <w:r>
        <w:rPr>
          <w:rFonts w:hint="eastAsia" w:eastAsia="方正仿宋_GBK"/>
          <w:color w:val="000000" w:themeColor="text1"/>
          <w:sz w:val="28"/>
          <w:szCs w:val="28"/>
          <w14:textFill>
            <w14:solidFill>
              <w14:schemeClr w14:val="tx1"/>
            </w14:solidFill>
          </w14:textFill>
        </w:rPr>
        <w:t>人</w:t>
      </w:r>
      <w:r>
        <w:rPr>
          <w:rFonts w:eastAsia="方正仿宋_GBK"/>
          <w:color w:val="000000" w:themeColor="text1"/>
          <w:sz w:val="28"/>
          <w:szCs w:val="28"/>
          <w14:textFill>
            <w14:solidFill>
              <w14:schemeClr w14:val="tx1"/>
            </w14:solidFill>
          </w14:textFill>
        </w:rPr>
        <w:t>：____________（盖章）</w:t>
      </w:r>
    </w:p>
    <w:p>
      <w:pPr>
        <w:spacing w:line="560" w:lineRule="exact"/>
        <w:rPr>
          <w:rFonts w:eastAsia="方正仿宋_GBK"/>
          <w:color w:val="000000" w:themeColor="text1"/>
          <w:sz w:val="28"/>
          <w:szCs w:val="28"/>
          <w14:textFill>
            <w14:solidFill>
              <w14:schemeClr w14:val="tx1"/>
            </w14:solidFill>
          </w14:textFill>
        </w:rPr>
      </w:pPr>
    </w:p>
    <w:p>
      <w:pPr>
        <w:spacing w:line="560" w:lineRule="exact"/>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日期：</w:t>
      </w:r>
      <w:r>
        <w:rPr>
          <w:rFonts w:eastAsia="方正仿宋_GBK"/>
          <w:color w:val="000000" w:themeColor="text1"/>
          <w:sz w:val="28"/>
          <w:szCs w:val="28"/>
          <w:u w:val="single"/>
          <w14:textFill>
            <w14:solidFill>
              <w14:schemeClr w14:val="tx1"/>
            </w14:solidFill>
          </w14:textFill>
        </w:rPr>
        <w:t xml:space="preserve">      </w:t>
      </w:r>
      <w:r>
        <w:rPr>
          <w:rFonts w:eastAsia="方正仿宋_GBK"/>
          <w:color w:val="000000" w:themeColor="text1"/>
          <w:sz w:val="28"/>
          <w:szCs w:val="28"/>
          <w14:textFill>
            <w14:solidFill>
              <w14:schemeClr w14:val="tx1"/>
            </w14:solidFill>
          </w14:textFill>
        </w:rPr>
        <w:t>年</w:t>
      </w:r>
      <w:r>
        <w:rPr>
          <w:rFonts w:eastAsia="方正仿宋_GBK"/>
          <w:color w:val="000000" w:themeColor="text1"/>
          <w:sz w:val="28"/>
          <w:szCs w:val="28"/>
          <w:u w:val="single"/>
          <w14:textFill>
            <w14:solidFill>
              <w14:schemeClr w14:val="tx1"/>
            </w14:solidFill>
          </w14:textFill>
        </w:rPr>
        <w:t xml:space="preserve">     </w:t>
      </w:r>
      <w:r>
        <w:rPr>
          <w:rFonts w:eastAsia="方正仿宋_GBK"/>
          <w:color w:val="000000" w:themeColor="text1"/>
          <w:sz w:val="28"/>
          <w:szCs w:val="28"/>
          <w14:textFill>
            <w14:solidFill>
              <w14:schemeClr w14:val="tx1"/>
            </w14:solidFill>
          </w14:textFill>
        </w:rPr>
        <w:t>月</w:t>
      </w:r>
      <w:r>
        <w:rPr>
          <w:rFonts w:eastAsia="方正仿宋_GBK"/>
          <w:color w:val="000000" w:themeColor="text1"/>
          <w:sz w:val="28"/>
          <w:szCs w:val="28"/>
          <w:u w:val="single"/>
          <w14:textFill>
            <w14:solidFill>
              <w14:schemeClr w14:val="tx1"/>
            </w14:solidFill>
          </w14:textFill>
        </w:rPr>
        <w:t xml:space="preserve">     </w:t>
      </w:r>
      <w:r>
        <w:rPr>
          <w:rFonts w:eastAsia="方正仿宋_GBK"/>
          <w:color w:val="000000" w:themeColor="text1"/>
          <w:sz w:val="28"/>
          <w:szCs w:val="28"/>
          <w14:textFill>
            <w14:solidFill>
              <w14:schemeClr w14:val="tx1"/>
            </w14:solidFill>
          </w14:textFill>
        </w:rPr>
        <w:t>日</w:t>
      </w:r>
    </w:p>
    <w:p>
      <w:pPr>
        <w:spacing w:line="560" w:lineRule="exact"/>
        <w:rPr>
          <w:rFonts w:eastAsia="方正仿宋_GBK"/>
          <w:color w:val="000000" w:themeColor="text1"/>
          <w:sz w:val="28"/>
          <w:szCs w:val="28"/>
          <w14:textFill>
            <w14:solidFill>
              <w14:schemeClr w14:val="tx1"/>
            </w14:solidFill>
          </w14:textFill>
        </w:rPr>
      </w:pPr>
    </w:p>
    <w:p>
      <w:pPr>
        <w:spacing w:line="560" w:lineRule="exact"/>
        <w:rPr>
          <w:rFonts w:eastAsia="方正仿宋_GBK"/>
          <w:color w:val="000000" w:themeColor="text1"/>
          <w:sz w:val="28"/>
          <w:szCs w:val="28"/>
          <w14:textFill>
            <w14:solidFill>
              <w14:schemeClr w14:val="tx1"/>
            </w14:solidFill>
          </w14:textFill>
        </w:rPr>
      </w:pPr>
    </w:p>
    <w:p>
      <w:pPr>
        <w:snapToGrid w:val="0"/>
        <w:spacing w:line="560" w:lineRule="exact"/>
        <w:rPr>
          <w:rFonts w:eastAsia="方正仿宋_GBK"/>
          <w:b/>
          <w:bCs/>
          <w:color w:val="000000" w:themeColor="text1"/>
          <w:sz w:val="28"/>
          <w:szCs w:val="28"/>
          <w14:textFill>
            <w14:solidFill>
              <w14:schemeClr w14:val="tx1"/>
            </w14:solidFill>
          </w14:textFill>
        </w:rPr>
      </w:pPr>
      <w:r>
        <w:rPr>
          <w:rFonts w:eastAsia="方正仿宋_GBK"/>
          <w:b/>
          <w:bCs/>
          <w:color w:val="000000" w:themeColor="text1"/>
          <w:sz w:val="28"/>
          <w:szCs w:val="28"/>
          <w14:textFill>
            <w14:solidFill>
              <w14:schemeClr w14:val="tx1"/>
            </w14:solidFill>
          </w14:textFill>
        </w:rPr>
        <w:t>附</w:t>
      </w:r>
      <w:r>
        <w:rPr>
          <w:rFonts w:hint="eastAsia" w:eastAsia="方正仿宋_GBK"/>
          <w:b/>
          <w:bCs/>
          <w:color w:val="000000" w:themeColor="text1"/>
          <w:sz w:val="28"/>
          <w:szCs w:val="28"/>
          <w14:textFill>
            <w14:solidFill>
              <w14:schemeClr w14:val="tx1"/>
            </w14:solidFill>
          </w14:textFill>
        </w:rPr>
        <w:t>：</w:t>
      </w:r>
      <w:r>
        <w:rPr>
          <w:rFonts w:eastAsia="方正仿宋_GBK"/>
          <w:b/>
          <w:bCs/>
          <w:color w:val="000000" w:themeColor="text1"/>
          <w:sz w:val="28"/>
          <w:szCs w:val="28"/>
          <w14:textFill>
            <w14:solidFill>
              <w14:schemeClr w14:val="tx1"/>
            </w14:solidFill>
          </w14:textFill>
        </w:rPr>
        <w:t>被授权人代理人身份证</w:t>
      </w:r>
      <w:r>
        <w:rPr>
          <w:rFonts w:hint="eastAsia" w:eastAsia="方正仿宋_GBK"/>
          <w:b/>
          <w:bCs/>
          <w:color w:val="000000" w:themeColor="text1"/>
          <w:sz w:val="28"/>
          <w:szCs w:val="28"/>
          <w14:textFill>
            <w14:solidFill>
              <w14:schemeClr w14:val="tx1"/>
            </w14:solidFill>
          </w14:textFill>
        </w:rPr>
        <w:t>复印件</w:t>
      </w:r>
    </w:p>
    <w:p>
      <w:pPr>
        <w:snapToGrid w:val="0"/>
        <w:spacing w:line="560" w:lineRule="exact"/>
        <w:rPr>
          <w:rFonts w:eastAsia="方正仿宋_GBK"/>
          <w:b/>
          <w:bCs/>
          <w:color w:val="000000" w:themeColor="text1"/>
          <w:sz w:val="28"/>
          <w:szCs w:val="28"/>
          <w14:textFill>
            <w14:solidFill>
              <w14:schemeClr w14:val="tx1"/>
            </w14:solidFill>
          </w14:textFill>
        </w:rPr>
      </w:pPr>
    </w:p>
    <w:p>
      <w:pPr>
        <w:snapToGrid w:val="0"/>
        <w:spacing w:line="560" w:lineRule="exact"/>
        <w:rPr>
          <w:rFonts w:eastAsia="方正仿宋_GBK"/>
          <w:b/>
          <w:bCs/>
          <w:color w:val="000000" w:themeColor="text1"/>
          <w:sz w:val="28"/>
          <w:szCs w:val="28"/>
          <w14:textFill>
            <w14:solidFill>
              <w14:schemeClr w14:val="tx1"/>
            </w14:solidFill>
          </w14:textFill>
        </w:rPr>
      </w:pPr>
    </w:p>
    <w:p>
      <w:pPr>
        <w:snapToGrid w:val="0"/>
        <w:spacing w:line="560" w:lineRule="exact"/>
        <w:rPr>
          <w:rFonts w:eastAsia="方正仿宋_GBK"/>
          <w:b/>
          <w:bCs/>
          <w:color w:val="000000" w:themeColor="text1"/>
          <w:sz w:val="28"/>
          <w:szCs w:val="28"/>
          <w14:textFill>
            <w14:solidFill>
              <w14:schemeClr w14:val="tx1"/>
            </w14:solidFill>
          </w14:textFill>
        </w:rPr>
      </w:pPr>
    </w:p>
    <w:p>
      <w:pPr>
        <w:snapToGrid w:val="0"/>
        <w:spacing w:line="560" w:lineRule="exact"/>
        <w:rPr>
          <w:rFonts w:eastAsia="方正仿宋_GBK"/>
          <w:b/>
          <w:bCs/>
          <w:color w:val="000000" w:themeColor="text1"/>
          <w:sz w:val="28"/>
          <w:szCs w:val="28"/>
          <w14:textFill>
            <w14:solidFill>
              <w14:schemeClr w14:val="tx1"/>
            </w14:solidFill>
          </w14:textFill>
        </w:rPr>
      </w:pPr>
    </w:p>
    <w:p>
      <w:pPr>
        <w:snapToGrid w:val="0"/>
        <w:spacing w:line="560" w:lineRule="exact"/>
        <w:rPr>
          <w:rFonts w:eastAsia="方正仿宋_GBK"/>
          <w:b/>
          <w:bCs/>
          <w:color w:val="000000" w:themeColor="text1"/>
          <w:sz w:val="28"/>
          <w:szCs w:val="28"/>
          <w14:textFill>
            <w14:solidFill>
              <w14:schemeClr w14:val="tx1"/>
            </w14:solidFill>
          </w14:textFill>
        </w:rPr>
      </w:pPr>
    </w:p>
    <w:p>
      <w:pPr>
        <w:snapToGrid w:val="0"/>
        <w:spacing w:line="560" w:lineRule="exact"/>
        <w:rPr>
          <w:rFonts w:eastAsia="方正仿宋_GBK"/>
          <w:b/>
          <w:bCs/>
          <w:color w:val="000000" w:themeColor="text1"/>
          <w:sz w:val="28"/>
          <w:szCs w:val="28"/>
          <w14:textFill>
            <w14:solidFill>
              <w14:schemeClr w14:val="tx1"/>
            </w14:solidFill>
          </w14:textFill>
        </w:rPr>
      </w:pPr>
    </w:p>
    <w:p>
      <w:pPr>
        <w:pStyle w:val="15"/>
        <w:spacing w:line="560" w:lineRule="exact"/>
        <w:jc w:val="both"/>
        <w:outlineLvl w:val="9"/>
      </w:pPr>
    </w:p>
    <w:p>
      <w:pPr>
        <w:numPr>
          <w:ilvl w:val="0"/>
          <w:numId w:val="3"/>
        </w:numPr>
        <w:spacing w:line="560" w:lineRule="exact"/>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技术部分</w:t>
      </w:r>
    </w:p>
    <w:p>
      <w:pPr>
        <w:spacing w:line="560" w:lineRule="exact"/>
        <w:ind w:firstLine="560" w:firstLineChars="200"/>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lang w:val="zh-CN"/>
          <w14:textFill>
            <w14:solidFill>
              <w14:schemeClr w14:val="tx1"/>
            </w14:solidFill>
          </w14:textFill>
        </w:rPr>
        <w:t>主要</w:t>
      </w:r>
      <w:r>
        <w:rPr>
          <w:rFonts w:hint="eastAsia" w:eastAsia="方正仿宋_GBK"/>
          <w:color w:val="000000" w:themeColor="text1"/>
          <w:sz w:val="28"/>
          <w:szCs w:val="28"/>
          <w14:textFill>
            <w14:solidFill>
              <w14:schemeClr w14:val="tx1"/>
            </w14:solidFill>
          </w14:textFill>
        </w:rPr>
        <w:t>根据附件一、合同条款以及评分办法技术部分内容进行准备。</w:t>
      </w:r>
    </w:p>
    <w:p>
      <w:pPr>
        <w:pStyle w:val="15"/>
        <w:jc w:val="both"/>
        <w:outlineLvl w:val="9"/>
      </w:pPr>
    </w:p>
    <w:p>
      <w:pPr>
        <w:numPr>
          <w:ilvl w:val="0"/>
          <w:numId w:val="3"/>
        </w:numPr>
        <w:spacing w:line="560" w:lineRule="exact"/>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商务部分</w:t>
      </w: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r>
        <w:rPr>
          <w:rFonts w:eastAsia="方正仿宋_GBK"/>
          <w:color w:val="000000" w:themeColor="text1"/>
          <w:sz w:val="28"/>
          <w:szCs w:val="28"/>
          <w:lang w:val="zh-CN"/>
          <w14:textFill>
            <w14:solidFill>
              <w14:schemeClr w14:val="tx1"/>
            </w14:solidFill>
          </w14:textFill>
        </w:rPr>
        <w:t>主要</w:t>
      </w:r>
      <w:r>
        <w:rPr>
          <w:rFonts w:hint="eastAsia" w:eastAsia="方正仿宋_GBK"/>
          <w:color w:val="000000" w:themeColor="text1"/>
          <w:sz w:val="28"/>
          <w:szCs w:val="28"/>
          <w14:textFill>
            <w14:solidFill>
              <w14:schemeClr w14:val="tx1"/>
            </w14:solidFill>
          </w14:textFill>
        </w:rPr>
        <w:t>根据合同主要条款、商务评分内容进行准备。</w:t>
      </w: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rPr>
          <w:rFonts w:eastAsia="方正仿宋_GBK"/>
          <w:color w:val="000000" w:themeColor="text1"/>
          <w:sz w:val="28"/>
          <w:szCs w:val="28"/>
          <w14:textFill>
            <w14:solidFill>
              <w14:schemeClr w14:val="tx1"/>
            </w14:solidFill>
          </w14:textFill>
        </w:rPr>
      </w:pPr>
    </w:p>
    <w:sectPr>
      <w:pgSz w:w="11906" w:h="16838"/>
      <w:pgMar w:top="156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31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31</w:t>
                    </w:r>
                    <w:r>
                      <w:rPr>
                        <w:rFonts w:hint="eastAsia"/>
                      </w:rPr>
                      <w:fldChar w:fldCharType="end"/>
                    </w:r>
                    <w:r>
                      <w:rPr>
                        <w:rFonts w:hint="eastAsia"/>
                      </w:rPr>
                      <w:t xml:space="preserve"> 页</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文本框 11"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44</w:t>
    </w:r>
    <w:r>
      <w:rPr>
        <w:lang w:val="zh-CN"/>
      </w:rP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5095" cy="26479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25095" cy="264795"/>
                      </a:xfrm>
                      <a:prstGeom prst="rect">
                        <a:avLst/>
                      </a:prstGeom>
                      <a:noFill/>
                      <a:ln>
                        <a:noFill/>
                      </a:ln>
                    </wps:spPr>
                    <wps:txbx>
                      <w:txbxContent>
                        <w:p>
                          <w:pPr>
                            <w:pStyle w:val="10"/>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85pt;width:9.85pt;mso-position-horizontal:center;mso-position-horizontal-relative:margin;mso-wrap-style:none;z-index:251661312;mso-width-relative:page;mso-height-relative:page;" filled="f" stroked="f" coordsize="21600,21600" o:gfxdata="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l7yGfRAAAAAwEAAA8AAAAAAAAAAQAgAAAAIgAAAGRycy9k&#10;b3ducmV2LnhtbFBLAQIUABQAAAAIAIdO4kDvPYeDCQIAAAIEAAAOAAAAAAAAAAEAIAAAACABAABk&#10;cnMvZTJvRG9jLnhtbFBLBQYAAAAABgAGAFkBAACbBQAAAAA=&#10;">
              <v:fill on="f" focussize="0,0"/>
              <v:stroke on="f"/>
              <v:imagedata o:title=""/>
              <o:lock v:ext="edit" aspectratio="f"/>
              <v:textbox inset="0mm,0mm,0mm,0mm" style="mso-fit-shape-to-text:t;">
                <w:txbxContent>
                  <w:p>
                    <w:pPr>
                      <w:pStyle w:val="10"/>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p>
                </w:txbxContent>
              </v:textbox>
            </v:shape>
          </w:pict>
        </mc:Fallback>
      </mc:AlternateContent>
    </w:r>
  </w:p>
  <w:p>
    <w:pPr>
      <w:pStyle w:val="5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5095" cy="26479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5095" cy="264795"/>
                      </a:xfrm>
                      <a:prstGeom prst="rect">
                        <a:avLst/>
                      </a:prstGeom>
                      <a:noFill/>
                      <a:ln>
                        <a:noFill/>
                      </a:ln>
                    </wps:spPr>
                    <wps:txbx>
                      <w:txbxContent>
                        <w:p>
                          <w:pPr>
                            <w:pStyle w:val="10"/>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85pt;width:9.85pt;mso-position-horizontal:center;mso-position-horizontal-relative:margin;mso-wrap-style:none;z-index:251662336;mso-width-relative:page;mso-height-relative:page;" filled="f" stroked="f" coordsize="21600,21600" o:gfxdata="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l7yGfRAAAAAwEAAA8AAAAAAAAAAQAgAAAAIgAAAGRycy9k&#10;b3ducmV2LnhtbFBLAQIUABQAAAAIAIdO4kCXiDTBCQIAAAIEAAAOAAAAAAAAAAEAIAAAACABAABk&#10;cnMvZTJvRG9jLnhtbFBLBQYAAAAABgAGAFkBAACbBQAAAAA=&#10;">
              <v:fill on="f" focussize="0,0"/>
              <v:stroke on="f"/>
              <v:imagedata o:title=""/>
              <o:lock v:ext="edit" aspectratio="f"/>
              <v:textbox inset="0mm,0mm,0mm,0mm" style="mso-fit-shape-to-text:t;">
                <w:txbxContent>
                  <w:p>
                    <w:pPr>
                      <w:pStyle w:val="10"/>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5095" cy="26479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5095" cy="264795"/>
                      </a:xfrm>
                      <a:prstGeom prst="rect">
                        <a:avLst/>
                      </a:prstGeom>
                      <a:noFill/>
                      <a:ln>
                        <a:noFill/>
                      </a:ln>
                    </wps:spPr>
                    <wps:txbx>
                      <w:txbxContent>
                        <w:p>
                          <w:pPr>
                            <w:pStyle w:val="10"/>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85pt;width:9.85pt;mso-position-horizontal:center;mso-position-horizontal-relative:margin;mso-wrap-style:none;z-index:251663360;mso-width-relative:page;mso-height-relative:page;" filled="f" stroked="f" coordsize="21600,21600" o:gfxdata="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e8hn0QAAAAMBAAAPAAAAAAAAAAEAIAAAACIAAABkcnMvZG93&#10;bnJldi54bWxQSwECFAAUAAAACACHTuJAH1fgBgcCAAACBAAADgAAAAAAAAABACAAAAAgAQAAZHJz&#10;L2Uyb0RvYy54bWxQSwUGAAAAAAYABgBZAQAAmQUAAAAA&#10;">
              <v:fill on="f" focussize="0,0"/>
              <v:stroke on="f"/>
              <v:imagedata o:title=""/>
              <o:lock v:ext="edit" aspectratio="f"/>
              <v:textbox inset="0mm,0mm,0mm,0mm" style="mso-fit-shape-to-text:t;">
                <w:txbxContent>
                  <w:p>
                    <w:pPr>
                      <w:pStyle w:val="10"/>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251000"/>
    <w:multiLevelType w:val="singleLevel"/>
    <w:tmpl w:val="D5251000"/>
    <w:lvl w:ilvl="0" w:tentative="0">
      <w:start w:val="1"/>
      <w:numFmt w:val="decimal"/>
      <w:suff w:val="nothing"/>
      <w:lvlText w:val="%1、"/>
      <w:lvlJc w:val="left"/>
    </w:lvl>
  </w:abstractNum>
  <w:abstractNum w:abstractNumId="1">
    <w:nsid w:val="D78AFCA1"/>
    <w:multiLevelType w:val="singleLevel"/>
    <w:tmpl w:val="D78AFCA1"/>
    <w:lvl w:ilvl="0" w:tentative="0">
      <w:start w:val="1"/>
      <w:numFmt w:val="decimal"/>
      <w:suff w:val="nothing"/>
      <w:lvlText w:val="%1、"/>
      <w:lvlJc w:val="left"/>
    </w:lvl>
  </w:abstractNum>
  <w:abstractNum w:abstractNumId="2">
    <w:nsid w:val="1BA38356"/>
    <w:multiLevelType w:val="singleLevel"/>
    <w:tmpl w:val="1BA38356"/>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jNmNjNjljN2NhMDFlNGQzMDBjNjYxNTk0OGJjZTcifQ=="/>
  </w:docVars>
  <w:rsids>
    <w:rsidRoot w:val="003566CB"/>
    <w:rsid w:val="000C2907"/>
    <w:rsid w:val="00292BBB"/>
    <w:rsid w:val="002E7E66"/>
    <w:rsid w:val="00344EB4"/>
    <w:rsid w:val="003566CB"/>
    <w:rsid w:val="003C4A54"/>
    <w:rsid w:val="0058318B"/>
    <w:rsid w:val="00BE658E"/>
    <w:rsid w:val="00C030FD"/>
    <w:rsid w:val="00D43BEE"/>
    <w:rsid w:val="01DB0B9A"/>
    <w:rsid w:val="0D396B91"/>
    <w:rsid w:val="1CE30A11"/>
    <w:rsid w:val="45730CF1"/>
    <w:rsid w:val="48E84279"/>
    <w:rsid w:val="4AC30131"/>
    <w:rsid w:val="4FCF1BC0"/>
    <w:rsid w:val="5A7C34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locked/>
    <w:uiPriority w:val="9"/>
    <w:pPr>
      <w:keepNext/>
      <w:keepLines/>
      <w:spacing w:before="260" w:after="260" w:line="413" w:lineRule="auto"/>
      <w:outlineLvl w:val="1"/>
    </w:pPr>
    <w:rPr>
      <w:rFonts w:ascii="Arial" w:hAnsi="Arial" w:eastAsia="黑体"/>
      <w:b/>
      <w:bCs/>
      <w:kern w:val="0"/>
      <w:sz w:val="32"/>
      <w:szCs w:val="32"/>
    </w:rPr>
  </w:style>
  <w:style w:type="paragraph" w:styleId="2">
    <w:name w:val="heading 3"/>
    <w:basedOn w:val="1"/>
    <w:next w:val="1"/>
    <w:qFormat/>
    <w:locked/>
    <w:uiPriority w:val="99"/>
    <w:pPr>
      <w:autoSpaceDE w:val="0"/>
      <w:autoSpaceDN w:val="0"/>
      <w:adjustRightInd w:val="0"/>
      <w:spacing w:before="16"/>
      <w:jc w:val="left"/>
      <w:outlineLvl w:val="2"/>
    </w:pPr>
    <w:rPr>
      <w:rFonts w:ascii="仿宋_GB2312" w:eastAsia="仿宋_GB2312"/>
      <w:b/>
      <w:kern w:val="0"/>
      <w:sz w:val="24"/>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0"/>
    <w:pPr>
      <w:jc w:val="left"/>
    </w:pPr>
  </w:style>
  <w:style w:type="paragraph" w:styleId="6">
    <w:name w:val="Body Text"/>
    <w:basedOn w:val="1"/>
    <w:qFormat/>
    <w:uiPriority w:val="99"/>
    <w:pPr>
      <w:spacing w:after="120"/>
    </w:p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szCs w:val="20"/>
    </w:rPr>
  </w:style>
  <w:style w:type="paragraph" w:styleId="9">
    <w:name w:val="Balloon Text"/>
    <w:basedOn w:val="1"/>
    <w:link w:val="30"/>
    <w:qFormat/>
    <w:uiPriority w:val="99"/>
    <w:rPr>
      <w:sz w:val="18"/>
      <w:szCs w:val="18"/>
    </w:rPr>
  </w:style>
  <w:style w:type="paragraph" w:styleId="10">
    <w:name w:val="footer"/>
    <w:basedOn w:val="1"/>
    <w:link w:val="31"/>
    <w:qFormat/>
    <w:uiPriority w:val="0"/>
    <w:pPr>
      <w:tabs>
        <w:tab w:val="center" w:pos="4153"/>
        <w:tab w:val="right" w:pos="8306"/>
      </w:tabs>
      <w:snapToGrid w:val="0"/>
      <w:jc w:val="left"/>
    </w:pPr>
    <w:rPr>
      <w:rFonts w:ascii="Calibri" w:hAnsi="Calibri"/>
      <w:kern w:val="0"/>
      <w:sz w:val="18"/>
      <w:szCs w:val="18"/>
    </w:rPr>
  </w:style>
  <w:style w:type="paragraph" w:styleId="11">
    <w:name w:val="header"/>
    <w:basedOn w:val="1"/>
    <w:link w:val="3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link w:val="38"/>
    <w:qFormat/>
    <w:locked/>
    <w:uiPriority w:val="10"/>
    <w:pPr>
      <w:spacing w:before="240" w:after="60" w:line="360" w:lineRule="auto"/>
      <w:jc w:val="center"/>
      <w:outlineLvl w:val="0"/>
    </w:pPr>
    <w:rPr>
      <w:rFonts w:ascii="Calibri" w:hAnsi="Calibri"/>
      <w:b/>
      <w:bCs/>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FollowedHyperlink"/>
    <w:basedOn w:val="18"/>
    <w:unhideWhenUsed/>
    <w:qFormat/>
    <w:uiPriority w:val="99"/>
    <w:rPr>
      <w:color w:val="2D64B3"/>
      <w:u w:val="none"/>
    </w:rPr>
  </w:style>
  <w:style w:type="character" w:styleId="21">
    <w:name w:val="Emphasis"/>
    <w:basedOn w:val="18"/>
    <w:qFormat/>
    <w:locked/>
    <w:uiPriority w:val="0"/>
  </w:style>
  <w:style w:type="character" w:styleId="22">
    <w:name w:val="HTML Definition"/>
    <w:basedOn w:val="18"/>
    <w:unhideWhenUsed/>
    <w:qFormat/>
    <w:uiPriority w:val="99"/>
  </w:style>
  <w:style w:type="character" w:styleId="23">
    <w:name w:val="HTML Variable"/>
    <w:basedOn w:val="18"/>
    <w:unhideWhenUsed/>
    <w:qFormat/>
    <w:uiPriority w:val="99"/>
  </w:style>
  <w:style w:type="character" w:styleId="24">
    <w:name w:val="Hyperlink"/>
    <w:basedOn w:val="18"/>
    <w:unhideWhenUsed/>
    <w:qFormat/>
    <w:uiPriority w:val="99"/>
    <w:rPr>
      <w:color w:val="2D64B3"/>
      <w:u w:val="none"/>
    </w:rPr>
  </w:style>
  <w:style w:type="character" w:styleId="25">
    <w:name w:val="HTML Code"/>
    <w:basedOn w:val="18"/>
    <w:unhideWhenUsed/>
    <w:qFormat/>
    <w:uiPriority w:val="99"/>
    <w:rPr>
      <w:rFonts w:hint="eastAsia" w:ascii="Arial" w:hAnsi="Arial" w:cs="Arial"/>
      <w:sz w:val="20"/>
    </w:rPr>
  </w:style>
  <w:style w:type="character" w:styleId="26">
    <w:name w:val="annotation reference"/>
    <w:qFormat/>
    <w:uiPriority w:val="99"/>
    <w:rPr>
      <w:sz w:val="21"/>
      <w:szCs w:val="21"/>
    </w:rPr>
  </w:style>
  <w:style w:type="character" w:styleId="27">
    <w:name w:val="HTML Cite"/>
    <w:basedOn w:val="18"/>
    <w:unhideWhenUsed/>
    <w:qFormat/>
    <w:uiPriority w:val="99"/>
  </w:style>
  <w:style w:type="character" w:styleId="28">
    <w:name w:val="HTML Keyboard"/>
    <w:basedOn w:val="18"/>
    <w:unhideWhenUsed/>
    <w:qFormat/>
    <w:uiPriority w:val="99"/>
    <w:rPr>
      <w:rFonts w:hint="default" w:ascii="Arial" w:hAnsi="Arial" w:cs="Arial"/>
      <w:sz w:val="20"/>
    </w:rPr>
  </w:style>
  <w:style w:type="character" w:styleId="29">
    <w:name w:val="HTML Sample"/>
    <w:basedOn w:val="18"/>
    <w:unhideWhenUsed/>
    <w:qFormat/>
    <w:uiPriority w:val="99"/>
    <w:rPr>
      <w:rFonts w:hint="default" w:ascii="Arial" w:hAnsi="Arial" w:cs="Arial"/>
    </w:rPr>
  </w:style>
  <w:style w:type="character" w:customStyle="1" w:styleId="30">
    <w:name w:val="批注框文本 字符"/>
    <w:basedOn w:val="18"/>
    <w:link w:val="9"/>
    <w:semiHidden/>
    <w:qFormat/>
    <w:locked/>
    <w:uiPriority w:val="99"/>
    <w:rPr>
      <w:rFonts w:ascii="Times New Roman" w:hAnsi="Times New Roman"/>
      <w:kern w:val="2"/>
      <w:sz w:val="18"/>
    </w:rPr>
  </w:style>
  <w:style w:type="character" w:customStyle="1" w:styleId="31">
    <w:name w:val="页脚 字符"/>
    <w:basedOn w:val="18"/>
    <w:link w:val="10"/>
    <w:qFormat/>
    <w:locked/>
    <w:uiPriority w:val="99"/>
    <w:rPr>
      <w:sz w:val="18"/>
    </w:rPr>
  </w:style>
  <w:style w:type="character" w:customStyle="1" w:styleId="32">
    <w:name w:val="页眉 字符"/>
    <w:basedOn w:val="18"/>
    <w:link w:val="11"/>
    <w:qFormat/>
    <w:locked/>
    <w:uiPriority w:val="0"/>
    <w:rPr>
      <w:sz w:val="18"/>
    </w:rPr>
  </w:style>
  <w:style w:type="paragraph" w:customStyle="1" w:styleId="33">
    <w:name w:val="列出段落1"/>
    <w:basedOn w:val="1"/>
    <w:qFormat/>
    <w:uiPriority w:val="0"/>
    <w:pPr>
      <w:ind w:firstLine="420" w:firstLineChars="200"/>
    </w:pPr>
  </w:style>
  <w:style w:type="character" w:customStyle="1" w:styleId="34">
    <w:name w:val="f14w1"/>
    <w:qFormat/>
    <w:uiPriority w:val="99"/>
    <w:rPr>
      <w:b/>
      <w:color w:val="002569"/>
      <w:sz w:val="21"/>
    </w:rPr>
  </w:style>
  <w:style w:type="paragraph" w:customStyle="1" w:styleId="3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6">
    <w:name w:val="列出段落11"/>
    <w:basedOn w:val="1"/>
    <w:qFormat/>
    <w:uiPriority w:val="99"/>
    <w:pPr>
      <w:ind w:firstLine="420" w:firstLineChars="200"/>
    </w:pPr>
  </w:style>
  <w:style w:type="paragraph" w:customStyle="1" w:styleId="37">
    <w:name w:val="列出段落2"/>
    <w:basedOn w:val="1"/>
    <w:qFormat/>
    <w:uiPriority w:val="99"/>
    <w:pPr>
      <w:ind w:firstLine="420" w:firstLineChars="200"/>
    </w:pPr>
    <w:rPr>
      <w:rFonts w:ascii="Calibri" w:hAnsi="Calibri"/>
      <w:szCs w:val="22"/>
    </w:rPr>
  </w:style>
  <w:style w:type="character" w:customStyle="1" w:styleId="38">
    <w:name w:val="标题 字符"/>
    <w:basedOn w:val="18"/>
    <w:link w:val="15"/>
    <w:qFormat/>
    <w:uiPriority w:val="10"/>
    <w:rPr>
      <w:rFonts w:ascii="Calibri" w:hAnsi="Calibri"/>
      <w:b/>
      <w:bCs/>
      <w:kern w:val="2"/>
      <w:sz w:val="32"/>
      <w:szCs w:val="32"/>
    </w:rPr>
  </w:style>
  <w:style w:type="paragraph" w:customStyle="1" w:styleId="39">
    <w:name w:val="1"/>
    <w:basedOn w:val="1"/>
    <w:next w:val="8"/>
    <w:qFormat/>
    <w:uiPriority w:val="0"/>
    <w:rPr>
      <w:rFonts w:ascii="宋体" w:hAnsi="Courier New"/>
      <w:szCs w:val="20"/>
    </w:rPr>
  </w:style>
  <w:style w:type="paragraph" w:customStyle="1" w:styleId="40">
    <w:name w:val="zjb正文"/>
    <w:basedOn w:val="1"/>
    <w:qFormat/>
    <w:uiPriority w:val="0"/>
    <w:pPr>
      <w:spacing w:line="360" w:lineRule="auto"/>
      <w:ind w:firstLine="200" w:firstLineChars="200"/>
    </w:pPr>
    <w:rPr>
      <w:rFonts w:ascii="仿宋_GB2312" w:hAnsi="仿宋" w:eastAsia="仿宋_GB2312"/>
      <w:color w:val="000000"/>
      <w:sz w:val="30"/>
      <w:szCs w:val="30"/>
    </w:rPr>
  </w:style>
  <w:style w:type="paragraph" w:customStyle="1" w:styleId="41">
    <w:name w:val="Default"/>
    <w:unhideWhenUsed/>
    <w:qFormat/>
    <w:uiPriority w:val="99"/>
    <w:pPr>
      <w:widowControl w:val="0"/>
      <w:autoSpaceDE w:val="0"/>
      <w:autoSpaceDN w:val="0"/>
      <w:adjustRightInd w:val="0"/>
    </w:pPr>
    <w:rPr>
      <w:rFonts w:ascii="宋体" w:hAnsi="宋体" w:eastAsia="宋体" w:cstheme="minorBidi"/>
      <w:color w:val="000000"/>
      <w:sz w:val="24"/>
      <w:lang w:val="en-US" w:eastAsia="zh-CN" w:bidi="ar-SA"/>
    </w:rPr>
  </w:style>
  <w:style w:type="paragraph" w:customStyle="1" w:styleId="42">
    <w:name w:val="_Style 4"/>
    <w:basedOn w:val="1"/>
    <w:next w:val="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character" w:customStyle="1" w:styleId="43">
    <w:name w:val="font51"/>
    <w:basedOn w:val="18"/>
    <w:qFormat/>
    <w:uiPriority w:val="0"/>
    <w:rPr>
      <w:rFonts w:ascii="宋体" w:hAnsi="宋体" w:eastAsia="宋体" w:cs="宋体"/>
      <w:color w:val="000000"/>
      <w:sz w:val="22"/>
      <w:szCs w:val="22"/>
      <w:u w:val="none"/>
    </w:rPr>
  </w:style>
  <w:style w:type="character" w:customStyle="1" w:styleId="44">
    <w:name w:val="font01"/>
    <w:basedOn w:val="18"/>
    <w:qFormat/>
    <w:uiPriority w:val="0"/>
    <w:rPr>
      <w:rFonts w:hint="default" w:ascii="Times New Roman Regular" w:hAnsi="Times New Roman Regular" w:eastAsia="Times New Roman Regular" w:cs="Times New Roman Regular"/>
      <w:color w:val="000000"/>
      <w:sz w:val="24"/>
      <w:szCs w:val="24"/>
      <w:u w:val="none"/>
    </w:rPr>
  </w:style>
  <w:style w:type="character" w:customStyle="1" w:styleId="45">
    <w:name w:val="font11"/>
    <w:basedOn w:val="18"/>
    <w:qFormat/>
    <w:uiPriority w:val="0"/>
    <w:rPr>
      <w:rFonts w:hint="eastAsia" w:ascii="宋体" w:hAnsi="宋体" w:eastAsia="宋体" w:cs="宋体"/>
      <w:color w:val="000000"/>
      <w:sz w:val="22"/>
      <w:szCs w:val="22"/>
      <w:u w:val="none"/>
    </w:rPr>
  </w:style>
  <w:style w:type="character" w:customStyle="1" w:styleId="46">
    <w:name w:val="font61"/>
    <w:basedOn w:val="18"/>
    <w:qFormat/>
    <w:uiPriority w:val="99"/>
    <w:rPr>
      <w:rFonts w:ascii="仿宋_GB2312" w:eastAsia="仿宋_GB2312" w:cs="仿宋_GB2312"/>
      <w:color w:val="000000"/>
      <w:sz w:val="32"/>
      <w:szCs w:val="32"/>
      <w:u w:val="none"/>
    </w:rPr>
  </w:style>
  <w:style w:type="character" w:customStyle="1" w:styleId="47">
    <w:name w:val="font31"/>
    <w:qFormat/>
    <w:uiPriority w:val="0"/>
    <w:rPr>
      <w:rFonts w:hint="eastAsia" w:ascii="宋体" w:hAnsi="宋体" w:eastAsia="宋体" w:cs="宋体"/>
      <w:b/>
      <w:color w:val="000000"/>
      <w:sz w:val="24"/>
      <w:szCs w:val="24"/>
      <w:u w:val="none"/>
    </w:rPr>
  </w:style>
  <w:style w:type="character" w:customStyle="1" w:styleId="48">
    <w:name w:val="font41"/>
    <w:qFormat/>
    <w:uiPriority w:val="0"/>
    <w:rPr>
      <w:rFonts w:hint="eastAsia" w:ascii="宋体" w:hAnsi="宋体" w:eastAsia="宋体" w:cs="宋体"/>
      <w:b/>
      <w:color w:val="000000"/>
      <w:sz w:val="24"/>
      <w:szCs w:val="24"/>
      <w:u w:val="none"/>
    </w:rPr>
  </w:style>
  <w:style w:type="paragraph" w:customStyle="1" w:styleId="49">
    <w:name w:val="Body text|1"/>
    <w:basedOn w:val="1"/>
    <w:qFormat/>
    <w:uiPriority w:val="0"/>
    <w:pPr>
      <w:adjustRightInd w:val="0"/>
      <w:snapToGrid w:val="0"/>
      <w:spacing w:after="200" w:line="427" w:lineRule="auto"/>
      <w:ind w:firstLine="400"/>
      <w:jc w:val="left"/>
    </w:pPr>
    <w:rPr>
      <w:rFonts w:ascii="宋体" w:hAnsi="宋体" w:cs="宋体"/>
      <w:kern w:val="0"/>
      <w:sz w:val="22"/>
      <w:szCs w:val="22"/>
      <w:lang w:val="zh-TW" w:eastAsia="zh-TW" w:bidi="zh-TW"/>
    </w:rPr>
  </w:style>
  <w:style w:type="paragraph" w:customStyle="1" w:styleId="50">
    <w:name w:val="Header or footer|1"/>
    <w:basedOn w:val="1"/>
    <w:qFormat/>
    <w:uiPriority w:val="0"/>
    <w:pPr>
      <w:adjustRightInd w:val="0"/>
      <w:snapToGrid w:val="0"/>
      <w:spacing w:after="200"/>
      <w:jc w:val="left"/>
    </w:pPr>
    <w:rPr>
      <w:rFonts w:ascii="宋体" w:hAnsi="宋体" w:cs="宋体"/>
      <w:kern w:val="0"/>
      <w:sz w:val="18"/>
      <w:szCs w:val="18"/>
      <w:lang w:val="zh-TW" w:eastAsia="zh-TW" w:bidi="zh-TW"/>
    </w:rPr>
  </w:style>
  <w:style w:type="paragraph" w:customStyle="1" w:styleId="51">
    <w:name w:val="页眉1"/>
    <w:basedOn w:val="1"/>
    <w:qFormat/>
    <w:uiPriority w:val="0"/>
    <w:pPr>
      <w:widowControl/>
      <w:pBdr>
        <w:bottom w:val="single" w:color="auto" w:sz="6" w:space="1"/>
      </w:pBdr>
      <w:tabs>
        <w:tab w:val="center" w:pos="4153"/>
        <w:tab w:val="right" w:pos="8306"/>
      </w:tabs>
      <w:adjustRightInd w:val="0"/>
      <w:snapToGrid w:val="0"/>
      <w:spacing w:after="200"/>
      <w:jc w:val="center"/>
    </w:pPr>
    <w:rPr>
      <w:rFonts w:ascii="Tahoma" w:hAnsi="Tahoma" w:eastAsia="Times New Roman"/>
      <w:kern w:val="0"/>
      <w:sz w:val="18"/>
      <w:szCs w:val="18"/>
    </w:rPr>
  </w:style>
  <w:style w:type="paragraph" w:customStyle="1" w:styleId="52">
    <w:name w:val="Other|1"/>
    <w:basedOn w:val="1"/>
    <w:qFormat/>
    <w:uiPriority w:val="0"/>
    <w:pPr>
      <w:adjustRightInd w:val="0"/>
      <w:snapToGrid w:val="0"/>
      <w:spacing w:after="200" w:line="455" w:lineRule="exact"/>
      <w:ind w:firstLine="520"/>
      <w:jc w:val="left"/>
    </w:pPr>
    <w:rPr>
      <w:rFonts w:ascii="宋体" w:hAnsi="宋体" w:cs="宋体"/>
      <w:kern w:val="0"/>
      <w:sz w:val="20"/>
      <w:szCs w:val="20"/>
      <w:lang w:val="zh-TW" w:eastAsia="zh-TW" w:bidi="zh-TW"/>
    </w:rPr>
  </w:style>
  <w:style w:type="paragraph" w:customStyle="1" w:styleId="53">
    <w:name w:val="Body text|2"/>
    <w:basedOn w:val="1"/>
    <w:qFormat/>
    <w:uiPriority w:val="0"/>
    <w:pPr>
      <w:adjustRightInd w:val="0"/>
      <w:snapToGrid w:val="0"/>
      <w:spacing w:after="200" w:line="245" w:lineRule="exact"/>
      <w:jc w:val="left"/>
    </w:pPr>
    <w:rPr>
      <w:rFonts w:ascii="宋体" w:hAnsi="宋体" w:cs="宋体"/>
      <w:kern w:val="0"/>
      <w:sz w:val="18"/>
      <w:szCs w:val="18"/>
      <w:lang w:val="zh-TW" w:eastAsia="zh-TW" w:bidi="zh-TW"/>
    </w:rPr>
  </w:style>
  <w:style w:type="paragraph" w:customStyle="1" w:styleId="54">
    <w:name w:val="页脚1"/>
    <w:basedOn w:val="1"/>
    <w:qFormat/>
    <w:uiPriority w:val="0"/>
    <w:pPr>
      <w:widowControl/>
      <w:tabs>
        <w:tab w:val="center" w:pos="4153"/>
        <w:tab w:val="right" w:pos="8306"/>
      </w:tabs>
      <w:adjustRightInd w:val="0"/>
      <w:snapToGrid w:val="0"/>
      <w:spacing w:after="200"/>
      <w:jc w:val="left"/>
    </w:pPr>
    <w:rPr>
      <w:rFonts w:ascii="Tahoma" w:hAnsi="Tahoma" w:eastAsia="Times New Roman"/>
      <w:kern w:val="0"/>
      <w:sz w:val="18"/>
      <w:szCs w:val="18"/>
    </w:rPr>
  </w:style>
  <w:style w:type="paragraph" w:customStyle="1" w:styleId="55">
    <w:name w:val="正文（缩进）"/>
    <w:basedOn w:val="1"/>
    <w:next w:val="1"/>
    <w:qFormat/>
    <w:uiPriority w:val="0"/>
    <w:pPr>
      <w:widowControl/>
      <w:adjustRightInd w:val="0"/>
      <w:snapToGrid w:val="0"/>
      <w:spacing w:before="156" w:after="156" w:line="360" w:lineRule="auto"/>
      <w:ind w:firstLine="480" w:firstLineChars="200"/>
      <w:jc w:val="left"/>
    </w:pPr>
    <w:rPr>
      <w:rFonts w:ascii="仿宋" w:hAnsi="仿宋" w:eastAsia="微软雅黑"/>
      <w:kern w:val="0"/>
      <w:sz w:val="28"/>
      <w:lang w:bidi="th-TH"/>
    </w:rPr>
  </w:style>
  <w:style w:type="paragraph" w:customStyle="1" w:styleId="56">
    <w:name w:val="Heading #1|1"/>
    <w:basedOn w:val="1"/>
    <w:qFormat/>
    <w:uiPriority w:val="0"/>
    <w:pPr>
      <w:adjustRightInd w:val="0"/>
      <w:snapToGrid w:val="0"/>
      <w:spacing w:before="320" w:after="200"/>
      <w:jc w:val="center"/>
      <w:outlineLvl w:val="0"/>
    </w:pPr>
    <w:rPr>
      <w:rFonts w:ascii="宋体" w:hAnsi="宋体" w:cs="宋体"/>
      <w:kern w:val="0"/>
      <w:sz w:val="36"/>
      <w:szCs w:val="36"/>
      <w:lang w:val="zh-TW" w:eastAsia="zh-TW" w:bidi="zh-TW"/>
    </w:rPr>
  </w:style>
  <w:style w:type="paragraph" w:customStyle="1" w:styleId="57">
    <w:name w:val="Body text|3"/>
    <w:basedOn w:val="1"/>
    <w:qFormat/>
    <w:uiPriority w:val="0"/>
    <w:pPr>
      <w:adjustRightInd w:val="0"/>
      <w:snapToGrid w:val="0"/>
      <w:spacing w:after="200"/>
      <w:ind w:hanging="1280"/>
      <w:jc w:val="left"/>
    </w:pPr>
    <w:rPr>
      <w:rFonts w:ascii="Tahoma" w:hAnsi="Tahoma" w:eastAsia="微软雅黑"/>
      <w:kern w:val="0"/>
      <w:sz w:val="20"/>
      <w:szCs w:val="20"/>
      <w:lang w:val="zh-CN"/>
    </w:rPr>
  </w:style>
  <w:style w:type="paragraph" w:customStyle="1" w:styleId="58">
    <w:name w:val="页眉2"/>
    <w:basedOn w:val="1"/>
    <w:qFormat/>
    <w:uiPriority w:val="0"/>
    <w:pPr>
      <w:widowControl/>
      <w:pBdr>
        <w:bottom w:val="single" w:color="auto" w:sz="6" w:space="1"/>
      </w:pBdr>
      <w:tabs>
        <w:tab w:val="center" w:pos="4153"/>
        <w:tab w:val="right" w:pos="8306"/>
      </w:tabs>
      <w:adjustRightInd w:val="0"/>
      <w:snapToGrid w:val="0"/>
      <w:spacing w:after="200"/>
      <w:jc w:val="center"/>
    </w:pPr>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30628</Words>
  <Characters>32609</Characters>
  <Lines>247</Lines>
  <Paragraphs>69</Paragraphs>
  <TotalTime>28</TotalTime>
  <ScaleCrop>false</ScaleCrop>
  <LinksUpToDate>false</LinksUpToDate>
  <CharactersWithSpaces>33446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2022-04-27T15:51:00Z</dcterms:created>
  <dc:creator>Avery</dc:creator>
  <cp:lastModifiedBy>Zhengyu</cp:lastModifiedBy>
  <cp:lastPrinted>2022-04-28T01:08:00Z</cp:lastPrinted>
  <dcterms:modified xsi:type="dcterms:W3CDTF">2022-04-28T09:03:07Z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SaveFontToCloudKey">
    <vt:lpwstr>230241869_btnclosed</vt:lpwstr>
  </property>
  <property fmtid="{D5CDD505-2E9C-101B-9397-08002B2CF9AE}" pid="4" name="ICV">
    <vt:lpwstr>756263C08A9E412CA35DA55A8CBB7063</vt:lpwstr>
  </property>
</Properties>
</file>