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b/>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b/>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eastAsia="方正小标宋_GBK" w:cs="Times New Roman"/>
          <w:color w:val="000000" w:themeColor="text1"/>
          <w:sz w:val="44"/>
          <w:szCs w:val="44"/>
          <w:lang w:val="en-US" w:eastAsia="zh-CN"/>
          <w14:textFill>
            <w14:solidFill>
              <w14:schemeClr w14:val="tx1"/>
            </w14:solidFill>
          </w14:textFill>
        </w:rPr>
      </w:pPr>
      <w:r>
        <w:rPr>
          <w:rFonts w:hint="eastAsia" w:eastAsia="方正小标宋_GBK" w:cs="Times New Roman"/>
          <w:color w:val="000000" w:themeColor="text1"/>
          <w:sz w:val="44"/>
          <w:szCs w:val="44"/>
          <w:lang w:val="en-US" w:eastAsia="zh-CN"/>
          <w14:textFill>
            <w14:solidFill>
              <w14:schemeClr w14:val="tx1"/>
            </w14:solidFill>
          </w14:textFill>
        </w:rPr>
        <w:t>重庆空港航空地面服务有限公司</w:t>
      </w:r>
    </w:p>
    <w:p>
      <w:pPr>
        <w:keepNext w:val="0"/>
        <w:keepLines w:val="0"/>
        <w:pageBreakBefore w:val="0"/>
        <w:kinsoku/>
        <w:wordWrap/>
        <w:overflowPunct/>
        <w:topLinePunct w:val="0"/>
        <w:bidi w:val="0"/>
        <w:spacing w:line="560" w:lineRule="exact"/>
        <w:ind w:right="-313" w:rightChars="-149"/>
        <w:jc w:val="cente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eastAsia" w:eastAsia="方正小标宋_GBK" w:cs="Times New Roman"/>
          <w:color w:val="000000" w:themeColor="text1"/>
          <w:sz w:val="44"/>
          <w:szCs w:val="44"/>
          <w:lang w:val="en-US" w:eastAsia="zh-CN"/>
          <w14:textFill>
            <w14:solidFill>
              <w14:schemeClr w14:val="tx1"/>
            </w14:solidFill>
          </w14:textFill>
        </w:rPr>
        <w:t>防疫物资框架供应商入围采购</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项目</w:t>
      </w:r>
    </w:p>
    <w:p>
      <w:pPr>
        <w:keepNext w:val="0"/>
        <w:keepLines w:val="0"/>
        <w:pageBreakBefore w:val="0"/>
        <w:kinsoku/>
        <w:wordWrap/>
        <w:overflowPunct/>
        <w:topLinePunct w:val="0"/>
        <w:bidi w:val="0"/>
        <w:spacing w:line="560" w:lineRule="exact"/>
        <w:ind w:right="-313" w:rightChars="-149"/>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比选</w:t>
      </w:r>
      <w:r>
        <w:rPr>
          <w:rFonts w:hint="eastAsia" w:eastAsia="方正小标宋_GBK" w:cs="Times New Roman"/>
          <w:color w:val="000000" w:themeColor="text1"/>
          <w:sz w:val="44"/>
          <w:szCs w:val="44"/>
          <w:lang w:eastAsia="zh-CN"/>
          <w14:textFill>
            <w14:solidFill>
              <w14:schemeClr w14:val="tx1"/>
            </w14:solidFill>
          </w14:textFill>
        </w:rPr>
        <w:t>采购</w:t>
      </w:r>
      <w:r>
        <w:rPr>
          <w:rFonts w:hint="default" w:ascii="Times New Roman" w:hAnsi="Times New Roman" w:eastAsia="方正小标宋_GBK" w:cs="Times New Roman"/>
          <w:color w:val="000000" w:themeColor="text1"/>
          <w:sz w:val="44"/>
          <w:szCs w:val="44"/>
          <w14:textFill>
            <w14:solidFill>
              <w14:schemeClr w14:val="tx1"/>
            </w14:solidFill>
          </w14:textFill>
        </w:rPr>
        <w:t>文件</w:t>
      </w:r>
    </w:p>
    <w:p>
      <w:pPr>
        <w:keepNext w:val="0"/>
        <w:keepLines w:val="0"/>
        <w:pageBreakBefore w:val="0"/>
        <w:kinsoku/>
        <w:wordWrap/>
        <w:overflowPunct/>
        <w:topLinePunct w:val="0"/>
        <w:bidi w:val="0"/>
        <w:spacing w:line="560" w:lineRule="exact"/>
        <w:jc w:val="center"/>
        <w:rPr>
          <w:rFonts w:hint="eastAsia"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b/>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编号：</w:t>
      </w:r>
      <w:r>
        <w:rPr>
          <w:rFonts w:hint="eastAsia" w:eastAsia="方正仿宋_GBK" w:cs="Times New Roman"/>
          <w:color w:val="000000" w:themeColor="text1"/>
          <w:sz w:val="32"/>
          <w:szCs w:val="32"/>
          <w:lang w:val="en-US" w:eastAsia="zh-CN"/>
          <w14:textFill>
            <w14:solidFill>
              <w14:schemeClr w14:val="tx1"/>
            </w14:solidFill>
          </w14:textFill>
        </w:rPr>
        <w:t>KJ22001</w:t>
      </w:r>
    </w:p>
    <w:p>
      <w:pPr>
        <w:keepNext w:val="0"/>
        <w:keepLines w:val="0"/>
        <w:pageBreakBefore w:val="0"/>
        <w:kinsoku/>
        <w:wordWrap/>
        <w:overflowPunct/>
        <w:topLinePunct w:val="0"/>
        <w:bidi w:val="0"/>
        <w:spacing w:line="560" w:lineRule="exact"/>
        <w:rPr>
          <w:rFonts w:hint="default"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p>
    <w:p>
      <w:pPr>
        <w:pStyle w:val="2"/>
        <w:keepNext w:val="0"/>
        <w:keepLines w:val="0"/>
        <w:pageBreakBefore w:val="0"/>
        <w:kinsoku/>
        <w:wordWrap/>
        <w:overflowPunct/>
        <w:topLinePunct w:val="0"/>
        <w:bidi w:val="0"/>
        <w:spacing w:line="560" w:lineRule="exact"/>
        <w:rPr>
          <w:rFonts w:hint="default"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60" w:lineRule="exact"/>
        <w:rPr>
          <w:rFonts w:hint="default" w:ascii="Times New Roman" w:hAnsi="Times New Roman" w:eastAsia="仿宋" w:cs="Times New Roman"/>
          <w:b/>
          <w:color w:val="000000" w:themeColor="text1"/>
          <w:sz w:val="32"/>
          <w:szCs w:val="32"/>
          <w14:textFill>
            <w14:solidFill>
              <w14:schemeClr w14:val="tx1"/>
            </w14:solidFill>
          </w14:textFill>
        </w:rPr>
      </w:pPr>
    </w:p>
    <w:p>
      <w:pPr>
        <w:pStyle w:val="2"/>
        <w:keepNext w:val="0"/>
        <w:keepLines w:val="0"/>
        <w:pageBreakBefore w:val="0"/>
        <w:kinsoku/>
        <w:wordWrap/>
        <w:overflowPunct/>
        <w:topLinePunct w:val="0"/>
        <w:bidi w:val="0"/>
        <w:spacing w:line="560" w:lineRule="exact"/>
        <w:rPr>
          <w:rFonts w:hint="default"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60" w:lineRule="exact"/>
        <w:rPr>
          <w:rFonts w:hint="default" w:ascii="Times New Roman" w:hAnsi="Times New Roman" w:eastAsia="仿宋" w:cs="Times New Roman"/>
          <w:b/>
          <w:color w:val="000000" w:themeColor="text1"/>
          <w:sz w:val="32"/>
          <w:szCs w:val="32"/>
          <w14:textFill>
            <w14:solidFill>
              <w14:schemeClr w14:val="tx1"/>
            </w14:solidFill>
          </w14:textFill>
        </w:rPr>
      </w:pPr>
    </w:p>
    <w:p>
      <w:pPr>
        <w:pStyle w:val="2"/>
        <w:keepNext w:val="0"/>
        <w:keepLines w:val="0"/>
        <w:pageBreakBefore w:val="0"/>
        <w:kinsoku/>
        <w:wordWrap/>
        <w:overflowPunct/>
        <w:topLinePunct w:val="0"/>
        <w:bidi w:val="0"/>
        <w:spacing w:line="560" w:lineRule="exact"/>
        <w:rPr>
          <w:rFonts w:hint="default"/>
        </w:rPr>
      </w:pPr>
    </w:p>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eastAsia="方正仿宋_GBK" w:cs="Times New Roman"/>
          <w:color w:val="000000" w:themeColor="text1"/>
          <w:sz w:val="32"/>
          <w:szCs w:val="32"/>
          <w:lang w:eastAsia="zh-CN"/>
          <w14:textFill>
            <w14:solidFill>
              <w14:schemeClr w14:val="tx1"/>
            </w14:solidFill>
          </w14:textFill>
        </w:rPr>
        <w:t>重庆空港航空地面服务</w:t>
      </w:r>
      <w:r>
        <w:rPr>
          <w:rFonts w:hint="default" w:ascii="Times New Roman" w:hAnsi="Times New Roman" w:eastAsia="方正仿宋_GBK" w:cs="Times New Roman"/>
          <w:color w:val="000000" w:themeColor="text1"/>
          <w:sz w:val="32"/>
          <w:szCs w:val="32"/>
          <w14:textFill>
            <w14:solidFill>
              <w14:schemeClr w14:val="tx1"/>
            </w14:solidFill>
          </w14:textFill>
        </w:rPr>
        <w:t>有限公司</w:t>
      </w:r>
    </w:p>
    <w:p>
      <w:pPr>
        <w:keepNext w:val="0"/>
        <w:keepLines w:val="0"/>
        <w:pageBreakBefore w:val="0"/>
        <w:kinsoku/>
        <w:wordWrap/>
        <w:overflowPunct/>
        <w:topLinePunct w:val="0"/>
        <w:bidi w:val="0"/>
        <w:spacing w:line="560" w:lineRule="exact"/>
        <w:ind w:firstLine="3200" w:firstLineChars="10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eastAsia"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月</w:t>
      </w:r>
    </w:p>
    <w:p>
      <w:pPr>
        <w:pStyle w:val="7"/>
        <w:keepNext w:val="0"/>
        <w:keepLines w:val="0"/>
        <w:pageBreakBefore w:val="0"/>
        <w:kinsoku/>
        <w:wordWrap/>
        <w:overflowPunct/>
        <w:topLinePunct w:val="0"/>
        <w:bidi w:val="0"/>
        <w:spacing w:line="560" w:lineRule="exact"/>
        <w:rPr>
          <w:rFonts w:hint="default" w:ascii="Times New Roman" w:hAnsi="Times New Roman"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60" w:lineRule="exact"/>
        <w:jc w:val="both"/>
        <w:textAlignment w:val="auto"/>
        <w:rPr>
          <w:rFonts w:hint="eastAsia" w:asciiTheme="majorEastAsia" w:hAnsiTheme="majorEastAsia" w:eastAsiaTheme="majorEastAsia" w:cstheme="majorEastAsia"/>
          <w:color w:val="000000" w:themeColor="text1"/>
          <w:sz w:val="32"/>
          <w:szCs w:val="32"/>
          <w14:textFill>
            <w14:solidFill>
              <w14:schemeClr w14:val="tx1"/>
            </w14:solidFill>
          </w14:textFill>
        </w:rPr>
      </w:pPr>
    </w:p>
    <w:p>
      <w:pPr>
        <w:pStyle w:val="2"/>
        <w:rPr>
          <w:rFonts w:hint="eastAsia"/>
        </w:rPr>
      </w:pPr>
    </w:p>
    <w:p>
      <w:pPr>
        <w:keepNext w:val="0"/>
        <w:keepLines w:val="0"/>
        <w:pageBreakBefore w:val="0"/>
        <w:kinsoku/>
        <w:wordWrap/>
        <w:overflowPunct/>
        <w:topLinePunct w:val="0"/>
        <w:bidi w:val="0"/>
        <w:spacing w:line="560" w:lineRule="exact"/>
        <w:jc w:val="center"/>
        <w:textAlignment w:val="auto"/>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重庆空港航空地面服务有限公司</w:t>
      </w:r>
    </w:p>
    <w:p>
      <w:pPr>
        <w:keepNext w:val="0"/>
        <w:keepLines w:val="0"/>
        <w:pageBreakBefore w:val="0"/>
        <w:kinsoku/>
        <w:wordWrap/>
        <w:overflowPunct/>
        <w:topLinePunct w:val="0"/>
        <w:bidi w:val="0"/>
        <w:spacing w:line="560" w:lineRule="exact"/>
        <w:jc w:val="center"/>
        <w:textAlignment w:val="auto"/>
        <w:rPr>
          <w:rFonts w:hint="eastAsia"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防疫物资框架供应商入围采购项目</w:t>
      </w:r>
      <w:r>
        <w:rPr>
          <w:rFonts w:hint="eastAsia" w:ascii="方正小标宋_GBK" w:hAnsi="方正小标宋_GBK" w:eastAsia="方正小标宋_GBK" w:cs="方正小标宋_GBK"/>
          <w:color w:val="000000" w:themeColor="text1"/>
          <w:sz w:val="32"/>
          <w:szCs w:val="32"/>
          <w14:textFill>
            <w14:solidFill>
              <w14:schemeClr w14:val="tx1"/>
            </w14:solidFill>
          </w14:textFill>
        </w:rPr>
        <w:t>比选</w:t>
      </w:r>
      <w:r>
        <w:rPr>
          <w:rFonts w:hint="eastAsia" w:ascii="方正小标宋_GBK" w:hAnsi="方正小标宋_GBK" w:eastAsia="方正小标宋_GBK" w:cs="方正小标宋_GBK"/>
          <w:color w:val="000000" w:themeColor="text1"/>
          <w:sz w:val="32"/>
          <w:szCs w:val="32"/>
          <w:lang w:eastAsia="zh-CN"/>
          <w14:textFill>
            <w14:solidFill>
              <w14:schemeClr w14:val="tx1"/>
            </w14:solidFill>
          </w14:textFill>
        </w:rPr>
        <w:t>采购</w:t>
      </w:r>
      <w:r>
        <w:rPr>
          <w:rFonts w:hint="eastAsia" w:ascii="方正小标宋_GBK" w:hAnsi="方正小标宋_GBK" w:eastAsia="方正小标宋_GBK" w:cs="方正小标宋_GBK"/>
          <w:color w:val="000000" w:themeColor="text1"/>
          <w:sz w:val="32"/>
          <w:szCs w:val="32"/>
          <w14:textFill>
            <w14:solidFill>
              <w14:schemeClr w14:val="tx1"/>
            </w14:solidFill>
          </w14:textFill>
        </w:rPr>
        <w:t>文件</w:t>
      </w:r>
    </w:p>
    <w:p>
      <w:pPr>
        <w:keepNext w:val="0"/>
        <w:keepLines w:val="0"/>
        <w:pageBreakBefore w:val="0"/>
        <w:widowControl/>
        <w:kinsoku/>
        <w:wordWrap/>
        <w:overflowPunct/>
        <w:topLinePunct w:val="0"/>
        <w:bidi w:val="0"/>
        <w:spacing w:line="560" w:lineRule="exact"/>
        <w:ind w:firstLine="600" w:firstLineChars="200"/>
        <w:jc w:val="left"/>
        <w:textAlignment w:val="auto"/>
        <w:outlineLvl w:val="9"/>
        <w:rPr>
          <w:rFonts w:hint="eastAsia" w:ascii="方正小标宋_GBK" w:hAnsi="方正小标宋_GBK" w:eastAsia="方正小标宋_GBK" w:cs="方正小标宋_GBK"/>
          <w:color w:val="000000" w:themeColor="text1"/>
          <w:sz w:val="30"/>
          <w:szCs w:val="30"/>
          <w14:textFill>
            <w14:solidFill>
              <w14:schemeClr w14:val="tx1"/>
            </w14:solidFill>
          </w14:textFill>
        </w:rPr>
      </w:pPr>
    </w:p>
    <w:p>
      <w:pPr>
        <w:keepNext w:val="0"/>
        <w:keepLines w:val="0"/>
        <w:pageBreakBefore w:val="0"/>
        <w:widowControl/>
        <w:kinsoku/>
        <w:wordWrap/>
        <w:overflowPunct/>
        <w:topLinePunct w:val="0"/>
        <w:bidi w:val="0"/>
        <w:spacing w:line="560" w:lineRule="exact"/>
        <w:ind w:firstLine="560" w:firstLineChars="200"/>
        <w:jc w:val="left"/>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重庆空港航空地面服务有限公司拟</w:t>
      </w:r>
      <w:r>
        <w:rPr>
          <w:rFonts w:hint="eastAsia" w:ascii="仿宋_GB2312" w:hAnsi="仿宋_GB2312" w:eastAsia="仿宋_GB2312" w:cs="仿宋_GB2312"/>
          <w:color w:val="000000" w:themeColor="text1"/>
          <w:sz w:val="28"/>
          <w:szCs w:val="28"/>
          <w14:textFill>
            <w14:solidFill>
              <w14:schemeClr w14:val="tx1"/>
            </w14:solidFill>
          </w14:textFill>
        </w:rPr>
        <w:t>决定于近期</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实施防疫物资框架供应商入围采购项目，现邀请符合相应条件的机构参与本次项目的比选。</w:t>
      </w:r>
    </w:p>
    <w:p>
      <w:pPr>
        <w:keepNext w:val="0"/>
        <w:keepLines w:val="0"/>
        <w:pageBreakBefore w:val="0"/>
        <w:widowControl/>
        <w:numPr>
          <w:ilvl w:val="0"/>
          <w:numId w:val="0"/>
        </w:numPr>
        <w:kinsoku/>
        <w:wordWrap/>
        <w:overflowPunct/>
        <w:topLinePunct w:val="0"/>
        <w:bidi w:val="0"/>
        <w:spacing w:line="560" w:lineRule="exact"/>
        <w:ind w:firstLine="560" w:firstLineChars="200"/>
        <w:jc w:val="left"/>
        <w:textAlignment w:val="auto"/>
        <w:outlineLvl w:val="9"/>
        <w:rPr>
          <w:rFonts w:hint="eastAsia" w:ascii="黑体" w:hAnsi="黑体" w:eastAsia="黑体" w:cs="黑体"/>
          <w:color w:val="000000" w:themeColor="text1"/>
          <w:kern w:val="0"/>
          <w:sz w:val="28"/>
          <w:szCs w:val="28"/>
          <w14:textFill>
            <w14:solidFill>
              <w14:schemeClr w14:val="tx1"/>
            </w14:solidFill>
          </w14:textFill>
        </w:rPr>
      </w:pPr>
      <w:bookmarkStart w:id="0" w:name="_Toc9666"/>
      <w:r>
        <w:rPr>
          <w:rFonts w:hint="eastAsia" w:ascii="黑体" w:hAnsi="黑体" w:eastAsia="黑体" w:cs="黑体"/>
          <w:color w:val="000000" w:themeColor="text1"/>
          <w:kern w:val="0"/>
          <w:sz w:val="28"/>
          <w:szCs w:val="28"/>
          <w:lang w:val="en-US" w:eastAsia="zh-CN"/>
          <w14:textFill>
            <w14:solidFill>
              <w14:schemeClr w14:val="tx1"/>
            </w14:solidFill>
          </w14:textFill>
        </w:rPr>
        <w:t>1.</w:t>
      </w:r>
      <w:r>
        <w:rPr>
          <w:rFonts w:hint="eastAsia" w:ascii="黑体" w:hAnsi="黑体" w:eastAsia="黑体" w:cs="黑体"/>
          <w:color w:val="000000" w:themeColor="text1"/>
          <w:kern w:val="0"/>
          <w:sz w:val="28"/>
          <w:szCs w:val="28"/>
          <w14:textFill>
            <w14:solidFill>
              <w14:schemeClr w14:val="tx1"/>
            </w14:solidFill>
          </w14:textFill>
        </w:rPr>
        <w:t>项目实施内容及要求</w:t>
      </w:r>
    </w:p>
    <w:p>
      <w:pPr>
        <w:keepNext w:val="0"/>
        <w:keepLines w:val="0"/>
        <w:pageBreakBefore w:val="0"/>
        <w:kinsoku/>
        <w:wordWrap/>
        <w:overflowPunct/>
        <w:topLinePunct w:val="0"/>
        <w:bidi w:val="0"/>
        <w:snapToGrid w:val="0"/>
        <w:spacing w:line="560" w:lineRule="exact"/>
        <w:ind w:firstLine="562" w:firstLineChars="200"/>
        <w:textAlignment w:val="auto"/>
        <w:rPr>
          <w:rStyle w:val="25"/>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Style w:val="25"/>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1.1 比选响应人资格要求</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5"/>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5"/>
          <w:rFonts w:hint="eastAsia" w:ascii="仿宋_GB2312" w:hAnsi="仿宋_GB2312" w:eastAsia="仿宋_GB2312" w:cs="仿宋_GB2312"/>
          <w:color w:val="000000" w:themeColor="text1"/>
          <w:sz w:val="28"/>
          <w:szCs w:val="28"/>
          <w14:textFill>
            <w14:solidFill>
              <w14:schemeClr w14:val="tx1"/>
            </w14:solidFill>
          </w14:textFill>
        </w:rPr>
        <w:t xml:space="preserve">1.1.1 </w:t>
      </w:r>
      <w:r>
        <w:rPr>
          <w:rStyle w:val="25"/>
          <w:rFonts w:hint="eastAsia" w:ascii="仿宋_GB2312" w:hAnsi="仿宋_GB2312" w:eastAsia="仿宋_GB2312" w:cs="仿宋_GB2312"/>
          <w:color w:val="000000" w:themeColor="text1"/>
          <w:sz w:val="28"/>
          <w:szCs w:val="28"/>
          <w:lang w:eastAsia="zh-CN"/>
          <w14:textFill>
            <w14:solidFill>
              <w14:schemeClr w14:val="tx1"/>
            </w14:solidFill>
          </w14:textFill>
        </w:rPr>
        <w:t>具备有效的三证合一营业执照，且</w:t>
      </w:r>
      <w:r>
        <w:rPr>
          <w:rStyle w:val="25"/>
          <w:rFonts w:hint="eastAsia" w:ascii="仿宋_GB2312" w:hAnsi="仿宋_GB2312" w:eastAsia="仿宋_GB2312" w:cs="仿宋_GB2312"/>
          <w:color w:val="000000" w:themeColor="text1"/>
          <w:sz w:val="28"/>
          <w:szCs w:val="28"/>
          <w:lang w:val="en-US" w:eastAsia="zh-CN"/>
          <w14:textFill>
            <w14:solidFill>
              <w14:schemeClr w14:val="tx1"/>
            </w14:solidFill>
          </w14:textFill>
        </w:rPr>
        <w:t>经营范围涉及第</w:t>
      </w:r>
      <w:r>
        <w:rPr>
          <w:rStyle w:val="25"/>
          <w:rFonts w:hint="eastAsia" w:ascii="宋体" w:hAnsi="宋体" w:eastAsia="宋体" w:cs="宋体"/>
          <w:color w:val="000000" w:themeColor="text1"/>
          <w:sz w:val="28"/>
          <w:szCs w:val="28"/>
          <w:lang w:val="en-US" w:eastAsia="zh-CN"/>
          <w14:textFill>
            <w14:solidFill>
              <w14:schemeClr w14:val="tx1"/>
            </w14:solidFill>
          </w14:textFill>
        </w:rPr>
        <w:t>Ⅱ</w:t>
      </w:r>
      <w:r>
        <w:rPr>
          <w:rStyle w:val="25"/>
          <w:rFonts w:hint="eastAsia" w:ascii="仿宋_GB2312" w:hAnsi="仿宋_GB2312" w:eastAsia="仿宋_GB2312" w:cs="仿宋_GB2312"/>
          <w:color w:val="000000" w:themeColor="text1"/>
          <w:sz w:val="28"/>
          <w:szCs w:val="28"/>
          <w:lang w:val="en-US" w:eastAsia="zh-CN"/>
          <w14:textFill>
            <w14:solidFill>
              <w14:schemeClr w14:val="tx1"/>
            </w14:solidFill>
          </w14:textFill>
        </w:rPr>
        <w:t>类医疗器械销售。（提供营业执照复印件加盖鲜章）</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b/>
          <w:color w:val="000000" w:themeColor="text1"/>
          <w:sz w:val="28"/>
          <w:szCs w:val="28"/>
          <w14:textFill>
            <w14:solidFill>
              <w14:schemeClr w14:val="tx1"/>
            </w14:solidFill>
          </w14:textFill>
        </w:rPr>
      </w:pPr>
      <w:r>
        <w:rPr>
          <w:rStyle w:val="25"/>
          <w:rFonts w:hint="eastAsia" w:ascii="仿宋_GB2312" w:hAnsi="仿宋_GB2312" w:eastAsia="仿宋_GB2312" w:cs="仿宋_GB2312"/>
          <w:color w:val="000000" w:themeColor="text1"/>
          <w:sz w:val="28"/>
          <w:szCs w:val="28"/>
          <w14:textFill>
            <w14:solidFill>
              <w14:schemeClr w14:val="tx1"/>
            </w14:solidFill>
          </w14:textFill>
        </w:rPr>
        <w:t>1.1.</w:t>
      </w:r>
      <w:r>
        <w:rPr>
          <w:rStyle w:val="25"/>
          <w:rFonts w:hint="eastAsia" w:ascii="仿宋_GB2312" w:hAnsi="仿宋_GB2312" w:eastAsia="仿宋_GB2312" w:cs="仿宋_GB2312"/>
          <w:color w:val="000000" w:themeColor="text1"/>
          <w:sz w:val="28"/>
          <w:szCs w:val="28"/>
          <w:lang w:val="en-US" w:eastAsia="zh-CN"/>
          <w14:textFill>
            <w14:solidFill>
              <w14:schemeClr w14:val="tx1"/>
            </w14:solidFill>
          </w14:textFill>
        </w:rPr>
        <w:t>2 本项目不接受联合体，不得转包、分包。（提供声明，格式自拟）</w:t>
      </w:r>
    </w:p>
    <w:p>
      <w:pPr>
        <w:keepNext w:val="0"/>
        <w:keepLines w:val="0"/>
        <w:pageBreakBefore w:val="0"/>
        <w:widowControl/>
        <w:kinsoku/>
        <w:wordWrap/>
        <w:overflowPunct/>
        <w:topLinePunct w:val="0"/>
        <w:bidi w:val="0"/>
        <w:spacing w:line="560" w:lineRule="exact"/>
        <w:ind w:firstLine="562" w:firstLineChars="200"/>
        <w:jc w:val="left"/>
        <w:textAlignment w:val="auto"/>
        <w:outlineLvl w:val="9"/>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1.2  项目</w:t>
      </w: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概况及项目要求</w:t>
      </w:r>
    </w:p>
    <w:p>
      <w:pPr>
        <w:keepNext w:val="0"/>
        <w:keepLines w:val="0"/>
        <w:pageBreakBefore w:val="0"/>
        <w:widowControl/>
        <w:kinsoku/>
        <w:wordWrap/>
        <w:overflowPunct/>
        <w:topLinePunct w:val="0"/>
        <w:bidi w:val="0"/>
        <w:spacing w:line="560" w:lineRule="exact"/>
        <w:ind w:firstLine="562" w:firstLineChars="200"/>
        <w:jc w:val="left"/>
        <w:textAlignment w:val="auto"/>
        <w:outlineLvl w:val="9"/>
        <w:rPr>
          <w:rFonts w:hint="default" w:ascii="仿宋_GB2312" w:hAnsi="仿宋_GB2312" w:eastAsia="仿宋_GB2312" w:cs="仿宋_GB2312"/>
          <w:b/>
          <w:bCs/>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1.2.1项目概况：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Style w:val="25"/>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Style w:val="25"/>
          <w:rFonts w:hint="eastAsia" w:ascii="仿宋_GB2312" w:hAnsi="仿宋_GB2312" w:eastAsia="仿宋_GB2312" w:cs="仿宋_GB2312"/>
          <w:color w:val="000000" w:themeColor="text1"/>
          <w:sz w:val="28"/>
          <w:szCs w:val="28"/>
          <w:lang w:val="en-US" w:eastAsia="zh-CN"/>
          <w14:textFill>
            <w14:solidFill>
              <w14:schemeClr w14:val="tx1"/>
            </w14:solidFill>
          </w14:textFill>
        </w:rPr>
        <w:t>随着疫情防控的常态化，我司根据行业相关政策文件为保障人员配置防疫物资。</w:t>
      </w:r>
    </w:p>
    <w:p>
      <w:pPr>
        <w:keepNext w:val="0"/>
        <w:keepLines w:val="0"/>
        <w:pageBreakBefore w:val="0"/>
        <w:kinsoku/>
        <w:wordWrap/>
        <w:overflowPunct/>
        <w:topLinePunct w:val="0"/>
        <w:bidi w:val="0"/>
        <w:spacing w:line="560" w:lineRule="exact"/>
        <w:ind w:firstLine="562" w:firstLineChars="200"/>
        <w:textAlignment w:val="auto"/>
        <w:outlineLvl w:val="9"/>
        <w:rPr>
          <w:rStyle w:val="25"/>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Style w:val="25"/>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1.2.2质量要求：</w:t>
      </w:r>
    </w:p>
    <w:p>
      <w:pPr>
        <w:keepNext w:val="0"/>
        <w:keepLines w:val="0"/>
        <w:pageBreakBefore w:val="0"/>
        <w:kinsoku/>
        <w:wordWrap/>
        <w:overflowPunct/>
        <w:topLinePunct w:val="0"/>
        <w:bidi w:val="0"/>
        <w:spacing w:line="560" w:lineRule="exact"/>
        <w:ind w:firstLine="560" w:firstLineChars="200"/>
        <w:textAlignment w:val="auto"/>
        <w:outlineLvl w:val="9"/>
        <w:rPr>
          <w:rStyle w:val="25"/>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Style w:val="25"/>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所有防疫物资均需满足国家标准，具体要求详见</w:t>
      </w:r>
      <w:r>
        <w:rPr>
          <w:rStyle w:val="25"/>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附件一</w:t>
      </w:r>
      <w:r>
        <w:rPr>
          <w:rStyle w:val="25"/>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w:t>
      </w:r>
    </w:p>
    <w:p>
      <w:pPr>
        <w:keepNext w:val="0"/>
        <w:keepLines w:val="0"/>
        <w:pageBreakBefore w:val="0"/>
        <w:kinsoku/>
        <w:wordWrap/>
        <w:overflowPunct/>
        <w:topLinePunct w:val="0"/>
        <w:bidi w:val="0"/>
        <w:spacing w:line="560" w:lineRule="exact"/>
        <w:ind w:firstLine="562" w:firstLineChars="200"/>
        <w:textAlignment w:val="auto"/>
        <w:outlineLvl w:val="9"/>
        <w:rPr>
          <w:rStyle w:val="25"/>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Style w:val="25"/>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1.2.5 报价要求：</w:t>
      </w:r>
    </w:p>
    <w:p>
      <w:pPr>
        <w:keepNext w:val="0"/>
        <w:keepLines w:val="0"/>
        <w:pageBreakBefore w:val="0"/>
        <w:widowControl/>
        <w:kinsoku/>
        <w:wordWrap/>
        <w:overflowPunct/>
        <w:topLinePunct w:val="0"/>
        <w:bidi w:val="0"/>
        <w:spacing w:line="560" w:lineRule="exact"/>
        <w:ind w:firstLine="548" w:firstLineChars="196"/>
        <w:jc w:val="left"/>
        <w:textAlignment w:val="auto"/>
        <w:rPr>
          <w:rStyle w:val="25"/>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5"/>
          <w:rFonts w:hint="eastAsia" w:ascii="仿宋_GB2312" w:hAnsi="仿宋_GB2312" w:eastAsia="仿宋_GB2312" w:cs="仿宋_GB2312"/>
          <w:color w:val="000000" w:themeColor="text1"/>
          <w:sz w:val="28"/>
          <w:szCs w:val="28"/>
          <w:lang w:val="en-US" w:eastAsia="zh-CN"/>
          <w14:textFill>
            <w14:solidFill>
              <w14:schemeClr w14:val="tx1"/>
            </w14:solidFill>
          </w14:textFill>
        </w:rPr>
        <w:t>本项目所涉及到的费用为人民币报价，报价包括完成项目要求的成本费用、劳务费、运输费、和相关税费（除增值税外）等全部费用。因响应人自身原因造成漏报、少报皆由其自行承担责任，比选人不再补偿。报价超过最高限价，将取消比选响应人的比选资格。</w:t>
      </w:r>
    </w:p>
    <w:bookmarkEnd w:id="0"/>
    <w:p>
      <w:pPr>
        <w:keepNext w:val="0"/>
        <w:keepLines w:val="0"/>
        <w:pageBreakBefore w:val="0"/>
        <w:widowControl/>
        <w:kinsoku/>
        <w:wordWrap/>
        <w:overflowPunct/>
        <w:topLinePunct w:val="0"/>
        <w:bidi w:val="0"/>
        <w:spacing w:line="560" w:lineRule="exact"/>
        <w:ind w:firstLine="560" w:firstLineChars="200"/>
        <w:jc w:val="left"/>
        <w:textAlignment w:val="auto"/>
        <w:outlineLvl w:val="9"/>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lang w:val="en-US" w:eastAsia="zh-CN"/>
          <w14:textFill>
            <w14:solidFill>
              <w14:schemeClr w14:val="tx1"/>
            </w14:solidFill>
          </w14:textFill>
        </w:rPr>
        <w:t>二</w:t>
      </w:r>
      <w:r>
        <w:rPr>
          <w:rFonts w:hint="eastAsia" w:ascii="黑体" w:hAnsi="黑体" w:eastAsia="黑体" w:cs="黑体"/>
          <w:color w:val="000000" w:themeColor="text1"/>
          <w:kern w:val="0"/>
          <w:sz w:val="28"/>
          <w:szCs w:val="28"/>
          <w14:textFill>
            <w14:solidFill>
              <w14:schemeClr w14:val="tx1"/>
            </w14:solidFill>
          </w14:textFill>
        </w:rPr>
        <w:t>、成交标准</w:t>
      </w:r>
    </w:p>
    <w:p>
      <w:pPr>
        <w:keepNext w:val="0"/>
        <w:keepLines w:val="0"/>
        <w:pageBreakBefore w:val="0"/>
        <w:kinsoku/>
        <w:wordWrap/>
        <w:overflowPunct/>
        <w:topLinePunct w:val="0"/>
        <w:bidi w:val="0"/>
        <w:spacing w:line="560" w:lineRule="exact"/>
        <w:ind w:firstLine="562" w:firstLineChars="200"/>
        <w:textAlignment w:val="auto"/>
        <w:outlineLvl w:val="9"/>
        <w:rPr>
          <w:rFonts w:hint="eastAsia" w:ascii="仿宋_GB2312" w:hAnsi="仿宋_GB2312" w:eastAsia="仿宋_GB2312" w:cs="仿宋_GB2312"/>
          <w:b/>
          <w:bCs w:val="0"/>
          <w:color w:val="000000" w:themeColor="text1"/>
          <w:sz w:val="28"/>
          <w:szCs w:val="28"/>
          <w:u w:val="singl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14:textFill>
            <w14:solidFill>
              <w14:schemeClr w14:val="tx1"/>
            </w14:solidFill>
          </w14:textFill>
        </w:rPr>
        <w:t>成交人采用综合评分法，</w:t>
      </w:r>
      <w:r>
        <w:rPr>
          <w:rFonts w:hint="eastAsia" w:ascii="仿宋_GB2312" w:hAnsi="仿宋_GB2312" w:eastAsia="仿宋_GB2312" w:cs="仿宋_GB2312"/>
          <w:b/>
          <w:bCs w:val="0"/>
          <w:color w:val="000000" w:themeColor="text1"/>
          <w:sz w:val="28"/>
          <w:szCs w:val="28"/>
          <w:lang w:eastAsia="zh-CN"/>
          <w14:textFill>
            <w14:solidFill>
              <w14:schemeClr w14:val="tx1"/>
            </w14:solidFill>
          </w14:textFill>
        </w:rPr>
        <w:t>按综合得分从高到低的原则确定</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5名成交候选人，综合得分前三名的推荐为成交人。</w:t>
      </w:r>
      <w:r>
        <w:rPr>
          <w:rFonts w:hint="eastAsia" w:ascii="仿宋_GB2312" w:hAnsi="仿宋_GB2312" w:eastAsia="仿宋_GB2312" w:cs="仿宋_GB2312"/>
          <w:b/>
          <w:bCs w:val="0"/>
          <w:color w:val="000000" w:themeColor="text1"/>
          <w:sz w:val="28"/>
          <w:szCs w:val="28"/>
          <w:u w:val="single"/>
          <w:lang w:val="en-US" w:eastAsia="zh-CN"/>
          <w14:textFill>
            <w14:solidFill>
              <w14:schemeClr w14:val="tx1"/>
            </w14:solidFill>
          </w14:textFill>
        </w:rPr>
        <w:t>如采购人有采购需求，在确定的合同有效期内向所有入围的成交人询价，单批次报价的单价不得高于合同所列单价，单批次总价最低的成交人获得该批次订单。</w:t>
      </w:r>
    </w:p>
    <w:p>
      <w:pPr>
        <w:pStyle w:val="2"/>
        <w:jc w:val="both"/>
        <w:rPr>
          <w:rFonts w:hint="default"/>
          <w:lang w:val="en-US" w:eastAsia="zh-CN"/>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 xml:space="preserve">    评分标准详见附件二。</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b w:val="0"/>
          <w:bCs/>
          <w:color w:val="000000" w:themeColor="text1"/>
          <w:kern w:val="0"/>
          <w:sz w:val="28"/>
          <w:szCs w:val="28"/>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14:textFill>
            <w14:solidFill>
              <w14:schemeClr w14:val="tx1"/>
            </w14:solidFill>
          </w14:textFill>
        </w:rPr>
        <w:t>具体</w:t>
      </w:r>
      <w:r>
        <w:rPr>
          <w:rFonts w:hint="eastAsia" w:ascii="仿宋_GB2312" w:hAnsi="仿宋_GB2312" w:eastAsia="仿宋_GB2312" w:cs="仿宋_GB2312"/>
          <w:b w:val="0"/>
          <w:bCs/>
          <w:color w:val="000000" w:themeColor="text1"/>
          <w:sz w:val="28"/>
          <w:szCs w:val="28"/>
          <w14:textFill>
            <w14:solidFill>
              <w14:schemeClr w14:val="tx1"/>
            </w14:solidFill>
          </w14:textFill>
        </w:rPr>
        <w:t>比选规则</w:t>
      </w:r>
      <w:r>
        <w:rPr>
          <w:rFonts w:hint="eastAsia" w:ascii="仿宋_GB2312" w:hAnsi="仿宋_GB2312" w:eastAsia="仿宋_GB2312" w:cs="仿宋_GB2312"/>
          <w:b w:val="0"/>
          <w:bCs/>
          <w:color w:val="000000" w:themeColor="text1"/>
          <w:kern w:val="0"/>
          <w:sz w:val="28"/>
          <w:szCs w:val="28"/>
          <w14:textFill>
            <w14:solidFill>
              <w14:schemeClr w14:val="tx1"/>
            </w14:solidFill>
          </w14:textFill>
        </w:rPr>
        <w:t>如下：</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8"/>
          <w:szCs w:val="28"/>
          <w14:textFill>
            <w14:solidFill>
              <w14:schemeClr w14:val="tx1"/>
            </w14:solidFill>
          </w14:textFill>
        </w:rPr>
        <w:t>.1 递交比选响应文件截止时，比选响应文件少于</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28"/>
          <w:szCs w:val="28"/>
          <w14:textFill>
            <w14:solidFill>
              <w14:schemeClr w14:val="tx1"/>
            </w14:solidFill>
          </w14:textFill>
        </w:rPr>
        <w:t>个的，应停止比选活动，将递交的比选响应文件退还比选响应人，并重新组织比选。重新比选仍然不足</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28"/>
          <w:szCs w:val="28"/>
          <w14:textFill>
            <w14:solidFill>
              <w14:schemeClr w14:val="tx1"/>
            </w14:solidFill>
          </w14:textFill>
        </w:rPr>
        <w:t>个单位的，可以继续进行比选</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.2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经评审，</w:t>
      </w:r>
      <w:r>
        <w:rPr>
          <w:rFonts w:hint="eastAsia" w:ascii="仿宋_GB2312" w:hAnsi="仿宋_GB2312" w:eastAsia="仿宋_GB2312" w:cs="仿宋_GB2312"/>
          <w:color w:val="000000" w:themeColor="text1"/>
          <w:kern w:val="0"/>
          <w:sz w:val="28"/>
          <w:szCs w:val="28"/>
          <w14:textFill>
            <w14:solidFill>
              <w14:schemeClr w14:val="tx1"/>
            </w14:solidFill>
          </w14:textFill>
        </w:rPr>
        <w:t>有效比选响应人不足</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28"/>
          <w:szCs w:val="28"/>
          <w14:textFill>
            <w14:solidFill>
              <w14:schemeClr w14:val="tx1"/>
            </w14:solidFill>
          </w14:textFill>
        </w:rPr>
        <w:t>个的，评审委员会应当否决</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该项目的</w:t>
      </w:r>
      <w:r>
        <w:rPr>
          <w:rFonts w:hint="eastAsia" w:ascii="仿宋_GB2312" w:hAnsi="仿宋_GB2312" w:eastAsia="仿宋_GB2312" w:cs="仿宋_GB2312"/>
          <w:color w:val="000000" w:themeColor="text1"/>
          <w:kern w:val="0"/>
          <w:sz w:val="28"/>
          <w:szCs w:val="28"/>
          <w14:textFill>
            <w14:solidFill>
              <w14:schemeClr w14:val="tx1"/>
            </w14:solidFill>
          </w14:textFill>
        </w:rPr>
        <w:t>比选</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但是有效比选响应人的经济、技术等指标仍然具有市场竞争力，能够满足比选文件要求的，评审委员会可以继续评审，</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按照</w:t>
      </w:r>
      <w:r>
        <w:rPr>
          <w:rFonts w:hint="eastAsia" w:ascii="仿宋_GB2312" w:hAnsi="仿宋_GB2312" w:eastAsia="仿宋_GB2312" w:cs="仿宋_GB2312"/>
          <w:color w:val="000000" w:themeColor="text1"/>
          <w:kern w:val="0"/>
          <w:sz w:val="28"/>
          <w:szCs w:val="28"/>
          <w14:textFill>
            <w14:solidFill>
              <w14:schemeClr w14:val="tx1"/>
            </w14:solidFill>
          </w14:textFill>
        </w:rPr>
        <w:t>综合评分高的原则确定成交候选人。</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三</w:t>
      </w:r>
      <w:r>
        <w:rPr>
          <w:rFonts w:hint="eastAsia" w:ascii="黑体" w:hAnsi="黑体" w:eastAsia="黑体" w:cs="黑体"/>
          <w:b w:val="0"/>
          <w:bCs/>
          <w:color w:val="000000" w:themeColor="text1"/>
          <w:sz w:val="28"/>
          <w:szCs w:val="28"/>
          <w14:textFill>
            <w14:solidFill>
              <w14:schemeClr w14:val="tx1"/>
            </w14:solidFill>
          </w14:textFill>
        </w:rPr>
        <w:t>、比选文件发放的时间及地点</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比选</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采购</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文件及相关资料于2021年</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20</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日</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起在</w:t>
      </w:r>
      <w:r>
        <w:rPr>
          <w:rFonts w:hint="eastAsia" w:ascii="仿宋_GB2312" w:hAnsi="仿宋_GB2312" w:eastAsia="仿宋_GB2312" w:cs="仿宋_GB2312"/>
          <w:color w:val="000000" w:themeColor="text1"/>
          <w:sz w:val="28"/>
          <w:szCs w:val="28"/>
          <w:lang w:eastAsia="zh-CN"/>
          <w14:textFill>
            <w14:solidFill>
              <w14:schemeClr w14:val="tx1"/>
            </w14:solidFill>
          </w14:textFill>
        </w:rPr>
        <w:t>重庆江北机场外网</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https://www.cqa.cn/u/jichang</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发布</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四、比选响应保证金及履约保证金</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比选</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响应</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保证金：</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履约保证金：壹万伍仟元整。（小写：¥15000.00）；</w:t>
      </w:r>
    </w:p>
    <w:p>
      <w:pPr>
        <w:keepNext w:val="0"/>
        <w:keepLines w:val="0"/>
        <w:pageBreakBefore w:val="0"/>
        <w:kinsoku/>
        <w:wordWrap/>
        <w:overflowPunct/>
        <w:topLinePunct w:val="0"/>
        <w:bidi w:val="0"/>
        <w:spacing w:line="560" w:lineRule="exact"/>
        <w:ind w:firstLine="560" w:firstLineChars="200"/>
        <w:textAlignment w:val="auto"/>
        <w:outlineLvl w:val="9"/>
        <w:rPr>
          <w:rFonts w:hint="default"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成交人在收到成交通知书5个工作日内通过银行转账的方式提交到重庆空港航空地面服务有限公司指定账户，项目合同期满后，由成交人提出申请后40天内退还，但不计利息。</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五、服务期</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自签订合同起1年。</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六、</w:t>
      </w:r>
      <w:r>
        <w:rPr>
          <w:rFonts w:hint="eastAsia" w:ascii="黑体" w:hAnsi="黑体" w:eastAsia="黑体" w:cs="黑体"/>
          <w:b w:val="0"/>
          <w:bCs w:val="0"/>
          <w:color w:val="000000" w:themeColor="text1"/>
          <w:sz w:val="28"/>
          <w:szCs w:val="28"/>
          <w14:textFill>
            <w14:solidFill>
              <w14:schemeClr w14:val="tx1"/>
            </w14:solidFill>
          </w14:textFill>
        </w:rPr>
        <w:t>比选响应有效期</w:t>
      </w:r>
    </w:p>
    <w:p>
      <w:pPr>
        <w:keepNext w:val="0"/>
        <w:keepLines w:val="0"/>
        <w:pageBreakBefore w:val="0"/>
        <w:kinsoku/>
        <w:wordWrap/>
        <w:overflowPunct/>
        <w:topLinePunct w:val="0"/>
        <w:bidi w:val="0"/>
        <w:spacing w:line="560" w:lineRule="exact"/>
        <w:ind w:firstLine="560" w:firstLineChars="200"/>
        <w:textAlignment w:val="auto"/>
        <w:outlineLvl w:val="9"/>
        <w:rPr>
          <w:rStyle w:val="25"/>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5"/>
          <w:rFonts w:hint="eastAsia" w:ascii="仿宋_GB2312" w:hAnsi="仿宋_GB2312" w:eastAsia="仿宋_GB2312" w:cs="仿宋_GB2312"/>
          <w:color w:val="000000" w:themeColor="text1"/>
          <w:sz w:val="28"/>
          <w:szCs w:val="28"/>
          <w:lang w:val="en-US" w:eastAsia="zh-CN"/>
          <w14:textFill>
            <w14:solidFill>
              <w14:schemeClr w14:val="tx1"/>
            </w14:solidFill>
          </w14:textFill>
        </w:rPr>
        <w:t>90天（自比选响应人提交比选响应文件截止之日起计算）。</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七</w:t>
      </w:r>
      <w:r>
        <w:rPr>
          <w:rFonts w:hint="eastAsia" w:ascii="黑体" w:hAnsi="黑体" w:eastAsia="黑体" w:cs="黑体"/>
          <w:b w:val="0"/>
          <w:bCs w:val="0"/>
          <w:color w:val="000000" w:themeColor="text1"/>
          <w:sz w:val="28"/>
          <w:szCs w:val="28"/>
          <w14:textFill>
            <w14:solidFill>
              <w14:schemeClr w14:val="tx1"/>
            </w14:solidFill>
          </w14:textFill>
        </w:rPr>
        <w:t>、比选响应文件的编制和提交</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 xml:space="preserve">.1 </w:t>
      </w:r>
      <w:r>
        <w:rPr>
          <w:rFonts w:hint="eastAsia" w:ascii="仿宋_GB2312" w:hAnsi="仿宋_GB2312" w:eastAsia="仿宋_GB2312" w:cs="仿宋_GB2312"/>
          <w:color w:val="000000" w:themeColor="text1"/>
          <w:sz w:val="28"/>
          <w:szCs w:val="28"/>
          <w14:textFill>
            <w14:solidFill>
              <w14:schemeClr w14:val="tx1"/>
            </w14:solidFill>
          </w14:textFill>
        </w:rPr>
        <w:t>比选响应</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人</w:t>
      </w:r>
      <w:r>
        <w:rPr>
          <w:rFonts w:hint="eastAsia" w:ascii="仿宋_GB2312" w:hAnsi="仿宋_GB2312" w:eastAsia="仿宋_GB2312" w:cs="仿宋_GB2312"/>
          <w:color w:val="000000" w:themeColor="text1"/>
          <w:sz w:val="28"/>
          <w:szCs w:val="28"/>
          <w:lang w:val="zh-CN"/>
          <w14:textFill>
            <w14:solidFill>
              <w14:schemeClr w14:val="tx1"/>
            </w14:solidFill>
          </w14:textFill>
        </w:rPr>
        <w:t>应当按照</w:t>
      </w:r>
      <w:r>
        <w:rPr>
          <w:rFonts w:hint="eastAsia" w:ascii="仿宋_GB2312" w:hAnsi="仿宋_GB2312" w:eastAsia="仿宋_GB2312" w:cs="仿宋_GB2312"/>
          <w:color w:val="000000" w:themeColor="text1"/>
          <w:sz w:val="28"/>
          <w:szCs w:val="28"/>
          <w14:textFill>
            <w14:solidFill>
              <w14:schemeClr w14:val="tx1"/>
            </w14:solidFill>
          </w14:textFill>
        </w:rPr>
        <w:t>比选</w:t>
      </w:r>
      <w:r>
        <w:rPr>
          <w:rFonts w:hint="eastAsia" w:ascii="仿宋_GB2312" w:hAnsi="仿宋_GB2312" w:eastAsia="仿宋_GB2312" w:cs="仿宋_GB2312"/>
          <w:color w:val="000000" w:themeColor="text1"/>
          <w:sz w:val="28"/>
          <w:szCs w:val="28"/>
          <w:lang w:val="zh-CN"/>
          <w14:textFill>
            <w14:solidFill>
              <w14:schemeClr w14:val="tx1"/>
            </w14:solidFill>
          </w14:textFill>
        </w:rPr>
        <w:t>采购文件的要求编制比选响应文件，比选响应文件应当对</w:t>
      </w:r>
      <w:r>
        <w:rPr>
          <w:rFonts w:hint="eastAsia" w:ascii="仿宋_GB2312" w:hAnsi="仿宋_GB2312" w:eastAsia="仿宋_GB2312" w:cs="仿宋_GB2312"/>
          <w:color w:val="000000" w:themeColor="text1"/>
          <w:sz w:val="28"/>
          <w:szCs w:val="28"/>
          <w14:textFill>
            <w14:solidFill>
              <w14:schemeClr w14:val="tx1"/>
            </w14:solidFill>
          </w14:textFill>
        </w:rPr>
        <w:t>比选</w:t>
      </w:r>
      <w:r>
        <w:rPr>
          <w:rFonts w:hint="eastAsia" w:ascii="仿宋_GB2312" w:hAnsi="仿宋_GB2312" w:eastAsia="仿宋_GB2312" w:cs="仿宋_GB2312"/>
          <w:color w:val="000000" w:themeColor="text1"/>
          <w:sz w:val="28"/>
          <w:szCs w:val="28"/>
          <w:lang w:val="zh-CN"/>
          <w14:textFill>
            <w14:solidFill>
              <w14:schemeClr w14:val="tx1"/>
            </w14:solidFill>
          </w14:textFill>
        </w:rPr>
        <w:t>采购文件提出的要求和条件作出实质性应答。</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w:t>
      </w:r>
      <w:r>
        <w:rPr>
          <w:rFonts w:hint="eastAsia" w:ascii="仿宋_GB2312" w:hAnsi="仿宋_GB2312" w:eastAsia="仿宋_GB2312" w:cs="仿宋_GB2312"/>
          <w:b/>
          <w:bCs/>
          <w:color w:val="000000" w:themeColor="text1"/>
          <w:sz w:val="28"/>
          <w:szCs w:val="28"/>
          <w:lang w:val="zh-CN"/>
          <w14:textFill>
            <w14:solidFill>
              <w14:schemeClr w14:val="tx1"/>
            </w14:solidFill>
          </w14:textFill>
        </w:rPr>
        <w:t xml:space="preserve"> 比选响应</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人应按比选采购文件要求编制响应</w:t>
      </w:r>
      <w:r>
        <w:rPr>
          <w:rFonts w:hint="eastAsia" w:ascii="仿宋_GB2312" w:hAnsi="仿宋_GB2312" w:eastAsia="仿宋_GB2312" w:cs="仿宋_GB2312"/>
          <w:b/>
          <w:bCs/>
          <w:color w:val="000000" w:themeColor="text1"/>
          <w:sz w:val="28"/>
          <w:szCs w:val="28"/>
          <w:lang w:val="zh-CN"/>
          <w14:textFill>
            <w14:solidFill>
              <w14:schemeClr w14:val="tx1"/>
            </w14:solidFill>
          </w14:textFill>
        </w:rPr>
        <w:t>文件</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响应文件并</w:t>
      </w:r>
      <w:r>
        <w:rPr>
          <w:rFonts w:hint="eastAsia" w:ascii="仿宋_GB2312" w:hAnsi="仿宋_GB2312" w:eastAsia="仿宋_GB2312" w:cs="仿宋_GB2312"/>
          <w:color w:val="000000" w:themeColor="text1"/>
          <w:sz w:val="28"/>
          <w:szCs w:val="28"/>
          <w:lang w:val="zh-CN"/>
          <w14:textFill>
            <w14:solidFill>
              <w14:schemeClr w14:val="tx1"/>
            </w14:solidFill>
          </w14:textFill>
        </w:rPr>
        <w:t>用A4规格纸编制并装订成册（格式</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附后</w:t>
      </w:r>
      <w:r>
        <w:rPr>
          <w:rFonts w:hint="eastAsia" w:ascii="仿宋_GB2312" w:hAnsi="仿宋_GB2312" w:eastAsia="仿宋_GB2312" w:cs="仿宋_GB2312"/>
          <w:color w:val="000000" w:themeColor="text1"/>
          <w:sz w:val="28"/>
          <w:szCs w:val="28"/>
          <w:lang w:val="zh-CN"/>
          <w14:textFill>
            <w14:solidFill>
              <w14:schemeClr w14:val="tx1"/>
            </w14:solidFill>
          </w14:textFill>
        </w:rPr>
        <w:t>），主要由以下几个部分组成：</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.2.1 封面（每份响应文件分别密封，在封面注明项目名称）。</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 xml:space="preserve">.2.2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投标函</w:t>
      </w:r>
      <w:r>
        <w:rPr>
          <w:rFonts w:hint="eastAsia" w:ascii="仿宋_GB2312" w:hAnsi="仿宋_GB2312" w:eastAsia="仿宋_GB2312" w:cs="仿宋_GB2312"/>
          <w:color w:val="000000" w:themeColor="text1"/>
          <w:sz w:val="28"/>
          <w:szCs w:val="28"/>
          <w:lang w:val="zh-CN"/>
          <w14:textFill>
            <w14:solidFill>
              <w14:schemeClr w14:val="tx1"/>
            </w14:solidFill>
          </w14:textFill>
        </w:rPr>
        <w:t>及声明。</w:t>
      </w:r>
    </w:p>
    <w:p>
      <w:pPr>
        <w:keepNext w:val="0"/>
        <w:keepLines w:val="0"/>
        <w:pageBreakBefore w:val="0"/>
        <w:kinsoku/>
        <w:wordWrap/>
        <w:overflowPunct/>
        <w:topLinePunct w:val="0"/>
        <w:bidi w:val="0"/>
        <w:spacing w:line="560" w:lineRule="exact"/>
        <w:ind w:firstLine="560" w:firstLineChars="200"/>
        <w:textAlignment w:val="auto"/>
        <w:outlineLvl w:val="9"/>
        <w:rPr>
          <w:rStyle w:val="25"/>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Style w:val="25"/>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Style w:val="25"/>
          <w:rFonts w:hint="eastAsia" w:ascii="仿宋_GB2312" w:hAnsi="仿宋_GB2312" w:eastAsia="仿宋_GB2312" w:cs="仿宋_GB2312"/>
          <w:color w:val="000000" w:themeColor="text1"/>
          <w:sz w:val="28"/>
          <w:szCs w:val="28"/>
          <w:lang w:val="zh-CN" w:eastAsia="zh-CN"/>
          <w14:textFill>
            <w14:solidFill>
              <w14:schemeClr w14:val="tx1"/>
            </w14:solidFill>
          </w14:textFill>
        </w:rPr>
        <w:t>.2.</w:t>
      </w:r>
      <w:r>
        <w:rPr>
          <w:rStyle w:val="25"/>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Style w:val="25"/>
          <w:rFonts w:hint="eastAsia" w:ascii="仿宋_GB2312" w:hAnsi="仿宋_GB2312" w:eastAsia="仿宋_GB2312" w:cs="仿宋_GB2312"/>
          <w:color w:val="000000" w:themeColor="text1"/>
          <w:sz w:val="28"/>
          <w:szCs w:val="28"/>
          <w:lang w:val="zh-CN" w:eastAsia="zh-CN"/>
          <w14:textFill>
            <w14:solidFill>
              <w14:schemeClr w14:val="tx1"/>
            </w14:solidFill>
          </w14:textFill>
        </w:rPr>
        <w:t xml:space="preserve"> 技术部分。请按需求表提供样品，共</w:t>
      </w:r>
      <w:r>
        <w:rPr>
          <w:rStyle w:val="25"/>
          <w:rFonts w:hint="eastAsia" w:ascii="仿宋_GB2312" w:hAnsi="仿宋_GB2312" w:eastAsia="仿宋_GB2312" w:cs="仿宋_GB2312"/>
          <w:color w:val="000000" w:themeColor="text1"/>
          <w:sz w:val="28"/>
          <w:szCs w:val="28"/>
          <w:lang w:val="en-US" w:eastAsia="zh-CN"/>
          <w14:textFill>
            <w14:solidFill>
              <w14:schemeClr w14:val="tx1"/>
            </w14:solidFill>
          </w14:textFill>
        </w:rPr>
        <w:t>24种，数量为1。</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商务部分。主要包括</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比选人响应人授权委托书（原件）、比选响应人资格要求证明文件、按商务评分标准准备的相关证明材料以及</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服务承诺等。</w:t>
      </w:r>
    </w:p>
    <w:p>
      <w:pPr>
        <w:keepNext w:val="0"/>
        <w:keepLines w:val="0"/>
        <w:pageBreakBefore w:val="0"/>
        <w:kinsoku/>
        <w:wordWrap/>
        <w:overflowPunct/>
        <w:topLinePunct w:val="0"/>
        <w:bidi w:val="0"/>
        <w:adjustRightInd w:val="0"/>
        <w:snapToGrid w:val="0"/>
        <w:spacing w:line="560" w:lineRule="exact"/>
        <w:ind w:left="1" w:firstLine="560" w:firstLineChars="200"/>
        <w:jc w:val="left"/>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比选响应文件合并装订成册，纸质文件一式</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lang w:val="zh-CN"/>
          <w14:textFill>
            <w14:solidFill>
              <w14:schemeClr w14:val="tx1"/>
            </w14:solidFill>
          </w14:textFill>
        </w:rPr>
        <w:t>份，其中正本1份，副本</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lang w:val="zh-CN"/>
          <w14:textFill>
            <w14:solidFill>
              <w14:schemeClr w14:val="tx1"/>
            </w14:solidFill>
          </w14:textFill>
        </w:rPr>
        <w:t>份。</w:t>
      </w:r>
    </w:p>
    <w:p>
      <w:pPr>
        <w:keepNext w:val="0"/>
        <w:keepLines w:val="0"/>
        <w:pageBreakBefore w:val="0"/>
        <w:kinsoku/>
        <w:wordWrap/>
        <w:overflowPunct/>
        <w:topLinePunct w:val="0"/>
        <w:bidi w:val="0"/>
        <w:adjustRightInd w:val="0"/>
        <w:snapToGrid w:val="0"/>
        <w:spacing w:line="560" w:lineRule="exact"/>
        <w:ind w:left="1" w:firstLine="56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t>7.2.6比选响应文件一经启封，比选响应人不得查阅、取回。</w:t>
      </w:r>
    </w:p>
    <w:p>
      <w:pPr>
        <w:keepNext w:val="0"/>
        <w:keepLines w:val="0"/>
        <w:pageBreakBefore w:val="0"/>
        <w:kinsoku/>
        <w:wordWrap/>
        <w:overflowPunct/>
        <w:topLinePunct w:val="0"/>
        <w:autoSpaceDE w:val="0"/>
        <w:autoSpaceDN w:val="0"/>
        <w:bidi w:val="0"/>
        <w:adjustRightInd w:val="0"/>
        <w:spacing w:line="560" w:lineRule="exact"/>
        <w:ind w:firstLine="548" w:firstLineChars="196"/>
        <w:textAlignment w:val="auto"/>
        <w:outlineLvl w:val="9"/>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八</w:t>
      </w:r>
      <w:r>
        <w:rPr>
          <w:rFonts w:hint="eastAsia" w:ascii="黑体" w:hAnsi="黑体" w:eastAsia="黑体" w:cs="黑体"/>
          <w:b w:val="0"/>
          <w:bCs/>
          <w:color w:val="000000" w:themeColor="text1"/>
          <w:sz w:val="28"/>
          <w:szCs w:val="28"/>
          <w:lang w:val="zh-CN"/>
          <w14:textFill>
            <w14:solidFill>
              <w14:schemeClr w14:val="tx1"/>
            </w14:solidFill>
          </w14:textFill>
        </w:rPr>
        <w:t>、比选响应文件作废条款</w:t>
      </w:r>
    </w:p>
    <w:p>
      <w:pPr>
        <w:keepNext w:val="0"/>
        <w:keepLines w:val="0"/>
        <w:pageBreakBefore w:val="0"/>
        <w:kinsoku/>
        <w:wordWrap/>
        <w:overflowPunct/>
        <w:topLinePunct w:val="0"/>
        <w:bidi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pacing w:val="-8"/>
          <w:sz w:val="28"/>
          <w:szCs w:val="28"/>
          <w14:textFill>
            <w14:solidFill>
              <w14:schemeClr w14:val="tx1"/>
            </w14:solidFill>
          </w14:textFill>
        </w:rPr>
        <w:t>比选响应</w:t>
      </w:r>
      <w:r>
        <w:rPr>
          <w:rFonts w:hint="eastAsia" w:ascii="仿宋_GB2312" w:hAnsi="仿宋_GB2312" w:eastAsia="仿宋_GB2312" w:cs="仿宋_GB2312"/>
          <w:color w:val="000000" w:themeColor="text1"/>
          <w:spacing w:val="-8"/>
          <w:sz w:val="28"/>
          <w:szCs w:val="28"/>
          <w:lang w:val="en-US" w:eastAsia="zh-CN"/>
          <w14:textFill>
            <w14:solidFill>
              <w14:schemeClr w14:val="tx1"/>
            </w14:solidFill>
          </w14:textFill>
        </w:rPr>
        <w:t>人</w:t>
      </w:r>
      <w:r>
        <w:rPr>
          <w:rFonts w:hint="eastAsia" w:ascii="仿宋_GB2312" w:hAnsi="仿宋_GB2312" w:eastAsia="仿宋_GB2312" w:cs="仿宋_GB2312"/>
          <w:color w:val="000000" w:themeColor="text1"/>
          <w:sz w:val="28"/>
          <w:szCs w:val="28"/>
          <w14:textFill>
            <w14:solidFill>
              <w14:schemeClr w14:val="tx1"/>
            </w14:solidFill>
          </w14:textFill>
        </w:rPr>
        <w:t>未按要求密封或未准时递交的</w:t>
      </w:r>
      <w:r>
        <w:rPr>
          <w:rFonts w:hint="eastAsia" w:ascii="仿宋_GB2312" w:hAnsi="仿宋_GB2312" w:eastAsia="仿宋_GB2312" w:cs="仿宋_GB2312"/>
          <w:color w:val="000000" w:themeColor="text1"/>
          <w:spacing w:val="-8"/>
          <w:sz w:val="28"/>
          <w:szCs w:val="28"/>
          <w14:textFill>
            <w14:solidFill>
              <w14:schemeClr w14:val="tx1"/>
            </w14:solidFill>
          </w14:textFill>
        </w:rPr>
        <w:t>比选响应文件</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bidi w:val="0"/>
        <w:adjustRightInd w:val="0"/>
        <w:snapToGrid w:val="0"/>
        <w:spacing w:line="560" w:lineRule="exact"/>
        <w:ind w:firstLine="560" w:firstLineChars="200"/>
        <w:jc w:val="left"/>
        <w:textAlignment w:val="bottom"/>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.1.1比选响应文件必须在</w:t>
      </w:r>
      <w:r>
        <w:rPr>
          <w:rFonts w:hint="eastAsia" w:ascii="仿宋_GB2312" w:hAnsi="仿宋_GB2312" w:eastAsia="仿宋_GB2312" w:cs="仿宋_GB2312"/>
          <w:color w:val="000000" w:themeColor="text1"/>
          <w:sz w:val="28"/>
          <w:szCs w:val="28"/>
          <w:u w:val="none"/>
          <w14:textFill>
            <w14:solidFill>
              <w14:schemeClr w14:val="tx1"/>
            </w14:solidFill>
          </w14:textFill>
        </w:rPr>
        <w:t>202</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u w:val="none"/>
          <w14:textFill>
            <w14:solidFill>
              <w14:schemeClr w14:val="tx1"/>
            </w14:solidFill>
          </w14:textFill>
        </w:rPr>
        <w:t>年</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u w:val="none"/>
          <w14:textFill>
            <w14:solidFill>
              <w14:schemeClr w14:val="tx1"/>
            </w14:solidFill>
          </w14:textFill>
        </w:rPr>
        <w:t>月</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26</w:t>
      </w:r>
      <w:r>
        <w:rPr>
          <w:rFonts w:hint="eastAsia" w:ascii="仿宋_GB2312" w:hAnsi="仿宋_GB2312" w:eastAsia="仿宋_GB2312" w:cs="仿宋_GB2312"/>
          <w:color w:val="000000" w:themeColor="text1"/>
          <w:sz w:val="28"/>
          <w:szCs w:val="28"/>
          <w:u w:val="none"/>
          <w14:textFill>
            <w14:solidFill>
              <w14:schemeClr w14:val="tx1"/>
            </w14:solidFill>
          </w14:textFill>
        </w:rPr>
        <w:t>日</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 xml:space="preserve"> 14:00-14:30</w:t>
      </w:r>
      <w:r>
        <w:rPr>
          <w:rFonts w:hint="eastAsia" w:ascii="仿宋_GB2312" w:hAnsi="仿宋_GB2312" w:eastAsia="仿宋_GB2312" w:cs="仿宋_GB2312"/>
          <w:color w:val="000000" w:themeColor="text1"/>
          <w:sz w:val="28"/>
          <w:szCs w:val="28"/>
          <w:u w:val="none"/>
          <w14:textFill>
            <w14:solidFill>
              <w14:schemeClr w14:val="tx1"/>
            </w14:solidFill>
          </w14:textFill>
        </w:rPr>
        <w:t>时</w:t>
      </w:r>
      <w:r>
        <w:rPr>
          <w:rFonts w:hint="eastAsia" w:ascii="仿宋_GB2312" w:hAnsi="仿宋_GB2312" w:eastAsia="仿宋_GB2312" w:cs="仿宋_GB2312"/>
          <w:color w:val="000000" w:themeColor="text1"/>
          <w:sz w:val="28"/>
          <w:szCs w:val="28"/>
          <w14:textFill>
            <w14:solidFill>
              <w14:schemeClr w14:val="tx1"/>
            </w14:solidFill>
          </w14:textFill>
        </w:rPr>
        <w:t>前送到重庆</w:t>
      </w:r>
      <w:r>
        <w:rPr>
          <w:rFonts w:hint="eastAsia" w:ascii="仿宋_GB2312" w:hAnsi="仿宋_GB2312" w:eastAsia="仿宋_GB2312" w:cs="仿宋_GB2312"/>
          <w:color w:val="000000" w:themeColor="text1"/>
          <w:sz w:val="28"/>
          <w:szCs w:val="28"/>
          <w:lang w:eastAsia="zh-CN"/>
          <w14:textFill>
            <w14:solidFill>
              <w14:schemeClr w14:val="tx1"/>
            </w14:solidFill>
          </w14:textFill>
        </w:rPr>
        <w:t>空港航空地面服务</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有限公司110房间</w:t>
      </w:r>
      <w:r>
        <w:rPr>
          <w:rFonts w:hint="eastAsia" w:ascii="仿宋_GB2312" w:hAnsi="仿宋_GB2312" w:eastAsia="仿宋_GB2312" w:cs="仿宋_GB2312"/>
          <w:color w:val="000000" w:themeColor="text1"/>
          <w:sz w:val="28"/>
          <w:szCs w:val="28"/>
          <w14:textFill>
            <w14:solidFill>
              <w14:schemeClr w14:val="tx1"/>
            </w14:solidFill>
          </w14:textFill>
        </w:rPr>
        <w:t>，过期不予受理；</w:t>
      </w:r>
    </w:p>
    <w:p>
      <w:pPr>
        <w:keepNext w:val="0"/>
        <w:keepLines w:val="0"/>
        <w:pageBreakBefore w:val="0"/>
        <w:kinsoku/>
        <w:wordWrap/>
        <w:overflowPunct/>
        <w:topLinePunct w:val="0"/>
        <w:autoSpaceDE w:val="0"/>
        <w:autoSpaceDN w:val="0"/>
        <w:bidi w:val="0"/>
        <w:adjustRightInd w:val="0"/>
        <w:snapToGrid w:val="0"/>
        <w:spacing w:line="560" w:lineRule="exact"/>
        <w:ind w:firstLine="551" w:firstLineChars="197"/>
        <w:textAlignment w:val="bottom"/>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28"/>
          <w:szCs w:val="28"/>
          <w14:textFill>
            <w14:solidFill>
              <w14:schemeClr w14:val="tx1"/>
            </w14:solidFill>
          </w14:textFill>
        </w:rPr>
        <w:t>.1.2封面上须注明“项目名称”，</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w:t>
      </w:r>
      <w:r>
        <w:rPr>
          <w:rFonts w:hint="eastAsia" w:ascii="仿宋_GB2312" w:hAnsi="仿宋_GB2312" w:eastAsia="仿宋_GB2312" w:cs="仿宋_GB2312"/>
          <w:color w:val="000000" w:themeColor="text1"/>
          <w:kern w:val="0"/>
          <w:sz w:val="28"/>
          <w:szCs w:val="28"/>
          <w14:textFill>
            <w14:solidFill>
              <w14:schemeClr w14:val="tx1"/>
            </w14:solidFill>
          </w14:textFill>
        </w:rPr>
        <w:t>清单</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未按</w:t>
      </w:r>
      <w:r>
        <w:rPr>
          <w:rFonts w:hint="eastAsia" w:ascii="仿宋_GB2312" w:hAnsi="仿宋_GB2312" w:eastAsia="仿宋_GB2312" w:cs="仿宋_GB2312"/>
          <w:color w:val="000000" w:themeColor="text1"/>
          <w:kern w:val="0"/>
          <w:sz w:val="28"/>
          <w:szCs w:val="28"/>
          <w14:textFill>
            <w14:solidFill>
              <w14:schemeClr w14:val="tx1"/>
            </w14:solidFill>
          </w14:textFill>
        </w:rPr>
        <w:t>要求盖章或签字及</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w:t>
      </w:r>
      <w:r>
        <w:rPr>
          <w:rFonts w:hint="eastAsia" w:ascii="仿宋_GB2312" w:hAnsi="仿宋_GB2312" w:eastAsia="仿宋_GB2312" w:cs="仿宋_GB2312"/>
          <w:color w:val="000000" w:themeColor="text1"/>
          <w:spacing w:val="-8"/>
          <w:sz w:val="28"/>
          <w:szCs w:val="28"/>
          <w14:textFill>
            <w14:solidFill>
              <w14:schemeClr w14:val="tx1"/>
            </w14:solidFill>
          </w14:textFill>
        </w:rPr>
        <w:t>外包装上密封处</w:t>
      </w:r>
      <w:r>
        <w:rPr>
          <w:rFonts w:hint="eastAsia" w:ascii="仿宋_GB2312" w:hAnsi="仿宋_GB2312" w:eastAsia="仿宋_GB2312" w:cs="仿宋_GB2312"/>
          <w:color w:val="000000" w:themeColor="text1"/>
          <w:spacing w:val="-8"/>
          <w:sz w:val="28"/>
          <w:szCs w:val="28"/>
          <w:lang w:eastAsia="zh-CN"/>
          <w14:textFill>
            <w14:solidFill>
              <w14:schemeClr w14:val="tx1"/>
            </w14:solidFill>
          </w14:textFill>
        </w:rPr>
        <w:t>未</w:t>
      </w:r>
      <w:r>
        <w:rPr>
          <w:rFonts w:hint="eastAsia" w:ascii="仿宋_GB2312" w:hAnsi="仿宋_GB2312" w:eastAsia="仿宋_GB2312" w:cs="仿宋_GB2312"/>
          <w:color w:val="000000" w:themeColor="text1"/>
          <w:spacing w:val="-8"/>
          <w:sz w:val="28"/>
          <w:szCs w:val="28"/>
          <w14:textFill>
            <w14:solidFill>
              <w14:schemeClr w14:val="tx1"/>
            </w14:solidFill>
          </w14:textFill>
        </w:rPr>
        <w:t>加盖比选响应</w:t>
      </w:r>
      <w:r>
        <w:rPr>
          <w:rFonts w:hint="eastAsia" w:ascii="仿宋_GB2312" w:hAnsi="仿宋_GB2312" w:eastAsia="仿宋_GB2312" w:cs="仿宋_GB2312"/>
          <w:color w:val="000000" w:themeColor="text1"/>
          <w:spacing w:val="-8"/>
          <w:sz w:val="28"/>
          <w:szCs w:val="28"/>
          <w:lang w:val="en-US" w:eastAsia="zh-CN"/>
          <w14:textFill>
            <w14:solidFill>
              <w14:schemeClr w14:val="tx1"/>
            </w14:solidFill>
          </w14:textFill>
        </w:rPr>
        <w:t>人</w:t>
      </w:r>
      <w:r>
        <w:rPr>
          <w:rFonts w:hint="eastAsia" w:ascii="仿宋_GB2312" w:hAnsi="仿宋_GB2312" w:eastAsia="仿宋_GB2312" w:cs="仿宋_GB2312"/>
          <w:color w:val="000000" w:themeColor="text1"/>
          <w:spacing w:val="-8"/>
          <w:sz w:val="28"/>
          <w:szCs w:val="28"/>
          <w14:textFill>
            <w14:solidFill>
              <w14:schemeClr w14:val="tx1"/>
            </w14:solidFill>
          </w14:textFill>
        </w:rPr>
        <w:t>公章。</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1.3</w:t>
      </w:r>
      <w:r>
        <w:rPr>
          <w:rFonts w:hint="eastAsia" w:ascii="仿宋_GB2312" w:hAnsi="仿宋_GB2312" w:eastAsia="仿宋_GB2312" w:cs="仿宋_GB2312"/>
          <w:color w:val="000000" w:themeColor="text1"/>
          <w:sz w:val="28"/>
          <w:szCs w:val="28"/>
          <w14:textFill>
            <w14:solidFill>
              <w14:schemeClr w14:val="tx1"/>
            </w14:solidFill>
          </w14:textFill>
        </w:rPr>
        <w:t>比选响应文件散装或者活页装订的；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1.4</w:t>
      </w:r>
      <w:r>
        <w:rPr>
          <w:rFonts w:hint="eastAsia" w:ascii="仿宋_GB2312" w:hAnsi="仿宋_GB2312" w:eastAsia="仿宋_GB2312" w:cs="仿宋_GB2312"/>
          <w:color w:val="000000" w:themeColor="text1"/>
          <w:sz w:val="28"/>
          <w:szCs w:val="28"/>
          <w14:textFill>
            <w14:solidFill>
              <w14:schemeClr w14:val="tx1"/>
            </w14:solidFill>
          </w14:textFill>
        </w:rPr>
        <w:t>资质不符合比选文件要求的；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1.5</w:t>
      </w:r>
      <w:r>
        <w:rPr>
          <w:rFonts w:hint="eastAsia" w:ascii="仿宋_GB2312" w:hAnsi="仿宋_GB2312" w:eastAsia="仿宋_GB2312" w:cs="仿宋_GB2312"/>
          <w:color w:val="000000" w:themeColor="text1"/>
          <w:sz w:val="28"/>
          <w:szCs w:val="28"/>
          <w14:textFill>
            <w14:solidFill>
              <w14:schemeClr w14:val="tx1"/>
            </w14:solidFill>
          </w14:textFill>
        </w:rPr>
        <w:t>有串通比选或弄虚作假或有其他违法行为的；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1.6</w:t>
      </w:r>
      <w:r>
        <w:rPr>
          <w:rFonts w:hint="eastAsia" w:ascii="仿宋_GB2312" w:hAnsi="仿宋_GB2312" w:eastAsia="仿宋_GB2312" w:cs="仿宋_GB2312"/>
          <w:color w:val="000000" w:themeColor="text1"/>
          <w:sz w:val="28"/>
          <w:szCs w:val="28"/>
          <w14:textFill>
            <w14:solidFill>
              <w14:schemeClr w14:val="tx1"/>
            </w14:solidFill>
          </w14:textFill>
        </w:rPr>
        <w:t>比选响应文件无有效授权书的；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1.7</w:t>
      </w:r>
      <w:r>
        <w:rPr>
          <w:rFonts w:hint="eastAsia" w:ascii="仿宋_GB2312" w:hAnsi="仿宋_GB2312" w:eastAsia="仿宋_GB2312" w:cs="仿宋_GB2312"/>
          <w:color w:val="000000" w:themeColor="text1"/>
          <w:sz w:val="28"/>
          <w:szCs w:val="28"/>
          <w14:textFill>
            <w14:solidFill>
              <w14:schemeClr w14:val="tx1"/>
            </w14:solidFill>
          </w14:textFill>
        </w:rPr>
        <w:t>比选有效期不足的；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1.8</w:t>
      </w:r>
      <w:r>
        <w:rPr>
          <w:rFonts w:hint="eastAsia" w:ascii="仿宋_GB2312" w:hAnsi="仿宋_GB2312" w:eastAsia="仿宋_GB2312" w:cs="仿宋_GB2312"/>
          <w:color w:val="000000" w:themeColor="text1"/>
          <w:sz w:val="28"/>
          <w:szCs w:val="28"/>
          <w14:textFill>
            <w14:solidFill>
              <w14:schemeClr w14:val="tx1"/>
            </w14:solidFill>
          </w14:textFill>
        </w:rPr>
        <w:t>未按规定的格式填写，内容不全或关键字迹模糊、无法辨认</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8.1.9</w:t>
      </w:r>
      <w:r>
        <w:rPr>
          <w:rFonts w:hint="eastAsia" w:ascii="仿宋_GB2312" w:hAnsi="仿宋_GB2312" w:eastAsia="仿宋_GB2312" w:cs="仿宋_GB2312"/>
          <w:color w:val="000000" w:themeColor="text1"/>
          <w:sz w:val="28"/>
          <w:szCs w:val="28"/>
          <w14:textFill>
            <w14:solidFill>
              <w14:schemeClr w14:val="tx1"/>
            </w14:solidFill>
          </w14:textFill>
        </w:rPr>
        <w:t>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黑体" w:hAnsi="黑体" w:eastAsia="黑体" w:cs="黑体"/>
          <w:b w:val="0"/>
          <w:bCs w:val="0"/>
          <w:color w:val="000000" w:themeColor="text1"/>
          <w:sz w:val="28"/>
          <w:szCs w:val="28"/>
          <w:lang w:val="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九</w:t>
      </w:r>
      <w:r>
        <w:rPr>
          <w:rFonts w:hint="eastAsia" w:ascii="黑体" w:hAnsi="黑体" w:eastAsia="黑体" w:cs="黑体"/>
          <w:b w:val="0"/>
          <w:bCs w:val="0"/>
          <w:color w:val="000000" w:themeColor="text1"/>
          <w:sz w:val="28"/>
          <w:szCs w:val="28"/>
          <w:lang w:val="zh-CN"/>
          <w14:textFill>
            <w14:solidFill>
              <w14:schemeClr w14:val="tx1"/>
            </w14:solidFill>
          </w14:textFill>
        </w:rPr>
        <w:t>、异议</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.1 比选响应人或其他利害关系人认为采购活动不符合法律、行政等规定的，应当在采购结果公示期之内以书面形式向采购人提出异议（以采购人收到书面异议之日为准）。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异议书应同时提交至</w:t>
      </w:r>
      <w:r>
        <w:rPr>
          <w:rFonts w:hint="eastAsia" w:ascii="仿宋_GB2312" w:hAnsi="仿宋_GB2312" w:eastAsia="仿宋_GB2312" w:cs="仿宋_GB2312"/>
          <w:color w:val="000000" w:themeColor="text1"/>
          <w:sz w:val="28"/>
          <w:szCs w:val="28"/>
          <w:lang w:eastAsia="zh-CN"/>
          <w14:textFill>
            <w14:solidFill>
              <w14:schemeClr w14:val="tx1"/>
            </w14:solidFill>
          </w14:textFill>
        </w:rPr>
        <w:t>重庆空港航空地面服务有限公司党群工作部（地址：重庆空港航空地面服务有限公司办公楼；电话：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023-67153808）和</w:t>
      </w:r>
      <w:r>
        <w:rPr>
          <w:rFonts w:hint="eastAsia" w:ascii="仿宋_GB2312" w:hAnsi="仿宋_GB2312" w:eastAsia="仿宋_GB2312" w:cs="仿宋_GB2312"/>
          <w:color w:val="000000" w:themeColor="text1"/>
          <w:sz w:val="28"/>
          <w:szCs w:val="28"/>
          <w:lang w:eastAsia="zh-CN"/>
          <w14:textFill>
            <w14:solidFill>
              <w14:schemeClr w14:val="tx1"/>
            </w14:solidFill>
          </w14:textFill>
        </w:rPr>
        <w:t>重庆空港航空地面服务有限公司资产设备部（地址：重庆空港航空地面服务有限公司办公楼；电话：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023-67156351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（一）异议提出人的名称、地址及有效联系方式。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（二）异议事项的基本事实。</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（三）异议请求及主张。</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（四）有效线索和相关证据、证明材料。</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异议提出人是法人的，异议函必须由其法定代表人</w:t>
      </w:r>
      <w:r>
        <w:rPr>
          <w:rFonts w:hint="eastAsia" w:ascii="仿宋_GB2312" w:hAnsi="仿宋_GB2312" w:eastAsia="仿宋_GB2312" w:cs="仿宋_GB2312"/>
          <w:color w:val="000000" w:themeColor="text1"/>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z w:val="28"/>
          <w:szCs w:val="28"/>
          <w14:textFill>
            <w14:solidFill>
              <w14:schemeClr w14:val="tx1"/>
            </w14:solidFill>
          </w14:textFill>
        </w:rPr>
        <w:t>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（一）招标投标法第二十二条规定的招标投标保密信息。</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（四）其他依法应当保密的信息和资料。</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.6 有下列情形之一的异议，不予受理：</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（二）未署异议提出人真实姓名、签字和有效联系方式。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（四）不在结果公示期内的。</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（五）已对异议事项做出答复的。</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黑体" w:hAnsi="黑体" w:eastAsia="黑体" w:cs="黑体"/>
          <w:b w:val="0"/>
          <w:bCs w:val="0"/>
          <w:color w:val="000000" w:themeColor="text1"/>
          <w:sz w:val="28"/>
          <w:szCs w:val="28"/>
          <w:lang w:eastAsia="zh-CN"/>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十、</w:t>
      </w:r>
      <w:r>
        <w:rPr>
          <w:rFonts w:hint="eastAsia" w:ascii="黑体" w:hAnsi="黑体" w:eastAsia="黑体" w:cs="黑体"/>
          <w:b w:val="0"/>
          <w:bCs w:val="0"/>
          <w:color w:val="000000" w:themeColor="text1"/>
          <w:sz w:val="28"/>
          <w:szCs w:val="28"/>
          <w:lang w:eastAsia="zh-CN"/>
          <w14:textFill>
            <w14:solidFill>
              <w14:schemeClr w14:val="tx1"/>
            </w14:solidFill>
          </w14:textFill>
        </w:rPr>
        <w:t>监督部门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重庆空港航空地面服务有限公司党群工作部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023-67153808</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eastAsia="zh-CN"/>
          <w14:textFill>
            <w14:solidFill>
              <w14:schemeClr w14:val="tx1"/>
            </w14:solidFill>
          </w14:textFill>
        </w:rPr>
        <w:t>十</w:t>
      </w:r>
      <w:r>
        <w:rPr>
          <w:rFonts w:hint="eastAsia" w:ascii="黑体" w:hAnsi="黑体" w:eastAsia="黑体" w:cs="黑体"/>
          <w:b w:val="0"/>
          <w:bCs w:val="0"/>
          <w:color w:val="000000" w:themeColor="text1"/>
          <w:sz w:val="28"/>
          <w:szCs w:val="28"/>
          <w:lang w:val="en-US" w:eastAsia="zh-CN"/>
          <w14:textFill>
            <w14:solidFill>
              <w14:schemeClr w14:val="tx1"/>
            </w14:solidFill>
          </w14:textFill>
        </w:rPr>
        <w:t>一</w:t>
      </w:r>
      <w:r>
        <w:rPr>
          <w:rFonts w:hint="eastAsia" w:ascii="黑体" w:hAnsi="黑体" w:eastAsia="黑体" w:cs="黑体"/>
          <w:b w:val="0"/>
          <w:bCs w:val="0"/>
          <w:color w:val="000000" w:themeColor="text1"/>
          <w:sz w:val="28"/>
          <w:szCs w:val="28"/>
          <w:lang w:eastAsia="zh-CN"/>
          <w14:textFill>
            <w14:solidFill>
              <w14:schemeClr w14:val="tx1"/>
            </w14:solidFill>
          </w14:textFill>
        </w:rPr>
        <w:t>、比选时间、地点、结果通知</w:t>
      </w:r>
      <w:r>
        <w:rPr>
          <w:rFonts w:hint="eastAsia" w:ascii="黑体" w:hAnsi="黑体" w:eastAsia="黑体" w:cs="黑体"/>
          <w:b w:val="0"/>
          <w:bCs w:val="0"/>
          <w:color w:val="000000" w:themeColor="text1"/>
          <w:sz w:val="28"/>
          <w:szCs w:val="28"/>
          <w:lang w:val="en-US" w:eastAsia="zh-CN"/>
          <w14:textFill>
            <w14:solidFill>
              <w14:schemeClr w14:val="tx1"/>
            </w14:solidFill>
          </w14:textFill>
        </w:rPr>
        <w:t>及合同签订</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w:t>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w:t>
      </w:r>
      <w:r>
        <w:rPr>
          <w:rFonts w:hint="eastAsia" w:ascii="仿宋_GB2312" w:hAnsi="仿宋_GB2312" w:eastAsia="仿宋_GB2312" w:cs="仿宋_GB2312"/>
          <w:color w:val="000000" w:themeColor="text1"/>
          <w:sz w:val="28"/>
          <w:szCs w:val="28"/>
          <w14:textFill>
            <w14:solidFill>
              <w14:schemeClr w14:val="tx1"/>
            </w14:solidFill>
          </w14:textFill>
        </w:rPr>
        <w:t>必须在20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22</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26</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14:00至14：30</w:t>
      </w:r>
      <w:r>
        <w:rPr>
          <w:rFonts w:hint="eastAsia" w:ascii="仿宋_GB2312" w:hAnsi="仿宋_GB2312" w:eastAsia="仿宋_GB2312" w:cs="仿宋_GB2312"/>
          <w:color w:val="000000" w:themeColor="text1"/>
          <w:sz w:val="28"/>
          <w:szCs w:val="28"/>
          <w14:textFill>
            <w14:solidFill>
              <w14:schemeClr w14:val="tx1"/>
            </w14:solidFill>
          </w14:textFill>
        </w:rPr>
        <w:t>时送到</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重庆空港航空地面服务有限公司110房间</w:t>
      </w:r>
      <w:r>
        <w:rPr>
          <w:rFonts w:hint="eastAsia" w:ascii="仿宋_GB2312" w:hAnsi="仿宋_GB2312" w:eastAsia="仿宋_GB2312" w:cs="仿宋_GB2312"/>
          <w:color w:val="000000" w:themeColor="text1"/>
          <w:sz w:val="28"/>
          <w:szCs w:val="28"/>
          <w:u w:val="none"/>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过期不予受理</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11.2 2022</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26</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14:30</w:t>
      </w:r>
      <w:r>
        <w:rPr>
          <w:rFonts w:hint="eastAsia" w:ascii="仿宋_GB2312" w:hAnsi="仿宋_GB2312" w:eastAsia="仿宋_GB2312" w:cs="仿宋_GB2312"/>
          <w:color w:val="000000" w:themeColor="text1"/>
          <w:sz w:val="28"/>
          <w:szCs w:val="28"/>
          <w14:textFill>
            <w14:solidFill>
              <w14:schemeClr w14:val="tx1"/>
            </w14:solidFill>
          </w14:textFill>
        </w:rPr>
        <w:t>时在</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   会议</w:t>
      </w:r>
      <w:r>
        <w:rPr>
          <w:rFonts w:hint="eastAsia" w:ascii="仿宋_GB2312" w:hAnsi="仿宋_GB2312" w:eastAsia="仿宋_GB2312" w:cs="仿宋_GB2312"/>
          <w:color w:val="000000" w:themeColor="text1"/>
          <w:sz w:val="28"/>
          <w:szCs w:val="28"/>
          <w:u w:val="none"/>
          <w14:textFill>
            <w14:solidFill>
              <w14:schemeClr w14:val="tx1"/>
            </w14:solidFill>
          </w14:textFill>
        </w:rPr>
        <w:t>室对本项目进</w:t>
      </w:r>
      <w:r>
        <w:rPr>
          <w:rFonts w:hint="eastAsia" w:ascii="仿宋_GB2312" w:hAnsi="仿宋_GB2312" w:eastAsia="仿宋_GB2312" w:cs="仿宋_GB2312"/>
          <w:color w:val="000000" w:themeColor="text1"/>
          <w:sz w:val="28"/>
          <w:szCs w:val="28"/>
          <w14:textFill>
            <w14:solidFill>
              <w14:schemeClr w14:val="tx1"/>
            </w14:solidFill>
          </w14:textFill>
        </w:rPr>
        <w:t>行比选，各比选响应</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z w:val="28"/>
          <w:szCs w:val="28"/>
          <w14:textFill>
            <w14:solidFill>
              <w14:schemeClr w14:val="tx1"/>
            </w14:solidFill>
          </w14:textFill>
        </w:rPr>
        <w:t>须参加。</w:t>
      </w:r>
      <w:r>
        <w:rPr>
          <w:rFonts w:hint="eastAsia" w:ascii="仿宋_GB2312" w:hAnsi="仿宋_GB2312" w:eastAsia="仿宋_GB2312" w:cs="仿宋_GB2312"/>
          <w:color w:val="000000" w:themeColor="text1"/>
          <w:sz w:val="28"/>
          <w:szCs w:val="28"/>
          <w:lang w:eastAsia="zh-CN"/>
          <w14:textFill>
            <w14:solidFill>
              <w14:schemeClr w14:val="tx1"/>
            </w14:solidFill>
          </w14:textFill>
        </w:rPr>
        <w:t>（会议室以当天通知为准）</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.3 各潜在比选响应人如有疑问，请将加盖公章的书面质疑函</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(WORD版、PDF版)</w:t>
      </w:r>
      <w:r>
        <w:rPr>
          <w:rFonts w:hint="eastAsia" w:ascii="仿宋_GB2312" w:hAnsi="仿宋_GB2312" w:eastAsia="仿宋_GB2312" w:cs="仿宋_GB2312"/>
          <w:color w:val="000000" w:themeColor="text1"/>
          <w:sz w:val="28"/>
          <w:szCs w:val="28"/>
          <w14:textFill>
            <w14:solidFill>
              <w14:schemeClr w14:val="tx1"/>
            </w14:solidFill>
          </w14:textFill>
        </w:rPr>
        <w:t>至少于比选开始前2个工作日通过</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邮件</w:t>
      </w:r>
      <w:r>
        <w:rPr>
          <w:rFonts w:hint="eastAsia" w:ascii="仿宋_GB2312" w:hAnsi="仿宋_GB2312" w:eastAsia="仿宋_GB2312" w:cs="仿宋_GB2312"/>
          <w:color w:val="000000" w:themeColor="text1"/>
          <w:sz w:val="28"/>
          <w:szCs w:val="28"/>
          <w14:textFill>
            <w14:solidFill>
              <w14:schemeClr w14:val="tx1"/>
            </w14:solidFill>
          </w14:textFill>
        </w:rPr>
        <w:t>的形式发送</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至以下邮</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箱：zhengyu@cqa.cn</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11.4  参加比选唱价会议的比选响应人的被授权人应当随身携带本人身份证（原件）和授权委托书（原件），以备核验其合法身份。</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比选响应人若未派被授权人出席比选唱价会议，视为该比选响应人默认比选唱价结果。</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 xml:space="preserve"> 比选响应人一经递交比选响应文件，不得查阅、取回递交的响应文件。</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6 </w:t>
      </w:r>
      <w:r>
        <w:rPr>
          <w:rFonts w:hint="eastAsia" w:ascii="仿宋_GB2312" w:hAnsi="仿宋_GB2312" w:eastAsia="仿宋_GB2312" w:cs="仿宋_GB2312"/>
          <w:color w:val="000000" w:themeColor="text1"/>
          <w:sz w:val="28"/>
          <w:szCs w:val="28"/>
          <w14:textFill>
            <w14:solidFill>
              <w14:schemeClr w14:val="tx1"/>
            </w14:solidFill>
          </w14:textFill>
        </w:rPr>
        <w:t>比选结果</w:t>
      </w:r>
      <w:r>
        <w:rPr>
          <w:rFonts w:hint="eastAsia" w:ascii="仿宋_GB2312" w:hAnsi="仿宋_GB2312" w:eastAsia="仿宋_GB2312" w:cs="仿宋_GB2312"/>
          <w:color w:val="000000" w:themeColor="text1"/>
          <w:sz w:val="28"/>
          <w:szCs w:val="28"/>
          <w:lang w:eastAsia="zh-CN"/>
          <w14:textFill>
            <w14:solidFill>
              <w14:schemeClr w14:val="tx1"/>
            </w14:solidFill>
          </w14:textFill>
        </w:rPr>
        <w:t>通知</w:t>
      </w:r>
      <w:r>
        <w:rPr>
          <w:rFonts w:hint="eastAsia" w:ascii="仿宋_GB2312" w:hAnsi="仿宋_GB2312" w:eastAsia="仿宋_GB2312" w:cs="仿宋_GB2312"/>
          <w:color w:val="000000" w:themeColor="text1"/>
          <w:sz w:val="28"/>
          <w:szCs w:val="28"/>
          <w14:textFill>
            <w14:solidFill>
              <w14:schemeClr w14:val="tx1"/>
            </w14:solidFill>
          </w14:textFill>
        </w:rPr>
        <w:t>：待结果确定后</w:t>
      </w:r>
      <w:r>
        <w:rPr>
          <w:rFonts w:hint="eastAsia" w:ascii="仿宋_GB2312" w:hAnsi="仿宋_GB2312" w:eastAsia="仿宋_GB2312" w:cs="仿宋_GB2312"/>
          <w:color w:val="000000" w:themeColor="text1"/>
          <w:sz w:val="28"/>
          <w:szCs w:val="28"/>
          <w:lang w:eastAsia="zh-CN"/>
          <w14:textFill>
            <w14:solidFill>
              <w14:schemeClr w14:val="tx1"/>
            </w14:solidFill>
          </w14:textFill>
        </w:rPr>
        <w:t>将</w:t>
      </w:r>
      <w:r>
        <w:rPr>
          <w:rFonts w:hint="eastAsia" w:ascii="仿宋_GB2312" w:hAnsi="仿宋_GB2312" w:eastAsia="仿宋_GB2312" w:cs="仿宋_GB2312"/>
          <w:color w:val="000000" w:themeColor="text1"/>
          <w:sz w:val="28"/>
          <w:szCs w:val="28"/>
          <w14:textFill>
            <w14:solidFill>
              <w14:schemeClr w14:val="tx1"/>
            </w14:solidFill>
          </w14:textFill>
        </w:rPr>
        <w:t>在</w:t>
      </w:r>
      <w:r>
        <w:rPr>
          <w:rFonts w:hint="eastAsia" w:ascii="仿宋_GB2312" w:hAnsi="仿宋_GB2312" w:eastAsia="仿宋_GB2312" w:cs="仿宋_GB2312"/>
          <w:color w:val="000000" w:themeColor="text1"/>
          <w:sz w:val="28"/>
          <w:szCs w:val="28"/>
          <w:highlight w:val="none"/>
          <w14:textFill>
            <w14:solidFill>
              <w14:schemeClr w14:val="tx1"/>
            </w14:solidFill>
          </w14:textFill>
        </w:rPr>
        <w:t>重庆机场集团有限公司官网发布</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拟成交结果公示。</w:t>
      </w:r>
      <w:r>
        <w:rPr>
          <w:rFonts w:hint="eastAsia" w:ascii="仿宋_GB2312" w:hAnsi="仿宋_GB2312" w:eastAsia="仿宋_GB2312" w:cs="仿宋_GB2312"/>
          <w:color w:val="000000" w:themeColor="text1"/>
          <w:sz w:val="28"/>
          <w:szCs w:val="28"/>
          <w:highlight w:val="none"/>
          <w14:textFill>
            <w14:solidFill>
              <w14:schemeClr w14:val="tx1"/>
            </w14:solidFill>
          </w14:textFill>
        </w:rPr>
        <w:t>待结果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经比选人内部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决策程序</w:t>
      </w:r>
      <w:r>
        <w:rPr>
          <w:rFonts w:hint="eastAsia" w:ascii="仿宋_GB2312" w:hAnsi="仿宋_GB2312" w:eastAsia="仿宋_GB2312" w:cs="仿宋_GB2312"/>
          <w:color w:val="000000" w:themeColor="text1"/>
          <w:sz w:val="28"/>
          <w:szCs w:val="28"/>
          <w14:textFill>
            <w14:solidFill>
              <w14:schemeClr w14:val="tx1"/>
            </w14:solidFill>
          </w14:textFill>
        </w:rPr>
        <w:t>确定后会及时通知，原则上只通知被选中的比选响应</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z w:val="28"/>
          <w:szCs w:val="28"/>
          <w14:textFill>
            <w14:solidFill>
              <w14:schemeClr w14:val="tx1"/>
            </w14:solidFill>
          </w14:textFill>
        </w:rPr>
        <w:t>对未被选中的比选响应</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z w:val="28"/>
          <w:szCs w:val="28"/>
          <w14:textFill>
            <w14:solidFill>
              <w14:schemeClr w14:val="tx1"/>
            </w14:solidFill>
          </w14:textFill>
        </w:rPr>
        <w:t>不通知、不解释。</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b w:val="0"/>
          <w:bCs w:val="0"/>
          <w:lang w:val="en-US"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11.7 </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合同签订：比选响应人接到成交通知后，应在20天内按比选采购文件和比选响应文件与</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签订书面合同。</w:t>
      </w:r>
    </w:p>
    <w:p>
      <w:pPr>
        <w:keepNext w:val="0"/>
        <w:keepLines w:val="0"/>
        <w:pageBreakBefore w:val="0"/>
        <w:kinsoku/>
        <w:wordWrap/>
        <w:overflowPunct/>
        <w:topLinePunct w:val="0"/>
        <w:bidi w:val="0"/>
        <w:snapToGrid w:val="0"/>
        <w:spacing w:line="560" w:lineRule="exact"/>
        <w:ind w:firstLine="548" w:firstLineChars="196"/>
        <w:rPr>
          <w:rFonts w:hint="eastAsia" w:ascii="黑体" w:hAnsi="黑体" w:eastAsia="黑体" w:cs="黑体"/>
          <w:b w:val="0"/>
          <w:bCs/>
          <w:sz w:val="28"/>
          <w:szCs w:val="28"/>
        </w:rPr>
      </w:pPr>
      <w:r>
        <w:rPr>
          <w:rFonts w:hint="eastAsia" w:ascii="黑体" w:hAnsi="黑体" w:eastAsia="黑体" w:cs="黑体"/>
          <w:b w:val="0"/>
          <w:bCs/>
          <w:color w:val="000000"/>
          <w:sz w:val="28"/>
          <w:szCs w:val="28"/>
        </w:rPr>
        <w:t>十</w:t>
      </w:r>
      <w:r>
        <w:rPr>
          <w:rFonts w:hint="eastAsia" w:ascii="黑体" w:hAnsi="黑体" w:eastAsia="黑体" w:cs="黑体"/>
          <w:b w:val="0"/>
          <w:bCs/>
          <w:color w:val="000000"/>
          <w:sz w:val="28"/>
          <w:szCs w:val="28"/>
          <w:lang w:val="en-US" w:eastAsia="zh-CN"/>
        </w:rPr>
        <w:t>二</w:t>
      </w:r>
      <w:r>
        <w:rPr>
          <w:rFonts w:hint="eastAsia" w:ascii="黑体" w:hAnsi="黑体" w:eastAsia="黑体" w:cs="黑体"/>
          <w:b w:val="0"/>
          <w:bCs/>
          <w:color w:val="000000"/>
          <w:sz w:val="28"/>
          <w:szCs w:val="28"/>
        </w:rPr>
        <w:t>、</w:t>
      </w:r>
      <w:r>
        <w:rPr>
          <w:rFonts w:hint="eastAsia" w:ascii="黑体" w:hAnsi="黑体" w:eastAsia="黑体" w:cs="黑体"/>
          <w:b w:val="0"/>
          <w:bCs/>
          <w:sz w:val="28"/>
          <w:szCs w:val="28"/>
        </w:rPr>
        <w:t>联系方式</w:t>
      </w:r>
    </w:p>
    <w:p>
      <w:pPr>
        <w:keepNext w:val="0"/>
        <w:keepLines w:val="0"/>
        <w:pageBreakBefore w:val="0"/>
        <w:kinsoku/>
        <w:wordWrap/>
        <w:overflowPunct/>
        <w:topLinePunct w:val="0"/>
        <w:bidi w:val="0"/>
        <w:snapToGrid w:val="0"/>
        <w:spacing w:line="560" w:lineRule="exact"/>
        <w:ind w:firstLine="548" w:firstLineChars="196"/>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业主：</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联系人：郑老师</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电话：023-67156351</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传真：023-67153291</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邮编：401120</w:t>
      </w:r>
    </w:p>
    <w:p>
      <w:pPr>
        <w:pStyle w:val="2"/>
        <w:jc w:val="both"/>
        <w:rPr>
          <w:rFonts w:hint="default" w:ascii="Times New Roman" w:hAnsi="Times New Roman" w:eastAsia="方正小标宋_GBK" w:cs="Times New Roman"/>
          <w:color w:val="000000" w:themeColor="text1"/>
          <w:sz w:val="36"/>
          <w:szCs w:val="36"/>
          <w14:textFill>
            <w14:solidFill>
              <w14:schemeClr w14:val="tx1"/>
            </w14:solidFill>
          </w14:textFill>
        </w:rPr>
        <w:sectPr>
          <w:headerReference r:id="rId3" w:type="default"/>
          <w:footerReference r:id="rId4" w:type="default"/>
          <w:pgSz w:w="11906" w:h="16838"/>
          <w:pgMar w:top="1560" w:right="1800" w:bottom="1440" w:left="1800" w:header="851" w:footer="992" w:gutter="0"/>
          <w:pgNumType w:fmt="decimal"/>
          <w:cols w:space="425" w:num="1"/>
          <w:docGrid w:type="lines" w:linePitch="312" w:charSpace="0"/>
        </w:sectPr>
      </w:pPr>
      <w:bookmarkStart w:id="1" w:name="_Toc7485"/>
    </w:p>
    <w:p>
      <w:pPr>
        <w:pStyle w:val="2"/>
        <w:jc w:val="both"/>
        <w:rPr>
          <w:rFonts w:hint="eastAsia"/>
          <w:lang w:val="en-US" w:eastAsia="zh-CN"/>
        </w:rPr>
      </w:pPr>
      <w:r>
        <w:rPr>
          <w:rFonts w:hint="eastAsia"/>
          <w:lang w:val="en-US" w:eastAsia="zh-CN"/>
        </w:rPr>
        <w:t>附件一：防疫物资采购需求表</w:t>
      </w:r>
    </w:p>
    <w:tbl>
      <w:tblPr>
        <w:tblStyle w:val="16"/>
        <w:tblW w:w="9045"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28"/>
        <w:gridCol w:w="4722"/>
        <w:gridCol w:w="748"/>
        <w:gridCol w:w="1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931" w:type="dxa"/>
            <w:tcBorders>
              <w:bottom w:val="nil"/>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名称</w:t>
            </w:r>
          </w:p>
        </w:tc>
        <w:tc>
          <w:tcPr>
            <w:tcW w:w="4725" w:type="dxa"/>
            <w:tcBorders>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品牌规格</w:t>
            </w:r>
          </w:p>
        </w:tc>
        <w:tc>
          <w:tcPr>
            <w:tcW w:w="750" w:type="dxa"/>
            <w:tcBorders>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单位</w:t>
            </w:r>
          </w:p>
        </w:tc>
        <w:tc>
          <w:tcPr>
            <w:tcW w:w="1650"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不含增值税单价限价（元）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一次性医用外科口罩</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耳挂式，灭菌级，尺寸不小于17.5*8.9(cm)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个</w:t>
            </w:r>
          </w:p>
        </w:tc>
        <w:tc>
          <w:tcPr>
            <w:tcW w:w="16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0.50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N95口罩</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灭菌级，耳挂式，符合国家标准GB19083-2010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个</w:t>
            </w:r>
          </w:p>
        </w:tc>
        <w:tc>
          <w:tcPr>
            <w:tcW w:w="16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2.00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N95口罩</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灭菌级，头戴式，符合国家标准GB19083-2010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个</w:t>
            </w:r>
          </w:p>
        </w:tc>
        <w:tc>
          <w:tcPr>
            <w:tcW w:w="16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2.50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防护服</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无纺布，带帽子（含鞋套），尺码：175-195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件</w:t>
            </w:r>
          </w:p>
        </w:tc>
        <w:tc>
          <w:tcPr>
            <w:tcW w:w="16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32.00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一次性手术服</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无纺布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件</w:t>
            </w:r>
          </w:p>
        </w:tc>
        <w:tc>
          <w:tcPr>
            <w:tcW w:w="16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12.00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隔离衣</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无纺布，双腰带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件</w:t>
            </w:r>
          </w:p>
        </w:tc>
        <w:tc>
          <w:tcPr>
            <w:tcW w:w="16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8.50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免洗手消毒液</w:t>
            </w:r>
          </w:p>
        </w:tc>
        <w:tc>
          <w:tcPr>
            <w:tcW w:w="47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迪亚洁，YD-1452,季铵盐，每瓶500ml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瓶</w:t>
            </w:r>
          </w:p>
        </w:tc>
        <w:tc>
          <w:tcPr>
            <w:tcW w:w="16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25.00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季铵盐消毒液</w:t>
            </w:r>
          </w:p>
        </w:tc>
        <w:tc>
          <w:tcPr>
            <w:tcW w:w="47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每瓶500ml,复合双链季铵盐，喷雾型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瓶</w:t>
            </w:r>
          </w:p>
        </w:tc>
        <w:tc>
          <w:tcPr>
            <w:tcW w:w="16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13.00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一次性医用手套</w:t>
            </w:r>
          </w:p>
        </w:tc>
        <w:tc>
          <w:tcPr>
            <w:tcW w:w="47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材质：丁腈，尺码：L码，长度为9英寸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双</w:t>
            </w:r>
          </w:p>
        </w:tc>
        <w:tc>
          <w:tcPr>
            <w:tcW w:w="16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一次性医用手套</w:t>
            </w:r>
          </w:p>
        </w:tc>
        <w:tc>
          <w:tcPr>
            <w:tcW w:w="47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材质：丁腈，尺码：L码，长度为12英寸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双</w:t>
            </w:r>
          </w:p>
        </w:tc>
        <w:tc>
          <w:tcPr>
            <w:tcW w:w="16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2.20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一次性医用帽子</w:t>
            </w:r>
          </w:p>
        </w:tc>
        <w:tc>
          <w:tcPr>
            <w:tcW w:w="472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无纺布，双筋常规型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个</w:t>
            </w:r>
          </w:p>
        </w:tc>
        <w:tc>
          <w:tcPr>
            <w:tcW w:w="16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0.50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君利达消毒片</w:t>
            </w:r>
          </w:p>
        </w:tc>
        <w:tc>
          <w:tcPr>
            <w:tcW w:w="472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每瓶100片，有效氯含量45%-50%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瓶</w:t>
            </w:r>
          </w:p>
        </w:tc>
        <w:tc>
          <w:tcPr>
            <w:tcW w:w="16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6.00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医用废物包装袋</w:t>
            </w:r>
          </w:p>
        </w:tc>
        <w:tc>
          <w:tcPr>
            <w:tcW w:w="47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黄色，尺寸：90cm×100cm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个</w:t>
            </w:r>
          </w:p>
        </w:tc>
        <w:tc>
          <w:tcPr>
            <w:tcW w:w="16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0.90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医用废物包装袋</w:t>
            </w:r>
          </w:p>
        </w:tc>
        <w:tc>
          <w:tcPr>
            <w:tcW w:w="47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黄色，尺寸：120cm×140cm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个</w:t>
            </w:r>
          </w:p>
        </w:tc>
        <w:tc>
          <w:tcPr>
            <w:tcW w:w="16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1.30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医用隔离面罩</w:t>
            </w:r>
          </w:p>
        </w:tc>
        <w:tc>
          <w:tcPr>
            <w:tcW w:w="47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中号，符合执行标准GB14866-2006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个</w:t>
            </w:r>
          </w:p>
        </w:tc>
        <w:tc>
          <w:tcPr>
            <w:tcW w:w="16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3.00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医用护目镜</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有效阻隔体液及飞沫飞溅，防起雾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副</w:t>
            </w:r>
          </w:p>
        </w:tc>
        <w:tc>
          <w:tcPr>
            <w:tcW w:w="16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7.00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9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医用隔离眼罩</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有效阻隔体液及飞沫飞溅，防起雾，透光性好，可调节头带，可与近视眼镜一起佩戴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副</w:t>
            </w:r>
          </w:p>
        </w:tc>
        <w:tc>
          <w:tcPr>
            <w:tcW w:w="16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14.00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加厚型，材质：聚乙烯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双</w:t>
            </w:r>
          </w:p>
        </w:tc>
        <w:tc>
          <w:tcPr>
            <w:tcW w:w="16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0.40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一次性医用鞋套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主要材质：聚乙烯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双</w:t>
            </w:r>
          </w:p>
        </w:tc>
        <w:tc>
          <w:tcPr>
            <w:tcW w:w="16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0.50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9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额温枪</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可更换碱性电池，有显示屏，测速为1秒，测试距离为3cm-5cm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个</w:t>
            </w:r>
          </w:p>
        </w:tc>
        <w:tc>
          <w:tcPr>
            <w:tcW w:w="16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60.00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84消毒液</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每桶5KG，有效成分为次氯酸钠，有效氯含量为4%-7%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桶</w:t>
            </w:r>
          </w:p>
        </w:tc>
        <w:tc>
          <w:tcPr>
            <w:tcW w:w="16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30.00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酒精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每瓶500ml,乙醇含量70%-80%（v/v）</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瓶</w:t>
            </w:r>
          </w:p>
        </w:tc>
        <w:tc>
          <w:tcPr>
            <w:tcW w:w="16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6.00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低温消毒液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青岛康威龙，（A+B级）6kg液体+24g粉剂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套</w:t>
            </w:r>
          </w:p>
        </w:tc>
        <w:tc>
          <w:tcPr>
            <w:tcW w:w="16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60.00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测氯试纸</w:t>
            </w:r>
          </w:p>
        </w:tc>
        <w:tc>
          <w:tcPr>
            <w:tcW w:w="472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指示范围：有效氯50mg/L-2000mg/L，每盒1卷，1卷长度约为4米左右，含比色卡</w:t>
            </w:r>
          </w:p>
        </w:tc>
        <w:tc>
          <w:tcPr>
            <w:tcW w:w="75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盒</w:t>
            </w:r>
          </w:p>
        </w:tc>
        <w:tc>
          <w:tcPr>
            <w:tcW w:w="1650" w:type="dxa"/>
            <w:tcBorders>
              <w:top w:val="single" w:color="000000" w:sz="4" w:space="0"/>
              <w:lef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12.00 </w:t>
            </w:r>
          </w:p>
        </w:tc>
      </w:tr>
    </w:tbl>
    <w:p>
      <w:pPr>
        <w:rPr>
          <w:rFonts w:hint="eastAsia"/>
          <w:lang w:val="en-US" w:eastAsia="zh-CN"/>
        </w:rPr>
      </w:pPr>
      <w:r>
        <w:rPr>
          <w:rFonts w:hint="eastAsia"/>
          <w:lang w:val="en-US" w:eastAsia="zh-CN"/>
        </w:rPr>
        <w:br w:type="page"/>
      </w:r>
    </w:p>
    <w:p>
      <w:pPr>
        <w:pStyle w:val="2"/>
        <w:jc w:val="both"/>
        <w:rPr>
          <w:rFonts w:hint="default" w:eastAsia="宋体"/>
          <w:lang w:val="en-US" w:eastAsia="zh-CN"/>
        </w:rPr>
      </w:pPr>
      <w:r>
        <w:rPr>
          <w:rFonts w:hint="eastAsia"/>
          <w:lang w:val="en-US" w:eastAsia="zh-CN"/>
        </w:rPr>
        <w:t>附件二：比选办法（综合评分法）</w:t>
      </w:r>
    </w:p>
    <w:p>
      <w:pPr>
        <w:pStyle w:val="2"/>
        <w:keepNext w:val="0"/>
        <w:keepLines w:val="0"/>
        <w:pageBreakBefore w:val="0"/>
        <w:kinsoku/>
        <w:wordWrap/>
        <w:overflowPunct/>
        <w:topLinePunct w:val="0"/>
        <w:bidi w:val="0"/>
        <w:spacing w:line="56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本次比选采取综合评分法。在经过初步审查后对符合本文件基本要求的比选响应人进行详细评审，总得分为经济、技术、商务三种</w:t>
      </w:r>
      <w:r>
        <w:rPr>
          <w:rFonts w:hint="eastAsia"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评定因素分别按照相应分值计算分项得分后相加，满分为100分。</w:t>
      </w:r>
    </w:p>
    <w:p>
      <w:pPr>
        <w:pStyle w:val="2"/>
        <w:keepNext w:val="0"/>
        <w:keepLines w:val="0"/>
        <w:pageBreakBefore w:val="0"/>
        <w:kinsoku/>
        <w:wordWrap/>
        <w:overflowPunct/>
        <w:topLinePunct w:val="0"/>
        <w:bidi w:val="0"/>
        <w:spacing w:line="560" w:lineRule="exact"/>
        <w:ind w:firstLine="562" w:firstLineChars="200"/>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本次比选评审包括对比选响应文件进行评审，以及对比选响应人现场述标进行评审两部分。</w:t>
      </w:r>
      <w:bookmarkEnd w:id="1"/>
    </w:p>
    <w:tbl>
      <w:tblPr>
        <w:tblStyle w:val="16"/>
        <w:tblW w:w="10299"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759"/>
        <w:gridCol w:w="1350"/>
        <w:gridCol w:w="6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500" w:lineRule="exact"/>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条款号</w:t>
            </w:r>
          </w:p>
        </w:tc>
        <w:tc>
          <w:tcPr>
            <w:tcW w:w="1759" w:type="dxa"/>
            <w:vAlign w:val="center"/>
          </w:tcPr>
          <w:p>
            <w:pPr>
              <w:keepNext w:val="0"/>
              <w:keepLines w:val="0"/>
              <w:pageBreakBefore w:val="0"/>
              <w:widowControl w:val="0"/>
              <w:tabs>
                <w:tab w:val="left" w:pos="1875"/>
              </w:tabs>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条款内容</w:t>
            </w:r>
          </w:p>
        </w:tc>
        <w:tc>
          <w:tcPr>
            <w:tcW w:w="7405" w:type="dxa"/>
            <w:gridSpan w:val="2"/>
            <w:vAlign w:val="center"/>
          </w:tcPr>
          <w:p>
            <w:pPr>
              <w:keepNext w:val="0"/>
              <w:keepLines w:val="0"/>
              <w:pageBreakBefore w:val="0"/>
              <w:widowControl w:val="0"/>
              <w:tabs>
                <w:tab w:val="left" w:pos="1875"/>
              </w:tabs>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w:t>
            </w:r>
          </w:p>
        </w:tc>
        <w:tc>
          <w:tcPr>
            <w:tcW w:w="1759" w:type="dxa"/>
            <w:tcBorders>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分值构成</w:t>
            </w:r>
          </w:p>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（总分100分）</w:t>
            </w:r>
          </w:p>
        </w:tc>
        <w:tc>
          <w:tcPr>
            <w:tcW w:w="7405"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ind w:firstLine="240" w:firstLineChars="100"/>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总分=</w:t>
            </w:r>
            <w:r>
              <w:rPr>
                <w:rFonts w:hint="default" w:ascii="Times New Roman" w:hAnsi="Times New Roman" w:eastAsia="方正仿宋_GBK" w:cs="Times New Roman"/>
                <w:color w:val="000000"/>
                <w:sz w:val="24"/>
                <w:szCs w:val="24"/>
                <w:lang w:val="en-US" w:eastAsia="zh-CN"/>
              </w:rPr>
              <w:t>经济</w:t>
            </w:r>
            <w:r>
              <w:rPr>
                <w:rFonts w:hint="default" w:ascii="Times New Roman" w:hAnsi="Times New Roman" w:eastAsia="方正仿宋_GBK" w:cs="Times New Roman"/>
                <w:color w:val="000000"/>
                <w:sz w:val="24"/>
                <w:szCs w:val="24"/>
              </w:rPr>
              <w:t>部分得分+</w:t>
            </w:r>
            <w:r>
              <w:rPr>
                <w:rFonts w:hint="default" w:ascii="Times New Roman" w:hAnsi="Times New Roman" w:eastAsia="方正仿宋_GBK" w:cs="Times New Roman"/>
                <w:color w:val="000000"/>
                <w:sz w:val="24"/>
                <w:szCs w:val="24"/>
                <w:lang w:val="en-US" w:eastAsia="zh-CN"/>
              </w:rPr>
              <w:t>技术部分</w:t>
            </w:r>
            <w:r>
              <w:rPr>
                <w:rFonts w:hint="default" w:ascii="Times New Roman" w:hAnsi="Times New Roman" w:eastAsia="方正仿宋_GBK" w:cs="Times New Roman"/>
                <w:color w:val="000000"/>
                <w:sz w:val="24"/>
                <w:szCs w:val="24"/>
              </w:rPr>
              <w:t>得分</w:t>
            </w:r>
            <w:r>
              <w:rPr>
                <w:rFonts w:hint="default" w:ascii="Times New Roman" w:hAnsi="Times New Roman" w:eastAsia="方正仿宋_GBK" w:cs="Times New Roman"/>
                <w:color w:val="000000"/>
                <w:sz w:val="24"/>
                <w:szCs w:val="24"/>
                <w:lang w:val="en-US" w:eastAsia="zh-CN"/>
              </w:rPr>
              <w:t>+商务部分得分</w:t>
            </w:r>
          </w:p>
          <w:p>
            <w:pPr>
              <w:keepNext w:val="0"/>
              <w:keepLines w:val="0"/>
              <w:pageBreakBefore w:val="0"/>
              <w:widowControl w:val="0"/>
              <w:kinsoku/>
              <w:wordWrap/>
              <w:overflowPunct/>
              <w:topLinePunct w:val="0"/>
              <w:autoSpaceDE/>
              <w:autoSpaceDN/>
              <w:bidi w:val="0"/>
              <w:spacing w:line="500" w:lineRule="exact"/>
              <w:ind w:firstLine="240" w:firstLineChars="100"/>
              <w:textAlignment w:val="auto"/>
              <w:outlineLvl w:val="9"/>
              <w:rPr>
                <w:rFonts w:hint="default" w:ascii="Times New Roman" w:hAnsi="Times New Roman" w:eastAsia="方正仿宋_GBK" w:cs="Times New Roman"/>
                <w:color w:val="000000"/>
                <w:szCs w:val="21"/>
                <w:lang w:val="en-US" w:eastAsia="zh-CN"/>
              </w:rPr>
            </w:pPr>
            <w:r>
              <w:rPr>
                <w:rFonts w:hint="default" w:ascii="Times New Roman" w:hAnsi="Times New Roman" w:eastAsia="方正仿宋_GBK" w:cs="Times New Roman"/>
                <w:color w:val="000000"/>
                <w:sz w:val="24"/>
                <w:szCs w:val="24"/>
              </w:rPr>
              <w:t>经济部分：</w:t>
            </w:r>
            <w:r>
              <w:rPr>
                <w:rFonts w:hint="eastAsia" w:eastAsia="方正仿宋_GBK" w:cs="Times New Roman"/>
                <w:color w:val="000000"/>
                <w:sz w:val="24"/>
                <w:szCs w:val="24"/>
                <w:lang w:val="en-US" w:eastAsia="zh-CN"/>
              </w:rPr>
              <w:t>80</w:t>
            </w:r>
            <w:r>
              <w:rPr>
                <w:rFonts w:hint="default" w:ascii="Times New Roman" w:hAnsi="Times New Roman" w:eastAsia="方正仿宋_GBK" w:cs="Times New Roman"/>
                <w:color w:val="000000"/>
                <w:sz w:val="24"/>
                <w:szCs w:val="24"/>
              </w:rPr>
              <w:t>分</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技术部分：</w:t>
            </w:r>
            <w:r>
              <w:rPr>
                <w:rFonts w:hint="eastAsia" w:eastAsia="方正仿宋_GBK" w:cs="Times New Roman"/>
                <w:color w:val="000000"/>
                <w:sz w:val="24"/>
                <w:szCs w:val="24"/>
                <w:lang w:val="en-US" w:eastAsia="zh-CN"/>
              </w:rPr>
              <w:t>15</w:t>
            </w:r>
            <w:r>
              <w:rPr>
                <w:rFonts w:hint="default" w:ascii="Times New Roman" w:hAnsi="Times New Roman" w:eastAsia="方正仿宋_GBK" w:cs="Times New Roman"/>
                <w:color w:val="000000"/>
                <w:sz w:val="24"/>
                <w:szCs w:val="24"/>
                <w:lang w:val="en-US" w:eastAsia="zh-CN"/>
              </w:rPr>
              <w:t>分；商务部分：</w:t>
            </w:r>
            <w:r>
              <w:rPr>
                <w:rFonts w:hint="eastAsia"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color w:val="000000"/>
                <w:sz w:val="28"/>
                <w:szCs w:val="28"/>
              </w:rPr>
              <w:t>条款号</w:t>
            </w:r>
          </w:p>
        </w:tc>
        <w:tc>
          <w:tcPr>
            <w:tcW w:w="1759"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color w:val="000000"/>
                <w:sz w:val="28"/>
                <w:szCs w:val="28"/>
              </w:rPr>
              <w:t>评审因素</w:t>
            </w:r>
          </w:p>
        </w:tc>
        <w:tc>
          <w:tcPr>
            <w:tcW w:w="1350"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sz w:val="28"/>
                <w:szCs w:val="28"/>
              </w:rPr>
            </w:pPr>
            <w:r>
              <w:rPr>
                <w:rFonts w:hint="default" w:ascii="Times New Roman" w:hAnsi="Times New Roman" w:eastAsia="方正仿宋_GBK" w:cs="Times New Roman"/>
                <w:b/>
                <w:color w:val="000000"/>
                <w:sz w:val="28"/>
                <w:szCs w:val="28"/>
              </w:rPr>
              <w:t>分值</w:t>
            </w:r>
          </w:p>
        </w:tc>
        <w:tc>
          <w:tcPr>
            <w:tcW w:w="6055" w:type="dxa"/>
            <w:tcBorders>
              <w:lef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sz w:val="28"/>
                <w:szCs w:val="28"/>
                <w:lang w:val="en-US" w:eastAsia="zh-CN"/>
              </w:rPr>
            </w:pPr>
            <w:r>
              <w:rPr>
                <w:rFonts w:hint="default" w:ascii="Times New Roman" w:hAnsi="Times New Roman" w:eastAsia="方正仿宋_GBK" w:cs="Times New Roman"/>
                <w:b/>
                <w:color w:val="000000"/>
                <w:sz w:val="28"/>
                <w:szCs w:val="28"/>
                <w:lang w:val="en-US" w:eastAsia="zh-CN"/>
              </w:rPr>
              <w:t>2.1</w:t>
            </w:r>
          </w:p>
        </w:tc>
        <w:tc>
          <w:tcPr>
            <w:tcW w:w="1759"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sz w:val="28"/>
                <w:szCs w:val="28"/>
                <w:lang w:val="en-US" w:eastAsia="zh-CN"/>
              </w:rPr>
            </w:pPr>
            <w:r>
              <w:rPr>
                <w:rFonts w:hint="default" w:ascii="Times New Roman" w:hAnsi="Times New Roman" w:eastAsia="方正仿宋_GBK" w:cs="Times New Roman"/>
                <w:b/>
                <w:color w:val="000000"/>
                <w:sz w:val="28"/>
                <w:szCs w:val="28"/>
                <w:lang w:val="en-US" w:eastAsia="zh-CN"/>
              </w:rPr>
              <w:t>经济部分评分标准</w:t>
            </w:r>
          </w:p>
        </w:tc>
        <w:tc>
          <w:tcPr>
            <w:tcW w:w="1350"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sz w:val="28"/>
                <w:szCs w:val="28"/>
                <w:lang w:val="en-US" w:eastAsia="zh-CN"/>
              </w:rPr>
            </w:pPr>
            <w:r>
              <w:rPr>
                <w:rFonts w:hint="eastAsia" w:eastAsia="方正仿宋_GBK" w:cs="Times New Roman"/>
                <w:b/>
                <w:color w:val="000000"/>
                <w:sz w:val="28"/>
                <w:szCs w:val="28"/>
                <w:lang w:val="en-US" w:eastAsia="zh-CN"/>
              </w:rPr>
              <w:t>8</w:t>
            </w:r>
            <w:r>
              <w:rPr>
                <w:rFonts w:hint="default" w:ascii="Times New Roman" w:hAnsi="Times New Roman" w:eastAsia="方正仿宋_GBK" w:cs="Times New Roman"/>
                <w:b/>
                <w:color w:val="000000"/>
                <w:sz w:val="28"/>
                <w:szCs w:val="28"/>
                <w:lang w:val="en-US" w:eastAsia="zh-CN"/>
              </w:rPr>
              <w:t>0分</w:t>
            </w:r>
          </w:p>
        </w:tc>
        <w:tc>
          <w:tcPr>
            <w:tcW w:w="6055" w:type="dxa"/>
            <w:tcBorders>
              <w:left w:val="single" w:color="auto" w:sz="4" w:space="0"/>
            </w:tcBorders>
            <w:vAlign w:val="center"/>
          </w:tcPr>
          <w:p>
            <w:pPr>
              <w:spacing w:line="400" w:lineRule="exact"/>
              <w:ind w:firstLine="480" w:firstLineChars="200"/>
              <w:jc w:val="left"/>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所有经初步评审合格的</w:t>
            </w:r>
            <w:r>
              <w:rPr>
                <w:rFonts w:hint="eastAsia" w:eastAsia="方正仿宋_GBK" w:cs="Times New Roman"/>
                <w:color w:val="000000"/>
                <w:sz w:val="24"/>
                <w:szCs w:val="24"/>
                <w:lang w:val="en-US" w:eastAsia="zh-CN"/>
              </w:rPr>
              <w:t>比选响应人的综合下浮比例</w:t>
            </w:r>
            <w:r>
              <w:rPr>
                <w:rFonts w:hint="eastAsia" w:ascii="Times New Roman" w:hAnsi="Times New Roman" w:eastAsia="方正仿宋_GBK" w:cs="Times New Roman"/>
                <w:color w:val="000000"/>
                <w:sz w:val="24"/>
                <w:szCs w:val="24"/>
                <w:lang w:val="en-US" w:eastAsia="zh-CN"/>
              </w:rPr>
              <w:t>中去掉1/6（不能整除的按小数前整数取整，不足六家（含）报价则不去掉）的最高和相同家数的最低</w:t>
            </w:r>
            <w:r>
              <w:rPr>
                <w:rFonts w:hint="eastAsia" w:eastAsia="方正仿宋_GBK" w:cs="Times New Roman"/>
                <w:color w:val="000000"/>
                <w:sz w:val="24"/>
                <w:szCs w:val="24"/>
                <w:lang w:val="en-US" w:eastAsia="zh-CN"/>
              </w:rPr>
              <w:t>综合下浮比例</w:t>
            </w:r>
            <w:r>
              <w:rPr>
                <w:rFonts w:hint="eastAsia" w:ascii="Times New Roman" w:hAnsi="Times New Roman" w:eastAsia="方正仿宋_GBK" w:cs="Times New Roman"/>
                <w:color w:val="000000"/>
                <w:sz w:val="24"/>
                <w:szCs w:val="24"/>
                <w:lang w:val="en-US" w:eastAsia="zh-CN"/>
              </w:rPr>
              <w:t>后进行算术平均，所得的算术平均值即为</w:t>
            </w:r>
            <w:r>
              <w:rPr>
                <w:rFonts w:hint="eastAsia" w:eastAsia="方正仿宋_GBK" w:cs="Times New Roman"/>
                <w:color w:val="000000"/>
                <w:sz w:val="24"/>
                <w:szCs w:val="24"/>
                <w:lang w:val="en-US" w:eastAsia="zh-CN"/>
              </w:rPr>
              <w:t>基准综合下浮比例</w:t>
            </w:r>
            <w:r>
              <w:rPr>
                <w:rFonts w:hint="eastAsia" w:ascii="Times New Roman" w:hAnsi="Times New Roman" w:eastAsia="方正仿宋_GBK" w:cs="Times New Roman"/>
                <w:color w:val="000000"/>
                <w:sz w:val="24"/>
                <w:szCs w:val="24"/>
                <w:lang w:val="en-US" w:eastAsia="zh-CN"/>
              </w:rPr>
              <w:t>。</w:t>
            </w:r>
          </w:p>
          <w:p>
            <w:pPr>
              <w:spacing w:line="400" w:lineRule="exact"/>
              <w:ind w:firstLine="480" w:firstLineChars="200"/>
              <w:jc w:val="left"/>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偏差率计算公式：</w:t>
            </w:r>
          </w:p>
          <w:p>
            <w:pPr>
              <w:spacing w:line="400" w:lineRule="exact"/>
              <w:ind w:firstLine="480" w:firstLineChars="200"/>
              <w:jc w:val="left"/>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偏差率=</w:t>
            </w:r>
            <w:r>
              <w:rPr>
                <w:rFonts w:hint="eastAsia" w:eastAsia="方正仿宋_GBK" w:cs="Times New Roman"/>
                <w:color w:val="000000"/>
                <w:sz w:val="24"/>
                <w:szCs w:val="24"/>
                <w:lang w:val="en-US" w:eastAsia="zh-CN"/>
              </w:rPr>
              <w:t>比选响应人所报综合下浮比例-基准综合下浮比例</w:t>
            </w:r>
            <w:r>
              <w:rPr>
                <w:rFonts w:hint="eastAsia" w:ascii="Times New Roman" w:hAnsi="Times New Roman" w:eastAsia="方正仿宋_GBK" w:cs="Times New Roman"/>
                <w:color w:val="000000"/>
                <w:sz w:val="24"/>
                <w:szCs w:val="24"/>
                <w:lang w:val="en-US" w:eastAsia="zh-CN"/>
              </w:rPr>
              <w:t xml:space="preserve">    </w:t>
            </w:r>
          </w:p>
          <w:p>
            <w:pPr>
              <w:spacing w:line="400" w:lineRule="exact"/>
              <w:ind w:firstLine="480" w:firstLineChars="200"/>
              <w:jc w:val="left"/>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所有经初步评审合格的比选响应人的</w:t>
            </w:r>
            <w:r>
              <w:rPr>
                <w:rFonts w:hint="eastAsia" w:eastAsia="方正仿宋_GBK" w:cs="Times New Roman"/>
                <w:color w:val="000000"/>
                <w:sz w:val="24"/>
                <w:szCs w:val="24"/>
                <w:lang w:val="en-US" w:eastAsia="zh-CN"/>
              </w:rPr>
              <w:t>综合下浮比例</w:t>
            </w:r>
            <w:r>
              <w:rPr>
                <w:rFonts w:hint="eastAsia" w:ascii="Times New Roman" w:hAnsi="Times New Roman" w:eastAsia="方正仿宋_GBK" w:cs="Times New Roman"/>
                <w:color w:val="000000"/>
                <w:sz w:val="24"/>
                <w:szCs w:val="24"/>
                <w:lang w:val="en-US" w:eastAsia="zh-CN"/>
              </w:rPr>
              <w:t>与基准</w:t>
            </w:r>
            <w:r>
              <w:rPr>
                <w:rFonts w:hint="eastAsia" w:eastAsia="方正仿宋_GBK" w:cs="Times New Roman"/>
                <w:color w:val="000000"/>
                <w:sz w:val="24"/>
                <w:szCs w:val="24"/>
                <w:lang w:val="en-US" w:eastAsia="zh-CN"/>
              </w:rPr>
              <w:t>综合下浮比例</w:t>
            </w:r>
            <w:r>
              <w:rPr>
                <w:rFonts w:hint="eastAsia" w:ascii="Times New Roman" w:hAnsi="Times New Roman" w:eastAsia="方正仿宋_GBK" w:cs="Times New Roman"/>
                <w:color w:val="000000"/>
                <w:sz w:val="24"/>
                <w:szCs w:val="24"/>
                <w:lang w:val="en-US" w:eastAsia="zh-CN"/>
              </w:rPr>
              <w:t>进行比较，等于基准</w:t>
            </w:r>
            <w:r>
              <w:rPr>
                <w:rFonts w:hint="eastAsia" w:eastAsia="方正仿宋_GBK" w:cs="Times New Roman"/>
                <w:color w:val="000000"/>
                <w:sz w:val="24"/>
                <w:szCs w:val="24"/>
                <w:lang w:val="en-US" w:eastAsia="zh-CN"/>
              </w:rPr>
              <w:t>综合下浮比例</w:t>
            </w:r>
            <w:r>
              <w:rPr>
                <w:rFonts w:hint="eastAsia" w:ascii="Times New Roman" w:hAnsi="Times New Roman" w:eastAsia="方正仿宋_GBK" w:cs="Times New Roman"/>
                <w:color w:val="000000"/>
                <w:sz w:val="24"/>
                <w:szCs w:val="24"/>
                <w:lang w:val="en-US" w:eastAsia="zh-CN"/>
              </w:rPr>
              <w:t>的得</w:t>
            </w:r>
            <w:r>
              <w:rPr>
                <w:rFonts w:hint="eastAsia" w:eastAsia="方正仿宋_GBK" w:cs="Times New Roman"/>
                <w:color w:val="000000"/>
                <w:sz w:val="24"/>
                <w:szCs w:val="24"/>
                <w:lang w:val="en-US" w:eastAsia="zh-CN"/>
              </w:rPr>
              <w:t>80</w:t>
            </w:r>
            <w:r>
              <w:rPr>
                <w:rFonts w:hint="eastAsia" w:ascii="Times New Roman" w:hAnsi="Times New Roman" w:eastAsia="方正仿宋_GBK" w:cs="Times New Roman"/>
                <w:color w:val="000000"/>
                <w:sz w:val="24"/>
                <w:szCs w:val="24"/>
                <w:lang w:val="en-US" w:eastAsia="zh-CN"/>
              </w:rPr>
              <w:t>分；与基准</w:t>
            </w:r>
            <w:r>
              <w:rPr>
                <w:rFonts w:hint="eastAsia" w:eastAsia="方正仿宋_GBK" w:cs="Times New Roman"/>
                <w:color w:val="000000"/>
                <w:sz w:val="24"/>
                <w:szCs w:val="24"/>
                <w:lang w:val="en-US" w:eastAsia="zh-CN"/>
              </w:rPr>
              <w:t>综合下浮比例</w:t>
            </w:r>
            <w:r>
              <w:rPr>
                <w:rFonts w:hint="eastAsia" w:ascii="Times New Roman" w:hAnsi="Times New Roman" w:eastAsia="方正仿宋_GBK" w:cs="Times New Roman"/>
                <w:color w:val="000000"/>
                <w:sz w:val="24"/>
                <w:szCs w:val="24"/>
                <w:lang w:val="en-US" w:eastAsia="zh-CN"/>
              </w:rPr>
              <w:t xml:space="preserve">相比，每增加1％扣 </w:t>
            </w:r>
            <w:r>
              <w:rPr>
                <w:rFonts w:hint="eastAsia" w:eastAsia="方正仿宋_GBK" w:cs="Times New Roman"/>
                <w:color w:val="000000"/>
                <w:sz w:val="24"/>
                <w:szCs w:val="24"/>
                <w:lang w:val="en-US" w:eastAsia="zh-CN"/>
              </w:rPr>
              <w:t>0.5</w:t>
            </w:r>
            <w:r>
              <w:rPr>
                <w:rFonts w:hint="eastAsia" w:ascii="Times New Roman" w:hAnsi="Times New Roman" w:eastAsia="方正仿宋_GBK" w:cs="Times New Roman"/>
                <w:color w:val="000000"/>
                <w:sz w:val="24"/>
                <w:szCs w:val="24"/>
                <w:lang w:val="en-US" w:eastAsia="zh-CN"/>
              </w:rPr>
              <w:t xml:space="preserve"> 分，每减少1％扣</w:t>
            </w:r>
            <w:r>
              <w:rPr>
                <w:rFonts w:hint="eastAsia" w:eastAsia="方正仿宋_GBK" w:cs="Times New Roman"/>
                <w:color w:val="000000"/>
                <w:sz w:val="24"/>
                <w:szCs w:val="24"/>
                <w:lang w:val="en-US" w:eastAsia="zh-CN"/>
              </w:rPr>
              <w:t>1</w:t>
            </w:r>
            <w:r>
              <w:rPr>
                <w:rFonts w:hint="eastAsia" w:ascii="Times New Roman" w:hAnsi="Times New Roman" w:eastAsia="方正仿宋_GBK" w:cs="Times New Roman"/>
                <w:color w:val="000000"/>
                <w:sz w:val="24"/>
                <w:szCs w:val="24"/>
                <w:lang w:val="en-US" w:eastAsia="zh-CN"/>
              </w:rPr>
              <w:t>分；扣完为止。</w:t>
            </w:r>
          </w:p>
          <w:p>
            <w:pPr>
              <w:bidi w:val="0"/>
              <w:rPr>
                <w:rFonts w:hint="default"/>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atLeast"/>
        </w:trPr>
        <w:tc>
          <w:tcPr>
            <w:tcW w:w="1135"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lang w:eastAsia="zh-CN"/>
              </w:rPr>
            </w:pPr>
            <w:r>
              <w:rPr>
                <w:rFonts w:hint="default" w:ascii="Times New Roman" w:hAnsi="Times New Roman" w:eastAsia="方正仿宋_GBK" w:cs="Times New Roman"/>
                <w:b/>
                <w:bCs/>
                <w:color w:val="000000"/>
                <w:sz w:val="28"/>
                <w:szCs w:val="28"/>
              </w:rPr>
              <w:t>2.</w:t>
            </w:r>
            <w:r>
              <w:rPr>
                <w:rFonts w:hint="default" w:ascii="Times New Roman" w:hAnsi="Times New Roman" w:eastAsia="方正仿宋_GBK" w:cs="Times New Roman"/>
                <w:b/>
                <w:bCs/>
                <w:color w:val="000000"/>
                <w:sz w:val="28"/>
                <w:szCs w:val="28"/>
                <w:lang w:val="en-US" w:eastAsia="zh-CN"/>
              </w:rPr>
              <w:t>2</w:t>
            </w:r>
          </w:p>
        </w:tc>
        <w:tc>
          <w:tcPr>
            <w:tcW w:w="1759"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技术</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部分</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评分</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标准</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135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Times New Roman" w:hAnsi="Times New Roman" w:eastAsia="方正仿宋_GBK" w:cs="Times New Roman"/>
                <w:b/>
                <w:bCs/>
                <w:color w:val="000000"/>
                <w:sz w:val="28"/>
                <w:szCs w:val="28"/>
                <w:lang w:val="en-US" w:eastAsia="zh-CN"/>
              </w:rPr>
            </w:pPr>
            <w:r>
              <w:rPr>
                <w:rFonts w:hint="eastAsia" w:ascii="Times New Roman" w:hAnsi="Times New Roman" w:eastAsia="方正仿宋_GBK" w:cs="Times New Roman"/>
                <w:b/>
                <w:bCs/>
                <w:color w:val="000000"/>
                <w:sz w:val="28"/>
                <w:szCs w:val="28"/>
                <w:lang w:val="en-US" w:eastAsia="zh-CN"/>
              </w:rPr>
              <w:t>样品</w:t>
            </w:r>
          </w:p>
          <w:p>
            <w:pPr>
              <w:pStyle w:val="2"/>
              <w:rPr>
                <w:rFonts w:hint="default"/>
              </w:rPr>
            </w:pPr>
            <w:r>
              <w:rPr>
                <w:rFonts w:hint="eastAsia" w:eastAsia="方正仿宋_GBK" w:cs="Times New Roman"/>
                <w:b/>
                <w:bCs/>
                <w:color w:val="000000"/>
                <w:sz w:val="28"/>
                <w:szCs w:val="28"/>
                <w:lang w:val="en-US" w:eastAsia="zh-CN"/>
              </w:rPr>
              <w:t>（15分）</w:t>
            </w:r>
          </w:p>
        </w:tc>
        <w:tc>
          <w:tcPr>
            <w:tcW w:w="6055"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ind w:firstLine="240" w:firstLineChars="100"/>
              <w:textAlignment w:val="auto"/>
              <w:outlineLvl w:val="9"/>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①提供所有样品且符合采购需求要求的得5分；</w:t>
            </w:r>
            <w:r>
              <w:rPr>
                <w:rFonts w:hint="eastAsia" w:eastAsia="方正仿宋_GBK" w:cs="Times New Roman"/>
                <w:color w:val="000000"/>
                <w:sz w:val="24"/>
                <w:szCs w:val="24"/>
                <w:lang w:val="en-US" w:eastAsia="zh-CN"/>
              </w:rPr>
              <w:t>未提供样品或任一样品不符合采购需求的取消比选响应人比选资格。</w:t>
            </w:r>
          </w:p>
          <w:p>
            <w:pPr>
              <w:keepNext w:val="0"/>
              <w:keepLines w:val="0"/>
              <w:pageBreakBefore w:val="0"/>
              <w:widowControl w:val="0"/>
              <w:kinsoku/>
              <w:wordWrap/>
              <w:overflowPunct/>
              <w:topLinePunct w:val="0"/>
              <w:autoSpaceDE/>
              <w:autoSpaceDN/>
              <w:bidi w:val="0"/>
              <w:spacing w:line="500" w:lineRule="exact"/>
              <w:ind w:firstLine="240" w:firstLineChars="100"/>
              <w:textAlignment w:val="auto"/>
              <w:outlineLvl w:val="9"/>
              <w:rPr>
                <w:rFonts w:hint="default"/>
                <w:lang w:val="en-US" w:eastAsia="zh-CN"/>
              </w:rPr>
            </w:pPr>
            <w:r>
              <w:rPr>
                <w:rFonts w:hint="eastAsia" w:ascii="Times New Roman" w:hAnsi="Times New Roman" w:eastAsia="方正仿宋_GBK" w:cs="Times New Roman"/>
                <w:color w:val="000000"/>
                <w:sz w:val="24"/>
                <w:szCs w:val="24"/>
                <w:lang w:val="en-US" w:eastAsia="zh-CN"/>
              </w:rPr>
              <w:t>②根据</w:t>
            </w:r>
            <w:r>
              <w:rPr>
                <w:rFonts w:hint="eastAsia" w:eastAsia="方正仿宋_GBK" w:cs="Times New Roman"/>
                <w:color w:val="000000"/>
                <w:sz w:val="24"/>
                <w:szCs w:val="24"/>
                <w:lang w:val="en-US" w:eastAsia="zh-CN"/>
              </w:rPr>
              <w:t>各比选响应人提供的</w:t>
            </w:r>
            <w:r>
              <w:rPr>
                <w:rFonts w:hint="eastAsia" w:ascii="Times New Roman" w:hAnsi="Times New Roman" w:eastAsia="方正仿宋_GBK" w:cs="Times New Roman"/>
                <w:color w:val="000000"/>
                <w:sz w:val="24"/>
                <w:szCs w:val="24"/>
                <w:lang w:val="en-US" w:eastAsia="zh-CN"/>
              </w:rPr>
              <w:t>样品中一次性医用口罩、N95口罩、防护服、一次性医用手套、额温枪的</w:t>
            </w:r>
            <w:r>
              <w:rPr>
                <w:rFonts w:hint="eastAsia" w:eastAsia="方正仿宋_GBK" w:cs="Times New Roman"/>
                <w:color w:val="000000"/>
                <w:sz w:val="24"/>
                <w:szCs w:val="24"/>
                <w:lang w:val="en-US" w:eastAsia="zh-CN"/>
              </w:rPr>
              <w:t>材质、实用性等方面优于采购需求的程度进行评分，得0-10分。</w:t>
            </w:r>
            <w:r>
              <w:rPr>
                <w:rFonts w:hint="eastAsia" w:eastAsia="方正仿宋_GBK" w:cs="Times New Roman"/>
                <w:b/>
                <w:bCs/>
                <w:color w:val="000000"/>
                <w:sz w:val="24"/>
                <w:szCs w:val="24"/>
                <w:lang w:val="en-US" w:eastAsia="zh-CN"/>
              </w:rPr>
              <w:t>注：以上五项样品（一次性医用口罩、N95口罩、防护服、一次性医用手套、额温枪）单项的得分最高不超过2分。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trPr>
        <w:tc>
          <w:tcPr>
            <w:tcW w:w="1135"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default" w:ascii="Times New Roman" w:hAnsi="Times New Roman" w:eastAsia="方正仿宋_GBK" w:cs="Times New Roman"/>
                <w:b/>
                <w:bCs/>
                <w:color w:val="000000"/>
                <w:sz w:val="28"/>
                <w:szCs w:val="28"/>
                <w:lang w:val="en-US" w:eastAsia="zh-CN"/>
              </w:rPr>
              <w:t>2.3</w:t>
            </w:r>
          </w:p>
        </w:tc>
        <w:tc>
          <w:tcPr>
            <w:tcW w:w="1759"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default" w:ascii="Times New Roman" w:hAnsi="Times New Roman" w:eastAsia="方正仿宋_GBK" w:cs="Times New Roman"/>
                <w:b/>
                <w:bCs/>
                <w:color w:val="000000"/>
                <w:sz w:val="28"/>
                <w:szCs w:val="28"/>
                <w:lang w:val="en-US" w:eastAsia="zh-CN"/>
              </w:rPr>
              <w:t>商务</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部分</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评分</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default" w:ascii="Times New Roman" w:hAnsi="Times New Roman" w:eastAsia="方正仿宋_GBK" w:cs="Times New Roman"/>
                <w:b/>
                <w:bCs/>
                <w:color w:val="000000"/>
                <w:sz w:val="28"/>
                <w:szCs w:val="28"/>
              </w:rPr>
              <w:t>标准</w:t>
            </w:r>
          </w:p>
        </w:tc>
        <w:tc>
          <w:tcPr>
            <w:tcW w:w="135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eastAsia" w:eastAsia="方正仿宋_GBK" w:cs="Times New Roman"/>
                <w:b/>
                <w:bCs/>
                <w:color w:val="000000"/>
                <w:sz w:val="28"/>
                <w:szCs w:val="28"/>
                <w:lang w:val="en-US" w:eastAsia="zh-CN"/>
              </w:rPr>
              <w:t>5</w:t>
            </w:r>
            <w:r>
              <w:rPr>
                <w:rFonts w:hint="default" w:ascii="Times New Roman" w:hAnsi="Times New Roman" w:eastAsia="方正仿宋_GBK" w:cs="Times New Roman"/>
                <w:b/>
                <w:bCs/>
                <w:color w:val="000000"/>
                <w:sz w:val="28"/>
                <w:szCs w:val="28"/>
                <w:lang w:val="en-US" w:eastAsia="zh-CN"/>
              </w:rPr>
              <w:t>分</w:t>
            </w:r>
          </w:p>
        </w:tc>
        <w:tc>
          <w:tcPr>
            <w:tcW w:w="6055"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ind w:firstLine="240" w:firstLineChars="100"/>
              <w:textAlignment w:val="auto"/>
              <w:outlineLvl w:val="9"/>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比选响应人每具有一个单项合同50万元（含）以上或框架合同年度结算金额50万元（含）以上的类似业绩得1分，最多不超过5分。</w:t>
            </w:r>
          </w:p>
          <w:p>
            <w:pPr>
              <w:keepNext w:val="0"/>
              <w:keepLines w:val="0"/>
              <w:pageBreakBefore w:val="0"/>
              <w:widowControl w:val="0"/>
              <w:kinsoku/>
              <w:wordWrap/>
              <w:overflowPunct/>
              <w:topLinePunct w:val="0"/>
              <w:autoSpaceDE/>
              <w:autoSpaceDN/>
              <w:bidi w:val="0"/>
              <w:spacing w:line="500" w:lineRule="exact"/>
              <w:ind w:firstLine="241" w:firstLineChars="100"/>
              <w:textAlignment w:val="auto"/>
              <w:outlineLvl w:val="9"/>
              <w:rPr>
                <w:rFonts w:hint="default"/>
                <w:lang w:val="en-US" w:eastAsia="zh-CN"/>
              </w:rPr>
            </w:pPr>
            <w:r>
              <w:rPr>
                <w:rFonts w:hint="eastAsia" w:ascii="Times New Roman" w:hAnsi="Times New Roman" w:eastAsia="方正仿宋_GBK" w:cs="Times New Roman"/>
                <w:b/>
                <w:bCs/>
                <w:color w:val="000000"/>
                <w:sz w:val="24"/>
                <w:szCs w:val="24"/>
                <w:lang w:val="en-US" w:eastAsia="zh-CN"/>
              </w:rPr>
              <w:t>注：类似业绩指防疫物资类合同</w:t>
            </w:r>
            <w:r>
              <w:rPr>
                <w:rFonts w:hint="eastAsia" w:eastAsia="方正仿宋_GBK" w:cs="Times New Roman"/>
                <w:b/>
                <w:bCs/>
                <w:color w:val="000000"/>
                <w:sz w:val="24"/>
                <w:szCs w:val="24"/>
                <w:lang w:val="en-US" w:eastAsia="zh-CN"/>
              </w:rPr>
              <w:t>。提供合同非涉密部分的复印件，如是框架合同还需提供结算凭证。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3</w:t>
            </w:r>
          </w:p>
        </w:tc>
        <w:tc>
          <w:tcPr>
            <w:tcW w:w="1759"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评审</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程序</w:t>
            </w:r>
          </w:p>
        </w:tc>
        <w:tc>
          <w:tcPr>
            <w:tcW w:w="7405"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textAlignment w:val="auto"/>
              <w:outlineLvl w:val="9"/>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1.评分分值计算保留小数点后两位，第三位四舍五入。比选响应人最终得分=技术部分得分+经济部分得分</w:t>
            </w:r>
            <w:r>
              <w:rPr>
                <w:rFonts w:hint="default" w:ascii="Times New Roman" w:hAnsi="Times New Roman" w:eastAsia="方正仿宋_GBK" w:cs="Times New Roman"/>
                <w:bCs/>
                <w:color w:val="000000"/>
                <w:sz w:val="24"/>
                <w:szCs w:val="24"/>
                <w:lang w:val="en-US" w:eastAsia="zh-CN"/>
              </w:rPr>
              <w:t>+商务部分得分</w:t>
            </w:r>
            <w:r>
              <w:rPr>
                <w:rFonts w:hint="default" w:ascii="Times New Roman" w:hAnsi="Times New Roman" w:eastAsia="方正仿宋_GBK" w:cs="Times New Roman"/>
                <w:bCs/>
                <w:color w:val="000000"/>
                <w:sz w:val="24"/>
                <w:szCs w:val="24"/>
              </w:rPr>
              <w:t>。</w:t>
            </w:r>
          </w:p>
          <w:p>
            <w:pPr>
              <w:keepNext w:val="0"/>
              <w:keepLines w:val="0"/>
              <w:pageBreakBefore w:val="0"/>
              <w:widowControl w:val="0"/>
              <w:kinsoku/>
              <w:wordWrap/>
              <w:overflowPunct/>
              <w:topLinePunct w:val="0"/>
              <w:autoSpaceDE/>
              <w:autoSpaceDN/>
              <w:bidi w:val="0"/>
              <w:spacing w:line="500" w:lineRule="exact"/>
              <w:textAlignment w:val="auto"/>
              <w:outlineLvl w:val="9"/>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2.按照比选文件的规定对所有比选响应文件进行初步评审，只有通过初步评审的比选响应文件才能进行后续评审。</w:t>
            </w:r>
          </w:p>
          <w:p>
            <w:pPr>
              <w:keepNext w:val="0"/>
              <w:keepLines w:val="0"/>
              <w:pageBreakBefore w:val="0"/>
              <w:widowControl w:val="0"/>
              <w:kinsoku/>
              <w:wordWrap/>
              <w:overflowPunct/>
              <w:topLinePunct w:val="0"/>
              <w:autoSpaceDE/>
              <w:autoSpaceDN/>
              <w:bidi w:val="0"/>
              <w:spacing w:line="500" w:lineRule="exact"/>
              <w:textAlignment w:val="auto"/>
              <w:outlineLvl w:val="9"/>
              <w:rPr>
                <w:rFonts w:hint="default" w:ascii="Times New Roman" w:hAnsi="Times New Roman" w:eastAsia="方正仿宋_GBK" w:cs="Times New Roman"/>
                <w:bCs/>
                <w:color w:val="000000"/>
                <w:sz w:val="24"/>
              </w:rPr>
            </w:pPr>
            <w:r>
              <w:rPr>
                <w:rFonts w:hint="default" w:ascii="Times New Roman" w:hAnsi="Times New Roman" w:eastAsia="方正仿宋_GBK" w:cs="Times New Roman"/>
                <w:bCs/>
                <w:color w:val="000000"/>
                <w:sz w:val="24"/>
                <w:szCs w:val="24"/>
              </w:rPr>
              <w:t>3.按比选办法进行评审，得分最高的比选响应人中选。</w:t>
            </w:r>
          </w:p>
        </w:tc>
      </w:tr>
    </w:tbl>
    <w:p>
      <w:pPr>
        <w:pStyle w:val="2"/>
        <w:keepNext w:val="0"/>
        <w:keepLines w:val="0"/>
        <w:pageBreakBefore w:val="0"/>
        <w:kinsoku/>
        <w:wordWrap/>
        <w:overflowPunct/>
        <w:topLinePunct w:val="0"/>
        <w:bidi w:val="0"/>
        <w:spacing w:line="560" w:lineRule="exact"/>
        <w:rPr>
          <w:rFonts w:hint="default" w:ascii="Times New Roman" w:hAnsi="Times New Roman" w:eastAsia="仿宋_GB2312"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000000" w:themeColor="text1"/>
          <w:sz w:val="28"/>
          <w:szCs w:val="28"/>
          <w14:textFill>
            <w14:solidFill>
              <w14:schemeClr w14:val="tx1"/>
            </w14:solidFill>
          </w14:textFill>
        </w:rPr>
      </w:pPr>
    </w:p>
    <w:p>
      <w:pPr>
        <w:rPr>
          <w:rFonts w:hint="eastAsia"/>
          <w:lang w:val="en-US" w:eastAsia="zh-CN"/>
        </w:rPr>
      </w:pPr>
      <w:r>
        <w:rPr>
          <w:rFonts w:hint="eastAsia"/>
          <w:lang w:val="en-US" w:eastAsia="zh-CN"/>
        </w:rPr>
        <w:br w:type="page"/>
      </w:r>
    </w:p>
    <w:p>
      <w:pPr>
        <w:pStyle w:val="2"/>
        <w:jc w:val="both"/>
        <w:rPr>
          <w:rFonts w:hint="default"/>
          <w:lang w:val="en-US" w:eastAsia="zh-CN"/>
        </w:rPr>
      </w:pPr>
      <w:r>
        <w:rPr>
          <w:rFonts w:hint="eastAsia"/>
          <w:lang w:val="en-US" w:eastAsia="zh-CN"/>
        </w:rPr>
        <w:t>附件三</w:t>
      </w:r>
      <w:r>
        <w:rPr>
          <w:rFonts w:hint="default"/>
          <w:lang w:val="en-US" w:eastAsia="zh-CN"/>
        </w:rPr>
        <w:t>：合同主要条款</w:t>
      </w:r>
    </w:p>
    <w:p>
      <w:pPr>
        <w:keepNext w:val="0"/>
        <w:keepLines w:val="0"/>
        <w:pageBreakBefore w:val="0"/>
        <w:kinsoku/>
        <w:wordWrap/>
        <w:overflowPunct/>
        <w:topLinePunct w:val="0"/>
        <w:bidi w:val="0"/>
        <w:snapToGrid/>
        <w:spacing w:line="560" w:lineRule="exact"/>
        <w:jc w:val="center"/>
        <w:rPr>
          <w:rFonts w:hint="eastAsia"/>
          <w:b/>
          <w:sz w:val="44"/>
        </w:rPr>
      </w:pPr>
      <w:r>
        <w:rPr>
          <w:rFonts w:hint="eastAsia"/>
          <w:b/>
          <w:bCs/>
          <w:sz w:val="36"/>
          <w:szCs w:val="36"/>
          <w:lang w:eastAsia="zh-CN"/>
        </w:rPr>
        <w:t>防疫物资框架采购合同</w:t>
      </w:r>
    </w:p>
    <w:p>
      <w:pPr>
        <w:keepNext w:val="0"/>
        <w:keepLines w:val="0"/>
        <w:pageBreakBefore w:val="0"/>
        <w:kinsoku/>
        <w:wordWrap/>
        <w:overflowPunct/>
        <w:topLinePunct w:val="0"/>
        <w:bidi w:val="0"/>
        <w:snapToGrid/>
        <w:spacing w:line="560" w:lineRule="exact"/>
        <w:jc w:val="both"/>
        <w:rPr>
          <w:rFonts w:hint="eastAsia" w:ascii="仿宋_GB2312" w:hAnsi="宋体"/>
          <w:b/>
          <w:sz w:val="36"/>
          <w:szCs w:val="36"/>
          <w:lang w:eastAsia="zh-CN"/>
        </w:rPr>
      </w:pP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b/>
          <w:bCs/>
          <w:sz w:val="24"/>
          <w:lang w:eastAsia="zh-CN"/>
        </w:rPr>
      </w:pPr>
      <w:r>
        <w:rPr>
          <w:rFonts w:hint="eastAsia" w:ascii="方正仿宋_GBK" w:hAnsi="方正仿宋_GBK" w:eastAsia="方正仿宋_GBK" w:cs="方正仿宋_GBK"/>
          <w:b/>
          <w:bCs/>
          <w:sz w:val="24"/>
        </w:rPr>
        <w:t>甲方</w:t>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eastAsia="zh-CN"/>
        </w:rPr>
        <w:t>重庆空港航空地面服务有限公司</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b/>
          <w:bCs/>
          <w:sz w:val="24"/>
          <w:lang w:eastAsia="zh-CN"/>
        </w:rPr>
      </w:pPr>
      <w:r>
        <w:rPr>
          <w:rFonts w:hint="eastAsia" w:ascii="方正仿宋_GBK" w:hAnsi="方正仿宋_GBK" w:eastAsia="方正仿宋_GBK" w:cs="方正仿宋_GBK"/>
          <w:b/>
          <w:bCs/>
          <w:sz w:val="24"/>
        </w:rPr>
        <w:t>乙方</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 xml:space="preserve"> </w:t>
      </w:r>
    </w:p>
    <w:p>
      <w:pPr>
        <w:keepNext w:val="0"/>
        <w:keepLines w:val="0"/>
        <w:pageBreakBefore w:val="0"/>
        <w:kinsoku/>
        <w:wordWrap/>
        <w:overflowPunct/>
        <w:topLinePunct w:val="0"/>
        <w:bidi w:val="0"/>
        <w:snapToGrid/>
        <w:spacing w:line="560" w:lineRule="exact"/>
        <w:ind w:firstLine="480" w:firstLineChars="200"/>
        <w:jc w:val="both"/>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sz w:val="24"/>
        </w:rPr>
        <w:t>甲乙双方根据《中华人民共和国合同法》及相关的法律法规之规定，本着友好合作、协商一致的原则，就甲方向乙方</w:t>
      </w:r>
      <w:r>
        <w:rPr>
          <w:rFonts w:hint="eastAsia" w:ascii="方正仿宋_GBK" w:hAnsi="方正仿宋_GBK" w:eastAsia="方正仿宋_GBK" w:cs="方正仿宋_GBK"/>
          <w:sz w:val="24"/>
          <w:lang w:eastAsia="zh-CN"/>
        </w:rPr>
        <w:t>购买</w:t>
      </w:r>
      <w:r>
        <w:rPr>
          <w:rFonts w:hint="eastAsia" w:ascii="方正仿宋_GBK" w:hAnsi="方正仿宋_GBK" w:eastAsia="方正仿宋_GBK" w:cs="方正仿宋_GBK"/>
          <w:b/>
          <w:bCs/>
          <w:sz w:val="24"/>
          <w:lang w:eastAsia="zh-CN"/>
        </w:rPr>
        <w:t>防疫物资</w:t>
      </w:r>
      <w:r>
        <w:rPr>
          <w:rFonts w:hint="eastAsia" w:ascii="方正仿宋_GBK" w:hAnsi="方正仿宋_GBK" w:eastAsia="方正仿宋_GBK" w:cs="方正仿宋_GBK"/>
          <w:sz w:val="24"/>
        </w:rPr>
        <w:t>事宜达成协</w:t>
      </w:r>
      <w:r>
        <w:rPr>
          <w:rFonts w:hint="eastAsia" w:ascii="方正仿宋_GBK" w:hAnsi="方正仿宋_GBK" w:eastAsia="方正仿宋_GBK" w:cs="方正仿宋_GBK"/>
          <w:color w:val="000000"/>
          <w:sz w:val="24"/>
        </w:rPr>
        <w:t>议如下：</w:t>
      </w:r>
    </w:p>
    <w:p>
      <w:pPr>
        <w:keepNext w:val="0"/>
        <w:keepLines w:val="0"/>
        <w:pageBreakBefore w:val="0"/>
        <w:kinsoku/>
        <w:wordWrap/>
        <w:overflowPunct/>
        <w:topLinePunct w:val="0"/>
        <w:bidi w:val="0"/>
        <w:snapToGrid/>
        <w:spacing w:line="560" w:lineRule="exact"/>
        <w:ind w:left="-540" w:leftChars="-257" w:firstLine="540" w:firstLineChars="224"/>
        <w:jc w:val="both"/>
        <w:rPr>
          <w:rFonts w:hint="eastAsia"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1.释义</w:t>
      </w:r>
    </w:p>
    <w:p>
      <w:pPr>
        <w:keepNext w:val="0"/>
        <w:keepLines w:val="0"/>
        <w:pageBreakBefore w:val="0"/>
        <w:kinsoku/>
        <w:wordWrap/>
        <w:overflowPunct/>
        <w:topLinePunct w:val="0"/>
        <w:bidi w:val="0"/>
        <w:snapToGrid/>
        <w:spacing w:line="560" w:lineRule="exact"/>
        <w:ind w:left="-2" w:leftChars="-1" w:firstLine="2"/>
        <w:jc w:val="both"/>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1.1文中“双方”指甲方和乙方，“一方”指甲方和乙方中的任何一方。</w:t>
      </w:r>
    </w:p>
    <w:p>
      <w:pPr>
        <w:keepNext w:val="0"/>
        <w:keepLines w:val="0"/>
        <w:pageBreakBefore w:val="0"/>
        <w:kinsoku/>
        <w:wordWrap/>
        <w:overflowPunct/>
        <w:topLinePunct w:val="0"/>
        <w:bidi w:val="0"/>
        <w:snapToGrid/>
        <w:spacing w:line="560" w:lineRule="exact"/>
        <w:ind w:left="-540" w:leftChars="-257" w:firstLine="777" w:firstLineChars="324"/>
        <w:jc w:val="both"/>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1.2文中所涉及费用均以人民币“元”为计量单位。</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1.3文中“年、月、日”均指公历年、月、日。</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2.合同标的</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2.1甲方向乙方购买</w:t>
      </w:r>
      <w:r>
        <w:rPr>
          <w:rFonts w:hint="eastAsia" w:ascii="方正仿宋_GBK" w:hAnsi="方正仿宋_GBK" w:eastAsia="方正仿宋_GBK" w:cs="方正仿宋_GBK"/>
          <w:b/>
          <w:bCs/>
          <w:color w:val="000000"/>
          <w:sz w:val="24"/>
          <w:lang w:eastAsia="zh-CN"/>
        </w:rPr>
        <w:t>防疫物资</w:t>
      </w:r>
      <w:r>
        <w:rPr>
          <w:rFonts w:hint="eastAsia" w:ascii="方正仿宋_GBK" w:hAnsi="方正仿宋_GBK" w:eastAsia="方正仿宋_GBK" w:cs="方正仿宋_GBK"/>
          <w:color w:val="000000"/>
          <w:sz w:val="24"/>
        </w:rPr>
        <w:t>。</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rPr>
        <w:t>2.2</w:t>
      </w:r>
      <w:r>
        <w:rPr>
          <w:rFonts w:hint="eastAsia" w:ascii="方正仿宋_GBK" w:hAnsi="方正仿宋_GBK" w:eastAsia="方正仿宋_GBK" w:cs="方正仿宋_GBK"/>
          <w:color w:val="000000"/>
          <w:sz w:val="24"/>
          <w:lang w:eastAsia="zh-CN"/>
        </w:rPr>
        <w:t>货物名称</w:t>
      </w:r>
      <w:r>
        <w:rPr>
          <w:rFonts w:hint="eastAsia" w:ascii="方正仿宋_GBK" w:hAnsi="方正仿宋_GBK" w:eastAsia="方正仿宋_GBK" w:cs="方正仿宋_GBK"/>
          <w:color w:val="000000"/>
          <w:sz w:val="24"/>
        </w:rPr>
        <w:t>、型号、规格</w:t>
      </w:r>
      <w:r>
        <w:rPr>
          <w:rFonts w:hint="eastAsia" w:ascii="方正仿宋_GBK" w:hAnsi="方正仿宋_GBK" w:eastAsia="方正仿宋_GBK" w:cs="方正仿宋_GBK"/>
          <w:color w:val="000000"/>
          <w:sz w:val="24"/>
          <w:lang w:eastAsia="zh-CN"/>
        </w:rPr>
        <w:t>：参见比选采购文件附件一</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3.合同价款</w:t>
      </w:r>
    </w:p>
    <w:p>
      <w:pPr>
        <w:keepNext w:val="0"/>
        <w:keepLines w:val="0"/>
        <w:pageBreakBefore w:val="0"/>
        <w:kinsoku/>
        <w:wordWrap/>
        <w:overflowPunct/>
        <w:topLinePunct w:val="0"/>
        <w:bidi w:val="0"/>
        <w:snapToGrid/>
        <w:spacing w:line="560" w:lineRule="exact"/>
        <w:jc w:val="both"/>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rPr>
        <w:t>3.1</w:t>
      </w:r>
      <w:r>
        <w:rPr>
          <w:rFonts w:hint="eastAsia" w:ascii="方正仿宋_GBK" w:hAnsi="方正仿宋_GBK" w:eastAsia="方正仿宋_GBK" w:cs="方正仿宋_GBK"/>
          <w:sz w:val="24"/>
          <w:lang w:eastAsia="zh-CN"/>
        </w:rPr>
        <w:t>各类防疫物资不含增值税单价详见</w:t>
      </w:r>
      <w:r>
        <w:rPr>
          <w:rFonts w:hint="eastAsia" w:ascii="方正仿宋_GBK" w:hAnsi="方正仿宋_GBK" w:eastAsia="方正仿宋_GBK" w:cs="方正仿宋_GBK"/>
          <w:sz w:val="24"/>
          <w:lang w:val="en-US" w:eastAsia="zh-CN"/>
        </w:rPr>
        <w:t>2.2条。甲方根据自身需求向不定期乙方询价，乙方后期报价不得高于2.2条所列价格，如任意一项高于2.2条所列单价，取消乙方该批次订单获取资格。</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3.2本合同货款单价已包括货物移交至甲方所需的一切税费</w:t>
      </w:r>
      <w:r>
        <w:rPr>
          <w:rFonts w:hint="eastAsia" w:ascii="方正仿宋_GBK" w:hAnsi="方正仿宋_GBK" w:eastAsia="方正仿宋_GBK" w:cs="方正仿宋_GBK"/>
          <w:sz w:val="24"/>
          <w:lang w:eastAsia="zh-CN"/>
        </w:rPr>
        <w:t>（除增值税外）、运费、安装费等</w:t>
      </w:r>
      <w:r>
        <w:rPr>
          <w:rFonts w:hint="eastAsia" w:ascii="方正仿宋_GBK" w:hAnsi="方正仿宋_GBK" w:eastAsia="方正仿宋_GBK" w:cs="方正仿宋_GBK"/>
          <w:sz w:val="24"/>
        </w:rPr>
        <w:t>。</w:t>
      </w:r>
    </w:p>
    <w:p>
      <w:pPr>
        <w:keepNext w:val="0"/>
        <w:keepLines w:val="0"/>
        <w:pageBreakBefore w:val="0"/>
        <w:kinsoku/>
        <w:wordWrap/>
        <w:overflowPunct/>
        <w:topLinePunct w:val="0"/>
        <w:bidi w:val="0"/>
        <w:snapToGrid/>
        <w:spacing w:line="560" w:lineRule="exact"/>
        <w:ind w:left="-2"/>
        <w:jc w:val="both"/>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4.</w:t>
      </w:r>
      <w:r>
        <w:rPr>
          <w:rFonts w:hint="eastAsia" w:ascii="方正仿宋_GBK" w:hAnsi="方正仿宋_GBK" w:eastAsia="方正仿宋_GBK" w:cs="方正仿宋_GBK"/>
          <w:b/>
          <w:bCs/>
          <w:sz w:val="24"/>
          <w:lang w:eastAsia="zh-CN"/>
        </w:rPr>
        <w:t>履约保证与</w:t>
      </w:r>
      <w:r>
        <w:rPr>
          <w:rFonts w:hint="eastAsia" w:ascii="方正仿宋_GBK" w:hAnsi="方正仿宋_GBK" w:eastAsia="方正仿宋_GBK" w:cs="方正仿宋_GBK"/>
          <w:b/>
          <w:bCs/>
          <w:sz w:val="24"/>
        </w:rPr>
        <w:t>支付方式</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4.1</w:t>
      </w:r>
      <w:r>
        <w:rPr>
          <w:rFonts w:hint="eastAsia" w:ascii="方正仿宋_GBK" w:hAnsi="方正仿宋_GBK" w:eastAsia="方正仿宋_GBK" w:cs="方正仿宋_GBK"/>
          <w:sz w:val="24"/>
          <w:lang w:eastAsia="zh-CN"/>
        </w:rPr>
        <w:t>履约保证</w:t>
      </w:r>
    </w:p>
    <w:p>
      <w:pPr>
        <w:pStyle w:val="5"/>
        <w:keepNext w:val="0"/>
        <w:keepLines w:val="0"/>
        <w:pageBreakBefore w:val="0"/>
        <w:kinsoku/>
        <w:wordWrap/>
        <w:overflowPunct/>
        <w:topLinePunct w:val="0"/>
        <w:bidi w:val="0"/>
        <w:snapToGrid/>
        <w:spacing w:line="560" w:lineRule="exact"/>
        <w:ind w:firstLine="480" w:firstLineChars="200"/>
        <w:jc w:val="both"/>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乙方在收到成交通知书5个工作日内通过银行转账的方式提交履约保证金壹万伍仟元整（小写：¥15000.00）到甲方以下账户，项目合同期满后，无违约事件，由乙方提出申请后40天内退还，但不计利息。</w:t>
      </w:r>
    </w:p>
    <w:p>
      <w:pPr>
        <w:keepNext w:val="0"/>
        <w:keepLines w:val="0"/>
        <w:pageBreakBefore w:val="0"/>
        <w:kinsoku/>
        <w:wordWrap/>
        <w:overflowPunct/>
        <w:topLinePunct w:val="0"/>
        <w:bidi w:val="0"/>
        <w:snapToGrid/>
        <w:spacing w:line="560" w:lineRule="exact"/>
        <w:ind w:firstLine="480"/>
        <w:jc w:val="both"/>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甲方开票及账户信息：</w:t>
      </w:r>
    </w:p>
    <w:p>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户名：重庆空港航空地面服务有限公司</w:t>
      </w:r>
    </w:p>
    <w:p>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税号：91500112666441363D</w:t>
      </w:r>
    </w:p>
    <w:p>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地址：重庆市渝北区双凤桥街道渝航路1幢1/2-0</w:t>
      </w:r>
    </w:p>
    <w:p>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电话号码：023-67153596</w:t>
      </w:r>
    </w:p>
    <w:p>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开户银行：建行渝北机场支行</w:t>
      </w:r>
    </w:p>
    <w:p>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账户账号：5000 1083 8000 5020 0711</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 xml:space="preserve">   4.2 支付方式</w:t>
      </w:r>
    </w:p>
    <w:p>
      <w:pPr>
        <w:keepNext w:val="0"/>
        <w:keepLines w:val="0"/>
        <w:pageBreakBefore w:val="0"/>
        <w:kinsoku/>
        <w:wordWrap/>
        <w:overflowPunct/>
        <w:topLinePunct w:val="0"/>
        <w:bidi w:val="0"/>
        <w:snapToGrid/>
        <w:spacing w:line="560" w:lineRule="exact"/>
        <w:ind w:firstLine="480"/>
        <w:jc w:val="both"/>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以银行转账或银行承兑汇票的方式按批次支付，甲方收到乙方提供的符合规定的增值税发票后一次性支付。</w:t>
      </w:r>
    </w:p>
    <w:p>
      <w:pPr>
        <w:pStyle w:val="5"/>
        <w:keepNext w:val="0"/>
        <w:keepLines w:val="0"/>
        <w:pageBreakBefore w:val="0"/>
        <w:kinsoku/>
        <w:wordWrap/>
        <w:overflowPunct/>
        <w:topLinePunct w:val="0"/>
        <w:bidi w:val="0"/>
        <w:snapToGrid/>
        <w:spacing w:line="560" w:lineRule="exact"/>
        <w:ind w:firstLine="480"/>
        <w:jc w:val="both"/>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如乙方提供的增值税普通发票，甲方实际支付金额=不含增值税金额；如乙方提供的增值税专用发票，甲方实际支付金额=不含增值税金额+增值税税额。</w:t>
      </w:r>
    </w:p>
    <w:p>
      <w:pPr>
        <w:keepNext w:val="0"/>
        <w:keepLines w:val="0"/>
        <w:pageBreakBefore w:val="0"/>
        <w:kinsoku/>
        <w:wordWrap/>
        <w:overflowPunct/>
        <w:topLinePunct w:val="0"/>
        <w:bidi w:val="0"/>
        <w:snapToGrid/>
        <w:spacing w:line="560" w:lineRule="exact"/>
        <w:jc w:val="both"/>
        <w:rPr>
          <w:rFonts w:hint="default"/>
          <w:lang w:val="en-US" w:eastAsia="zh-CN"/>
        </w:rPr>
      </w:pPr>
      <w:r>
        <w:rPr>
          <w:rFonts w:hint="eastAsia" w:ascii="方正仿宋_GBK" w:hAnsi="方正仿宋_GBK" w:eastAsia="方正仿宋_GBK" w:cs="方正仿宋_GBK"/>
          <w:b w:val="0"/>
          <w:kern w:val="2"/>
          <w:sz w:val="24"/>
          <w:szCs w:val="24"/>
          <w:lang w:val="en-US" w:eastAsia="zh-CN" w:bidi="ar-SA"/>
        </w:rPr>
        <w:t xml:space="preserve">    乙方账户信息：</w:t>
      </w:r>
    </w:p>
    <w:p>
      <w:pPr>
        <w:pStyle w:val="41"/>
        <w:keepNext w:val="0"/>
        <w:keepLines w:val="0"/>
        <w:pageBreakBefore w:val="0"/>
        <w:kinsoku/>
        <w:wordWrap/>
        <w:overflowPunct/>
        <w:topLinePunct w:val="0"/>
        <w:bidi w:val="0"/>
        <w:snapToGrid/>
        <w:spacing w:line="560" w:lineRule="exact"/>
        <w:ind w:hanging="2"/>
        <w:jc w:val="both"/>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5.包装及运输</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5.1乙方应为</w:t>
      </w:r>
      <w:r>
        <w:rPr>
          <w:rFonts w:hint="eastAsia" w:ascii="方正仿宋_GBK" w:hAnsi="方正仿宋_GBK" w:eastAsia="方正仿宋_GBK" w:cs="方正仿宋_GBK"/>
          <w:sz w:val="24"/>
          <w:lang w:eastAsia="zh-CN"/>
        </w:rPr>
        <w:t>货物</w:t>
      </w:r>
      <w:r>
        <w:rPr>
          <w:rFonts w:hint="eastAsia" w:ascii="方正仿宋_GBK" w:hAnsi="方正仿宋_GBK" w:eastAsia="方正仿宋_GBK" w:cs="方正仿宋_GBK"/>
          <w:sz w:val="24"/>
        </w:rPr>
        <w:t>提供适宜</w:t>
      </w:r>
      <w:r>
        <w:rPr>
          <w:rFonts w:hint="eastAsia" w:ascii="方正仿宋_GBK" w:hAnsi="方正仿宋_GBK" w:eastAsia="方正仿宋_GBK" w:cs="方正仿宋_GBK"/>
          <w:sz w:val="24"/>
          <w:lang w:eastAsia="zh-CN"/>
        </w:rPr>
        <w:t>货物</w:t>
      </w:r>
      <w:r>
        <w:rPr>
          <w:rFonts w:hint="eastAsia" w:ascii="方正仿宋_GBK" w:hAnsi="方正仿宋_GBK" w:eastAsia="方正仿宋_GBK" w:cs="方正仿宋_GBK"/>
          <w:sz w:val="24"/>
        </w:rPr>
        <w:t>运输的包装方式，对于由于包装不良所发生的损失及由于采用不充分或不妥善的防护措施而造成的任何</w:t>
      </w:r>
      <w:r>
        <w:rPr>
          <w:rFonts w:hint="eastAsia" w:ascii="方正仿宋_GBK" w:hAnsi="方正仿宋_GBK" w:eastAsia="方正仿宋_GBK" w:cs="方正仿宋_GBK"/>
          <w:sz w:val="24"/>
          <w:lang w:eastAsia="zh-CN"/>
        </w:rPr>
        <w:t>损坏</w:t>
      </w:r>
      <w:r>
        <w:rPr>
          <w:rFonts w:hint="eastAsia" w:ascii="方正仿宋_GBK" w:hAnsi="方正仿宋_GBK" w:eastAsia="方正仿宋_GBK" w:cs="方正仿宋_GBK"/>
          <w:sz w:val="24"/>
        </w:rPr>
        <w:t>,乙方应承担由此而产生的一切费用和损失。</w:t>
      </w:r>
    </w:p>
    <w:p>
      <w:pPr>
        <w:pStyle w:val="41"/>
        <w:keepNext w:val="0"/>
        <w:keepLines w:val="0"/>
        <w:pageBreakBefore w:val="0"/>
        <w:kinsoku/>
        <w:wordWrap/>
        <w:overflowPunct/>
        <w:topLinePunct w:val="0"/>
        <w:bidi w:val="0"/>
        <w:snapToGrid/>
        <w:spacing w:line="560" w:lineRule="exact"/>
        <w:ind w:hanging="2"/>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5.2 </w:t>
      </w:r>
      <w:r>
        <w:rPr>
          <w:rFonts w:hint="eastAsia" w:ascii="方正仿宋_GBK" w:hAnsi="方正仿宋_GBK" w:eastAsia="方正仿宋_GBK" w:cs="方正仿宋_GBK"/>
          <w:sz w:val="24"/>
        </w:rPr>
        <w:t>运输费用由乙方承担。</w:t>
      </w:r>
      <w:r>
        <w:rPr>
          <w:rFonts w:hint="eastAsia" w:ascii="方正仿宋_GBK" w:hAnsi="方正仿宋_GBK" w:eastAsia="方正仿宋_GBK" w:cs="方正仿宋_GBK"/>
          <w:sz w:val="24"/>
          <w:szCs w:val="24"/>
        </w:rPr>
        <w:t>运输过程中，商品毁损、灭失的风险由乙方承担。</w:t>
      </w:r>
    </w:p>
    <w:p>
      <w:pPr>
        <w:keepNext w:val="0"/>
        <w:keepLines w:val="0"/>
        <w:pageBreakBefore w:val="0"/>
        <w:tabs>
          <w:tab w:val="left" w:pos="600"/>
        </w:tabs>
        <w:kinsoku/>
        <w:wordWrap/>
        <w:overflowPunct/>
        <w:topLinePunct w:val="0"/>
        <w:bidi w:val="0"/>
        <w:snapToGrid/>
        <w:spacing w:line="560" w:lineRule="exact"/>
        <w:ind w:left="-2"/>
        <w:jc w:val="both"/>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6.交货地点、交货期限</w:t>
      </w:r>
    </w:p>
    <w:p>
      <w:pPr>
        <w:keepNext w:val="0"/>
        <w:keepLines w:val="0"/>
        <w:pageBreakBefore w:val="0"/>
        <w:tabs>
          <w:tab w:val="left" w:pos="600"/>
        </w:tabs>
        <w:kinsoku/>
        <w:wordWrap/>
        <w:overflowPunct/>
        <w:topLinePunct w:val="0"/>
        <w:bidi w:val="0"/>
        <w:snapToGrid/>
        <w:spacing w:line="560" w:lineRule="exact"/>
        <w:ind w:left="-2"/>
        <w:jc w:val="both"/>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sz w:val="24"/>
        </w:rPr>
        <w:t>6.1交货地点：</w:t>
      </w:r>
      <w:r>
        <w:rPr>
          <w:rFonts w:hint="eastAsia" w:ascii="方正仿宋_GBK" w:hAnsi="方正仿宋_GBK" w:eastAsia="方正仿宋_GBK" w:cs="方正仿宋_GBK"/>
          <w:sz w:val="24"/>
          <w:lang w:eastAsia="zh-CN"/>
        </w:rPr>
        <w:t>重庆江北国际机场机场东路</w:t>
      </w:r>
      <w:r>
        <w:rPr>
          <w:rFonts w:hint="eastAsia" w:ascii="方正仿宋_GBK" w:hAnsi="方正仿宋_GBK" w:eastAsia="方正仿宋_GBK" w:cs="方正仿宋_GBK"/>
          <w:sz w:val="24"/>
          <w:lang w:val="en-US" w:eastAsia="zh-CN"/>
        </w:rPr>
        <w:t>9号</w:t>
      </w:r>
      <w:r>
        <w:rPr>
          <w:rFonts w:hint="eastAsia" w:ascii="方正仿宋_GBK" w:hAnsi="方正仿宋_GBK" w:eastAsia="方正仿宋_GBK" w:cs="方正仿宋_GBK"/>
          <w:sz w:val="24"/>
          <w:lang w:eastAsia="zh-CN"/>
        </w:rPr>
        <w:t>地服楼</w:t>
      </w:r>
      <w:r>
        <w:rPr>
          <w:rFonts w:hint="eastAsia" w:ascii="方正仿宋_GBK" w:hAnsi="方正仿宋_GBK" w:eastAsia="方正仿宋_GBK" w:cs="方正仿宋_GBK"/>
          <w:color w:val="000000"/>
          <w:sz w:val="24"/>
          <w:lang w:eastAsia="zh-CN"/>
        </w:rPr>
        <w:t>。</w:t>
      </w:r>
    </w:p>
    <w:p>
      <w:pPr>
        <w:keepNext w:val="0"/>
        <w:keepLines w:val="0"/>
        <w:pageBreakBefore w:val="0"/>
        <w:tabs>
          <w:tab w:val="left" w:pos="600"/>
        </w:tabs>
        <w:kinsoku/>
        <w:wordWrap/>
        <w:overflowPunct/>
        <w:topLinePunct w:val="0"/>
        <w:bidi w:val="0"/>
        <w:snapToGrid/>
        <w:spacing w:line="560" w:lineRule="exact"/>
        <w:ind w:left="-2"/>
        <w:jc w:val="both"/>
        <w:rPr>
          <w:rFonts w:hint="default" w:ascii="方正仿宋_GBK" w:hAnsi="方正仿宋_GBK" w:eastAsia="方正仿宋_GBK" w:cs="方正仿宋_GBK"/>
          <w:sz w:val="24"/>
          <w:u w:val="none"/>
          <w:lang w:val="en-US" w:eastAsia="zh-CN"/>
        </w:rPr>
      </w:pPr>
      <w:r>
        <w:rPr>
          <w:rFonts w:hint="eastAsia" w:ascii="方正仿宋_GBK" w:hAnsi="方正仿宋_GBK" w:eastAsia="方正仿宋_GBK" w:cs="方正仿宋_GBK"/>
          <w:sz w:val="24"/>
        </w:rPr>
        <w:t>6.2交货时间：</w:t>
      </w:r>
      <w:r>
        <w:rPr>
          <w:rFonts w:hint="eastAsia" w:ascii="方正仿宋_GBK" w:hAnsi="方正仿宋_GBK" w:eastAsia="方正仿宋_GBK" w:cs="方正仿宋_GBK"/>
          <w:sz w:val="24"/>
          <w:u w:val="none"/>
          <w:lang w:eastAsia="zh-CN"/>
        </w:rPr>
        <w:t>收到甲方采购订单后</w:t>
      </w:r>
      <w:r>
        <w:rPr>
          <w:rFonts w:hint="eastAsia" w:ascii="方正仿宋_GBK" w:hAnsi="方正仿宋_GBK" w:eastAsia="方正仿宋_GBK" w:cs="方正仿宋_GBK"/>
          <w:sz w:val="24"/>
          <w:u w:val="none"/>
          <w:lang w:val="en-US" w:eastAsia="zh-CN"/>
        </w:rPr>
        <w:t>5个工作日内，应急订单送货时效在1个工作日内。</w:t>
      </w:r>
    </w:p>
    <w:p>
      <w:pPr>
        <w:pStyle w:val="5"/>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6.3 甲方联系人及联系电话：</w:t>
      </w:r>
    </w:p>
    <w:p>
      <w:pPr>
        <w:keepNext w:val="0"/>
        <w:keepLines w:val="0"/>
        <w:pageBreakBefore w:val="0"/>
        <w:kinsoku/>
        <w:wordWrap/>
        <w:overflowPunct/>
        <w:topLinePunct w:val="0"/>
        <w:bidi w:val="0"/>
        <w:snapToGrid/>
        <w:spacing w:line="560" w:lineRule="exact"/>
        <w:jc w:val="both"/>
        <w:rPr>
          <w:rFonts w:hint="default"/>
          <w:lang w:val="en-US" w:eastAsia="zh-CN"/>
        </w:rPr>
      </w:pPr>
      <w:r>
        <w:rPr>
          <w:rFonts w:hint="eastAsia" w:ascii="方正仿宋_GBK" w:hAnsi="方正仿宋_GBK" w:eastAsia="方正仿宋_GBK" w:cs="方正仿宋_GBK"/>
          <w:sz w:val="24"/>
          <w:u w:val="none"/>
          <w:lang w:val="en-US" w:eastAsia="zh-CN"/>
        </w:rPr>
        <w:t xml:space="preserve">    乙方联系人及联系电话：</w:t>
      </w:r>
    </w:p>
    <w:p>
      <w:pPr>
        <w:keepNext w:val="0"/>
        <w:keepLines w:val="0"/>
        <w:pageBreakBefore w:val="0"/>
        <w:tabs>
          <w:tab w:val="left" w:pos="600"/>
        </w:tabs>
        <w:kinsoku/>
        <w:wordWrap/>
        <w:overflowPunct/>
        <w:topLinePunct w:val="0"/>
        <w:bidi w:val="0"/>
        <w:snapToGrid/>
        <w:spacing w:line="560" w:lineRule="exact"/>
        <w:ind w:left="-2"/>
        <w:jc w:val="both"/>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 xml:space="preserve">7.检验 </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7.1货到后，甲方收货</w:t>
      </w:r>
      <w:r>
        <w:rPr>
          <w:rFonts w:hint="eastAsia" w:ascii="方正仿宋_GBK" w:hAnsi="方正仿宋_GBK" w:eastAsia="方正仿宋_GBK" w:cs="方正仿宋_GBK"/>
          <w:sz w:val="24"/>
          <w:lang w:eastAsia="zh-CN"/>
        </w:rPr>
        <w:t>时</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eastAsia="zh-CN"/>
        </w:rPr>
        <w:t>对照乙方提供的送货凭证是否一致，货物</w:t>
      </w:r>
      <w:r>
        <w:rPr>
          <w:rFonts w:hint="eastAsia" w:ascii="方正仿宋_GBK" w:hAnsi="方正仿宋_GBK" w:eastAsia="方正仿宋_GBK" w:cs="方正仿宋_GBK"/>
          <w:sz w:val="24"/>
        </w:rPr>
        <w:t>的规格型号均以</w:t>
      </w:r>
      <w:r>
        <w:rPr>
          <w:rFonts w:hint="eastAsia" w:ascii="方正仿宋_GBK" w:hAnsi="方正仿宋_GBK" w:eastAsia="方正仿宋_GBK" w:cs="方正仿宋_GBK"/>
          <w:sz w:val="24"/>
          <w:lang w:eastAsia="zh-CN"/>
        </w:rPr>
        <w:t>本合同</w:t>
      </w:r>
      <w:r>
        <w:rPr>
          <w:rFonts w:hint="eastAsia" w:ascii="方正仿宋_GBK" w:hAnsi="方正仿宋_GBK" w:eastAsia="方正仿宋_GBK" w:cs="方正仿宋_GBK"/>
          <w:sz w:val="24"/>
        </w:rPr>
        <w:t>要求为准。</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7.2甲方</w:t>
      </w:r>
      <w:r>
        <w:rPr>
          <w:rFonts w:hint="eastAsia" w:ascii="方正仿宋_GBK" w:hAnsi="方正仿宋_GBK" w:eastAsia="方正仿宋_GBK" w:cs="方正仿宋_GBK"/>
          <w:sz w:val="24"/>
          <w:lang w:eastAsia="zh-CN"/>
        </w:rPr>
        <w:t>经调试、运行后，确认标的物符合本合同要求的，应及时履行验收程序。</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8.质量保证</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rPr>
        <w:t>8.1</w:t>
      </w:r>
      <w:r>
        <w:rPr>
          <w:rFonts w:hint="eastAsia" w:ascii="方正仿宋_GBK" w:hAnsi="方正仿宋_GBK" w:eastAsia="方正仿宋_GBK" w:cs="方正仿宋_GBK"/>
          <w:sz w:val="24"/>
          <w:lang w:eastAsia="zh-CN"/>
        </w:rPr>
        <w:t>质保期：自甲方确认验收之日起</w:t>
      </w:r>
      <w:r>
        <w:rPr>
          <w:rFonts w:hint="eastAsia" w:ascii="方正仿宋_GBK" w:hAnsi="方正仿宋_GBK" w:eastAsia="方正仿宋_GBK" w:cs="方正仿宋_GBK"/>
          <w:sz w:val="24"/>
          <w:lang w:val="en-US" w:eastAsia="zh-CN"/>
        </w:rPr>
        <w:t>XX月（年）。</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8.2</w:t>
      </w:r>
      <w:r>
        <w:rPr>
          <w:rFonts w:hint="eastAsia" w:ascii="方正仿宋_GBK" w:hAnsi="方正仿宋_GBK" w:eastAsia="方正仿宋_GBK" w:cs="方正仿宋_GBK"/>
          <w:sz w:val="24"/>
        </w:rPr>
        <w:t>乙方保证所提供的</w:t>
      </w:r>
      <w:r>
        <w:rPr>
          <w:rFonts w:hint="eastAsia" w:ascii="方正仿宋_GBK" w:hAnsi="方正仿宋_GBK" w:eastAsia="方正仿宋_GBK" w:cs="方正仿宋_GBK"/>
          <w:sz w:val="24"/>
          <w:lang w:eastAsia="zh-CN"/>
        </w:rPr>
        <w:t>货物</w:t>
      </w:r>
      <w:r>
        <w:rPr>
          <w:rFonts w:hint="eastAsia" w:ascii="方正仿宋_GBK" w:hAnsi="方正仿宋_GBK" w:eastAsia="方正仿宋_GBK" w:cs="方正仿宋_GBK"/>
          <w:sz w:val="24"/>
        </w:rPr>
        <w:t>为甲方所规定之</w:t>
      </w:r>
      <w:r>
        <w:rPr>
          <w:rFonts w:hint="eastAsia" w:ascii="方正仿宋_GBK" w:hAnsi="方正仿宋_GBK" w:eastAsia="方正仿宋_GBK" w:cs="方正仿宋_GBK"/>
          <w:sz w:val="24"/>
          <w:lang w:eastAsia="zh-CN"/>
        </w:rPr>
        <w:t>货物</w:t>
      </w:r>
      <w:r>
        <w:rPr>
          <w:rFonts w:hint="eastAsia" w:ascii="方正仿宋_GBK" w:hAnsi="方正仿宋_GBK" w:eastAsia="方正仿宋_GBK" w:cs="方正仿宋_GBK"/>
          <w:sz w:val="24"/>
          <w:lang w:val="en-US" w:eastAsia="zh-CN"/>
        </w:rPr>
        <w:t>。</w:t>
      </w:r>
      <w:r>
        <w:rPr>
          <w:rFonts w:hint="eastAsia" w:ascii="方正仿宋_GBK" w:hAnsi="方正仿宋_GBK" w:eastAsia="方正仿宋_GBK" w:cs="方正仿宋_GBK"/>
          <w:sz w:val="24"/>
        </w:rPr>
        <w:t>如果</w:t>
      </w:r>
      <w:r>
        <w:rPr>
          <w:rFonts w:hint="eastAsia" w:ascii="方正仿宋_GBK" w:hAnsi="方正仿宋_GBK" w:eastAsia="方正仿宋_GBK" w:cs="方正仿宋_GBK"/>
          <w:sz w:val="24"/>
          <w:lang w:eastAsia="zh-CN"/>
        </w:rPr>
        <w:t>货物</w:t>
      </w:r>
      <w:r>
        <w:rPr>
          <w:rFonts w:hint="eastAsia" w:ascii="方正仿宋_GBK" w:hAnsi="方正仿宋_GBK" w:eastAsia="方正仿宋_GBK" w:cs="方正仿宋_GBK"/>
          <w:sz w:val="24"/>
        </w:rPr>
        <w:t>质量在使用过程中</w:t>
      </w:r>
      <w:r>
        <w:rPr>
          <w:rFonts w:hint="eastAsia" w:ascii="方正仿宋_GBK" w:hAnsi="方正仿宋_GBK" w:eastAsia="方正仿宋_GBK" w:cs="方正仿宋_GBK"/>
          <w:sz w:val="24"/>
          <w:lang w:eastAsia="zh-CN"/>
        </w:rPr>
        <w:t>出现问题或</w:t>
      </w:r>
      <w:r>
        <w:rPr>
          <w:rFonts w:hint="eastAsia" w:ascii="方正仿宋_GBK" w:hAnsi="方正仿宋_GBK" w:eastAsia="方正仿宋_GBK" w:cs="方正仿宋_GBK"/>
          <w:sz w:val="24"/>
        </w:rPr>
        <w:t>不能达到相关标准，乙方应负责更换，否则，甲方有权要求退货</w:t>
      </w:r>
      <w:r>
        <w:rPr>
          <w:rFonts w:hint="eastAsia" w:ascii="方正仿宋_GBK" w:hAnsi="方正仿宋_GBK" w:eastAsia="方正仿宋_GBK" w:cs="方正仿宋_GBK"/>
          <w:sz w:val="24"/>
          <w:lang w:eastAsia="zh-CN"/>
        </w:rPr>
        <w:t>和赔偿</w:t>
      </w:r>
      <w:r>
        <w:rPr>
          <w:rFonts w:hint="eastAsia" w:ascii="方正仿宋_GBK" w:hAnsi="方正仿宋_GBK" w:eastAsia="方正仿宋_GBK" w:cs="方正仿宋_GBK"/>
          <w:sz w:val="24"/>
        </w:rPr>
        <w:t>。</w:t>
      </w:r>
    </w:p>
    <w:p>
      <w:pPr>
        <w:keepNext w:val="0"/>
        <w:keepLines w:val="0"/>
        <w:pageBreakBefore w:val="0"/>
        <w:tabs>
          <w:tab w:val="left" w:pos="600"/>
        </w:tabs>
        <w:kinsoku/>
        <w:wordWrap/>
        <w:overflowPunct/>
        <w:topLinePunct w:val="0"/>
        <w:bidi w:val="0"/>
        <w:snapToGrid/>
        <w:spacing w:line="560" w:lineRule="exact"/>
        <w:ind w:left="-2"/>
        <w:jc w:val="both"/>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9.售后及其他服务</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9.1 乙方应提供有效的联系人和联系电话，如有变更，乙方应及时、主动通知甲方。</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9.2乙方应做好定期客户回访工作，及时发现并回复客户提出的问题；可以根据客户需求提供相关的</w:t>
      </w:r>
      <w:r>
        <w:rPr>
          <w:rFonts w:hint="eastAsia" w:ascii="方正仿宋_GBK" w:hAnsi="方正仿宋_GBK" w:eastAsia="方正仿宋_GBK" w:cs="方正仿宋_GBK"/>
          <w:sz w:val="24"/>
          <w:lang w:eastAsia="zh-CN"/>
        </w:rPr>
        <w:t>购买</w:t>
      </w:r>
      <w:r>
        <w:rPr>
          <w:rFonts w:hint="eastAsia" w:ascii="方正仿宋_GBK" w:hAnsi="方正仿宋_GBK" w:eastAsia="方正仿宋_GBK" w:cs="方正仿宋_GBK"/>
          <w:sz w:val="24"/>
        </w:rPr>
        <w:t>数据。</w:t>
      </w:r>
    </w:p>
    <w:p>
      <w:pPr>
        <w:keepNext w:val="0"/>
        <w:keepLines w:val="0"/>
        <w:pageBreakBefore w:val="0"/>
        <w:tabs>
          <w:tab w:val="left" w:pos="600"/>
        </w:tabs>
        <w:kinsoku/>
        <w:wordWrap/>
        <w:overflowPunct/>
        <w:topLinePunct w:val="0"/>
        <w:bidi w:val="0"/>
        <w:snapToGrid/>
        <w:spacing w:line="560" w:lineRule="exact"/>
        <w:jc w:val="both"/>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10. 环保、安全及合法性要求</w:t>
      </w:r>
    </w:p>
    <w:p>
      <w:pPr>
        <w:keepNext w:val="0"/>
        <w:keepLines w:val="0"/>
        <w:pageBreakBefore w:val="0"/>
        <w:tabs>
          <w:tab w:val="left" w:pos="7560"/>
        </w:tabs>
        <w:kinsoku/>
        <w:wordWrap/>
        <w:overflowPunct/>
        <w:topLinePunct w:val="0"/>
        <w:bidi w:val="0"/>
        <w:snapToGrid/>
        <w:spacing w:line="560" w:lineRule="exact"/>
        <w:ind w:left="-2" w:leftChars="-1" w:firstLine="2"/>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10.1 乙方承诺所提供</w:t>
      </w:r>
      <w:r>
        <w:rPr>
          <w:rFonts w:hint="eastAsia" w:ascii="方正仿宋_GBK" w:hAnsi="方正仿宋_GBK" w:eastAsia="方正仿宋_GBK" w:cs="方正仿宋_GBK"/>
          <w:sz w:val="24"/>
          <w:lang w:eastAsia="zh-CN"/>
        </w:rPr>
        <w:t>货物</w:t>
      </w:r>
      <w:r>
        <w:rPr>
          <w:rFonts w:hint="eastAsia" w:ascii="方正仿宋_GBK" w:hAnsi="方正仿宋_GBK" w:eastAsia="方正仿宋_GBK" w:cs="方正仿宋_GBK"/>
          <w:sz w:val="24"/>
        </w:rPr>
        <w:t>符合国家环境保护的有关规定，不能对环境造成不良影响并承担由此造成的经济损失。</w:t>
      </w:r>
    </w:p>
    <w:p>
      <w:pPr>
        <w:keepNext w:val="0"/>
        <w:keepLines w:val="0"/>
        <w:pageBreakBefore w:val="0"/>
        <w:tabs>
          <w:tab w:val="left" w:pos="7560"/>
        </w:tabs>
        <w:kinsoku/>
        <w:wordWrap/>
        <w:overflowPunct/>
        <w:topLinePunct w:val="0"/>
        <w:bidi w:val="0"/>
        <w:snapToGrid/>
        <w:spacing w:line="560" w:lineRule="exact"/>
        <w:ind w:left="-2" w:leftChars="-1" w:firstLine="2"/>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10.2 乙方所提供</w:t>
      </w:r>
      <w:r>
        <w:rPr>
          <w:rFonts w:hint="eastAsia" w:ascii="方正仿宋_GBK" w:hAnsi="方正仿宋_GBK" w:eastAsia="方正仿宋_GBK" w:cs="方正仿宋_GBK"/>
          <w:sz w:val="24"/>
          <w:lang w:eastAsia="zh-CN"/>
        </w:rPr>
        <w:t>货物</w:t>
      </w:r>
      <w:r>
        <w:rPr>
          <w:rFonts w:hint="eastAsia" w:ascii="方正仿宋_GBK" w:hAnsi="方正仿宋_GBK" w:eastAsia="方正仿宋_GBK" w:cs="方正仿宋_GBK"/>
          <w:sz w:val="24"/>
        </w:rPr>
        <w:t>不能对甲方的正常使用人员的人身健康造成危害并承担由此产生的经济损失。</w:t>
      </w:r>
    </w:p>
    <w:p>
      <w:pPr>
        <w:keepNext w:val="0"/>
        <w:keepLines w:val="0"/>
        <w:pageBreakBefore w:val="0"/>
        <w:tabs>
          <w:tab w:val="left" w:pos="7560"/>
        </w:tabs>
        <w:kinsoku/>
        <w:wordWrap/>
        <w:overflowPunct/>
        <w:topLinePunct w:val="0"/>
        <w:bidi w:val="0"/>
        <w:snapToGrid/>
        <w:spacing w:line="560" w:lineRule="exact"/>
        <w:ind w:left="-2" w:leftChars="-1" w:firstLine="2"/>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10.3乙方所提供之</w:t>
      </w:r>
      <w:r>
        <w:rPr>
          <w:rFonts w:hint="eastAsia" w:ascii="方正仿宋_GBK" w:hAnsi="方正仿宋_GBK" w:eastAsia="方正仿宋_GBK" w:cs="方正仿宋_GBK"/>
          <w:sz w:val="24"/>
          <w:lang w:eastAsia="zh-CN"/>
        </w:rPr>
        <w:t>货物</w:t>
      </w:r>
      <w:r>
        <w:rPr>
          <w:rFonts w:hint="eastAsia" w:ascii="方正仿宋_GBK" w:hAnsi="方正仿宋_GBK" w:eastAsia="方正仿宋_GBK" w:cs="方正仿宋_GBK"/>
          <w:sz w:val="24"/>
        </w:rPr>
        <w:t>符合中华人民共和国以及甲方所在地的相关法律法规及其他规范性文件之规定，不会对第三人的任何权利权益造成任何损害。</w:t>
      </w:r>
    </w:p>
    <w:p>
      <w:pPr>
        <w:keepNext w:val="0"/>
        <w:keepLines w:val="0"/>
        <w:pageBreakBefore w:val="0"/>
        <w:tabs>
          <w:tab w:val="left" w:pos="600"/>
        </w:tabs>
        <w:kinsoku/>
        <w:wordWrap/>
        <w:overflowPunct/>
        <w:topLinePunct w:val="0"/>
        <w:bidi w:val="0"/>
        <w:snapToGrid/>
        <w:spacing w:line="560" w:lineRule="exact"/>
        <w:ind w:left="-2"/>
        <w:jc w:val="both"/>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 xml:space="preserve">11. </w:t>
      </w:r>
      <w:r>
        <w:rPr>
          <w:rFonts w:hint="eastAsia" w:ascii="方正仿宋_GBK" w:hAnsi="方正仿宋_GBK" w:eastAsia="方正仿宋_GBK" w:cs="方正仿宋_GBK"/>
          <w:b/>
          <w:bCs/>
          <w:sz w:val="24"/>
          <w:lang w:eastAsia="zh-CN"/>
        </w:rPr>
        <w:t>货物</w:t>
      </w:r>
      <w:r>
        <w:rPr>
          <w:rFonts w:hint="eastAsia" w:ascii="方正仿宋_GBK" w:hAnsi="方正仿宋_GBK" w:eastAsia="方正仿宋_GBK" w:cs="方正仿宋_GBK"/>
          <w:b/>
          <w:bCs/>
          <w:sz w:val="24"/>
        </w:rPr>
        <w:t>瑕疵</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11.1在交货之前，乙方应就</w:t>
      </w:r>
      <w:r>
        <w:rPr>
          <w:rFonts w:hint="eastAsia" w:ascii="方正仿宋_GBK" w:hAnsi="方正仿宋_GBK" w:eastAsia="方正仿宋_GBK" w:cs="方正仿宋_GBK"/>
          <w:sz w:val="24"/>
          <w:lang w:eastAsia="zh-CN"/>
        </w:rPr>
        <w:t>货物</w:t>
      </w:r>
      <w:r>
        <w:rPr>
          <w:rFonts w:hint="eastAsia" w:ascii="方正仿宋_GBK" w:hAnsi="方正仿宋_GBK" w:eastAsia="方正仿宋_GBK" w:cs="方正仿宋_GBK"/>
          <w:sz w:val="24"/>
        </w:rPr>
        <w:t>的品质、规格、性能、数量及重量做出准确和全面的检验，保证其</w:t>
      </w:r>
      <w:r>
        <w:rPr>
          <w:rFonts w:hint="eastAsia" w:ascii="方正仿宋_GBK" w:hAnsi="方正仿宋_GBK" w:eastAsia="方正仿宋_GBK" w:cs="方正仿宋_GBK"/>
          <w:sz w:val="24"/>
          <w:lang w:eastAsia="zh-CN"/>
        </w:rPr>
        <w:t>货物</w:t>
      </w:r>
      <w:r>
        <w:rPr>
          <w:rFonts w:hint="eastAsia" w:ascii="方正仿宋_GBK" w:hAnsi="方正仿宋_GBK" w:eastAsia="方正仿宋_GBK" w:cs="方正仿宋_GBK"/>
          <w:sz w:val="24"/>
        </w:rPr>
        <w:t>不存在任何瑕疵。</w:t>
      </w:r>
    </w:p>
    <w:p>
      <w:pPr>
        <w:keepNext w:val="0"/>
        <w:keepLines w:val="0"/>
        <w:pageBreakBefore w:val="0"/>
        <w:tabs>
          <w:tab w:val="left" w:pos="7560"/>
        </w:tabs>
        <w:kinsoku/>
        <w:wordWrap/>
        <w:overflowPunct/>
        <w:topLinePunct w:val="0"/>
        <w:bidi w:val="0"/>
        <w:snapToGrid/>
        <w:spacing w:line="560" w:lineRule="exact"/>
        <w:ind w:left="-2" w:leftChars="-1" w:firstLine="2"/>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11.2如甲方发现乙方所售</w:t>
      </w:r>
      <w:r>
        <w:rPr>
          <w:rFonts w:hint="eastAsia" w:ascii="方正仿宋_GBK" w:hAnsi="方正仿宋_GBK" w:eastAsia="方正仿宋_GBK" w:cs="方正仿宋_GBK"/>
          <w:sz w:val="24"/>
          <w:lang w:eastAsia="zh-CN"/>
        </w:rPr>
        <w:t>货物</w:t>
      </w:r>
      <w:r>
        <w:rPr>
          <w:rFonts w:hint="eastAsia" w:ascii="方正仿宋_GBK" w:hAnsi="方正仿宋_GBK" w:eastAsia="方正仿宋_GBK" w:cs="方正仿宋_GBK"/>
          <w:sz w:val="24"/>
        </w:rPr>
        <w:t>存在任何瑕疵，有权要求乙方进行换货。所更换之货物必须为全新的并符合规定的品质、规格和性能。若更换之货物仍不能达到甲方的要求，甲方有权要求退货，并由乙方负担因此产生的一切费用和甲方遭受的损失。</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12.违约责任</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12.1合同生效后即对双方具有法律约束力，甲乙双方应本着信守合同、友好协商的原则，处理本合同有关事宜。</w:t>
      </w:r>
      <w:bookmarkStart w:id="2" w:name="_GoBack"/>
      <w:bookmarkEnd w:id="2"/>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12.2甲乙双方如有一方违约，由违约方承担由此给守约方造成的经济损失。</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12.3 如乙方未按合同规定时间将</w:t>
      </w:r>
      <w:r>
        <w:rPr>
          <w:rFonts w:hint="eastAsia" w:ascii="方正仿宋_GBK" w:hAnsi="方正仿宋_GBK" w:eastAsia="方正仿宋_GBK" w:cs="方正仿宋_GBK"/>
          <w:sz w:val="24"/>
          <w:lang w:eastAsia="zh-CN"/>
        </w:rPr>
        <w:t>货物</w:t>
      </w:r>
      <w:r>
        <w:rPr>
          <w:rFonts w:hint="eastAsia" w:ascii="方正仿宋_GBK" w:hAnsi="方正仿宋_GBK" w:eastAsia="方正仿宋_GBK" w:cs="方正仿宋_GBK"/>
          <w:sz w:val="24"/>
        </w:rPr>
        <w:t>运到甲方指定地点或未按约定时间送到全部</w:t>
      </w:r>
      <w:r>
        <w:rPr>
          <w:rFonts w:hint="eastAsia" w:ascii="方正仿宋_GBK" w:hAnsi="方正仿宋_GBK" w:eastAsia="方正仿宋_GBK" w:cs="方正仿宋_GBK"/>
          <w:sz w:val="24"/>
          <w:lang w:eastAsia="zh-CN"/>
        </w:rPr>
        <w:t>货物</w:t>
      </w:r>
      <w:r>
        <w:rPr>
          <w:rFonts w:hint="eastAsia" w:ascii="方正仿宋_GBK" w:hAnsi="方正仿宋_GBK" w:eastAsia="方正仿宋_GBK" w:cs="方正仿宋_GBK"/>
          <w:sz w:val="24"/>
        </w:rPr>
        <w:t>（经甲方允许可以延期送的</w:t>
      </w:r>
      <w:r>
        <w:rPr>
          <w:rFonts w:hint="eastAsia" w:ascii="方正仿宋_GBK" w:hAnsi="方正仿宋_GBK" w:eastAsia="方正仿宋_GBK" w:cs="方正仿宋_GBK"/>
          <w:sz w:val="24"/>
          <w:lang w:eastAsia="zh-CN"/>
        </w:rPr>
        <w:t>货物</w:t>
      </w:r>
      <w:r>
        <w:rPr>
          <w:rFonts w:hint="eastAsia" w:ascii="方正仿宋_GBK" w:hAnsi="方正仿宋_GBK" w:eastAsia="方正仿宋_GBK" w:cs="方正仿宋_GBK"/>
          <w:sz w:val="24"/>
        </w:rPr>
        <w:t>除外），每延期一日，乙方应向甲方支付</w:t>
      </w:r>
      <w:r>
        <w:rPr>
          <w:rFonts w:hint="eastAsia" w:ascii="方正仿宋_GBK" w:hAnsi="方正仿宋_GBK" w:eastAsia="方正仿宋_GBK" w:cs="方正仿宋_GBK"/>
          <w:sz w:val="24"/>
          <w:lang w:eastAsia="zh-CN"/>
        </w:rPr>
        <w:t>该批次货物金额</w:t>
      </w:r>
      <w:r>
        <w:rPr>
          <w:rFonts w:hint="eastAsia" w:ascii="方正仿宋_GBK" w:hAnsi="方正仿宋_GBK" w:eastAsia="方正仿宋_GBK" w:cs="方正仿宋_GBK"/>
          <w:sz w:val="24"/>
          <w:lang w:val="en-US" w:eastAsia="zh-CN"/>
        </w:rPr>
        <w:t>千分之五</w:t>
      </w:r>
      <w:r>
        <w:rPr>
          <w:rFonts w:hint="eastAsia" w:ascii="方正仿宋_GBK" w:hAnsi="方正仿宋_GBK" w:eastAsia="方正仿宋_GBK" w:cs="方正仿宋_GBK"/>
          <w:sz w:val="24"/>
        </w:rPr>
        <w:t>的违约金。</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12.4如乙方提供的货物存在质量问题，严重影响甲方生产经营活动造成经济损失，甲方有权单方面解除本合同，并有权要求赔偿。</w:t>
      </w:r>
    </w:p>
    <w:p>
      <w:pPr>
        <w:keepNext w:val="0"/>
        <w:keepLines w:val="0"/>
        <w:pageBreakBefore w:val="0"/>
        <w:tabs>
          <w:tab w:val="left" w:pos="600"/>
        </w:tabs>
        <w:kinsoku/>
        <w:wordWrap/>
        <w:overflowPunct/>
        <w:topLinePunct w:val="0"/>
        <w:bidi w:val="0"/>
        <w:snapToGrid/>
        <w:spacing w:line="560" w:lineRule="exact"/>
        <w:jc w:val="both"/>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13.合同的变更和解除</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13.1除非遇到不可抗力因素，导致本合同不能履行，未经甲乙双方一致书面同意，任何单方无权变更合同的内容。</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13.2 对本合同的任何修改或补充，只有在双方授权的代表签字后生效，并成为本合同不可分割的组成部分，与本合同具有同等法律效力。</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13.3如本合同任何一方严重违反合同，另一方应及时向违约方发出书面纠正通知，违约方应于收到书面纠正通知之日起</w:t>
      </w:r>
      <w:r>
        <w:rPr>
          <w:rFonts w:hint="eastAsia" w:ascii="方正仿宋_GBK" w:hAnsi="方正仿宋_GBK" w:eastAsia="方正仿宋_GBK" w:cs="方正仿宋_GBK"/>
          <w:color w:val="000000"/>
          <w:sz w:val="24"/>
        </w:rPr>
        <w:t>30日内</w:t>
      </w:r>
      <w:r>
        <w:rPr>
          <w:rFonts w:hint="eastAsia" w:ascii="方正仿宋_GBK" w:hAnsi="方正仿宋_GBK" w:eastAsia="方正仿宋_GBK" w:cs="方正仿宋_GBK"/>
          <w:sz w:val="24"/>
        </w:rPr>
        <w:t>纠正违约行为，否则守约方有权解除合同并要求违约方赔偿因解除合同而造成的经济损失。</w:t>
      </w:r>
    </w:p>
    <w:p>
      <w:pPr>
        <w:keepNext w:val="0"/>
        <w:keepLines w:val="0"/>
        <w:pageBreakBefore w:val="0"/>
        <w:tabs>
          <w:tab w:val="left" w:pos="765"/>
        </w:tabs>
        <w:kinsoku/>
        <w:wordWrap/>
        <w:overflowPunct/>
        <w:topLinePunct w:val="0"/>
        <w:bidi w:val="0"/>
        <w:snapToGrid/>
        <w:spacing w:line="560" w:lineRule="exact"/>
        <w:jc w:val="both"/>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13.4本合同任何一方破产、解散，本合同自动终止。</w:t>
      </w:r>
    </w:p>
    <w:p>
      <w:pPr>
        <w:keepNext w:val="0"/>
        <w:keepLines w:val="0"/>
        <w:pageBreakBefore w:val="0"/>
        <w:kinsoku/>
        <w:wordWrap/>
        <w:overflowPunct/>
        <w:topLinePunct w:val="0"/>
        <w:bidi w:val="0"/>
        <w:snapToGrid/>
        <w:spacing w:line="560" w:lineRule="exact"/>
        <w:jc w:val="both"/>
        <w:rPr>
          <w:rFonts w:hint="default" w:ascii="方正仿宋_GBK" w:hAnsi="方正仿宋_GBK" w:eastAsia="方正仿宋_GBK" w:cs="方正仿宋_GBK"/>
          <w:sz w:val="24"/>
          <w:u w:val="none"/>
          <w:lang w:val="en-US" w:eastAsia="zh-CN"/>
        </w:rPr>
      </w:pPr>
      <w:r>
        <w:rPr>
          <w:rFonts w:hint="eastAsia" w:ascii="方正仿宋_GBK" w:hAnsi="方正仿宋_GBK" w:eastAsia="方正仿宋_GBK" w:cs="方正仿宋_GBK"/>
          <w:sz w:val="24"/>
          <w:u w:val="none"/>
          <w:lang w:val="en-US" w:eastAsia="zh-CN"/>
        </w:rPr>
        <w:t>13.5甲方向乙方进行后期询价，乙方不履行后期报价职责，拒不递交后期报价超过3次（含），甲方有权终止该合同。</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14.不可抗力</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14.1签约双方任何一方由于不可抗力事件的影响而不能执行协议时，履行协议的期限应予以延长，其延长的期限应相当于事件所影响的时间。不可抗力事件系指买卖双方在缔结协议时所不能预见的，并且它的发生及其后果是无法避免和无法克服的事件，诸如战争、严重火灾、洪水、台风、地震政府政策调整等。</w:t>
      </w:r>
    </w:p>
    <w:p>
      <w:pPr>
        <w:keepNext w:val="0"/>
        <w:keepLines w:val="0"/>
        <w:pageBreakBefore w:val="0"/>
        <w:tabs>
          <w:tab w:val="left" w:pos="7560"/>
        </w:tabs>
        <w:kinsoku/>
        <w:wordWrap/>
        <w:overflowPunct/>
        <w:topLinePunct w:val="0"/>
        <w:bidi w:val="0"/>
        <w:snapToGrid/>
        <w:spacing w:line="560" w:lineRule="exact"/>
        <w:jc w:val="both"/>
        <w:rPr>
          <w:rFonts w:hint="eastAsia" w:ascii="方正仿宋_GBK" w:hAnsi="方正仿宋_GBK" w:eastAsia="方正仿宋_GBK" w:cs="方正仿宋_GBK"/>
          <w:b/>
          <w:bCs/>
          <w:sz w:val="24"/>
        </w:rPr>
      </w:pPr>
      <w:r>
        <w:rPr>
          <w:rFonts w:hint="eastAsia" w:ascii="方正仿宋_GBK" w:hAnsi="方正仿宋_GBK" w:eastAsia="方正仿宋_GBK" w:cs="方正仿宋_GBK"/>
          <w:sz w:val="24"/>
        </w:rPr>
        <w:t>14.2受阻一方应在不可抗力事件发生后尽快通知对方，并于事件发生后14日内将有关当局出具的证明文件用特快专递或挂号信寄给对方确认。</w:t>
      </w:r>
    </w:p>
    <w:p>
      <w:pPr>
        <w:keepNext w:val="0"/>
        <w:keepLines w:val="0"/>
        <w:pageBreakBefore w:val="0"/>
        <w:tabs>
          <w:tab w:val="left" w:pos="7560"/>
        </w:tabs>
        <w:kinsoku/>
        <w:wordWrap/>
        <w:overflowPunct/>
        <w:topLinePunct w:val="0"/>
        <w:bidi w:val="0"/>
        <w:snapToGrid/>
        <w:spacing w:line="560" w:lineRule="exact"/>
        <w:jc w:val="both"/>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15.通知</w:t>
      </w:r>
    </w:p>
    <w:p>
      <w:pPr>
        <w:keepNext w:val="0"/>
        <w:keepLines w:val="0"/>
        <w:pageBreakBefore w:val="0"/>
        <w:tabs>
          <w:tab w:val="left" w:pos="7560"/>
        </w:tabs>
        <w:kinsoku/>
        <w:wordWrap/>
        <w:overflowPunct/>
        <w:topLinePunct w:val="0"/>
        <w:bidi w:val="0"/>
        <w:snapToGrid/>
        <w:spacing w:line="560" w:lineRule="exact"/>
        <w:ind w:left="-2" w:leftChars="-1" w:firstLine="2"/>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15.1本合同中任何通知</w:t>
      </w:r>
      <w:r>
        <w:rPr>
          <w:rFonts w:hint="eastAsia" w:ascii="方正仿宋_GBK" w:hAnsi="方正仿宋_GBK" w:eastAsia="方正仿宋_GBK" w:cs="方正仿宋_GBK"/>
          <w:sz w:val="24"/>
          <w:lang w:eastAsia="zh-CN"/>
        </w:rPr>
        <w:t>需为</w:t>
      </w:r>
      <w:r>
        <w:rPr>
          <w:rFonts w:hint="eastAsia" w:ascii="方正仿宋_GBK" w:hAnsi="方正仿宋_GBK" w:eastAsia="方正仿宋_GBK" w:cs="方正仿宋_GBK"/>
          <w:color w:val="000000"/>
          <w:sz w:val="24"/>
          <w:lang w:eastAsia="zh-CN"/>
        </w:rPr>
        <w:t>传真、电话、信函、邮件等。</w:t>
      </w:r>
    </w:p>
    <w:p>
      <w:pPr>
        <w:keepNext w:val="0"/>
        <w:keepLines w:val="0"/>
        <w:pageBreakBefore w:val="0"/>
        <w:tabs>
          <w:tab w:val="left" w:pos="750"/>
        </w:tabs>
        <w:kinsoku/>
        <w:wordWrap/>
        <w:overflowPunct/>
        <w:topLinePunct w:val="0"/>
        <w:bidi w:val="0"/>
        <w:snapToGrid/>
        <w:spacing w:line="560" w:lineRule="exact"/>
        <w:jc w:val="both"/>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16.争议解决和适用法律</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16.1与本合同有关的或因执行本合同所产生之争议，应由双方友好协商解决，不能解决时，任何一方均可向甲方所在地人民法院提起诉讼。</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16.2争议处理期间除正在审理的部分以外，双方应继续执行合同的其余部分。</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16.4本合同的订立、效力、解释、履行及争议的解决适用中华人民共和国的法律、法规。</w:t>
      </w:r>
    </w:p>
    <w:p>
      <w:pPr>
        <w:keepNext w:val="0"/>
        <w:keepLines w:val="0"/>
        <w:pageBreakBefore w:val="0"/>
        <w:tabs>
          <w:tab w:val="left" w:pos="600"/>
        </w:tabs>
        <w:kinsoku/>
        <w:wordWrap/>
        <w:overflowPunct/>
        <w:topLinePunct w:val="0"/>
        <w:bidi w:val="0"/>
        <w:snapToGrid/>
        <w:spacing w:line="560" w:lineRule="exact"/>
        <w:jc w:val="both"/>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17.其他</w:t>
      </w:r>
    </w:p>
    <w:p>
      <w:pPr>
        <w:keepNext w:val="0"/>
        <w:keepLines w:val="0"/>
        <w:pageBreakBefore w:val="0"/>
        <w:tabs>
          <w:tab w:val="left" w:pos="900"/>
        </w:tabs>
        <w:kinsoku/>
        <w:wordWrap/>
        <w:overflowPunct/>
        <w:topLinePunct w:val="0"/>
        <w:bidi w:val="0"/>
        <w:snapToGrid/>
        <w:spacing w:line="560" w:lineRule="exact"/>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17.1本合同未尽事宜，应由甲、乙双方协商后以书面形式补充。</w:t>
      </w:r>
    </w:p>
    <w:p>
      <w:pPr>
        <w:keepNext w:val="0"/>
        <w:keepLines w:val="0"/>
        <w:pageBreakBefore w:val="0"/>
        <w:tabs>
          <w:tab w:val="left" w:pos="750"/>
        </w:tabs>
        <w:kinsoku/>
        <w:wordWrap/>
        <w:overflowPunct/>
        <w:topLinePunct w:val="0"/>
        <w:bidi w:val="0"/>
        <w:snapToGrid/>
        <w:spacing w:line="560" w:lineRule="exact"/>
        <w:ind w:left="360" w:hanging="360"/>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17.2本合同</w:t>
      </w:r>
      <w:r>
        <w:rPr>
          <w:rFonts w:hint="eastAsia" w:ascii="方正仿宋_GBK" w:hAnsi="方正仿宋_GBK" w:eastAsia="方正仿宋_GBK" w:cs="方正仿宋_GBK"/>
          <w:color w:val="000000"/>
          <w:sz w:val="24"/>
        </w:rPr>
        <w:t>一式</w:t>
      </w:r>
      <w:r>
        <w:rPr>
          <w:rFonts w:hint="eastAsia" w:ascii="方正仿宋_GBK" w:hAnsi="方正仿宋_GBK" w:eastAsia="方正仿宋_GBK" w:cs="方正仿宋_GBK"/>
          <w:color w:val="000000"/>
          <w:sz w:val="24"/>
          <w:lang w:eastAsia="zh-CN"/>
        </w:rPr>
        <w:t>陆</w:t>
      </w:r>
      <w:r>
        <w:rPr>
          <w:rFonts w:hint="eastAsia" w:ascii="方正仿宋_GBK" w:hAnsi="方正仿宋_GBK" w:eastAsia="方正仿宋_GBK" w:cs="方正仿宋_GBK"/>
          <w:color w:val="000000"/>
          <w:sz w:val="24"/>
        </w:rPr>
        <w:t>份</w:t>
      </w:r>
      <w:r>
        <w:rPr>
          <w:rFonts w:hint="eastAsia" w:ascii="方正仿宋_GBK" w:hAnsi="方正仿宋_GBK" w:eastAsia="方正仿宋_GBK" w:cs="方正仿宋_GBK"/>
          <w:sz w:val="24"/>
        </w:rPr>
        <w:t>，甲方执</w:t>
      </w:r>
      <w:r>
        <w:rPr>
          <w:rFonts w:hint="eastAsia" w:ascii="方正仿宋_GBK" w:hAnsi="方正仿宋_GBK" w:eastAsia="方正仿宋_GBK" w:cs="方正仿宋_GBK"/>
          <w:sz w:val="24"/>
          <w:lang w:eastAsia="zh-CN"/>
        </w:rPr>
        <w:t>叁</w:t>
      </w:r>
      <w:r>
        <w:rPr>
          <w:rFonts w:hint="eastAsia" w:ascii="方正仿宋_GBK" w:hAnsi="方正仿宋_GBK" w:eastAsia="方正仿宋_GBK" w:cs="方正仿宋_GBK"/>
          <w:sz w:val="24"/>
        </w:rPr>
        <w:t>份，乙方执</w:t>
      </w:r>
      <w:r>
        <w:rPr>
          <w:rFonts w:hint="eastAsia" w:ascii="方正仿宋_GBK" w:hAnsi="方正仿宋_GBK" w:eastAsia="方正仿宋_GBK" w:cs="方正仿宋_GBK"/>
          <w:sz w:val="24"/>
          <w:lang w:eastAsia="zh-CN"/>
        </w:rPr>
        <w:t>叁</w:t>
      </w:r>
      <w:r>
        <w:rPr>
          <w:rFonts w:hint="eastAsia" w:ascii="方正仿宋_GBK" w:hAnsi="方正仿宋_GBK" w:eastAsia="方正仿宋_GBK" w:cs="方正仿宋_GBK"/>
          <w:sz w:val="24"/>
        </w:rPr>
        <w:t>份，具有同等法律效力。</w:t>
      </w:r>
    </w:p>
    <w:p>
      <w:pPr>
        <w:keepNext w:val="0"/>
        <w:keepLines w:val="0"/>
        <w:pageBreakBefore w:val="0"/>
        <w:tabs>
          <w:tab w:val="left" w:pos="7560"/>
        </w:tabs>
        <w:kinsoku/>
        <w:wordWrap/>
        <w:overflowPunct/>
        <w:topLinePunct w:val="0"/>
        <w:bidi w:val="0"/>
        <w:snapToGrid/>
        <w:spacing w:line="560" w:lineRule="exact"/>
        <w:ind w:left="-2" w:leftChars="-1" w:firstLine="2"/>
        <w:jc w:val="both"/>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17.3本合同自甲、乙双方加盖公司印章，并经双方法人</w:t>
      </w:r>
      <w:r>
        <w:rPr>
          <w:rFonts w:hint="eastAsia" w:ascii="方正仿宋_GBK" w:hAnsi="方正仿宋_GBK" w:eastAsia="方正仿宋_GBK" w:cs="方正仿宋_GBK"/>
          <w:sz w:val="24"/>
          <w:lang w:eastAsia="zh-CN"/>
        </w:rPr>
        <w:t>或</w:t>
      </w:r>
      <w:r>
        <w:rPr>
          <w:rFonts w:hint="eastAsia" w:ascii="方正仿宋_GBK" w:hAnsi="方正仿宋_GBK" w:eastAsia="方正仿宋_GBK" w:cs="方正仿宋_GBK"/>
          <w:sz w:val="24"/>
        </w:rPr>
        <w:t>授权代表签字后生效</w:t>
      </w:r>
      <w:r>
        <w:rPr>
          <w:rFonts w:hint="eastAsia" w:ascii="方正仿宋_GBK" w:hAnsi="方正仿宋_GBK" w:eastAsia="方正仿宋_GBK" w:cs="方正仿宋_GBK"/>
          <w:sz w:val="24"/>
          <w:lang w:eastAsia="zh-CN"/>
        </w:rPr>
        <w:t>，有效期一年。</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rPr>
        <w:t>甲方：重庆</w:t>
      </w:r>
      <w:r>
        <w:rPr>
          <w:rFonts w:hint="eastAsia" w:ascii="方正仿宋_GBK" w:hAnsi="方正仿宋_GBK" w:eastAsia="方正仿宋_GBK" w:cs="方正仿宋_GBK"/>
          <w:sz w:val="24"/>
          <w:lang w:eastAsia="zh-CN"/>
        </w:rPr>
        <w:t>空港航空地面服务</w:t>
      </w:r>
      <w:r>
        <w:rPr>
          <w:rFonts w:hint="eastAsia" w:ascii="方正仿宋_GBK" w:hAnsi="方正仿宋_GBK" w:eastAsia="方正仿宋_GBK" w:cs="方正仿宋_GBK"/>
          <w:sz w:val="24"/>
        </w:rPr>
        <w:t>有限公司      乙方：</w:t>
      </w:r>
      <w:r>
        <w:rPr>
          <w:rFonts w:hint="eastAsia" w:ascii="方正仿宋_GBK" w:hAnsi="方正仿宋_GBK" w:eastAsia="方正仿宋_GBK" w:cs="方正仿宋_GBK"/>
          <w:sz w:val="24"/>
          <w:lang w:val="en-US" w:eastAsia="zh-CN"/>
        </w:rPr>
        <w:t xml:space="preserve">  </w:t>
      </w:r>
    </w:p>
    <w:p>
      <w:pPr>
        <w:keepNext w:val="0"/>
        <w:keepLines w:val="0"/>
        <w:pageBreakBefore w:val="0"/>
        <w:kinsoku/>
        <w:wordWrap/>
        <w:overflowPunct/>
        <w:topLinePunct w:val="0"/>
        <w:bidi w:val="0"/>
        <w:snapToGrid/>
        <w:spacing w:line="560" w:lineRule="exact"/>
        <w:jc w:val="both"/>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（盖章）                                （盖章）</w:t>
      </w:r>
    </w:p>
    <w:p>
      <w:pPr>
        <w:keepNext w:val="0"/>
        <w:keepLines w:val="0"/>
        <w:pageBreakBefore w:val="0"/>
        <w:tabs>
          <w:tab w:val="left" w:pos="7560"/>
        </w:tabs>
        <w:kinsoku/>
        <w:wordWrap/>
        <w:overflowPunct/>
        <w:topLinePunct w:val="0"/>
        <w:bidi w:val="0"/>
        <w:snapToGrid/>
        <w:spacing w:line="560" w:lineRule="exact"/>
        <w:ind w:left="-473" w:leftChars="-225" w:firstLine="717" w:firstLineChars="299"/>
        <w:jc w:val="both"/>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eastAsia="zh-CN"/>
        </w:rPr>
        <w:t>法定代表人</w:t>
      </w:r>
      <w:r>
        <w:rPr>
          <w:rFonts w:hint="eastAsia" w:ascii="方正仿宋_GBK" w:hAnsi="方正仿宋_GBK" w:eastAsia="方正仿宋_GBK" w:cs="方正仿宋_GBK"/>
          <w:sz w:val="24"/>
          <w:lang w:val="en-US" w:eastAsia="zh-CN"/>
        </w:rPr>
        <w:t xml:space="preserve">                            法定代表人</w:t>
      </w:r>
    </w:p>
    <w:p>
      <w:pPr>
        <w:keepNext w:val="0"/>
        <w:keepLines w:val="0"/>
        <w:pageBreakBefore w:val="0"/>
        <w:tabs>
          <w:tab w:val="left" w:pos="7560"/>
        </w:tabs>
        <w:kinsoku/>
        <w:wordWrap/>
        <w:overflowPunct/>
        <w:topLinePunct w:val="0"/>
        <w:bidi w:val="0"/>
        <w:snapToGrid/>
        <w:spacing w:line="560" w:lineRule="exact"/>
        <w:ind w:left="-473" w:leftChars="-225" w:firstLine="717" w:firstLineChars="299"/>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或授权</w:t>
      </w:r>
      <w:r>
        <w:rPr>
          <w:rFonts w:hint="eastAsia" w:ascii="方正仿宋_GBK" w:hAnsi="方正仿宋_GBK" w:eastAsia="方正仿宋_GBK" w:cs="方正仿宋_GBK"/>
          <w:sz w:val="24"/>
        </w:rPr>
        <w:t>代表：（签</w:t>
      </w:r>
      <w:r>
        <w:rPr>
          <w:rFonts w:hint="eastAsia" w:ascii="方正仿宋_GBK" w:hAnsi="方正仿宋_GBK" w:eastAsia="方正仿宋_GBK" w:cs="方正仿宋_GBK"/>
          <w:sz w:val="24"/>
          <w:lang w:eastAsia="zh-CN"/>
        </w:rPr>
        <w:t>字</w:t>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或授权</w:t>
      </w:r>
      <w:r>
        <w:rPr>
          <w:rFonts w:hint="eastAsia" w:ascii="方正仿宋_GBK" w:hAnsi="方正仿宋_GBK" w:eastAsia="方正仿宋_GBK" w:cs="方正仿宋_GBK"/>
          <w:sz w:val="24"/>
        </w:rPr>
        <w:t>代表：（签</w:t>
      </w:r>
      <w:r>
        <w:rPr>
          <w:rFonts w:hint="eastAsia" w:ascii="方正仿宋_GBK" w:hAnsi="方正仿宋_GBK" w:eastAsia="方正仿宋_GBK" w:cs="方正仿宋_GBK"/>
          <w:sz w:val="24"/>
          <w:lang w:eastAsia="zh-CN"/>
        </w:rPr>
        <w:t>字</w:t>
      </w:r>
      <w:r>
        <w:rPr>
          <w:rFonts w:hint="eastAsia" w:ascii="方正仿宋_GBK" w:hAnsi="方正仿宋_GBK" w:eastAsia="方正仿宋_GBK" w:cs="方正仿宋_GBK"/>
          <w:sz w:val="24"/>
        </w:rPr>
        <w:t>）</w:t>
      </w:r>
    </w:p>
    <w:p>
      <w:pPr>
        <w:keepNext w:val="0"/>
        <w:keepLines w:val="0"/>
        <w:pageBreakBefore w:val="0"/>
        <w:tabs>
          <w:tab w:val="left" w:pos="7560"/>
        </w:tabs>
        <w:kinsoku/>
        <w:wordWrap/>
        <w:overflowPunct/>
        <w:topLinePunct w:val="0"/>
        <w:bidi w:val="0"/>
        <w:snapToGrid/>
        <w:spacing w:line="560" w:lineRule="exact"/>
        <w:ind w:left="-473" w:leftChars="-225" w:firstLine="717" w:firstLineChars="299"/>
        <w:jc w:val="both"/>
        <w:rPr>
          <w:rFonts w:hint="default" w:ascii="方正仿宋_GBK" w:hAnsi="方正仿宋_GBK" w:eastAsia="方正仿宋_GBK" w:cs="方正仿宋_GBK"/>
          <w:sz w:val="24"/>
          <w:lang w:val="en-US"/>
        </w:rPr>
      </w:pPr>
      <w:r>
        <w:rPr>
          <w:rFonts w:hint="eastAsia" w:ascii="方正仿宋_GBK" w:hAnsi="方正仿宋_GBK" w:eastAsia="方正仿宋_GBK" w:cs="方正仿宋_GBK"/>
          <w:sz w:val="24"/>
        </w:rPr>
        <w:t>签订日期:</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签订日期:</w:t>
      </w:r>
      <w:r>
        <w:rPr>
          <w:rFonts w:hint="eastAsia" w:ascii="方正仿宋_GBK" w:hAnsi="方正仿宋_GBK" w:eastAsia="方正仿宋_GBK" w:cs="方正仿宋_GBK"/>
          <w:sz w:val="24"/>
          <w:lang w:val="en-US" w:eastAsia="zh-CN"/>
        </w:rPr>
        <w:t xml:space="preserve"> </w:t>
      </w:r>
    </w:p>
    <w:p>
      <w:pPr>
        <w:keepNext w:val="0"/>
        <w:keepLines w:val="0"/>
        <w:pageBreakBefore w:val="0"/>
        <w:kinsoku/>
        <w:wordWrap/>
        <w:overflowPunct/>
        <w:topLinePunct w:val="0"/>
        <w:bidi w:val="0"/>
        <w:spacing w:line="560" w:lineRule="exact"/>
        <w:rPr>
          <w:rFonts w:hint="eastAsia" w:ascii="Times New Roman" w:hAnsi="Times New Roman" w:eastAsia="仿宋_GB2312" w:cs="Times New Roman"/>
          <w:b/>
          <w:bCs/>
          <w:color w:val="000000" w:themeColor="text1"/>
          <w:sz w:val="28"/>
          <w:szCs w:val="28"/>
          <w:lang w:val="en-US" w:eastAsia="zh-CN"/>
          <w14:textFill>
            <w14:solidFill>
              <w14:schemeClr w14:val="tx1"/>
            </w14:solidFill>
          </w14:textFill>
        </w:rPr>
        <w:sectPr>
          <w:pgSz w:w="11906" w:h="16838"/>
          <w:pgMar w:top="156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b/>
          <w:bCs/>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8"/>
          <w:szCs w:val="28"/>
          <w:lang w:val="en-US" w:eastAsia="zh-CN"/>
          <w14:textFill>
            <w14:solidFill>
              <w14:schemeClr w14:val="tx1"/>
            </w14:solidFill>
          </w14:textFill>
        </w:rPr>
        <w:t>比选响应文件格式</w:t>
      </w:r>
      <w:r>
        <w:rPr>
          <w:rFonts w:hint="eastAsia" w:eastAsia="仿宋_GB2312" w:cs="Times New Roman"/>
          <w:b/>
          <w:bCs/>
          <w:color w:val="000000" w:themeColor="text1"/>
          <w:sz w:val="28"/>
          <w:szCs w:val="28"/>
          <w:lang w:val="en-US" w:eastAsia="zh-CN"/>
          <w14:textFill>
            <w14:solidFill>
              <w14:schemeClr w14:val="tx1"/>
            </w14:solidFill>
          </w14:textFill>
        </w:rPr>
        <w:t>:</w:t>
      </w:r>
    </w:p>
    <w:p>
      <w:pPr>
        <w:tabs>
          <w:tab w:val="left" w:pos="450"/>
          <w:tab w:val="left" w:pos="8280"/>
        </w:tabs>
        <w:rPr>
          <w:rFonts w:hint="default" w:ascii="仿宋_GB2312" w:hAnsi="仿宋" w:eastAsia="仿宋_GB2312"/>
          <w:b/>
          <w:color w:val="000000"/>
          <w:sz w:val="28"/>
          <w:szCs w:val="28"/>
          <w:lang w:val="en-US" w:eastAsia="zh-CN"/>
        </w:rPr>
      </w:pPr>
      <w:r>
        <w:rPr>
          <w:rFonts w:hint="eastAsia" w:ascii="仿宋_GB2312" w:hAnsi="仿宋" w:eastAsia="仿宋_GB2312"/>
          <w:b/>
          <w:color w:val="000000"/>
          <w:sz w:val="28"/>
          <w:szCs w:val="28"/>
          <w:lang w:val="en-US" w:eastAsia="zh-CN"/>
        </w:rPr>
        <w:t>封面</w:t>
      </w:r>
    </w:p>
    <w:p>
      <w:pPr>
        <w:tabs>
          <w:tab w:val="left" w:pos="450"/>
          <w:tab w:val="left" w:pos="8280"/>
        </w:tabs>
        <w:jc w:val="center"/>
        <w:rPr>
          <w:rFonts w:hint="eastAsia" w:ascii="仿宋_GB2312" w:hAnsi="仿宋" w:eastAsia="仿宋_GB2312"/>
          <w:b/>
          <w:color w:val="000000"/>
          <w:sz w:val="32"/>
          <w:szCs w:val="32"/>
          <w:lang w:val="zh-CN"/>
        </w:rPr>
      </w:pPr>
      <w:r>
        <w:rPr>
          <w:rFonts w:hint="eastAsia" w:ascii="仿宋_GB2312" w:hAnsi="仿宋" w:eastAsia="仿宋_GB2312"/>
          <w:b/>
          <w:color w:val="000000"/>
          <w:sz w:val="32"/>
          <w:szCs w:val="32"/>
          <w:lang w:val="zh-CN"/>
        </w:rPr>
        <w:t>重庆空港航空地面服务有限公司</w:t>
      </w:r>
    </w:p>
    <w:p>
      <w:pPr>
        <w:tabs>
          <w:tab w:val="left" w:pos="450"/>
          <w:tab w:val="left" w:pos="8280"/>
        </w:tabs>
        <w:jc w:val="center"/>
        <w:rPr>
          <w:rFonts w:ascii="仿宋_GB2312" w:hAnsi="仿宋" w:eastAsia="仿宋_GB2312"/>
          <w:b/>
          <w:color w:val="000000"/>
          <w:sz w:val="32"/>
          <w:szCs w:val="32"/>
        </w:rPr>
      </w:pPr>
      <w:r>
        <w:rPr>
          <w:rFonts w:hint="eastAsia" w:ascii="仿宋_GB2312" w:hAnsi="仿宋" w:eastAsia="仿宋_GB2312"/>
          <w:b/>
          <w:color w:val="000000"/>
          <w:sz w:val="32"/>
          <w:szCs w:val="32"/>
          <w:lang w:val="zh-CN"/>
        </w:rPr>
        <w:t>防疫物资框架供应商入围采购项目比选采购</w:t>
      </w:r>
    </w:p>
    <w:p>
      <w:pPr>
        <w:tabs>
          <w:tab w:val="left" w:pos="450"/>
          <w:tab w:val="left" w:pos="8280"/>
        </w:tabs>
        <w:jc w:val="center"/>
        <w:rPr>
          <w:rFonts w:ascii="仿宋_GB2312" w:hAnsi="仿宋" w:eastAsia="仿宋_GB2312"/>
          <w:b/>
          <w:color w:val="000000"/>
          <w:sz w:val="32"/>
          <w:szCs w:val="32"/>
        </w:rPr>
      </w:pPr>
      <w:r>
        <w:rPr>
          <w:rFonts w:hint="eastAsia" w:ascii="仿宋_GB2312" w:hAnsi="仿宋" w:eastAsia="仿宋_GB2312"/>
          <w:b/>
          <w:color w:val="000000"/>
          <w:sz w:val="32"/>
          <w:szCs w:val="32"/>
        </w:rPr>
        <w:t>响应文件</w:t>
      </w:r>
    </w:p>
    <w:p>
      <w:pPr>
        <w:tabs>
          <w:tab w:val="left" w:pos="8280"/>
        </w:tabs>
        <w:jc w:val="center"/>
        <w:rPr>
          <w:rFonts w:ascii="仿宋_GB2312" w:hAnsi="仿宋" w:eastAsia="仿宋_GB2312"/>
          <w:b/>
          <w:color w:val="000000"/>
          <w:sz w:val="32"/>
          <w:szCs w:val="32"/>
        </w:rPr>
      </w:pPr>
    </w:p>
    <w:p>
      <w:pPr>
        <w:tabs>
          <w:tab w:val="left" w:pos="8280"/>
        </w:tabs>
        <w:jc w:val="center"/>
        <w:rPr>
          <w:rFonts w:ascii="仿宋_GB2312" w:hAnsi="仿宋" w:eastAsia="仿宋_GB2312"/>
          <w:b/>
          <w:color w:val="000000"/>
          <w:sz w:val="32"/>
          <w:szCs w:val="32"/>
        </w:rPr>
      </w:pPr>
      <w:r>
        <w:rPr>
          <w:rFonts w:hint="eastAsia" w:ascii="仿宋_GB2312" w:hAnsi="仿宋" w:eastAsia="仿宋_GB2312"/>
          <w:b/>
          <w:color w:val="000000"/>
          <w:sz w:val="32"/>
          <w:szCs w:val="32"/>
        </w:rPr>
        <w:t>（正本或副本）</w:t>
      </w:r>
    </w:p>
    <w:p>
      <w:pPr>
        <w:tabs>
          <w:tab w:val="left" w:pos="8280"/>
        </w:tabs>
        <w:jc w:val="center"/>
        <w:rPr>
          <w:rFonts w:ascii="仿宋_GB2312" w:hAnsi="仿宋" w:eastAsia="仿宋_GB2312"/>
          <w:b/>
          <w:color w:val="000000"/>
          <w:sz w:val="32"/>
          <w:szCs w:val="32"/>
        </w:rPr>
      </w:pPr>
    </w:p>
    <w:p>
      <w:pPr>
        <w:tabs>
          <w:tab w:val="left" w:pos="765"/>
          <w:tab w:val="left" w:pos="8280"/>
        </w:tabs>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r>
        <w:rPr>
          <w:rFonts w:hint="eastAsia" w:ascii="仿宋_GB2312" w:hAnsi="仿宋" w:eastAsia="仿宋_GB2312"/>
          <w:b/>
          <w:color w:val="000000"/>
          <w:sz w:val="32"/>
          <w:szCs w:val="32"/>
          <w:lang w:eastAsia="zh-CN"/>
        </w:rPr>
        <w:t>响应</w:t>
      </w:r>
      <w:r>
        <w:rPr>
          <w:rFonts w:hint="eastAsia" w:ascii="仿宋_GB2312" w:hAnsi="仿宋" w:eastAsia="仿宋_GB2312"/>
          <w:b/>
          <w:color w:val="000000"/>
          <w:sz w:val="32"/>
          <w:szCs w:val="32"/>
        </w:rPr>
        <w:t>人名称（加盖公章）：</w:t>
      </w:r>
      <w:r>
        <w:rPr>
          <w:rFonts w:hint="eastAsia" w:ascii="仿宋_GB2312" w:hAnsi="仿宋" w:eastAsia="仿宋_GB2312"/>
          <w:b/>
          <w:color w:val="000000"/>
          <w:sz w:val="32"/>
          <w:szCs w:val="32"/>
          <w:u w:val="single"/>
        </w:rPr>
        <w:t xml:space="preserve">                                </w:t>
      </w:r>
    </w:p>
    <w:p>
      <w:pPr>
        <w:tabs>
          <w:tab w:val="left" w:pos="8280"/>
        </w:tabs>
        <w:rPr>
          <w:rFonts w:ascii="仿宋_GB2312" w:hAnsi="仿宋" w:eastAsia="仿宋_GB2312"/>
          <w:b/>
          <w:color w:val="000000"/>
          <w:sz w:val="32"/>
          <w:szCs w:val="32"/>
        </w:rPr>
      </w:pPr>
    </w:p>
    <w:p>
      <w:pPr>
        <w:tabs>
          <w:tab w:val="left" w:pos="8280"/>
        </w:tabs>
        <w:rPr>
          <w:rFonts w:ascii="仿宋_GB2312" w:hAnsi="仿宋" w:eastAsia="仿宋_GB2312"/>
          <w:b/>
          <w:color w:val="000000"/>
          <w:sz w:val="32"/>
          <w:szCs w:val="32"/>
        </w:rPr>
      </w:pPr>
    </w:p>
    <w:p>
      <w:pPr>
        <w:tabs>
          <w:tab w:val="left" w:pos="8280"/>
        </w:tabs>
        <w:rPr>
          <w:rFonts w:ascii="仿宋_GB2312" w:hAnsi="仿宋" w:eastAsia="仿宋_GB2312"/>
          <w:b/>
          <w:color w:val="000000"/>
          <w:sz w:val="32"/>
          <w:szCs w:val="32"/>
        </w:rPr>
      </w:pPr>
    </w:p>
    <w:p>
      <w:pPr>
        <w:tabs>
          <w:tab w:val="left" w:pos="8280"/>
        </w:tabs>
        <w:ind w:firstLine="3196" w:firstLineChars="995"/>
        <w:rPr>
          <w:rFonts w:ascii="仿宋_GB2312" w:hAnsi="仿宋" w:eastAsia="仿宋_GB2312"/>
          <w:b/>
          <w:color w:val="000000"/>
          <w:sz w:val="32"/>
          <w:szCs w:val="32"/>
          <w:lang w:val="zh-CN"/>
        </w:rPr>
      </w:pPr>
      <w:r>
        <w:rPr>
          <w:rFonts w:hint="eastAsia" w:ascii="仿宋_GB2312" w:hAnsi="仿宋" w:eastAsia="仿宋_GB2312"/>
          <w:b/>
          <w:color w:val="000000"/>
          <w:sz w:val="32"/>
          <w:szCs w:val="32"/>
        </w:rPr>
        <w:t xml:space="preserve">       年     月     日</w:t>
      </w:r>
    </w:p>
    <w:p>
      <w:pPr>
        <w:autoSpaceDE w:val="0"/>
        <w:autoSpaceDN w:val="0"/>
        <w:adjustRightInd w:val="0"/>
        <w:spacing w:line="360" w:lineRule="auto"/>
        <w:rPr>
          <w:rFonts w:ascii="仿宋_GB2312" w:hAnsi="仿宋" w:eastAsia="仿宋_GB2312"/>
          <w:b/>
          <w:color w:val="000000"/>
          <w:sz w:val="32"/>
          <w:szCs w:val="32"/>
          <w:lang w:val="zh-CN"/>
        </w:rPr>
      </w:pPr>
    </w:p>
    <w:p>
      <w:pPr>
        <w:autoSpaceDE w:val="0"/>
        <w:autoSpaceDN w:val="0"/>
        <w:adjustRightInd w:val="0"/>
        <w:spacing w:line="360" w:lineRule="auto"/>
        <w:ind w:firstLine="315" w:firstLineChars="98"/>
        <w:jc w:val="center"/>
        <w:rPr>
          <w:rFonts w:ascii="仿宋_GB2312" w:hAnsi="仿宋" w:eastAsia="仿宋_GB2312"/>
          <w:b/>
          <w:color w:val="000000"/>
          <w:sz w:val="32"/>
          <w:szCs w:val="32"/>
          <w:lang w:val="zh-CN"/>
        </w:rPr>
      </w:pPr>
    </w:p>
    <w:p>
      <w:pPr>
        <w:autoSpaceDE w:val="0"/>
        <w:autoSpaceDN w:val="0"/>
        <w:adjustRightInd w:val="0"/>
        <w:spacing w:line="360" w:lineRule="auto"/>
        <w:jc w:val="both"/>
        <w:rPr>
          <w:rFonts w:ascii="仿宋_GB2312" w:hAnsi="仿宋" w:eastAsia="仿宋_GB2312"/>
          <w:b/>
          <w:color w:val="000000"/>
          <w:sz w:val="32"/>
          <w:szCs w:val="32"/>
          <w:lang w:val="zh-CN"/>
        </w:rPr>
      </w:pPr>
    </w:p>
    <w:p>
      <w:pPr>
        <w:keepNext w:val="0"/>
        <w:keepLines w:val="0"/>
        <w:pageBreakBefore w:val="0"/>
        <w:kinsoku/>
        <w:wordWrap/>
        <w:overflowPunct/>
        <w:topLinePunct w:val="0"/>
        <w:bidi w:val="0"/>
        <w:spacing w:line="560" w:lineRule="exact"/>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投标函部分</w:t>
      </w: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商务部分</w:t>
      </w: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技术部分</w:t>
      </w: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2"/>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2"/>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2"/>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2"/>
        <w:keepNext w:val="0"/>
        <w:keepLines w:val="0"/>
        <w:pageBreakBefore w:val="0"/>
        <w:kinsoku/>
        <w:wordWrap/>
        <w:overflowPunct/>
        <w:topLinePunct w:val="0"/>
        <w:bidi w:val="0"/>
        <w:spacing w:line="560" w:lineRule="exact"/>
        <w:rPr>
          <w:rFonts w:hint="eastAsia"/>
          <w:lang w:val="en-US" w:eastAsia="zh-CN"/>
        </w:rPr>
      </w:pP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2"/>
        <w:rPr>
          <w:rFonts w:hint="eastAsia" w:eastAsia="仿宋" w:cs="Times New Roman"/>
          <w:b/>
          <w:bCs/>
          <w:color w:val="000000" w:themeColor="text1"/>
          <w:sz w:val="28"/>
          <w:szCs w:val="28"/>
          <w:lang w:val="en-US" w:eastAsia="zh-CN"/>
          <w14:textFill>
            <w14:solidFill>
              <w14:schemeClr w14:val="tx1"/>
            </w14:solidFill>
          </w14:textFill>
        </w:rPr>
      </w:pPr>
    </w:p>
    <w:p>
      <w:pPr>
        <w:rPr>
          <w:rFonts w:hint="eastAsia" w:eastAsia="仿宋" w:cs="Times New Roman"/>
          <w:b/>
          <w:bCs/>
          <w:color w:val="000000" w:themeColor="text1"/>
          <w:sz w:val="28"/>
          <w:szCs w:val="28"/>
          <w:lang w:val="en-US" w:eastAsia="zh-CN"/>
          <w14:textFill>
            <w14:solidFill>
              <w14:schemeClr w14:val="tx1"/>
            </w14:solidFill>
          </w14:textFill>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default" w:eastAsia="仿宋" w:cs="Times New Roman"/>
          <w:b/>
          <w:bCs/>
          <w:color w:val="000000" w:themeColor="text1"/>
          <w:sz w:val="28"/>
          <w:szCs w:val="28"/>
          <w:lang w:val="en-US" w:eastAsia="zh-CN"/>
          <w14:textFill>
            <w14:solidFill>
              <w14:schemeClr w14:val="tx1"/>
            </w14:solidFill>
          </w14:textFill>
        </w:rPr>
      </w:pPr>
      <w:r>
        <w:rPr>
          <w:rFonts w:hint="eastAsia" w:eastAsia="仿宋" w:cs="Times New Roman"/>
          <w:b/>
          <w:bCs/>
          <w:color w:val="000000" w:themeColor="text1"/>
          <w:sz w:val="28"/>
          <w:szCs w:val="28"/>
          <w:lang w:val="en-US" w:eastAsia="zh-CN"/>
          <w14:textFill>
            <w14:solidFill>
              <w14:schemeClr w14:val="tx1"/>
            </w14:solidFill>
          </w14:textFill>
        </w:rPr>
        <w:t>投标函部分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小标宋_GBK" w:cs="Times New Roman"/>
          <w:bCs/>
          <w:color w:val="000000" w:themeColor="text1"/>
          <w:sz w:val="28"/>
          <w:szCs w:val="28"/>
          <w14:textFill>
            <w14:solidFill>
              <w14:schemeClr w14:val="tx1"/>
            </w14:solidFill>
          </w14:textFill>
        </w:rPr>
        <w:t>报价函</w:t>
      </w:r>
    </w:p>
    <w:p>
      <w:pPr>
        <w:pStyle w:val="7"/>
        <w:keepNext w:val="0"/>
        <w:keepLines w:val="0"/>
        <w:pageBreakBefore w:val="0"/>
        <w:widowControl w:val="0"/>
        <w:kinsoku/>
        <w:wordWrap/>
        <w:overflowPunct/>
        <w:topLinePunct w:val="0"/>
        <w:autoSpaceDE/>
        <w:autoSpaceDN/>
        <w:bidi w:val="0"/>
        <w:adjustRightInd/>
        <w:snapToGrid/>
        <w:spacing w:after="0" w:line="560" w:lineRule="exact"/>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eastAsia" w:eastAsia="方正仿宋_GBK" w:cs="Times New Roman"/>
          <w:bCs/>
          <w:color w:val="000000" w:themeColor="text1"/>
          <w:sz w:val="28"/>
          <w:szCs w:val="28"/>
          <w:u w:val="single"/>
          <w:lang w:val="en-US" w:eastAsia="zh-CN"/>
          <w14:textFill>
            <w14:solidFill>
              <w14:schemeClr w14:val="tx1"/>
            </w14:solidFill>
          </w14:textFill>
        </w:rPr>
        <w:t>重庆空港航空地面服务有限</w:t>
      </w:r>
      <w:r>
        <w:rPr>
          <w:rFonts w:hint="default" w:ascii="Times New Roman" w:hAnsi="Times New Roman" w:eastAsia="方正仿宋_GBK" w:cs="Times New Roman"/>
          <w:bCs/>
          <w:color w:val="000000" w:themeColor="text1"/>
          <w:sz w:val="28"/>
          <w:szCs w:val="28"/>
          <w:u w:val="single"/>
          <w14:textFill>
            <w14:solidFill>
              <w14:schemeClr w14:val="tx1"/>
            </w14:solidFill>
          </w14:textFill>
        </w:rPr>
        <w:t>公司</w:t>
      </w:r>
      <w:r>
        <w:rPr>
          <w:rFonts w:hint="default" w:ascii="Times New Roman" w:hAnsi="Times New Roman" w:eastAsia="方正仿宋_GBK" w:cs="Times New Roman"/>
          <w:bCs/>
          <w:color w:val="000000" w:themeColor="text1"/>
          <w:sz w:val="28"/>
          <w:szCs w:val="28"/>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1．我方已仔细研究</w:t>
      </w:r>
      <w:r>
        <w:rPr>
          <w:rFonts w:hint="eastAsia" w:eastAsia="方正仿宋_GBK" w:cs="Times New Roman"/>
          <w:bCs/>
          <w:color w:val="000000" w:themeColor="text1"/>
          <w:sz w:val="28"/>
          <w:szCs w:val="28"/>
          <w:u w:val="single"/>
          <w:lang w:val="en-US" w:eastAsia="zh-CN"/>
          <w14:textFill>
            <w14:solidFill>
              <w14:schemeClr w14:val="tx1"/>
            </w14:solidFill>
          </w14:textFill>
        </w:rPr>
        <w:t>重庆空港航空地面服务有限</w:t>
      </w:r>
      <w:r>
        <w:rPr>
          <w:rFonts w:hint="default" w:ascii="Times New Roman" w:hAnsi="Times New Roman" w:eastAsia="方正仿宋_GBK" w:cs="Times New Roman"/>
          <w:bCs/>
          <w:color w:val="000000" w:themeColor="text1"/>
          <w:sz w:val="28"/>
          <w:szCs w:val="28"/>
          <w:u w:val="single"/>
          <w14:textFill>
            <w14:solidFill>
              <w14:schemeClr w14:val="tx1"/>
            </w14:solidFill>
          </w14:textFill>
        </w:rPr>
        <w:t>公司</w:t>
      </w:r>
      <w:r>
        <w:rPr>
          <w:rFonts w:hint="eastAsia" w:eastAsia="方正仿宋_GBK" w:cs="Times New Roman"/>
          <w:bCs/>
          <w:color w:val="000000" w:themeColor="text1"/>
          <w:sz w:val="28"/>
          <w:szCs w:val="28"/>
          <w:u w:val="single"/>
          <w:lang w:val="en-US" w:eastAsia="zh-CN"/>
          <w14:textFill>
            <w14:solidFill>
              <w14:schemeClr w14:val="tx1"/>
            </w14:solidFill>
          </w14:textFill>
        </w:rPr>
        <w:t>防疫物资采购项目</w:t>
      </w:r>
      <w:r>
        <w:rPr>
          <w:rFonts w:hint="default" w:ascii="Times New Roman" w:hAnsi="Times New Roman" w:eastAsia="方正仿宋_GBK" w:cs="Times New Roman"/>
          <w:bCs/>
          <w:color w:val="000000" w:themeColor="text1"/>
          <w:sz w:val="28"/>
          <w:szCs w:val="28"/>
          <w14:textFill>
            <w14:solidFill>
              <w14:schemeClr w14:val="tx1"/>
            </w14:solidFill>
          </w14:textFill>
        </w:rPr>
        <w:t>比选</w:t>
      </w:r>
      <w:r>
        <w:rPr>
          <w:rFonts w:hint="eastAsia" w:eastAsia="方正仿宋_GBK" w:cs="Times New Roman"/>
          <w:bCs/>
          <w:color w:val="000000" w:themeColor="text1"/>
          <w:sz w:val="28"/>
          <w:szCs w:val="28"/>
          <w:lang w:eastAsia="zh-CN"/>
          <w14:textFill>
            <w14:solidFill>
              <w14:schemeClr w14:val="tx1"/>
            </w14:solidFill>
          </w14:textFill>
        </w:rPr>
        <w:t>采购</w:t>
      </w:r>
      <w:r>
        <w:rPr>
          <w:rFonts w:hint="default" w:ascii="Times New Roman" w:hAnsi="Times New Roman" w:eastAsia="方正仿宋_GBK" w:cs="Times New Roman"/>
          <w:bCs/>
          <w:color w:val="000000" w:themeColor="text1"/>
          <w:sz w:val="28"/>
          <w:szCs w:val="28"/>
          <w14:textFill>
            <w14:solidFill>
              <w14:schemeClr w14:val="tx1"/>
            </w14:solidFill>
          </w14:textFill>
        </w:rPr>
        <w:t>文件的全部内容，</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并承诺响应比选文件所有要求，</w:t>
      </w:r>
      <w:r>
        <w:rPr>
          <w:rFonts w:hint="eastAsia" w:eastAsia="方正仿宋_GBK" w:cs="Times New Roman"/>
          <w:bCs/>
          <w:color w:val="000000" w:themeColor="text1"/>
          <w:sz w:val="28"/>
          <w:szCs w:val="28"/>
          <w:lang w:val="en-US" w:eastAsia="zh-CN"/>
          <w14:textFill>
            <w14:solidFill>
              <w14:schemeClr w14:val="tx1"/>
            </w14:solidFill>
          </w14:textFill>
        </w:rPr>
        <w:t>我方的报价为：</w:t>
      </w:r>
      <w:r>
        <w:rPr>
          <w:rFonts w:hint="eastAsia" w:eastAsia="方正仿宋_GBK" w:cs="Times New Roman"/>
          <w:bCs/>
          <w:color w:val="000000" w:themeColor="text1"/>
          <w:sz w:val="28"/>
          <w:szCs w:val="28"/>
          <w:u w:val="single"/>
          <w:lang w:val="en-US" w:eastAsia="zh-CN"/>
          <w14:textFill>
            <w14:solidFill>
              <w14:schemeClr w14:val="tx1"/>
            </w14:solidFill>
          </w14:textFill>
        </w:rPr>
        <w:t>在限价基础上提供的综合下浮比例为   %</w:t>
      </w:r>
      <w:r>
        <w:rPr>
          <w:rFonts w:hint="eastAsia" w:eastAsia="方正仿宋_GBK" w:cs="Times New Roman"/>
          <w:bCs/>
          <w:color w:val="000000" w:themeColor="text1"/>
          <w:sz w:val="28"/>
          <w:szCs w:val="28"/>
          <w:lang w:val="en-US" w:eastAsia="zh-CN"/>
          <w14:textFill>
            <w14:solidFill>
              <w14:schemeClr w14:val="tx1"/>
            </w14:solidFill>
          </w14:textFill>
        </w:rPr>
        <w:t>；我方自愿</w:t>
      </w:r>
      <w:r>
        <w:rPr>
          <w:rFonts w:hint="default" w:ascii="Times New Roman" w:hAnsi="Times New Roman" w:eastAsia="方正仿宋_GBK" w:cs="Times New Roman"/>
          <w:bCs/>
          <w:color w:val="000000" w:themeColor="text1"/>
          <w:sz w:val="28"/>
          <w:szCs w:val="28"/>
          <w14:textFill>
            <w14:solidFill>
              <w14:schemeClr w14:val="tx1"/>
            </w14:solidFill>
          </w14:textFill>
        </w:rPr>
        <w:t>按合同约定实施和完成项目的全部工作。</w:t>
      </w:r>
      <w:r>
        <w:rPr>
          <w:rFonts w:hint="eastAsia" w:eastAsia="方正仿宋_GBK" w:cs="Times New Roman"/>
          <w:bCs/>
          <w:color w:val="000000" w:themeColor="text1"/>
          <w:sz w:val="28"/>
          <w:szCs w:val="28"/>
          <w:lang w:val="en-US" w:eastAsia="zh-CN"/>
          <w14:textFill>
            <w14:solidFill>
              <w14:schemeClr w14:val="tx1"/>
            </w14:solidFill>
          </w14:textFill>
        </w:rPr>
        <w:t xml:space="preserve"> （下浮比例的范围应当在0%-100%之间，超过这个区间的比例为无效报价。）</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2．我方承诺在比选有效期内</w:t>
      </w:r>
      <w:r>
        <w:rPr>
          <w:rFonts w:hint="eastAsia" w:eastAsia="方正仿宋_GBK" w:cs="Times New Roman"/>
          <w:bCs/>
          <w:color w:val="000000" w:themeColor="text1"/>
          <w:sz w:val="28"/>
          <w:szCs w:val="28"/>
          <w:lang w:eastAsia="zh-CN"/>
          <w14:textFill>
            <w14:solidFill>
              <w14:schemeClr w14:val="tx1"/>
            </w14:solidFill>
          </w14:textFill>
        </w:rPr>
        <w:t>（</w:t>
      </w:r>
      <w:r>
        <w:rPr>
          <w:rFonts w:hint="eastAsia" w:eastAsia="方正仿宋_GBK" w:cs="Times New Roman"/>
          <w:bCs/>
          <w:color w:val="000000" w:themeColor="text1"/>
          <w:sz w:val="28"/>
          <w:szCs w:val="28"/>
          <w:lang w:val="en-US" w:eastAsia="zh-CN"/>
          <w14:textFill>
            <w14:solidFill>
              <w14:schemeClr w14:val="tx1"/>
            </w14:solidFill>
          </w14:textFill>
        </w:rPr>
        <w:t>90天）</w:t>
      </w:r>
      <w:r>
        <w:rPr>
          <w:rFonts w:hint="default" w:ascii="Times New Roman" w:hAnsi="Times New Roman" w:eastAsia="方正仿宋_GBK" w:cs="Times New Roman"/>
          <w:bCs/>
          <w:color w:val="000000" w:themeColor="text1"/>
          <w:sz w:val="28"/>
          <w:szCs w:val="28"/>
          <w14:textFill>
            <w14:solidFill>
              <w14:schemeClr w14:val="tx1"/>
            </w14:solidFill>
          </w14:textFill>
        </w:rPr>
        <w:t>不修改、撤销比选响应文件。</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3．如我方成交：</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280" w:firstLineChars="1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（1）我方承诺在收到成交通知后，在规定的期限内与你方签订合同。</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280" w:firstLineChars="1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（2）随同本报价函递交的报价函附录属于合同文件的组成部分。</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280" w:firstLineChars="1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（3）我方承诺在约定的期限内完成并移交全部合同项目和成果。</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4．我方在此声明，所递交的比选响应文件及有关资料内容完整、真实和准确。</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eastAsia" w:eastAsia="方正仿宋_GBK" w:cs="Times New Roman"/>
          <w:b w:val="0"/>
          <w:bCs/>
          <w:color w:val="000000" w:themeColor="text1"/>
          <w:sz w:val="28"/>
          <w:szCs w:val="28"/>
          <w:lang w:val="en-US" w:eastAsia="zh-CN"/>
          <w14:textFill>
            <w14:solidFill>
              <w14:schemeClr w14:val="tx1"/>
            </w14:solidFill>
          </w14:textFill>
        </w:rPr>
        <w:t>5.</w:t>
      </w:r>
      <w:r>
        <w:rPr>
          <w:rFonts w:hint="default" w:ascii="Times New Roman" w:hAnsi="Times New Roman" w:eastAsia="方正仿宋_GBK" w:cs="Times New Roman"/>
          <w:bCs/>
          <w:color w:val="000000" w:themeColor="text1"/>
          <w:sz w:val="28"/>
          <w:szCs w:val="28"/>
          <w14:textFill>
            <w14:solidFill>
              <w14:schemeClr w14:val="tx1"/>
            </w14:solidFill>
          </w14:textFill>
        </w:rPr>
        <w:t>除非达到另外协议并生效，你方的成交通知书和本比选响应文件将成为约束双方的合同文件组成部分。</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比选</w:t>
      </w:r>
      <w:r>
        <w:rPr>
          <w:rFonts w:hint="eastAsia" w:eastAsia="方正仿宋_GBK" w:cs="Times New Roman"/>
          <w:bCs/>
          <w:color w:val="000000" w:themeColor="text1"/>
          <w:sz w:val="28"/>
          <w:szCs w:val="28"/>
          <w:lang w:val="en-US" w:eastAsia="zh-CN"/>
          <w14:textFill>
            <w14:solidFill>
              <w14:schemeClr w14:val="tx1"/>
            </w14:solidFill>
          </w14:textFill>
        </w:rPr>
        <w:t>响应</w:t>
      </w:r>
      <w:r>
        <w:rPr>
          <w:rFonts w:hint="default" w:ascii="Times New Roman" w:hAnsi="Times New Roman" w:eastAsia="方正仿宋_GBK" w:cs="Times New Roman"/>
          <w:bCs/>
          <w:color w:val="000000" w:themeColor="text1"/>
          <w:sz w:val="28"/>
          <w:szCs w:val="28"/>
          <w14:textFill>
            <w14:solidFill>
              <w14:schemeClr w14:val="tx1"/>
            </w14:solidFill>
          </w14:textFill>
        </w:rPr>
        <w:t>人：（盖单位公章）</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法定代表人或其委托代理人： （签字）</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 xml:space="preserve">地址： </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z w:val="28"/>
          <w:szCs w:val="28"/>
          <w14:textFill>
            <w14:solidFill>
              <w14:schemeClr w14:val="tx1"/>
            </w14:solidFill>
          </w14:textFill>
        </w:rPr>
        <w:t>网址：　　　　　　　　　　　　　　</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电话：　　　　　　　　　　　　传真：　　　　　　　　　　　　　　</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sectPr>
          <w:pgSz w:w="11906" w:h="16838"/>
          <w:pgMar w:top="1560" w:right="1800" w:bottom="1440" w:left="1800" w:header="851" w:footer="992" w:gutter="0"/>
          <w:pgNumType w:fmt="decimal"/>
          <w:cols w:space="425" w:num="1"/>
          <w:docGrid w:type="lines" w:linePitch="312" w:charSpace="0"/>
        </w:sectPr>
      </w:pPr>
      <w:r>
        <w:rPr>
          <w:rFonts w:hint="default" w:ascii="Times New Roman" w:hAnsi="Times New Roman" w:eastAsia="方正仿宋_GBK" w:cs="Times New Roman"/>
          <w:bCs/>
          <w:color w:val="000000" w:themeColor="text1"/>
          <w:sz w:val="28"/>
          <w:szCs w:val="28"/>
          <w14:textFill>
            <w14:solidFill>
              <w14:schemeClr w14:val="tx1"/>
            </w14:solidFill>
          </w14:textFill>
        </w:rPr>
        <w:t>邮政编码：　　</w:t>
      </w:r>
      <w:r>
        <w:rPr>
          <w:rFonts w:hint="eastAsia" w:eastAsia="方正仿宋_GBK" w:cs="Times New Roman"/>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z w:val="28"/>
          <w:szCs w:val="28"/>
          <w14:textFill>
            <w14:solidFill>
              <w14:schemeClr w14:val="tx1"/>
            </w14:solidFill>
          </w14:textFill>
        </w:rPr>
        <w:t>     年   月   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Cs/>
          <w:color w:val="000000" w:themeColor="text1"/>
          <w:sz w:val="28"/>
          <w:szCs w:val="28"/>
          <w:lang w:eastAsia="zh-CN"/>
          <w14:textFill>
            <w14:solidFill>
              <w14:schemeClr w14:val="tx1"/>
            </w14:solidFill>
          </w14:textFill>
        </w:rPr>
      </w:pPr>
      <w:r>
        <w:rPr>
          <w:rFonts w:hint="eastAsia" w:ascii="Times New Roman" w:hAnsi="Times New Roman" w:eastAsia="方正小标宋_GBK" w:cs="Times New Roman"/>
          <w:bCs/>
          <w:color w:val="000000" w:themeColor="text1"/>
          <w:sz w:val="28"/>
          <w:szCs w:val="28"/>
          <w:lang w:eastAsia="zh-CN"/>
          <w14:textFill>
            <w14:solidFill>
              <w14:schemeClr w14:val="tx1"/>
            </w14:solidFill>
          </w14:textFill>
        </w:rPr>
        <w:t>分项报价明细</w:t>
      </w:r>
    </w:p>
    <w:tbl>
      <w:tblPr>
        <w:tblStyle w:val="16"/>
        <w:tblpPr w:leftFromText="180" w:rightFromText="180" w:vertAnchor="text" w:horzAnchor="page" w:tblpX="1025" w:tblpY="547"/>
        <w:tblOverlap w:val="never"/>
        <w:tblW w:w="10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9"/>
        <w:gridCol w:w="1603"/>
        <w:gridCol w:w="4150"/>
        <w:gridCol w:w="933"/>
        <w:gridCol w:w="1434"/>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959" w:type="dxa"/>
            <w:shd w:val="clear" w:color="auto" w:fill="auto"/>
            <w:noWrap/>
            <w:vAlign w:val="center"/>
          </w:tcPr>
          <w:p>
            <w:pPr>
              <w:keepNext w:val="0"/>
              <w:keepLines w:val="0"/>
              <w:widowControl/>
              <w:suppressLineNumbers w:val="0"/>
              <w:jc w:val="center"/>
              <w:textAlignment w:val="bottom"/>
              <w:rPr>
                <w:rFonts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序号</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名称</w:t>
            </w:r>
          </w:p>
        </w:tc>
        <w:tc>
          <w:tcPr>
            <w:tcW w:w="4150"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品牌规格</w:t>
            </w:r>
          </w:p>
        </w:tc>
        <w:tc>
          <w:tcPr>
            <w:tcW w:w="93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单位</w:t>
            </w:r>
          </w:p>
        </w:tc>
        <w:tc>
          <w:tcPr>
            <w:tcW w:w="1434"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不含增值税单价限价（元）</w:t>
            </w:r>
          </w:p>
        </w:tc>
        <w:tc>
          <w:tcPr>
            <w:tcW w:w="1434"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综合下浮比例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959" w:type="dxa"/>
            <w:shd w:val="clear" w:color="auto" w:fill="auto"/>
            <w:noWrap/>
            <w:vAlign w:val="center"/>
          </w:tcPr>
          <w:p>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1</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一次性医用外科口罩</w:t>
            </w:r>
          </w:p>
        </w:tc>
        <w:tc>
          <w:tcPr>
            <w:tcW w:w="4150"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耳挂式，灭菌级，尺寸不小于17.5*8.9(cm)</w:t>
            </w:r>
          </w:p>
        </w:tc>
        <w:tc>
          <w:tcPr>
            <w:tcW w:w="93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个</w:t>
            </w:r>
          </w:p>
        </w:tc>
        <w:tc>
          <w:tcPr>
            <w:tcW w:w="1434"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0.50</w:t>
            </w:r>
          </w:p>
        </w:tc>
        <w:tc>
          <w:tcPr>
            <w:tcW w:w="1434" w:type="dxa"/>
            <w:vMerge w:val="restart"/>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959" w:type="dxa"/>
            <w:shd w:val="clear" w:color="auto" w:fill="auto"/>
            <w:noWrap/>
            <w:vAlign w:val="center"/>
          </w:tcPr>
          <w:p>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2</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N95口罩</w:t>
            </w:r>
          </w:p>
        </w:tc>
        <w:tc>
          <w:tcPr>
            <w:tcW w:w="4150"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灭菌级，耳挂式，符合国家标准GB19083-2010</w:t>
            </w:r>
          </w:p>
        </w:tc>
        <w:tc>
          <w:tcPr>
            <w:tcW w:w="93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个</w:t>
            </w:r>
          </w:p>
        </w:tc>
        <w:tc>
          <w:tcPr>
            <w:tcW w:w="1434"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2.00</w:t>
            </w:r>
          </w:p>
        </w:tc>
        <w:tc>
          <w:tcPr>
            <w:tcW w:w="1434" w:type="dxa"/>
            <w:vMerge w:val="continue"/>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959" w:type="dxa"/>
            <w:shd w:val="clear" w:color="auto" w:fill="auto"/>
            <w:noWrap/>
            <w:vAlign w:val="center"/>
          </w:tcPr>
          <w:p>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3</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N95口罩</w:t>
            </w:r>
          </w:p>
        </w:tc>
        <w:tc>
          <w:tcPr>
            <w:tcW w:w="4150"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灭菌级，头戴式，符合国家标准GB19083-2010</w:t>
            </w:r>
          </w:p>
        </w:tc>
        <w:tc>
          <w:tcPr>
            <w:tcW w:w="93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个</w:t>
            </w:r>
          </w:p>
        </w:tc>
        <w:tc>
          <w:tcPr>
            <w:tcW w:w="1434"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2.50</w:t>
            </w:r>
          </w:p>
        </w:tc>
        <w:tc>
          <w:tcPr>
            <w:tcW w:w="1434" w:type="dxa"/>
            <w:vMerge w:val="continue"/>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959" w:type="dxa"/>
            <w:shd w:val="clear" w:color="auto" w:fill="auto"/>
            <w:noWrap/>
            <w:vAlign w:val="center"/>
          </w:tcPr>
          <w:p>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4</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防护服</w:t>
            </w:r>
          </w:p>
        </w:tc>
        <w:tc>
          <w:tcPr>
            <w:tcW w:w="4150"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无纺布，带帽子（含鞋套），尺码：175-195</w:t>
            </w:r>
          </w:p>
        </w:tc>
        <w:tc>
          <w:tcPr>
            <w:tcW w:w="93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件</w:t>
            </w:r>
          </w:p>
        </w:tc>
        <w:tc>
          <w:tcPr>
            <w:tcW w:w="1434"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32.00</w:t>
            </w:r>
          </w:p>
        </w:tc>
        <w:tc>
          <w:tcPr>
            <w:tcW w:w="1434" w:type="dxa"/>
            <w:vMerge w:val="continue"/>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959" w:type="dxa"/>
            <w:shd w:val="clear" w:color="auto" w:fill="auto"/>
            <w:noWrap/>
            <w:vAlign w:val="center"/>
          </w:tcPr>
          <w:p>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5</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一次性手术服</w:t>
            </w:r>
          </w:p>
        </w:tc>
        <w:tc>
          <w:tcPr>
            <w:tcW w:w="4150"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无纺布</w:t>
            </w:r>
          </w:p>
        </w:tc>
        <w:tc>
          <w:tcPr>
            <w:tcW w:w="93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件</w:t>
            </w:r>
          </w:p>
        </w:tc>
        <w:tc>
          <w:tcPr>
            <w:tcW w:w="1434"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12.00</w:t>
            </w:r>
          </w:p>
        </w:tc>
        <w:tc>
          <w:tcPr>
            <w:tcW w:w="1434" w:type="dxa"/>
            <w:vMerge w:val="continue"/>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959" w:type="dxa"/>
            <w:shd w:val="clear" w:color="auto" w:fill="auto"/>
            <w:noWrap/>
            <w:vAlign w:val="center"/>
          </w:tcPr>
          <w:p>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6</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隔离衣</w:t>
            </w:r>
          </w:p>
        </w:tc>
        <w:tc>
          <w:tcPr>
            <w:tcW w:w="4150"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无纺布，双腰带</w:t>
            </w:r>
          </w:p>
        </w:tc>
        <w:tc>
          <w:tcPr>
            <w:tcW w:w="93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件</w:t>
            </w:r>
          </w:p>
        </w:tc>
        <w:tc>
          <w:tcPr>
            <w:tcW w:w="1434"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8.50</w:t>
            </w:r>
          </w:p>
        </w:tc>
        <w:tc>
          <w:tcPr>
            <w:tcW w:w="1434" w:type="dxa"/>
            <w:vMerge w:val="continue"/>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959" w:type="dxa"/>
            <w:shd w:val="clear" w:color="auto" w:fill="auto"/>
            <w:noWrap/>
            <w:vAlign w:val="center"/>
          </w:tcPr>
          <w:p>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7</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免洗手消毒液</w:t>
            </w:r>
          </w:p>
        </w:tc>
        <w:tc>
          <w:tcPr>
            <w:tcW w:w="4150"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迪亚洁，YD-1452,季铵盐，每瓶500ml</w:t>
            </w:r>
          </w:p>
        </w:tc>
        <w:tc>
          <w:tcPr>
            <w:tcW w:w="93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瓶</w:t>
            </w:r>
          </w:p>
        </w:tc>
        <w:tc>
          <w:tcPr>
            <w:tcW w:w="1434"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25.00</w:t>
            </w:r>
          </w:p>
        </w:tc>
        <w:tc>
          <w:tcPr>
            <w:tcW w:w="1434" w:type="dxa"/>
            <w:vMerge w:val="continue"/>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959" w:type="dxa"/>
            <w:shd w:val="clear" w:color="auto" w:fill="auto"/>
            <w:noWrap/>
            <w:vAlign w:val="center"/>
          </w:tcPr>
          <w:p>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8</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季铵盐消毒液</w:t>
            </w:r>
          </w:p>
        </w:tc>
        <w:tc>
          <w:tcPr>
            <w:tcW w:w="4150"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每瓶500ml,复合双链季铵盐，喷雾型</w:t>
            </w:r>
          </w:p>
        </w:tc>
        <w:tc>
          <w:tcPr>
            <w:tcW w:w="93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瓶</w:t>
            </w:r>
          </w:p>
        </w:tc>
        <w:tc>
          <w:tcPr>
            <w:tcW w:w="1434"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13.00</w:t>
            </w:r>
          </w:p>
        </w:tc>
        <w:tc>
          <w:tcPr>
            <w:tcW w:w="1434" w:type="dxa"/>
            <w:vMerge w:val="continue"/>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959" w:type="dxa"/>
            <w:shd w:val="clear" w:color="auto" w:fill="auto"/>
            <w:noWrap/>
            <w:vAlign w:val="center"/>
          </w:tcPr>
          <w:p>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9</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一次性医用手套</w:t>
            </w:r>
          </w:p>
        </w:tc>
        <w:tc>
          <w:tcPr>
            <w:tcW w:w="4150"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材质：丁腈，尺码：L码，长度为9英寸</w:t>
            </w:r>
          </w:p>
        </w:tc>
        <w:tc>
          <w:tcPr>
            <w:tcW w:w="93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双</w:t>
            </w:r>
          </w:p>
        </w:tc>
        <w:tc>
          <w:tcPr>
            <w:tcW w:w="1434"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1.00</w:t>
            </w:r>
          </w:p>
        </w:tc>
        <w:tc>
          <w:tcPr>
            <w:tcW w:w="1434" w:type="dxa"/>
            <w:vMerge w:val="continue"/>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959" w:type="dxa"/>
            <w:shd w:val="clear" w:color="auto" w:fill="auto"/>
            <w:noWrap/>
            <w:vAlign w:val="center"/>
          </w:tcPr>
          <w:p>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10</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一次性医用手套</w:t>
            </w:r>
          </w:p>
        </w:tc>
        <w:tc>
          <w:tcPr>
            <w:tcW w:w="4150"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材质：丁腈，尺码：L码，长度为12英寸</w:t>
            </w:r>
          </w:p>
        </w:tc>
        <w:tc>
          <w:tcPr>
            <w:tcW w:w="93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双</w:t>
            </w:r>
          </w:p>
        </w:tc>
        <w:tc>
          <w:tcPr>
            <w:tcW w:w="1434"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2.20</w:t>
            </w:r>
          </w:p>
        </w:tc>
        <w:tc>
          <w:tcPr>
            <w:tcW w:w="1434" w:type="dxa"/>
            <w:vMerge w:val="continue"/>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959" w:type="dxa"/>
            <w:shd w:val="clear" w:color="auto" w:fill="auto"/>
            <w:noWrap/>
            <w:vAlign w:val="center"/>
          </w:tcPr>
          <w:p>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11</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一次性医用帽子</w:t>
            </w:r>
          </w:p>
        </w:tc>
        <w:tc>
          <w:tcPr>
            <w:tcW w:w="4150"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无纺布，双筋常规型</w:t>
            </w:r>
          </w:p>
        </w:tc>
        <w:tc>
          <w:tcPr>
            <w:tcW w:w="93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个</w:t>
            </w:r>
          </w:p>
        </w:tc>
        <w:tc>
          <w:tcPr>
            <w:tcW w:w="1434"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0.50</w:t>
            </w:r>
          </w:p>
        </w:tc>
        <w:tc>
          <w:tcPr>
            <w:tcW w:w="1434" w:type="dxa"/>
            <w:vMerge w:val="continue"/>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959" w:type="dxa"/>
            <w:shd w:val="clear" w:color="auto" w:fill="auto"/>
            <w:noWrap/>
            <w:vAlign w:val="center"/>
          </w:tcPr>
          <w:p>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12</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君利达消毒片</w:t>
            </w:r>
          </w:p>
        </w:tc>
        <w:tc>
          <w:tcPr>
            <w:tcW w:w="4150"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每瓶100片，有效氯含量45%-50%</w:t>
            </w:r>
          </w:p>
        </w:tc>
        <w:tc>
          <w:tcPr>
            <w:tcW w:w="93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瓶</w:t>
            </w:r>
          </w:p>
        </w:tc>
        <w:tc>
          <w:tcPr>
            <w:tcW w:w="1434"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6.00</w:t>
            </w:r>
          </w:p>
        </w:tc>
        <w:tc>
          <w:tcPr>
            <w:tcW w:w="1434" w:type="dxa"/>
            <w:vMerge w:val="continue"/>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shd w:val="clear" w:color="auto" w:fill="auto"/>
            <w:noWrap/>
            <w:vAlign w:val="center"/>
          </w:tcPr>
          <w:p>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13</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医用废物包装袋</w:t>
            </w:r>
          </w:p>
        </w:tc>
        <w:tc>
          <w:tcPr>
            <w:tcW w:w="4150"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黄色，尺寸：90cm×100cm</w:t>
            </w:r>
          </w:p>
        </w:tc>
        <w:tc>
          <w:tcPr>
            <w:tcW w:w="93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个</w:t>
            </w:r>
          </w:p>
        </w:tc>
        <w:tc>
          <w:tcPr>
            <w:tcW w:w="1434"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0.90</w:t>
            </w:r>
          </w:p>
        </w:tc>
        <w:tc>
          <w:tcPr>
            <w:tcW w:w="1434" w:type="dxa"/>
            <w:vMerge w:val="continue"/>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shd w:val="clear" w:color="auto" w:fill="auto"/>
            <w:noWrap/>
            <w:vAlign w:val="center"/>
          </w:tcPr>
          <w:p>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14</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医用废物包装袋</w:t>
            </w:r>
          </w:p>
        </w:tc>
        <w:tc>
          <w:tcPr>
            <w:tcW w:w="4150"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黄色，尺寸：120cm×140cm</w:t>
            </w:r>
          </w:p>
        </w:tc>
        <w:tc>
          <w:tcPr>
            <w:tcW w:w="93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个</w:t>
            </w:r>
          </w:p>
        </w:tc>
        <w:tc>
          <w:tcPr>
            <w:tcW w:w="1434"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1.30</w:t>
            </w:r>
          </w:p>
        </w:tc>
        <w:tc>
          <w:tcPr>
            <w:tcW w:w="1434" w:type="dxa"/>
            <w:vMerge w:val="continue"/>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959" w:type="dxa"/>
            <w:shd w:val="clear" w:color="auto" w:fill="auto"/>
            <w:noWrap/>
            <w:vAlign w:val="center"/>
          </w:tcPr>
          <w:p>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15</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医用隔离面罩</w:t>
            </w:r>
          </w:p>
        </w:tc>
        <w:tc>
          <w:tcPr>
            <w:tcW w:w="4150"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中号，符合执行标准GB14866-2006</w:t>
            </w:r>
          </w:p>
        </w:tc>
        <w:tc>
          <w:tcPr>
            <w:tcW w:w="93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个</w:t>
            </w:r>
          </w:p>
        </w:tc>
        <w:tc>
          <w:tcPr>
            <w:tcW w:w="1434"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3.00</w:t>
            </w:r>
          </w:p>
        </w:tc>
        <w:tc>
          <w:tcPr>
            <w:tcW w:w="1434" w:type="dxa"/>
            <w:vMerge w:val="continue"/>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shd w:val="clear" w:color="auto" w:fill="auto"/>
            <w:noWrap/>
            <w:vAlign w:val="center"/>
          </w:tcPr>
          <w:p>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16</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医用护目镜</w:t>
            </w:r>
          </w:p>
        </w:tc>
        <w:tc>
          <w:tcPr>
            <w:tcW w:w="4150"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有效阻隔体液及飞沫飞溅，防起雾</w:t>
            </w:r>
          </w:p>
        </w:tc>
        <w:tc>
          <w:tcPr>
            <w:tcW w:w="93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副</w:t>
            </w:r>
          </w:p>
        </w:tc>
        <w:tc>
          <w:tcPr>
            <w:tcW w:w="1434"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7.00</w:t>
            </w:r>
          </w:p>
        </w:tc>
        <w:tc>
          <w:tcPr>
            <w:tcW w:w="1434" w:type="dxa"/>
            <w:vMerge w:val="continue"/>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959" w:type="dxa"/>
            <w:shd w:val="clear" w:color="auto" w:fill="auto"/>
            <w:noWrap/>
            <w:vAlign w:val="center"/>
          </w:tcPr>
          <w:p>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17</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医用隔离眼罩</w:t>
            </w:r>
          </w:p>
        </w:tc>
        <w:tc>
          <w:tcPr>
            <w:tcW w:w="4150"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有效阻隔体液及飞沫飞溅，防起雾，透光性好，可调节头带，可与近视眼镜一起佩戴</w:t>
            </w:r>
          </w:p>
        </w:tc>
        <w:tc>
          <w:tcPr>
            <w:tcW w:w="93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副</w:t>
            </w:r>
          </w:p>
        </w:tc>
        <w:tc>
          <w:tcPr>
            <w:tcW w:w="1434"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14.00</w:t>
            </w:r>
          </w:p>
        </w:tc>
        <w:tc>
          <w:tcPr>
            <w:tcW w:w="1434" w:type="dxa"/>
            <w:vMerge w:val="continue"/>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959" w:type="dxa"/>
            <w:shd w:val="clear" w:color="auto" w:fill="auto"/>
            <w:noWrap/>
            <w:vAlign w:val="center"/>
          </w:tcPr>
          <w:p>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18</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鞋套</w:t>
            </w:r>
          </w:p>
        </w:tc>
        <w:tc>
          <w:tcPr>
            <w:tcW w:w="4150" w:type="dxa"/>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加厚型，材质：聚乙烯</w:t>
            </w:r>
          </w:p>
        </w:tc>
        <w:tc>
          <w:tcPr>
            <w:tcW w:w="93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双</w:t>
            </w:r>
          </w:p>
        </w:tc>
        <w:tc>
          <w:tcPr>
            <w:tcW w:w="1434"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0.40</w:t>
            </w:r>
          </w:p>
        </w:tc>
        <w:tc>
          <w:tcPr>
            <w:tcW w:w="1434" w:type="dxa"/>
            <w:vMerge w:val="continue"/>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shd w:val="clear" w:color="auto" w:fill="auto"/>
            <w:noWrap/>
            <w:vAlign w:val="center"/>
          </w:tcPr>
          <w:p>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19</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一次性医用鞋套</w:t>
            </w:r>
          </w:p>
        </w:tc>
        <w:tc>
          <w:tcPr>
            <w:tcW w:w="4150" w:type="dxa"/>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主要材质：聚乙烯</w:t>
            </w:r>
          </w:p>
        </w:tc>
        <w:tc>
          <w:tcPr>
            <w:tcW w:w="93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双</w:t>
            </w:r>
          </w:p>
        </w:tc>
        <w:tc>
          <w:tcPr>
            <w:tcW w:w="1434"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0.50</w:t>
            </w:r>
          </w:p>
        </w:tc>
        <w:tc>
          <w:tcPr>
            <w:tcW w:w="1434" w:type="dxa"/>
            <w:vMerge w:val="continue"/>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959" w:type="dxa"/>
            <w:shd w:val="clear" w:color="auto" w:fill="auto"/>
            <w:noWrap/>
            <w:vAlign w:val="center"/>
          </w:tcPr>
          <w:p>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20</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额温枪</w:t>
            </w:r>
          </w:p>
        </w:tc>
        <w:tc>
          <w:tcPr>
            <w:tcW w:w="4150"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可更换碱性电池，有显示屏，测速为1秒，测试距离为3cm-5cm</w:t>
            </w:r>
          </w:p>
        </w:tc>
        <w:tc>
          <w:tcPr>
            <w:tcW w:w="93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个</w:t>
            </w:r>
          </w:p>
        </w:tc>
        <w:tc>
          <w:tcPr>
            <w:tcW w:w="1434"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60.00</w:t>
            </w:r>
          </w:p>
        </w:tc>
        <w:tc>
          <w:tcPr>
            <w:tcW w:w="1434" w:type="dxa"/>
            <w:vMerge w:val="continue"/>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959" w:type="dxa"/>
            <w:shd w:val="clear" w:color="auto" w:fill="auto"/>
            <w:noWrap/>
            <w:vAlign w:val="center"/>
          </w:tcPr>
          <w:p>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21</w:t>
            </w:r>
          </w:p>
        </w:tc>
        <w:tc>
          <w:tcPr>
            <w:tcW w:w="1603" w:type="dxa"/>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84消毒液</w:t>
            </w:r>
          </w:p>
        </w:tc>
        <w:tc>
          <w:tcPr>
            <w:tcW w:w="4150"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每桶5KG，有效成分为次氯酸钠，有效氯含量为4%-7%</w:t>
            </w:r>
          </w:p>
        </w:tc>
        <w:tc>
          <w:tcPr>
            <w:tcW w:w="93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桶</w:t>
            </w:r>
          </w:p>
        </w:tc>
        <w:tc>
          <w:tcPr>
            <w:tcW w:w="1434"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30.00</w:t>
            </w:r>
          </w:p>
        </w:tc>
        <w:tc>
          <w:tcPr>
            <w:tcW w:w="1434" w:type="dxa"/>
            <w:vMerge w:val="continue"/>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959" w:type="dxa"/>
            <w:shd w:val="clear" w:color="auto" w:fill="auto"/>
            <w:noWrap/>
            <w:vAlign w:val="center"/>
          </w:tcPr>
          <w:p>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22</w:t>
            </w:r>
          </w:p>
        </w:tc>
        <w:tc>
          <w:tcPr>
            <w:tcW w:w="1603" w:type="dxa"/>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酒精</w:t>
            </w:r>
          </w:p>
        </w:tc>
        <w:tc>
          <w:tcPr>
            <w:tcW w:w="4150" w:type="dxa"/>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每瓶500ml,乙醇含量70%-80%（v/v）</w:t>
            </w:r>
          </w:p>
        </w:tc>
        <w:tc>
          <w:tcPr>
            <w:tcW w:w="93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瓶</w:t>
            </w:r>
          </w:p>
        </w:tc>
        <w:tc>
          <w:tcPr>
            <w:tcW w:w="1434"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6.00</w:t>
            </w:r>
          </w:p>
        </w:tc>
        <w:tc>
          <w:tcPr>
            <w:tcW w:w="1434" w:type="dxa"/>
            <w:vMerge w:val="continue"/>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959" w:type="dxa"/>
            <w:shd w:val="clear" w:color="auto" w:fill="auto"/>
            <w:noWrap/>
            <w:vAlign w:val="center"/>
          </w:tcPr>
          <w:p>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23</w:t>
            </w:r>
          </w:p>
        </w:tc>
        <w:tc>
          <w:tcPr>
            <w:tcW w:w="1603" w:type="dxa"/>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低温消毒液</w:t>
            </w:r>
          </w:p>
        </w:tc>
        <w:tc>
          <w:tcPr>
            <w:tcW w:w="4150" w:type="dxa"/>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青岛康威龙，（A+B级）6kg液体+24g粉剂</w:t>
            </w:r>
          </w:p>
        </w:tc>
        <w:tc>
          <w:tcPr>
            <w:tcW w:w="93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套</w:t>
            </w:r>
          </w:p>
        </w:tc>
        <w:tc>
          <w:tcPr>
            <w:tcW w:w="1434"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60.00</w:t>
            </w:r>
          </w:p>
        </w:tc>
        <w:tc>
          <w:tcPr>
            <w:tcW w:w="1434" w:type="dxa"/>
            <w:vMerge w:val="continue"/>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959" w:type="dxa"/>
            <w:shd w:val="clear" w:color="auto" w:fill="auto"/>
            <w:noWrap/>
            <w:vAlign w:val="center"/>
          </w:tcPr>
          <w:p>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24</w:t>
            </w:r>
          </w:p>
        </w:tc>
        <w:tc>
          <w:tcPr>
            <w:tcW w:w="1603" w:type="dxa"/>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测氯试纸</w:t>
            </w:r>
          </w:p>
        </w:tc>
        <w:tc>
          <w:tcPr>
            <w:tcW w:w="4150"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指示范围：有效氯50mg/L-2000mg/L，每盒1卷，1卷长度约为4米左右，含比色卡</w:t>
            </w:r>
          </w:p>
        </w:tc>
        <w:tc>
          <w:tcPr>
            <w:tcW w:w="933"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盒</w:t>
            </w:r>
          </w:p>
        </w:tc>
        <w:tc>
          <w:tcPr>
            <w:tcW w:w="1434" w:type="dxa"/>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12.00</w:t>
            </w:r>
          </w:p>
        </w:tc>
        <w:tc>
          <w:tcPr>
            <w:tcW w:w="1434" w:type="dxa"/>
            <w:vMerge w:val="continue"/>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p>
        </w:tc>
      </w:tr>
    </w:tbl>
    <w:p>
      <w:pPr>
        <w:pStyle w:val="7"/>
        <w:keepNext w:val="0"/>
        <w:keepLines w:val="0"/>
        <w:pageBreakBefore w:val="0"/>
        <w:widowControl w:val="0"/>
        <w:kinsoku/>
        <w:wordWrap/>
        <w:overflowPunct/>
        <w:topLinePunct w:val="0"/>
        <w:autoSpaceDE/>
        <w:autoSpaceDN/>
        <w:bidi w:val="0"/>
        <w:adjustRightInd/>
        <w:snapToGrid/>
        <w:spacing w:after="0" w:line="560" w:lineRule="exact"/>
        <w:jc w:val="left"/>
        <w:textAlignment w:val="auto"/>
        <w:outlineLvl w:val="9"/>
        <w:rPr>
          <w:rFonts w:hint="eastAsia" w:eastAsia="方正仿宋_GBK" w:cs="Times New Roman"/>
          <w:b/>
          <w:bCs w:val="0"/>
          <w:color w:val="000000" w:themeColor="text1"/>
          <w:sz w:val="36"/>
          <w:szCs w:val="36"/>
          <w:lang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560" w:lineRule="exact"/>
        <w:jc w:val="left"/>
        <w:textAlignment w:val="auto"/>
        <w:outlineLvl w:val="9"/>
        <w:rPr>
          <w:rFonts w:hint="eastAsia" w:eastAsia="方正仿宋_GBK" w:cs="Times New Roman"/>
          <w:b/>
          <w:bCs w:val="0"/>
          <w:color w:val="000000" w:themeColor="text1"/>
          <w:sz w:val="36"/>
          <w:szCs w:val="36"/>
          <w:lang w:eastAsia="zh-CN"/>
          <w14:textFill>
            <w14:solidFill>
              <w14:schemeClr w14:val="tx1"/>
            </w14:solidFill>
          </w14:textFill>
        </w:rPr>
        <w:sectPr>
          <w:pgSz w:w="11906" w:h="16838"/>
          <w:pgMar w:top="156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3080" w:firstLineChars="1100"/>
        <w:textAlignment w:val="auto"/>
        <w:outlineLvl w:val="9"/>
        <w:rPr>
          <w:rFonts w:hint="default" w:ascii="Times New Roman" w:hAnsi="Times New Roman" w:eastAsia="方正小标宋_GBK" w:cs="Times New Roman"/>
          <w:bCs/>
          <w:color w:val="000000" w:themeColor="text1"/>
          <w:sz w:val="28"/>
          <w:szCs w:val="28"/>
          <w14:textFill>
            <w14:solidFill>
              <w14:schemeClr w14:val="tx1"/>
            </w14:solidFill>
          </w14:textFill>
        </w:rPr>
      </w:pPr>
      <w:r>
        <w:rPr>
          <w:rFonts w:hint="default" w:ascii="Times New Roman" w:hAnsi="Times New Roman" w:eastAsia="方正小标宋_GBK" w:cs="Times New Roman"/>
          <w:bCs/>
          <w:color w:val="000000" w:themeColor="text1"/>
          <w:sz w:val="28"/>
          <w:szCs w:val="28"/>
          <w14:textFill>
            <w14:solidFill>
              <w14:schemeClr w14:val="tx1"/>
            </w14:solidFill>
          </w14:textFill>
        </w:rPr>
        <w:t>授权</w:t>
      </w:r>
      <w:r>
        <w:rPr>
          <w:rFonts w:hint="eastAsia" w:eastAsia="方正小标宋_GBK" w:cs="Times New Roman"/>
          <w:bCs/>
          <w:color w:val="000000" w:themeColor="text1"/>
          <w:sz w:val="28"/>
          <w:szCs w:val="28"/>
          <w:lang w:val="en-US" w:eastAsia="zh-CN"/>
          <w14:textFill>
            <w14:solidFill>
              <w14:schemeClr w14:val="tx1"/>
            </w14:solidFill>
          </w14:textFill>
        </w:rPr>
        <w:t>委托</w:t>
      </w:r>
      <w:r>
        <w:rPr>
          <w:rFonts w:hint="default" w:ascii="Times New Roman" w:hAnsi="Times New Roman" w:eastAsia="方正小标宋_GBK" w:cs="Times New Roman"/>
          <w:bCs/>
          <w:color w:val="000000" w:themeColor="text1"/>
          <w:sz w:val="28"/>
          <w:szCs w:val="28"/>
          <w14:textFill>
            <w14:solidFill>
              <w14:schemeClr w14:val="tx1"/>
            </w14:solidFill>
          </w14:textFill>
        </w:rPr>
        <w:t>书</w:t>
      </w:r>
    </w:p>
    <w:p>
      <w:pPr>
        <w:keepNext w:val="0"/>
        <w:keepLines w:val="0"/>
        <w:pageBreakBefore w:val="0"/>
        <w:kinsoku/>
        <w:wordWrap/>
        <w:overflowPunct/>
        <w:topLinePunct w:val="0"/>
        <w:bidi w:val="0"/>
        <w:spacing w:line="560" w:lineRule="exact"/>
        <w:ind w:right="-694"/>
        <w:rPr>
          <w:rFonts w:hint="default" w:ascii="Times New Roman" w:hAnsi="Times New Roman" w:eastAsia="方正仿宋_GBK"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ind w:firstLine="700" w:firstLineChars="25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本授权书申明______________(</w:t>
      </w:r>
      <w:r>
        <w:rPr>
          <w:rFonts w:hint="eastAsia" w:eastAsia="方正仿宋_GBK" w:cs="Times New Roman"/>
          <w:color w:val="000000" w:themeColor="text1"/>
          <w:sz w:val="28"/>
          <w:szCs w:val="28"/>
          <w:lang w:val="en-US" w:eastAsia="zh-CN"/>
          <w14:textFill>
            <w14:solidFill>
              <w14:schemeClr w14:val="tx1"/>
            </w14:solidFill>
          </w14:textFill>
        </w:rPr>
        <w:t>比选响应人</w:t>
      </w:r>
      <w:r>
        <w:rPr>
          <w:rFonts w:hint="default" w:ascii="Times New Roman" w:hAnsi="Times New Roman" w:eastAsia="方正仿宋_GBK" w:cs="Times New Roman"/>
          <w:color w:val="000000" w:themeColor="text1"/>
          <w:sz w:val="28"/>
          <w:szCs w:val="28"/>
          <w14:textFill>
            <w14:solidFill>
              <w14:schemeClr w14:val="tx1"/>
            </w14:solidFill>
          </w14:textFill>
        </w:rPr>
        <w:t>名称)</w:t>
      </w:r>
      <w:r>
        <w:rPr>
          <w:rFonts w:hint="eastAsia" w:eastAsia="方正仿宋_GBK" w:cs="Times New Roman"/>
          <w:color w:val="000000" w:themeColor="text1"/>
          <w:sz w:val="28"/>
          <w:szCs w:val="28"/>
          <w:lang w:val="en-US" w:eastAsia="zh-CN"/>
          <w14:textFill>
            <w14:solidFill>
              <w14:schemeClr w14:val="tx1"/>
            </w14:solidFill>
          </w14:textFill>
        </w:rPr>
        <w:t>在此合法授权我单位</w:t>
      </w:r>
      <w:r>
        <w:rPr>
          <w:rFonts w:hint="default" w:ascii="Times New Roman" w:hAnsi="Times New Roman" w:eastAsia="方正仿宋_GBK" w:cs="Times New Roman"/>
          <w:color w:val="000000" w:themeColor="text1"/>
          <w:sz w:val="28"/>
          <w:szCs w:val="28"/>
          <w14:textFill>
            <w14:solidFill>
              <w14:schemeClr w14:val="tx1"/>
            </w14:solidFill>
          </w14:textFill>
        </w:rPr>
        <w:t>_________(</w:t>
      </w:r>
      <w:r>
        <w:rPr>
          <w:rFonts w:hint="eastAsia" w:eastAsia="方正仿宋_GBK" w:cs="Times New Roman"/>
          <w:color w:val="000000" w:themeColor="text1"/>
          <w:sz w:val="28"/>
          <w:szCs w:val="28"/>
          <w:lang w:val="en-US" w:eastAsia="zh-CN"/>
          <w14:textFill>
            <w14:solidFill>
              <w14:schemeClr w14:val="tx1"/>
            </w14:solidFill>
          </w14:textFill>
        </w:rPr>
        <w:t>姓名</w:t>
      </w:r>
      <w:r>
        <w:rPr>
          <w:rFonts w:hint="default" w:ascii="Times New Roman" w:hAnsi="Times New Roman" w:eastAsia="方正仿宋_GBK" w:cs="Times New Roman"/>
          <w:color w:val="000000" w:themeColor="text1"/>
          <w:sz w:val="28"/>
          <w:szCs w:val="28"/>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为本所合法代理人，</w:t>
      </w:r>
      <w:r>
        <w:rPr>
          <w:rFonts w:hint="default" w:eastAsia="方正仿宋_GBK" w:cs="Times New Roman"/>
          <w:color w:val="000000" w:themeColor="text1"/>
          <w:sz w:val="28"/>
          <w:szCs w:val="28"/>
          <w:lang w:val="en-US" w:eastAsia="zh-CN"/>
          <w14:textFill>
            <w14:solidFill>
              <w14:schemeClr w14:val="tx1"/>
            </w14:solidFill>
          </w14:textFill>
        </w:rPr>
        <w:t>在</w:t>
      </w:r>
      <w:r>
        <w:rPr>
          <w:rFonts w:hint="eastAsia" w:eastAsia="方正仿宋_GBK" w:cs="Times New Roman"/>
          <w:color w:val="000000" w:themeColor="text1"/>
          <w:sz w:val="28"/>
          <w:szCs w:val="28"/>
          <w:lang w:val="en-US" w:eastAsia="zh-CN"/>
          <w14:textFill>
            <w14:solidFill>
              <w14:schemeClr w14:val="tx1"/>
            </w14:solidFill>
          </w14:textFill>
        </w:rPr>
        <w:t>重庆空港航空地面服务有限公司防疫物资采购项目</w:t>
      </w:r>
      <w:r>
        <w:rPr>
          <w:rFonts w:hint="default" w:eastAsia="方正仿宋_GBK" w:cs="Times New Roman"/>
          <w:color w:val="000000" w:themeColor="text1"/>
          <w:sz w:val="28"/>
          <w:szCs w:val="28"/>
          <w:lang w:val="en-US" w:eastAsia="zh-CN"/>
          <w14:textFill>
            <w14:solidFill>
              <w14:schemeClr w14:val="tx1"/>
            </w14:solidFill>
          </w14:textFill>
        </w:rPr>
        <w:t>的比选活动中，以我</w:t>
      </w:r>
      <w:r>
        <w:rPr>
          <w:rFonts w:hint="eastAsia" w:eastAsia="方正仿宋_GBK" w:cs="Times New Roman"/>
          <w:color w:val="000000" w:themeColor="text1"/>
          <w:sz w:val="28"/>
          <w:szCs w:val="28"/>
          <w:lang w:val="en-US" w:eastAsia="zh-CN"/>
          <w14:textFill>
            <w14:solidFill>
              <w14:schemeClr w14:val="tx1"/>
            </w14:solidFill>
          </w14:textFill>
        </w:rPr>
        <w:t>所</w:t>
      </w:r>
      <w:r>
        <w:rPr>
          <w:rFonts w:hint="default" w:eastAsia="方正仿宋_GBK" w:cs="Times New Roman"/>
          <w:color w:val="000000" w:themeColor="text1"/>
          <w:sz w:val="28"/>
          <w:szCs w:val="28"/>
          <w:lang w:val="en-US" w:eastAsia="zh-CN"/>
          <w14:textFill>
            <w14:solidFill>
              <w14:schemeClr w14:val="tx1"/>
            </w14:solidFill>
          </w14:textFill>
        </w:rPr>
        <w:t>的名义签署比选响应文件，与</w:t>
      </w:r>
      <w:r>
        <w:rPr>
          <w:rFonts w:hint="eastAsia" w:eastAsia="方正仿宋_GBK" w:cs="Times New Roman"/>
          <w:color w:val="000000" w:themeColor="text1"/>
          <w:sz w:val="28"/>
          <w:szCs w:val="28"/>
          <w:lang w:val="en-US" w:eastAsia="zh-CN"/>
          <w14:textFill>
            <w14:solidFill>
              <w14:schemeClr w14:val="tx1"/>
            </w14:solidFill>
          </w14:textFill>
        </w:rPr>
        <w:t>比选人</w:t>
      </w:r>
      <w:r>
        <w:rPr>
          <w:rFonts w:hint="default" w:eastAsia="方正仿宋_GBK" w:cs="Times New Roman"/>
          <w:color w:val="000000" w:themeColor="text1"/>
          <w:sz w:val="28"/>
          <w:szCs w:val="28"/>
          <w:lang w:val="en-US" w:eastAsia="zh-CN"/>
          <w14:textFill>
            <w14:solidFill>
              <w14:schemeClr w14:val="tx1"/>
            </w14:solidFill>
          </w14:textFill>
        </w:rPr>
        <w:t>协商、</w:t>
      </w:r>
      <w:r>
        <w:rPr>
          <w:rFonts w:hint="default" w:ascii="Times New Roman" w:hAnsi="Times New Roman" w:eastAsia="方正仿宋_GBK" w:cs="Times New Roman"/>
          <w:color w:val="000000" w:themeColor="text1"/>
          <w:sz w:val="28"/>
          <w:szCs w:val="28"/>
          <w14:textFill>
            <w14:solidFill>
              <w14:schemeClr w14:val="tx1"/>
            </w14:solidFill>
          </w14:textFill>
        </w:rPr>
        <w:t>签定合同协议书以及执行一切与此有关的事务。</w:t>
      </w: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被授权人</w:t>
      </w:r>
      <w:r>
        <w:rPr>
          <w:rFonts w:hint="eastAsia"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代理人</w:t>
      </w:r>
      <w:r>
        <w:rPr>
          <w:rFonts w:hint="eastAsia"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：____________（签章）</w:t>
      </w:r>
    </w:p>
    <w:p>
      <w:pPr>
        <w:pStyle w:val="2"/>
        <w:keepNext w:val="0"/>
        <w:keepLines w:val="0"/>
        <w:pageBreakBefore w:val="0"/>
        <w:kinsoku/>
        <w:wordWrap/>
        <w:overflowPunct/>
        <w:topLinePunct w:val="0"/>
        <w:bidi w:val="0"/>
        <w:spacing w:line="560" w:lineRule="exact"/>
        <w:rPr>
          <w:rFonts w:hint="default"/>
        </w:rPr>
      </w:pP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比选响应</w:t>
      </w:r>
      <w:r>
        <w:rPr>
          <w:rFonts w:hint="eastAsia" w:eastAsia="方正仿宋_GBK" w:cs="Times New Roman"/>
          <w:color w:val="000000" w:themeColor="text1"/>
          <w:sz w:val="28"/>
          <w:szCs w:val="28"/>
          <w:lang w:val="en-US" w:eastAsia="zh-CN"/>
          <w14:textFill>
            <w14:solidFill>
              <w14:schemeClr w14:val="tx1"/>
            </w14:solidFill>
          </w14:textFill>
        </w:rPr>
        <w:t>人</w:t>
      </w:r>
      <w:r>
        <w:rPr>
          <w:rFonts w:hint="default" w:ascii="Times New Roman" w:hAnsi="Times New Roman" w:eastAsia="方正仿宋_GBK" w:cs="Times New Roman"/>
          <w:color w:val="000000" w:themeColor="text1"/>
          <w:sz w:val="28"/>
          <w:szCs w:val="28"/>
          <w14:textFill>
            <w14:solidFill>
              <w14:schemeClr w14:val="tx1"/>
            </w14:solidFill>
          </w14:textFill>
        </w:rPr>
        <w:t>：____________（盖章）</w:t>
      </w: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日期：</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年</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月</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日</w:t>
      </w: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附</w:t>
      </w:r>
      <w:r>
        <w:rPr>
          <w:rFonts w:hint="eastAsia" w:eastAsia="方正仿宋_GBK" w:cs="Times New Roman"/>
          <w:b/>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bCs/>
          <w:color w:val="000000" w:themeColor="text1"/>
          <w:sz w:val="28"/>
          <w:szCs w:val="28"/>
          <w14:textFill>
            <w14:solidFill>
              <w14:schemeClr w14:val="tx1"/>
            </w14:solidFill>
          </w14:textFill>
        </w:rPr>
        <w:t>被授权人代理人身份证</w:t>
      </w:r>
      <w:r>
        <w:rPr>
          <w:rFonts w:hint="eastAsia" w:eastAsia="方正仿宋_GBK" w:cs="Times New Roman"/>
          <w:b/>
          <w:bCs/>
          <w:color w:val="000000" w:themeColor="text1"/>
          <w:sz w:val="28"/>
          <w:szCs w:val="28"/>
          <w:lang w:val="en-US" w:eastAsia="zh-CN"/>
          <w14:textFill>
            <w14:solidFill>
              <w14:schemeClr w14:val="tx1"/>
            </w14:solidFill>
          </w14:textFill>
        </w:rPr>
        <w:t>复印件</w:t>
      </w: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pStyle w:val="2"/>
        <w:keepNext w:val="0"/>
        <w:keepLines w:val="0"/>
        <w:pageBreakBefore w:val="0"/>
        <w:kinsoku/>
        <w:wordWrap/>
        <w:overflowPunct/>
        <w:topLinePunct w:val="0"/>
        <w:bidi w:val="0"/>
        <w:spacing w:line="560" w:lineRule="exact"/>
        <w:jc w:val="both"/>
        <w:rPr>
          <w:rFonts w:hint="eastAsia"/>
          <w:lang w:val="en-US" w:eastAsia="zh-CN"/>
        </w:rPr>
      </w:pPr>
    </w:p>
    <w:p>
      <w:pPr>
        <w:keepNext w:val="0"/>
        <w:keepLines w:val="0"/>
        <w:pageBreakBefore w:val="0"/>
        <w:numPr>
          <w:ilvl w:val="0"/>
          <w:numId w:val="1"/>
        </w:numPr>
        <w:kinsoku/>
        <w:wordWrap/>
        <w:overflowPunct/>
        <w:topLinePunct w:val="0"/>
        <w:bidi w:val="0"/>
        <w:spacing w:line="560" w:lineRule="exact"/>
        <w:ind w:left="0" w:leftChars="0" w:firstLine="0" w:firstLineChars="0"/>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eastAsia" w:eastAsia="仿宋_GB2312" w:cs="Times New Roman"/>
          <w:b/>
          <w:bCs/>
          <w:color w:val="000000" w:themeColor="text1"/>
          <w:sz w:val="32"/>
          <w:szCs w:val="32"/>
          <w:lang w:val="en-US" w:eastAsia="zh-CN"/>
          <w14:textFill>
            <w14:solidFill>
              <w14:schemeClr w14:val="tx1"/>
            </w14:solidFill>
          </w14:textFill>
        </w:rPr>
        <w:t>技术部分</w:t>
      </w:r>
    </w:p>
    <w:p>
      <w:pPr>
        <w:keepNext w:val="0"/>
        <w:keepLines w:val="0"/>
        <w:pageBreakBefore w:val="0"/>
        <w:kinsoku/>
        <w:wordWrap/>
        <w:overflowPunct/>
        <w:topLinePunct w:val="0"/>
        <w:bidi w:val="0"/>
        <w:spacing w:line="560" w:lineRule="exact"/>
        <w:ind w:firstLine="560" w:firstLineChars="200"/>
        <w:outlineLvl w:val="9"/>
        <w:rPr>
          <w:rFonts w:hint="eastAsia" w:eastAsia="方正仿宋_GBK"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t>主要</w:t>
      </w:r>
      <w:r>
        <w:rPr>
          <w:rFonts w:hint="eastAsia" w:eastAsia="方正仿宋_GBK" w:cs="Times New Roman"/>
          <w:color w:val="000000" w:themeColor="text1"/>
          <w:sz w:val="28"/>
          <w:szCs w:val="28"/>
          <w:highlight w:val="none"/>
          <w:lang w:val="en-US" w:eastAsia="zh-CN"/>
          <w14:textFill>
            <w14:solidFill>
              <w14:schemeClr w14:val="tx1"/>
            </w14:solidFill>
          </w14:textFill>
        </w:rPr>
        <w:t>根据技术评分内容进行准备。</w:t>
      </w:r>
    </w:p>
    <w:p>
      <w:pPr>
        <w:pStyle w:val="2"/>
        <w:jc w:val="both"/>
        <w:rPr>
          <w:rFonts w:hint="default"/>
          <w:lang w:val="en-US"/>
        </w:rPr>
      </w:pPr>
      <w:r>
        <w:rPr>
          <w:rFonts w:hint="eastAsia" w:eastAsia="方正仿宋_GBK" w:cs="Times New Roman"/>
          <w:color w:val="000000" w:themeColor="text1"/>
          <w:sz w:val="28"/>
          <w:szCs w:val="28"/>
          <w:highlight w:val="none"/>
          <w:lang w:val="en-US" w:eastAsia="zh-CN"/>
          <w14:textFill>
            <w14:solidFill>
              <w14:schemeClr w14:val="tx1"/>
            </w14:solidFill>
          </w14:textFill>
        </w:rPr>
        <w:t xml:space="preserve">    请携带采购需求表中的24种样品，数量为1。</w:t>
      </w:r>
    </w:p>
    <w:p>
      <w:pPr>
        <w:keepNext w:val="0"/>
        <w:keepLines w:val="0"/>
        <w:pageBreakBefore w:val="0"/>
        <w:numPr>
          <w:ilvl w:val="0"/>
          <w:numId w:val="1"/>
        </w:numPr>
        <w:kinsoku/>
        <w:wordWrap/>
        <w:overflowPunct/>
        <w:topLinePunct w:val="0"/>
        <w:bidi w:val="0"/>
        <w:spacing w:line="560" w:lineRule="exact"/>
        <w:ind w:left="0" w:leftChars="0" w:firstLine="0" w:firstLineChars="0"/>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商务部分</w:t>
      </w: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t>主要</w:t>
      </w:r>
      <w:r>
        <w:rPr>
          <w:rFonts w:hint="eastAsia" w:eastAsia="方正仿宋_GBK" w:cs="Times New Roman"/>
          <w:color w:val="000000" w:themeColor="text1"/>
          <w:sz w:val="28"/>
          <w:szCs w:val="28"/>
          <w:highlight w:val="none"/>
          <w:lang w:val="en-US" w:eastAsia="zh-CN"/>
          <w14:textFill>
            <w14:solidFill>
              <w14:schemeClr w14:val="tx1"/>
            </w14:solidFill>
          </w14:textFill>
        </w:rPr>
        <w:t>根据商务评分内容进行准备。</w:t>
      </w: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outlineLvl w:val="9"/>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p>
    <w:sectPr>
      <w:pgSz w:w="11906" w:h="16838"/>
      <w:pgMar w:top="156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31</w:t>
                    </w:r>
                    <w:r>
                      <w:rPr>
                        <w:rFonts w:hint="eastAsia"/>
                        <w:lang w:eastAsia="zh-CN"/>
                      </w:rPr>
                      <w:fldChar w:fldCharType="end"/>
                    </w:r>
                    <w:r>
                      <w:rPr>
                        <w:rFonts w:hint="eastAsia"/>
                        <w:lang w:eastAsia="zh-CN"/>
                      </w:rPr>
                      <w:t xml:space="preserve"> 页</w:t>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eastAsia" w:eastAsia="宋体"/>
        <w:lang w:val="en-US" w:eastAsia="zh-CN"/>
      </w:rPr>
    </w:pPr>
    <w:r>
      <w:rPr>
        <w:rFonts w:hint="eastAsia"/>
        <w:u w:val="none"/>
        <w:lang w:val="en-US" w:eastAsia="zh-CN"/>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A38356"/>
    <w:multiLevelType w:val="singleLevel"/>
    <w:tmpl w:val="1BA383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7F"/>
    <w:rsid w:val="00005333"/>
    <w:rsid w:val="00006788"/>
    <w:rsid w:val="00017CC8"/>
    <w:rsid w:val="0002289E"/>
    <w:rsid w:val="00023008"/>
    <w:rsid w:val="00025AEC"/>
    <w:rsid w:val="000265C7"/>
    <w:rsid w:val="00031BB8"/>
    <w:rsid w:val="00032715"/>
    <w:rsid w:val="0003430D"/>
    <w:rsid w:val="00035345"/>
    <w:rsid w:val="000371A2"/>
    <w:rsid w:val="00044BB6"/>
    <w:rsid w:val="00050D62"/>
    <w:rsid w:val="0005249A"/>
    <w:rsid w:val="0005588C"/>
    <w:rsid w:val="00056869"/>
    <w:rsid w:val="000611DA"/>
    <w:rsid w:val="000631F6"/>
    <w:rsid w:val="00063CCA"/>
    <w:rsid w:val="00072DF9"/>
    <w:rsid w:val="00073A28"/>
    <w:rsid w:val="000740F0"/>
    <w:rsid w:val="00076511"/>
    <w:rsid w:val="000825D0"/>
    <w:rsid w:val="00084B6F"/>
    <w:rsid w:val="00094698"/>
    <w:rsid w:val="000A3B23"/>
    <w:rsid w:val="000B4109"/>
    <w:rsid w:val="000B6DCC"/>
    <w:rsid w:val="000B753E"/>
    <w:rsid w:val="000B7659"/>
    <w:rsid w:val="000C02DD"/>
    <w:rsid w:val="000C12CB"/>
    <w:rsid w:val="000D1055"/>
    <w:rsid w:val="000D521A"/>
    <w:rsid w:val="000E2F2F"/>
    <w:rsid w:val="000E5E1E"/>
    <w:rsid w:val="000F3310"/>
    <w:rsid w:val="000F4E07"/>
    <w:rsid w:val="00103882"/>
    <w:rsid w:val="00106E21"/>
    <w:rsid w:val="00125B6E"/>
    <w:rsid w:val="00126337"/>
    <w:rsid w:val="0013184B"/>
    <w:rsid w:val="00140784"/>
    <w:rsid w:val="00146445"/>
    <w:rsid w:val="001505AE"/>
    <w:rsid w:val="00150869"/>
    <w:rsid w:val="001559E7"/>
    <w:rsid w:val="00156315"/>
    <w:rsid w:val="00163E7C"/>
    <w:rsid w:val="00164250"/>
    <w:rsid w:val="00180D31"/>
    <w:rsid w:val="00181249"/>
    <w:rsid w:val="00182F1E"/>
    <w:rsid w:val="001849E2"/>
    <w:rsid w:val="0018716E"/>
    <w:rsid w:val="0018776C"/>
    <w:rsid w:val="0019019A"/>
    <w:rsid w:val="00192AF6"/>
    <w:rsid w:val="00196FD2"/>
    <w:rsid w:val="001C452E"/>
    <w:rsid w:val="001D0060"/>
    <w:rsid w:val="001E04F7"/>
    <w:rsid w:val="001E0DD3"/>
    <w:rsid w:val="001E5250"/>
    <w:rsid w:val="001F2E0C"/>
    <w:rsid w:val="001F52E9"/>
    <w:rsid w:val="00202EEA"/>
    <w:rsid w:val="002111D0"/>
    <w:rsid w:val="002146E5"/>
    <w:rsid w:val="0021685F"/>
    <w:rsid w:val="002170C0"/>
    <w:rsid w:val="00223328"/>
    <w:rsid w:val="00224DEB"/>
    <w:rsid w:val="00230435"/>
    <w:rsid w:val="002334E4"/>
    <w:rsid w:val="002362BD"/>
    <w:rsid w:val="002369A5"/>
    <w:rsid w:val="00264544"/>
    <w:rsid w:val="00266533"/>
    <w:rsid w:val="0026693E"/>
    <w:rsid w:val="00270063"/>
    <w:rsid w:val="0028006E"/>
    <w:rsid w:val="002834F6"/>
    <w:rsid w:val="00286536"/>
    <w:rsid w:val="00287E0A"/>
    <w:rsid w:val="0029379F"/>
    <w:rsid w:val="002B75E8"/>
    <w:rsid w:val="002C46DA"/>
    <w:rsid w:val="002C52F9"/>
    <w:rsid w:val="002D6F8E"/>
    <w:rsid w:val="002E5FDE"/>
    <w:rsid w:val="002F5A5B"/>
    <w:rsid w:val="002F6E00"/>
    <w:rsid w:val="002F7CA1"/>
    <w:rsid w:val="002F7F31"/>
    <w:rsid w:val="00300C2A"/>
    <w:rsid w:val="00306DDC"/>
    <w:rsid w:val="00311324"/>
    <w:rsid w:val="00317034"/>
    <w:rsid w:val="00331828"/>
    <w:rsid w:val="00332BF8"/>
    <w:rsid w:val="00333793"/>
    <w:rsid w:val="00333BD0"/>
    <w:rsid w:val="00340E6F"/>
    <w:rsid w:val="0034710B"/>
    <w:rsid w:val="00347BDE"/>
    <w:rsid w:val="00351066"/>
    <w:rsid w:val="003534A4"/>
    <w:rsid w:val="00357C50"/>
    <w:rsid w:val="00365DE2"/>
    <w:rsid w:val="00370602"/>
    <w:rsid w:val="003723A5"/>
    <w:rsid w:val="003840CF"/>
    <w:rsid w:val="00391B61"/>
    <w:rsid w:val="00392422"/>
    <w:rsid w:val="0039415B"/>
    <w:rsid w:val="00396376"/>
    <w:rsid w:val="00396960"/>
    <w:rsid w:val="003A2048"/>
    <w:rsid w:val="003A228A"/>
    <w:rsid w:val="003A2974"/>
    <w:rsid w:val="003A4373"/>
    <w:rsid w:val="003B3EA4"/>
    <w:rsid w:val="003B7133"/>
    <w:rsid w:val="003B79B9"/>
    <w:rsid w:val="003C7185"/>
    <w:rsid w:val="003D1D26"/>
    <w:rsid w:val="003D6803"/>
    <w:rsid w:val="003E074E"/>
    <w:rsid w:val="003F167C"/>
    <w:rsid w:val="003F78CE"/>
    <w:rsid w:val="004024D9"/>
    <w:rsid w:val="00413E38"/>
    <w:rsid w:val="00420115"/>
    <w:rsid w:val="00422256"/>
    <w:rsid w:val="00422C70"/>
    <w:rsid w:val="00424AC5"/>
    <w:rsid w:val="00425623"/>
    <w:rsid w:val="00425B77"/>
    <w:rsid w:val="0042735B"/>
    <w:rsid w:val="00437840"/>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8A4"/>
    <w:rsid w:val="004D050B"/>
    <w:rsid w:val="004D79C1"/>
    <w:rsid w:val="004E45E3"/>
    <w:rsid w:val="004F2FAB"/>
    <w:rsid w:val="004F307F"/>
    <w:rsid w:val="004F3384"/>
    <w:rsid w:val="004F3F16"/>
    <w:rsid w:val="004F493A"/>
    <w:rsid w:val="004F6B0B"/>
    <w:rsid w:val="0052266E"/>
    <w:rsid w:val="005265C1"/>
    <w:rsid w:val="0054529A"/>
    <w:rsid w:val="00550BF1"/>
    <w:rsid w:val="00560CC0"/>
    <w:rsid w:val="00566ECB"/>
    <w:rsid w:val="005766B4"/>
    <w:rsid w:val="0058393D"/>
    <w:rsid w:val="005863EB"/>
    <w:rsid w:val="00591811"/>
    <w:rsid w:val="005B2C03"/>
    <w:rsid w:val="005B583B"/>
    <w:rsid w:val="005B5E40"/>
    <w:rsid w:val="005B623B"/>
    <w:rsid w:val="005B6DF6"/>
    <w:rsid w:val="005B72F8"/>
    <w:rsid w:val="005C4CBA"/>
    <w:rsid w:val="005C7814"/>
    <w:rsid w:val="005C79AE"/>
    <w:rsid w:val="005E467A"/>
    <w:rsid w:val="005F4A5B"/>
    <w:rsid w:val="00605920"/>
    <w:rsid w:val="006078C9"/>
    <w:rsid w:val="00610FBA"/>
    <w:rsid w:val="00622C32"/>
    <w:rsid w:val="00623368"/>
    <w:rsid w:val="00626466"/>
    <w:rsid w:val="00626931"/>
    <w:rsid w:val="006331B5"/>
    <w:rsid w:val="006363D6"/>
    <w:rsid w:val="006448B9"/>
    <w:rsid w:val="006461EB"/>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A7514"/>
    <w:rsid w:val="006B78A8"/>
    <w:rsid w:val="006C49D1"/>
    <w:rsid w:val="006E0BFC"/>
    <w:rsid w:val="006E55F4"/>
    <w:rsid w:val="006E7700"/>
    <w:rsid w:val="006E7EC8"/>
    <w:rsid w:val="006F0D23"/>
    <w:rsid w:val="00701961"/>
    <w:rsid w:val="0070395B"/>
    <w:rsid w:val="007118BA"/>
    <w:rsid w:val="007218F0"/>
    <w:rsid w:val="00722EF1"/>
    <w:rsid w:val="00736352"/>
    <w:rsid w:val="007540E5"/>
    <w:rsid w:val="007544BD"/>
    <w:rsid w:val="00760A24"/>
    <w:rsid w:val="0076301C"/>
    <w:rsid w:val="00766B00"/>
    <w:rsid w:val="00767BB2"/>
    <w:rsid w:val="0077011C"/>
    <w:rsid w:val="0078149A"/>
    <w:rsid w:val="00783017"/>
    <w:rsid w:val="00783450"/>
    <w:rsid w:val="007872F8"/>
    <w:rsid w:val="00790155"/>
    <w:rsid w:val="007950D5"/>
    <w:rsid w:val="007A10D2"/>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2E9A"/>
    <w:rsid w:val="00883BBC"/>
    <w:rsid w:val="00883E00"/>
    <w:rsid w:val="008903C7"/>
    <w:rsid w:val="008913B8"/>
    <w:rsid w:val="008A0078"/>
    <w:rsid w:val="008B073C"/>
    <w:rsid w:val="008B5D37"/>
    <w:rsid w:val="008C5309"/>
    <w:rsid w:val="008C5EA9"/>
    <w:rsid w:val="008C74BC"/>
    <w:rsid w:val="008E2C9F"/>
    <w:rsid w:val="00917310"/>
    <w:rsid w:val="009325DE"/>
    <w:rsid w:val="0094133B"/>
    <w:rsid w:val="00941604"/>
    <w:rsid w:val="00942CCC"/>
    <w:rsid w:val="00944CC6"/>
    <w:rsid w:val="0096421C"/>
    <w:rsid w:val="00973BDE"/>
    <w:rsid w:val="0098379E"/>
    <w:rsid w:val="0098559F"/>
    <w:rsid w:val="009865AA"/>
    <w:rsid w:val="00990CE0"/>
    <w:rsid w:val="009B30A2"/>
    <w:rsid w:val="009B4B99"/>
    <w:rsid w:val="009C1103"/>
    <w:rsid w:val="009C15C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76FB8"/>
    <w:rsid w:val="00A9211E"/>
    <w:rsid w:val="00AA3DFD"/>
    <w:rsid w:val="00AA7541"/>
    <w:rsid w:val="00AB18AB"/>
    <w:rsid w:val="00AC5B5F"/>
    <w:rsid w:val="00AC7293"/>
    <w:rsid w:val="00AD0062"/>
    <w:rsid w:val="00AD04F5"/>
    <w:rsid w:val="00AD1B3B"/>
    <w:rsid w:val="00AD3C9F"/>
    <w:rsid w:val="00AD460B"/>
    <w:rsid w:val="00AD5218"/>
    <w:rsid w:val="00AE1E61"/>
    <w:rsid w:val="00AE450D"/>
    <w:rsid w:val="00AF1739"/>
    <w:rsid w:val="00AF3CF4"/>
    <w:rsid w:val="00AF6F3E"/>
    <w:rsid w:val="00B07E47"/>
    <w:rsid w:val="00B22AD5"/>
    <w:rsid w:val="00B23001"/>
    <w:rsid w:val="00B27562"/>
    <w:rsid w:val="00B31151"/>
    <w:rsid w:val="00B3115C"/>
    <w:rsid w:val="00B44196"/>
    <w:rsid w:val="00B560F9"/>
    <w:rsid w:val="00B719CE"/>
    <w:rsid w:val="00B71FE1"/>
    <w:rsid w:val="00B73FE8"/>
    <w:rsid w:val="00B81C3E"/>
    <w:rsid w:val="00B83591"/>
    <w:rsid w:val="00B83A9E"/>
    <w:rsid w:val="00BA0571"/>
    <w:rsid w:val="00BA1401"/>
    <w:rsid w:val="00BA1D26"/>
    <w:rsid w:val="00BB07FB"/>
    <w:rsid w:val="00BB0CC3"/>
    <w:rsid w:val="00BC4195"/>
    <w:rsid w:val="00BE72AF"/>
    <w:rsid w:val="00BF544F"/>
    <w:rsid w:val="00C031EE"/>
    <w:rsid w:val="00C03881"/>
    <w:rsid w:val="00C062CB"/>
    <w:rsid w:val="00C21653"/>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B349F"/>
    <w:rsid w:val="00CB4CC2"/>
    <w:rsid w:val="00CC2123"/>
    <w:rsid w:val="00CC2C5D"/>
    <w:rsid w:val="00CC5A94"/>
    <w:rsid w:val="00CF5BF8"/>
    <w:rsid w:val="00CF7A22"/>
    <w:rsid w:val="00D010FD"/>
    <w:rsid w:val="00D011D4"/>
    <w:rsid w:val="00D01299"/>
    <w:rsid w:val="00D03C2F"/>
    <w:rsid w:val="00D125EB"/>
    <w:rsid w:val="00D149F1"/>
    <w:rsid w:val="00D32FDC"/>
    <w:rsid w:val="00D45135"/>
    <w:rsid w:val="00D47F13"/>
    <w:rsid w:val="00D63B4A"/>
    <w:rsid w:val="00D64587"/>
    <w:rsid w:val="00D66438"/>
    <w:rsid w:val="00D75600"/>
    <w:rsid w:val="00D80CA9"/>
    <w:rsid w:val="00D81DC5"/>
    <w:rsid w:val="00D83800"/>
    <w:rsid w:val="00DA1CBE"/>
    <w:rsid w:val="00DB73DB"/>
    <w:rsid w:val="00DD6002"/>
    <w:rsid w:val="00DE5CE6"/>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0298"/>
    <w:rsid w:val="00E45276"/>
    <w:rsid w:val="00E503C7"/>
    <w:rsid w:val="00E50CBA"/>
    <w:rsid w:val="00E54D02"/>
    <w:rsid w:val="00E55350"/>
    <w:rsid w:val="00E55FD9"/>
    <w:rsid w:val="00E6373A"/>
    <w:rsid w:val="00E7086E"/>
    <w:rsid w:val="00E76761"/>
    <w:rsid w:val="00E77B0B"/>
    <w:rsid w:val="00E8758A"/>
    <w:rsid w:val="00E90678"/>
    <w:rsid w:val="00E91556"/>
    <w:rsid w:val="00E94D9E"/>
    <w:rsid w:val="00E96BE1"/>
    <w:rsid w:val="00EA202E"/>
    <w:rsid w:val="00EB0F23"/>
    <w:rsid w:val="00EC4E18"/>
    <w:rsid w:val="00ED6A0C"/>
    <w:rsid w:val="00EE616E"/>
    <w:rsid w:val="00EE6BEE"/>
    <w:rsid w:val="00F02E2F"/>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C37D6"/>
    <w:rsid w:val="00FD5A31"/>
    <w:rsid w:val="00FE7DA0"/>
    <w:rsid w:val="00FF1C7D"/>
    <w:rsid w:val="00FF5E49"/>
    <w:rsid w:val="010C5454"/>
    <w:rsid w:val="016067FA"/>
    <w:rsid w:val="018E717F"/>
    <w:rsid w:val="01AA6C62"/>
    <w:rsid w:val="01C34904"/>
    <w:rsid w:val="01F91A58"/>
    <w:rsid w:val="02275B33"/>
    <w:rsid w:val="024E514A"/>
    <w:rsid w:val="02844C73"/>
    <w:rsid w:val="029D297E"/>
    <w:rsid w:val="02BF3F39"/>
    <w:rsid w:val="02EC7AE5"/>
    <w:rsid w:val="02EF5648"/>
    <w:rsid w:val="0344479F"/>
    <w:rsid w:val="03AB119B"/>
    <w:rsid w:val="03F12107"/>
    <w:rsid w:val="03FC2CFC"/>
    <w:rsid w:val="042B40A2"/>
    <w:rsid w:val="042D3E0E"/>
    <w:rsid w:val="04346C47"/>
    <w:rsid w:val="04581748"/>
    <w:rsid w:val="046B38D3"/>
    <w:rsid w:val="048F2341"/>
    <w:rsid w:val="04C5575B"/>
    <w:rsid w:val="04EC7A2C"/>
    <w:rsid w:val="05416D39"/>
    <w:rsid w:val="055E55A9"/>
    <w:rsid w:val="05627D6B"/>
    <w:rsid w:val="05893C34"/>
    <w:rsid w:val="058B37A1"/>
    <w:rsid w:val="05CA0A32"/>
    <w:rsid w:val="05F80DA3"/>
    <w:rsid w:val="06256F1D"/>
    <w:rsid w:val="062B48E9"/>
    <w:rsid w:val="06926D13"/>
    <w:rsid w:val="06B0704C"/>
    <w:rsid w:val="06FC473E"/>
    <w:rsid w:val="06FF464E"/>
    <w:rsid w:val="0701051E"/>
    <w:rsid w:val="07030B08"/>
    <w:rsid w:val="07664BCE"/>
    <w:rsid w:val="07672918"/>
    <w:rsid w:val="07A31D63"/>
    <w:rsid w:val="07BF5C66"/>
    <w:rsid w:val="0812168B"/>
    <w:rsid w:val="08634119"/>
    <w:rsid w:val="092E0415"/>
    <w:rsid w:val="09702B24"/>
    <w:rsid w:val="09935F35"/>
    <w:rsid w:val="09997553"/>
    <w:rsid w:val="09A44D77"/>
    <w:rsid w:val="09CD56F5"/>
    <w:rsid w:val="09E02C02"/>
    <w:rsid w:val="09EC3290"/>
    <w:rsid w:val="0A004208"/>
    <w:rsid w:val="0A384637"/>
    <w:rsid w:val="0A57727C"/>
    <w:rsid w:val="0A923616"/>
    <w:rsid w:val="0A977327"/>
    <w:rsid w:val="0A9C0B09"/>
    <w:rsid w:val="0B4A774F"/>
    <w:rsid w:val="0B747136"/>
    <w:rsid w:val="0BEE79BD"/>
    <w:rsid w:val="0BFA1B57"/>
    <w:rsid w:val="0C68692E"/>
    <w:rsid w:val="0D0450CC"/>
    <w:rsid w:val="0D066FFB"/>
    <w:rsid w:val="0D4571FF"/>
    <w:rsid w:val="0D56362A"/>
    <w:rsid w:val="0D765360"/>
    <w:rsid w:val="0DA0508F"/>
    <w:rsid w:val="0DA145C2"/>
    <w:rsid w:val="0E321F8B"/>
    <w:rsid w:val="0E566F47"/>
    <w:rsid w:val="0E5B7D3A"/>
    <w:rsid w:val="0ED45E50"/>
    <w:rsid w:val="0EE71FAC"/>
    <w:rsid w:val="0EFB2EDC"/>
    <w:rsid w:val="0F303832"/>
    <w:rsid w:val="0F5D5D0B"/>
    <w:rsid w:val="0F652260"/>
    <w:rsid w:val="0FF75CB1"/>
    <w:rsid w:val="101B284F"/>
    <w:rsid w:val="107251C5"/>
    <w:rsid w:val="10751C6C"/>
    <w:rsid w:val="10CA602B"/>
    <w:rsid w:val="10E11778"/>
    <w:rsid w:val="110572F9"/>
    <w:rsid w:val="11103A1A"/>
    <w:rsid w:val="112A5D11"/>
    <w:rsid w:val="113405A8"/>
    <w:rsid w:val="124A430F"/>
    <w:rsid w:val="124C5DBE"/>
    <w:rsid w:val="12721216"/>
    <w:rsid w:val="12A53375"/>
    <w:rsid w:val="12AB2683"/>
    <w:rsid w:val="12EF7472"/>
    <w:rsid w:val="130324B4"/>
    <w:rsid w:val="13055667"/>
    <w:rsid w:val="13351D76"/>
    <w:rsid w:val="133F50D1"/>
    <w:rsid w:val="13BD6A02"/>
    <w:rsid w:val="14072E9C"/>
    <w:rsid w:val="14120123"/>
    <w:rsid w:val="145D3897"/>
    <w:rsid w:val="146971A6"/>
    <w:rsid w:val="146A38F9"/>
    <w:rsid w:val="14902995"/>
    <w:rsid w:val="14942599"/>
    <w:rsid w:val="149E7F50"/>
    <w:rsid w:val="1546363A"/>
    <w:rsid w:val="15925856"/>
    <w:rsid w:val="160E5648"/>
    <w:rsid w:val="16301051"/>
    <w:rsid w:val="166C3B01"/>
    <w:rsid w:val="16A95AC3"/>
    <w:rsid w:val="16E208CB"/>
    <w:rsid w:val="16EB77A7"/>
    <w:rsid w:val="1738746B"/>
    <w:rsid w:val="173E1A73"/>
    <w:rsid w:val="175F378B"/>
    <w:rsid w:val="17B4753F"/>
    <w:rsid w:val="17C264C9"/>
    <w:rsid w:val="17C6387E"/>
    <w:rsid w:val="18001A10"/>
    <w:rsid w:val="182A6026"/>
    <w:rsid w:val="18AD4CFB"/>
    <w:rsid w:val="19651732"/>
    <w:rsid w:val="19FE0C42"/>
    <w:rsid w:val="1A055576"/>
    <w:rsid w:val="1A0949BF"/>
    <w:rsid w:val="1A2773EE"/>
    <w:rsid w:val="1A5E7A5E"/>
    <w:rsid w:val="1A780858"/>
    <w:rsid w:val="1AA649B7"/>
    <w:rsid w:val="1ACC3C34"/>
    <w:rsid w:val="1AD9349D"/>
    <w:rsid w:val="1AE045F8"/>
    <w:rsid w:val="1AE07ED1"/>
    <w:rsid w:val="1AE76FFF"/>
    <w:rsid w:val="1B3D3BC7"/>
    <w:rsid w:val="1B530870"/>
    <w:rsid w:val="1B954109"/>
    <w:rsid w:val="1BA159B2"/>
    <w:rsid w:val="1BC03857"/>
    <w:rsid w:val="1BEE6AAE"/>
    <w:rsid w:val="1C14551E"/>
    <w:rsid w:val="1C2D30C9"/>
    <w:rsid w:val="1CA753A6"/>
    <w:rsid w:val="1CA7719C"/>
    <w:rsid w:val="1E1B0A69"/>
    <w:rsid w:val="1E470BAE"/>
    <w:rsid w:val="1EBF0088"/>
    <w:rsid w:val="1ED85FE7"/>
    <w:rsid w:val="1EDE09E7"/>
    <w:rsid w:val="1F290902"/>
    <w:rsid w:val="1F35392A"/>
    <w:rsid w:val="1F4F022C"/>
    <w:rsid w:val="1FB81494"/>
    <w:rsid w:val="1FCE1887"/>
    <w:rsid w:val="1FDD46D5"/>
    <w:rsid w:val="1FF06C12"/>
    <w:rsid w:val="1FF37DA3"/>
    <w:rsid w:val="20012227"/>
    <w:rsid w:val="20162376"/>
    <w:rsid w:val="20783542"/>
    <w:rsid w:val="209E4C1A"/>
    <w:rsid w:val="20B747D3"/>
    <w:rsid w:val="20F5686F"/>
    <w:rsid w:val="212D69FF"/>
    <w:rsid w:val="21BE37AB"/>
    <w:rsid w:val="21E2434C"/>
    <w:rsid w:val="221F3474"/>
    <w:rsid w:val="226E22DD"/>
    <w:rsid w:val="2282770E"/>
    <w:rsid w:val="22D160CB"/>
    <w:rsid w:val="22DC1D39"/>
    <w:rsid w:val="23093D4E"/>
    <w:rsid w:val="232C7B55"/>
    <w:rsid w:val="23523730"/>
    <w:rsid w:val="23532FB0"/>
    <w:rsid w:val="236B5E11"/>
    <w:rsid w:val="23777D76"/>
    <w:rsid w:val="23D41E3A"/>
    <w:rsid w:val="247D38B3"/>
    <w:rsid w:val="24F825EA"/>
    <w:rsid w:val="250963F0"/>
    <w:rsid w:val="2527176B"/>
    <w:rsid w:val="255A39A1"/>
    <w:rsid w:val="255B3973"/>
    <w:rsid w:val="25EE6378"/>
    <w:rsid w:val="263069F3"/>
    <w:rsid w:val="265E4593"/>
    <w:rsid w:val="26630D75"/>
    <w:rsid w:val="26AF0C16"/>
    <w:rsid w:val="26AF1AE1"/>
    <w:rsid w:val="26BE4550"/>
    <w:rsid w:val="26DF36D3"/>
    <w:rsid w:val="26F4633F"/>
    <w:rsid w:val="26FC1E95"/>
    <w:rsid w:val="27862A40"/>
    <w:rsid w:val="278B3A20"/>
    <w:rsid w:val="27C022E0"/>
    <w:rsid w:val="27D23323"/>
    <w:rsid w:val="28164273"/>
    <w:rsid w:val="28552F2C"/>
    <w:rsid w:val="286C36E6"/>
    <w:rsid w:val="28900766"/>
    <w:rsid w:val="28A1023B"/>
    <w:rsid w:val="28B03454"/>
    <w:rsid w:val="28E5712E"/>
    <w:rsid w:val="2954075F"/>
    <w:rsid w:val="29935EC5"/>
    <w:rsid w:val="29F10E7D"/>
    <w:rsid w:val="29F93554"/>
    <w:rsid w:val="2B3542A3"/>
    <w:rsid w:val="2B6E3F41"/>
    <w:rsid w:val="2B824505"/>
    <w:rsid w:val="2BB628FE"/>
    <w:rsid w:val="2BD72CF4"/>
    <w:rsid w:val="2C0824D5"/>
    <w:rsid w:val="2C7E30BB"/>
    <w:rsid w:val="2C890986"/>
    <w:rsid w:val="2D2A3B0D"/>
    <w:rsid w:val="2D6E61B2"/>
    <w:rsid w:val="2DA3726B"/>
    <w:rsid w:val="2DB01335"/>
    <w:rsid w:val="2DCF4404"/>
    <w:rsid w:val="2DE06E10"/>
    <w:rsid w:val="2DE12229"/>
    <w:rsid w:val="2E12162B"/>
    <w:rsid w:val="2E3A6A67"/>
    <w:rsid w:val="2F0A16C4"/>
    <w:rsid w:val="2F0D0675"/>
    <w:rsid w:val="2F5F0A5D"/>
    <w:rsid w:val="2F840FFA"/>
    <w:rsid w:val="2FC3325D"/>
    <w:rsid w:val="2FE018BD"/>
    <w:rsid w:val="30106B5B"/>
    <w:rsid w:val="303429D2"/>
    <w:rsid w:val="306E1C94"/>
    <w:rsid w:val="308E3628"/>
    <w:rsid w:val="30A40618"/>
    <w:rsid w:val="314D0E3F"/>
    <w:rsid w:val="31892C18"/>
    <w:rsid w:val="31B7717A"/>
    <w:rsid w:val="31F05866"/>
    <w:rsid w:val="320C68B2"/>
    <w:rsid w:val="320D1E09"/>
    <w:rsid w:val="321E361B"/>
    <w:rsid w:val="32362892"/>
    <w:rsid w:val="32D6687A"/>
    <w:rsid w:val="32F751B6"/>
    <w:rsid w:val="330C3287"/>
    <w:rsid w:val="33AD241D"/>
    <w:rsid w:val="33C31107"/>
    <w:rsid w:val="33E26F87"/>
    <w:rsid w:val="33E86FAC"/>
    <w:rsid w:val="33FA0FB5"/>
    <w:rsid w:val="3446741E"/>
    <w:rsid w:val="345A6386"/>
    <w:rsid w:val="348554CB"/>
    <w:rsid w:val="34B370EE"/>
    <w:rsid w:val="34CE0EFC"/>
    <w:rsid w:val="34ED6EC4"/>
    <w:rsid w:val="350C0AD6"/>
    <w:rsid w:val="3520564A"/>
    <w:rsid w:val="35256E80"/>
    <w:rsid w:val="354C6A50"/>
    <w:rsid w:val="355D1858"/>
    <w:rsid w:val="35775EA4"/>
    <w:rsid w:val="359569B1"/>
    <w:rsid w:val="3597318F"/>
    <w:rsid w:val="359E146C"/>
    <w:rsid w:val="35B72366"/>
    <w:rsid w:val="35F74B83"/>
    <w:rsid w:val="361835D3"/>
    <w:rsid w:val="364432FB"/>
    <w:rsid w:val="36506F5F"/>
    <w:rsid w:val="365073B4"/>
    <w:rsid w:val="3667042C"/>
    <w:rsid w:val="36BC008C"/>
    <w:rsid w:val="36FA5F7F"/>
    <w:rsid w:val="37065F4F"/>
    <w:rsid w:val="37AD3EFE"/>
    <w:rsid w:val="38416FAC"/>
    <w:rsid w:val="38680E7E"/>
    <w:rsid w:val="38CF775E"/>
    <w:rsid w:val="38F66E75"/>
    <w:rsid w:val="38FA1B4F"/>
    <w:rsid w:val="39022811"/>
    <w:rsid w:val="39297B26"/>
    <w:rsid w:val="39361428"/>
    <w:rsid w:val="398573C7"/>
    <w:rsid w:val="399744A4"/>
    <w:rsid w:val="39B02053"/>
    <w:rsid w:val="39CB4BFF"/>
    <w:rsid w:val="3A0871BF"/>
    <w:rsid w:val="3A2B4724"/>
    <w:rsid w:val="3A2E204A"/>
    <w:rsid w:val="3A7F3182"/>
    <w:rsid w:val="3B0520B5"/>
    <w:rsid w:val="3B3D3D9C"/>
    <w:rsid w:val="3B5B0F11"/>
    <w:rsid w:val="3B8D1B05"/>
    <w:rsid w:val="3C1228A0"/>
    <w:rsid w:val="3C740E08"/>
    <w:rsid w:val="3C7D6996"/>
    <w:rsid w:val="3CD3374A"/>
    <w:rsid w:val="3D1F111D"/>
    <w:rsid w:val="3D406D2F"/>
    <w:rsid w:val="3D4826F8"/>
    <w:rsid w:val="3D5A1ABE"/>
    <w:rsid w:val="3DAA1F99"/>
    <w:rsid w:val="3DB7239F"/>
    <w:rsid w:val="3E630E61"/>
    <w:rsid w:val="3E955595"/>
    <w:rsid w:val="3EA87988"/>
    <w:rsid w:val="3EC95C23"/>
    <w:rsid w:val="3ECF44EE"/>
    <w:rsid w:val="3F4F72C3"/>
    <w:rsid w:val="3F5474C7"/>
    <w:rsid w:val="3F755F14"/>
    <w:rsid w:val="3FBD6408"/>
    <w:rsid w:val="3FDD1B72"/>
    <w:rsid w:val="3FF73EBC"/>
    <w:rsid w:val="4017326E"/>
    <w:rsid w:val="404B75B5"/>
    <w:rsid w:val="405C523D"/>
    <w:rsid w:val="40B606DB"/>
    <w:rsid w:val="415D7185"/>
    <w:rsid w:val="41811FBE"/>
    <w:rsid w:val="41C54E68"/>
    <w:rsid w:val="42411AF1"/>
    <w:rsid w:val="42551C0B"/>
    <w:rsid w:val="42AE3183"/>
    <w:rsid w:val="42AF036F"/>
    <w:rsid w:val="42DA541D"/>
    <w:rsid w:val="43372BA2"/>
    <w:rsid w:val="43814CC4"/>
    <w:rsid w:val="439012B7"/>
    <w:rsid w:val="43B03B5A"/>
    <w:rsid w:val="43B134D0"/>
    <w:rsid w:val="43BC2B1C"/>
    <w:rsid w:val="43F54508"/>
    <w:rsid w:val="4439578D"/>
    <w:rsid w:val="44404BD4"/>
    <w:rsid w:val="4449454C"/>
    <w:rsid w:val="44BC6416"/>
    <w:rsid w:val="44D00F5F"/>
    <w:rsid w:val="44DA00A2"/>
    <w:rsid w:val="455559D7"/>
    <w:rsid w:val="457A362D"/>
    <w:rsid w:val="45AC7EBF"/>
    <w:rsid w:val="45DD590B"/>
    <w:rsid w:val="460F20F9"/>
    <w:rsid w:val="461E5237"/>
    <w:rsid w:val="462F3F02"/>
    <w:rsid w:val="46592B02"/>
    <w:rsid w:val="467C16A7"/>
    <w:rsid w:val="46851557"/>
    <w:rsid w:val="46D4493E"/>
    <w:rsid w:val="46D92DA0"/>
    <w:rsid w:val="46EC310E"/>
    <w:rsid w:val="4711330F"/>
    <w:rsid w:val="47624647"/>
    <w:rsid w:val="47632CCD"/>
    <w:rsid w:val="476A02AE"/>
    <w:rsid w:val="47D53CCD"/>
    <w:rsid w:val="48026B38"/>
    <w:rsid w:val="48092C2D"/>
    <w:rsid w:val="482A3D65"/>
    <w:rsid w:val="482F185E"/>
    <w:rsid w:val="483A01CD"/>
    <w:rsid w:val="483B05D9"/>
    <w:rsid w:val="4857247D"/>
    <w:rsid w:val="48762ABF"/>
    <w:rsid w:val="496314E2"/>
    <w:rsid w:val="49CD20B7"/>
    <w:rsid w:val="49DD55BA"/>
    <w:rsid w:val="4A1B175E"/>
    <w:rsid w:val="4A337275"/>
    <w:rsid w:val="4ACA5284"/>
    <w:rsid w:val="4B7D4460"/>
    <w:rsid w:val="4B823443"/>
    <w:rsid w:val="4B9A15EA"/>
    <w:rsid w:val="4B9F2465"/>
    <w:rsid w:val="4BDC5167"/>
    <w:rsid w:val="4BEA105F"/>
    <w:rsid w:val="4C0842E9"/>
    <w:rsid w:val="4C541D47"/>
    <w:rsid w:val="4C65110E"/>
    <w:rsid w:val="4C893754"/>
    <w:rsid w:val="4C9D00F4"/>
    <w:rsid w:val="4D024BEC"/>
    <w:rsid w:val="4D030F25"/>
    <w:rsid w:val="4D341CBF"/>
    <w:rsid w:val="4DAE67B4"/>
    <w:rsid w:val="4E4E529F"/>
    <w:rsid w:val="4E700F95"/>
    <w:rsid w:val="4E7F6657"/>
    <w:rsid w:val="4F17563F"/>
    <w:rsid w:val="4F1F0790"/>
    <w:rsid w:val="4F5A7728"/>
    <w:rsid w:val="4F767DC8"/>
    <w:rsid w:val="4F951A1B"/>
    <w:rsid w:val="501346E8"/>
    <w:rsid w:val="504E41B0"/>
    <w:rsid w:val="504F35F4"/>
    <w:rsid w:val="50603026"/>
    <w:rsid w:val="50816B2D"/>
    <w:rsid w:val="50B30F51"/>
    <w:rsid w:val="50DB6B65"/>
    <w:rsid w:val="511D2F10"/>
    <w:rsid w:val="51662234"/>
    <w:rsid w:val="51C16661"/>
    <w:rsid w:val="521C4028"/>
    <w:rsid w:val="52493883"/>
    <w:rsid w:val="52825917"/>
    <w:rsid w:val="528B025E"/>
    <w:rsid w:val="52B100BE"/>
    <w:rsid w:val="53466E36"/>
    <w:rsid w:val="536C4076"/>
    <w:rsid w:val="53701036"/>
    <w:rsid w:val="53A90AFA"/>
    <w:rsid w:val="53B138F6"/>
    <w:rsid w:val="541A345A"/>
    <w:rsid w:val="541B0AAA"/>
    <w:rsid w:val="546E7E5D"/>
    <w:rsid w:val="54743095"/>
    <w:rsid w:val="54850F6B"/>
    <w:rsid w:val="54873B82"/>
    <w:rsid w:val="548F60CE"/>
    <w:rsid w:val="54E85717"/>
    <w:rsid w:val="54FD6E9A"/>
    <w:rsid w:val="5505221C"/>
    <w:rsid w:val="55671C6D"/>
    <w:rsid w:val="55E816C6"/>
    <w:rsid w:val="560F6EE9"/>
    <w:rsid w:val="56892339"/>
    <w:rsid w:val="56DE733C"/>
    <w:rsid w:val="56F97712"/>
    <w:rsid w:val="574A472A"/>
    <w:rsid w:val="5789054D"/>
    <w:rsid w:val="578B264C"/>
    <w:rsid w:val="57A71AC0"/>
    <w:rsid w:val="57B14D9D"/>
    <w:rsid w:val="57D02734"/>
    <w:rsid w:val="58094566"/>
    <w:rsid w:val="5855710D"/>
    <w:rsid w:val="58755AB0"/>
    <w:rsid w:val="58AB6C83"/>
    <w:rsid w:val="593A5818"/>
    <w:rsid w:val="593B3A79"/>
    <w:rsid w:val="594A7276"/>
    <w:rsid w:val="59960E4E"/>
    <w:rsid w:val="59EA7163"/>
    <w:rsid w:val="59FD1A86"/>
    <w:rsid w:val="5A6C75D2"/>
    <w:rsid w:val="5A9F2759"/>
    <w:rsid w:val="5AAA6C73"/>
    <w:rsid w:val="5AB56FD6"/>
    <w:rsid w:val="5ADE244E"/>
    <w:rsid w:val="5AE94B0F"/>
    <w:rsid w:val="5BA77963"/>
    <w:rsid w:val="5BF65BA9"/>
    <w:rsid w:val="5C1369F4"/>
    <w:rsid w:val="5C2635AB"/>
    <w:rsid w:val="5C3318CF"/>
    <w:rsid w:val="5C344D31"/>
    <w:rsid w:val="5C3A4E1A"/>
    <w:rsid w:val="5C814852"/>
    <w:rsid w:val="5CB72128"/>
    <w:rsid w:val="5CBE588B"/>
    <w:rsid w:val="5CD90FD4"/>
    <w:rsid w:val="5D117B93"/>
    <w:rsid w:val="5D2045C1"/>
    <w:rsid w:val="5D535485"/>
    <w:rsid w:val="5D575D6D"/>
    <w:rsid w:val="5E1F1247"/>
    <w:rsid w:val="5E915A8B"/>
    <w:rsid w:val="5EDE6371"/>
    <w:rsid w:val="5EF46BFB"/>
    <w:rsid w:val="5F18377D"/>
    <w:rsid w:val="5F36514B"/>
    <w:rsid w:val="5F457474"/>
    <w:rsid w:val="5F562C1F"/>
    <w:rsid w:val="5FE56858"/>
    <w:rsid w:val="5FF356BE"/>
    <w:rsid w:val="60681418"/>
    <w:rsid w:val="60777004"/>
    <w:rsid w:val="60B75873"/>
    <w:rsid w:val="60BF15FF"/>
    <w:rsid w:val="60CE0A84"/>
    <w:rsid w:val="610E3F6A"/>
    <w:rsid w:val="613D0A9B"/>
    <w:rsid w:val="614E42FF"/>
    <w:rsid w:val="615A0B09"/>
    <w:rsid w:val="61632A6C"/>
    <w:rsid w:val="616347C5"/>
    <w:rsid w:val="61A93559"/>
    <w:rsid w:val="61CF110A"/>
    <w:rsid w:val="621F7AE8"/>
    <w:rsid w:val="62357CAB"/>
    <w:rsid w:val="628A1181"/>
    <w:rsid w:val="629F7D4C"/>
    <w:rsid w:val="62A04866"/>
    <w:rsid w:val="62A91DE7"/>
    <w:rsid w:val="62C70FDE"/>
    <w:rsid w:val="62EB0522"/>
    <w:rsid w:val="635F599B"/>
    <w:rsid w:val="638B472E"/>
    <w:rsid w:val="64306C7E"/>
    <w:rsid w:val="64950E8D"/>
    <w:rsid w:val="64F05D69"/>
    <w:rsid w:val="651F4AF5"/>
    <w:rsid w:val="65280837"/>
    <w:rsid w:val="654D6C47"/>
    <w:rsid w:val="65803004"/>
    <w:rsid w:val="65B13B0F"/>
    <w:rsid w:val="65DD59C7"/>
    <w:rsid w:val="65DF06AA"/>
    <w:rsid w:val="66726DE9"/>
    <w:rsid w:val="667D7612"/>
    <w:rsid w:val="66DA0758"/>
    <w:rsid w:val="66E85868"/>
    <w:rsid w:val="673C24EF"/>
    <w:rsid w:val="67554C72"/>
    <w:rsid w:val="67B44B21"/>
    <w:rsid w:val="67BA0344"/>
    <w:rsid w:val="67EB0D51"/>
    <w:rsid w:val="67F65044"/>
    <w:rsid w:val="680A7904"/>
    <w:rsid w:val="68166352"/>
    <w:rsid w:val="685647EE"/>
    <w:rsid w:val="6898656D"/>
    <w:rsid w:val="68B4061C"/>
    <w:rsid w:val="68B81F22"/>
    <w:rsid w:val="694C5F23"/>
    <w:rsid w:val="696662A4"/>
    <w:rsid w:val="69792046"/>
    <w:rsid w:val="69DF53DC"/>
    <w:rsid w:val="69E27B25"/>
    <w:rsid w:val="6A397FCF"/>
    <w:rsid w:val="6A8A7330"/>
    <w:rsid w:val="6A961F9E"/>
    <w:rsid w:val="6ACB06F4"/>
    <w:rsid w:val="6AEE6C6E"/>
    <w:rsid w:val="6B1B6AD9"/>
    <w:rsid w:val="6B46798C"/>
    <w:rsid w:val="6B687B99"/>
    <w:rsid w:val="6B995283"/>
    <w:rsid w:val="6BA6284A"/>
    <w:rsid w:val="6BB93E1A"/>
    <w:rsid w:val="6BC763D5"/>
    <w:rsid w:val="6BCA31AA"/>
    <w:rsid w:val="6BEB1010"/>
    <w:rsid w:val="6BF8468F"/>
    <w:rsid w:val="6C164551"/>
    <w:rsid w:val="6C495E4F"/>
    <w:rsid w:val="6CC018BA"/>
    <w:rsid w:val="6CF00CE0"/>
    <w:rsid w:val="6D27237C"/>
    <w:rsid w:val="6D2B6A0F"/>
    <w:rsid w:val="6D302E0E"/>
    <w:rsid w:val="6D6650AF"/>
    <w:rsid w:val="6E1612C1"/>
    <w:rsid w:val="6E9B39FD"/>
    <w:rsid w:val="6F604150"/>
    <w:rsid w:val="6F6D7D26"/>
    <w:rsid w:val="6F876965"/>
    <w:rsid w:val="6F89225D"/>
    <w:rsid w:val="6FAF68AB"/>
    <w:rsid w:val="703053C9"/>
    <w:rsid w:val="706C4C4B"/>
    <w:rsid w:val="709C49B1"/>
    <w:rsid w:val="70D3620A"/>
    <w:rsid w:val="71193D3B"/>
    <w:rsid w:val="71422B5C"/>
    <w:rsid w:val="71D9412A"/>
    <w:rsid w:val="7211216C"/>
    <w:rsid w:val="723348A3"/>
    <w:rsid w:val="72632B7A"/>
    <w:rsid w:val="72841771"/>
    <w:rsid w:val="729A172F"/>
    <w:rsid w:val="72C95A52"/>
    <w:rsid w:val="72E04E7A"/>
    <w:rsid w:val="732604B1"/>
    <w:rsid w:val="73CA2AF9"/>
    <w:rsid w:val="74085078"/>
    <w:rsid w:val="74283EEA"/>
    <w:rsid w:val="74701552"/>
    <w:rsid w:val="74C55EA5"/>
    <w:rsid w:val="74EA4FB0"/>
    <w:rsid w:val="75154605"/>
    <w:rsid w:val="751C3C2A"/>
    <w:rsid w:val="75821E64"/>
    <w:rsid w:val="766C2683"/>
    <w:rsid w:val="76AC7A1B"/>
    <w:rsid w:val="76D41BAE"/>
    <w:rsid w:val="76F46778"/>
    <w:rsid w:val="77611D7E"/>
    <w:rsid w:val="779117F3"/>
    <w:rsid w:val="77CF0A6B"/>
    <w:rsid w:val="785C0AE4"/>
    <w:rsid w:val="786D08B8"/>
    <w:rsid w:val="78782528"/>
    <w:rsid w:val="78E610F4"/>
    <w:rsid w:val="7945384A"/>
    <w:rsid w:val="7963760A"/>
    <w:rsid w:val="79722F27"/>
    <w:rsid w:val="79B92B4E"/>
    <w:rsid w:val="7A277D89"/>
    <w:rsid w:val="7A424D83"/>
    <w:rsid w:val="7A5F6AFD"/>
    <w:rsid w:val="7A775E70"/>
    <w:rsid w:val="7AA5092A"/>
    <w:rsid w:val="7ACB150F"/>
    <w:rsid w:val="7B304512"/>
    <w:rsid w:val="7B314EA5"/>
    <w:rsid w:val="7B6F7E07"/>
    <w:rsid w:val="7BDE7F34"/>
    <w:rsid w:val="7BE72529"/>
    <w:rsid w:val="7C1E5520"/>
    <w:rsid w:val="7C21083D"/>
    <w:rsid w:val="7C2A5ACE"/>
    <w:rsid w:val="7C500388"/>
    <w:rsid w:val="7C62013B"/>
    <w:rsid w:val="7CAE5B2E"/>
    <w:rsid w:val="7CBD66EB"/>
    <w:rsid w:val="7CEA14B8"/>
    <w:rsid w:val="7D11011F"/>
    <w:rsid w:val="7D1B40FF"/>
    <w:rsid w:val="7D3C3BC2"/>
    <w:rsid w:val="7D497A1B"/>
    <w:rsid w:val="7D720FEA"/>
    <w:rsid w:val="7D9A213A"/>
    <w:rsid w:val="7DCB0EAA"/>
    <w:rsid w:val="7DEB76C3"/>
    <w:rsid w:val="7E024225"/>
    <w:rsid w:val="7E503DBF"/>
    <w:rsid w:val="7E615781"/>
    <w:rsid w:val="7E6459CD"/>
    <w:rsid w:val="7E75368D"/>
    <w:rsid w:val="7E7D6862"/>
    <w:rsid w:val="7EF3082E"/>
    <w:rsid w:val="7FA14A15"/>
    <w:rsid w:val="7FA37A75"/>
    <w:rsid w:val="7FB0102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qFormat/>
    <w:locked/>
    <w:uiPriority w:val="9"/>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qFormat/>
    <w:locked/>
    <w:uiPriority w:val="0"/>
    <w:pPr>
      <w:autoSpaceDE w:val="0"/>
      <w:autoSpaceDN w:val="0"/>
      <w:adjustRightInd w:val="0"/>
      <w:spacing w:before="16"/>
      <w:jc w:val="left"/>
      <w:outlineLvl w:val="2"/>
    </w:pPr>
    <w:rPr>
      <w:rFonts w:ascii="仿宋_GB2312" w:eastAsia="仿宋_GB2312"/>
      <w:b/>
      <w:kern w:val="0"/>
      <w:sz w:val="24"/>
      <w:szCs w:val="28"/>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37"/>
    <w:qFormat/>
    <w:locked/>
    <w:uiPriority w:val="10"/>
    <w:pPr>
      <w:spacing w:before="240" w:after="60" w:line="360" w:lineRule="auto"/>
      <w:jc w:val="center"/>
      <w:outlineLvl w:val="0"/>
    </w:pPr>
    <w:rPr>
      <w:rFonts w:ascii="Calibri" w:hAnsi="Calibri"/>
      <w:b/>
      <w:bCs/>
      <w:sz w:val="32"/>
      <w:szCs w:val="32"/>
    </w:rPr>
  </w:style>
  <w:style w:type="paragraph" w:styleId="6">
    <w:name w:val="annotation text"/>
    <w:basedOn w:val="1"/>
    <w:semiHidden/>
    <w:unhideWhenUsed/>
    <w:qFormat/>
    <w:uiPriority w:val="99"/>
    <w:pPr>
      <w:jc w:val="left"/>
    </w:pPr>
  </w:style>
  <w:style w:type="paragraph" w:styleId="7">
    <w:name w:val="Body Text"/>
    <w:basedOn w:val="1"/>
    <w:qFormat/>
    <w:uiPriority w:val="99"/>
    <w:pPr>
      <w:spacing w:after="120"/>
    </w:pPr>
  </w:style>
  <w:style w:type="paragraph" w:styleId="8">
    <w:name w:val="Body Text Indent"/>
    <w:basedOn w:val="1"/>
    <w:qFormat/>
    <w:uiPriority w:val="0"/>
    <w:pPr>
      <w:spacing w:after="120"/>
      <w:ind w:left="420" w:leftChars="200"/>
    </w:pPr>
  </w:style>
  <w:style w:type="paragraph" w:styleId="9">
    <w:name w:val="Plain Text"/>
    <w:basedOn w:val="1"/>
    <w:qFormat/>
    <w:uiPriority w:val="0"/>
    <w:rPr>
      <w:rFonts w:ascii="宋体" w:hAnsi="Courier New"/>
      <w:szCs w:val="20"/>
    </w:rPr>
  </w:style>
  <w:style w:type="paragraph" w:styleId="10">
    <w:name w:val="Balloon Text"/>
    <w:basedOn w:val="1"/>
    <w:link w:val="29"/>
    <w:qFormat/>
    <w:uiPriority w:val="99"/>
    <w:rPr>
      <w:sz w:val="18"/>
      <w:szCs w:val="18"/>
    </w:rPr>
  </w:style>
  <w:style w:type="paragraph" w:styleId="11">
    <w:name w:val="footer"/>
    <w:basedOn w:val="1"/>
    <w:link w:val="30"/>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3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szCs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semiHidden/>
    <w:unhideWhenUsed/>
    <w:qFormat/>
    <w:uiPriority w:val="99"/>
    <w:rPr>
      <w:color w:val="2D64B3"/>
      <w:u w:val="none"/>
    </w:rPr>
  </w:style>
  <w:style w:type="character" w:styleId="20">
    <w:name w:val="Emphasis"/>
    <w:basedOn w:val="18"/>
    <w:qFormat/>
    <w:locked/>
    <w:uiPriority w:val="0"/>
  </w:style>
  <w:style w:type="character" w:styleId="21">
    <w:name w:val="HTML Definition"/>
    <w:basedOn w:val="18"/>
    <w:semiHidden/>
    <w:unhideWhenUsed/>
    <w:qFormat/>
    <w:uiPriority w:val="99"/>
  </w:style>
  <w:style w:type="character" w:styleId="22">
    <w:name w:val="HTML Variable"/>
    <w:basedOn w:val="18"/>
    <w:semiHidden/>
    <w:unhideWhenUsed/>
    <w:qFormat/>
    <w:uiPriority w:val="99"/>
  </w:style>
  <w:style w:type="character" w:styleId="23">
    <w:name w:val="Hyperlink"/>
    <w:basedOn w:val="18"/>
    <w:semiHidden/>
    <w:unhideWhenUsed/>
    <w:qFormat/>
    <w:uiPriority w:val="99"/>
    <w:rPr>
      <w:color w:val="2D64B3"/>
      <w:u w:val="none"/>
    </w:rPr>
  </w:style>
  <w:style w:type="character" w:styleId="24">
    <w:name w:val="HTML Code"/>
    <w:basedOn w:val="18"/>
    <w:semiHidden/>
    <w:unhideWhenUsed/>
    <w:qFormat/>
    <w:uiPriority w:val="99"/>
    <w:rPr>
      <w:rFonts w:hint="eastAsia" w:ascii="Arial" w:hAnsi="Arial" w:cs="Arial"/>
      <w:sz w:val="20"/>
    </w:rPr>
  </w:style>
  <w:style w:type="character" w:styleId="25">
    <w:name w:val="annotation reference"/>
    <w:qFormat/>
    <w:uiPriority w:val="99"/>
    <w:rPr>
      <w:sz w:val="21"/>
      <w:szCs w:val="21"/>
    </w:rPr>
  </w:style>
  <w:style w:type="character" w:styleId="26">
    <w:name w:val="HTML Cite"/>
    <w:basedOn w:val="18"/>
    <w:semiHidden/>
    <w:unhideWhenUsed/>
    <w:qFormat/>
    <w:uiPriority w:val="99"/>
  </w:style>
  <w:style w:type="character" w:styleId="27">
    <w:name w:val="HTML Keyboard"/>
    <w:basedOn w:val="18"/>
    <w:semiHidden/>
    <w:unhideWhenUsed/>
    <w:qFormat/>
    <w:uiPriority w:val="99"/>
    <w:rPr>
      <w:rFonts w:hint="default" w:ascii="Arial" w:hAnsi="Arial" w:cs="Arial"/>
      <w:sz w:val="20"/>
    </w:rPr>
  </w:style>
  <w:style w:type="character" w:styleId="28">
    <w:name w:val="HTML Sample"/>
    <w:basedOn w:val="18"/>
    <w:semiHidden/>
    <w:unhideWhenUsed/>
    <w:qFormat/>
    <w:uiPriority w:val="99"/>
    <w:rPr>
      <w:rFonts w:hint="default" w:ascii="Arial" w:hAnsi="Arial" w:cs="Arial"/>
    </w:rPr>
  </w:style>
  <w:style w:type="character" w:customStyle="1" w:styleId="29">
    <w:name w:val="批注框文本 字符"/>
    <w:basedOn w:val="18"/>
    <w:link w:val="10"/>
    <w:semiHidden/>
    <w:qFormat/>
    <w:locked/>
    <w:uiPriority w:val="99"/>
    <w:rPr>
      <w:rFonts w:ascii="Times New Roman" w:hAnsi="Times New Roman"/>
      <w:kern w:val="2"/>
      <w:sz w:val="18"/>
    </w:rPr>
  </w:style>
  <w:style w:type="character" w:customStyle="1" w:styleId="30">
    <w:name w:val="页脚 字符"/>
    <w:basedOn w:val="18"/>
    <w:link w:val="11"/>
    <w:qFormat/>
    <w:locked/>
    <w:uiPriority w:val="99"/>
    <w:rPr>
      <w:sz w:val="18"/>
    </w:rPr>
  </w:style>
  <w:style w:type="character" w:customStyle="1" w:styleId="31">
    <w:name w:val="页眉 字符"/>
    <w:basedOn w:val="18"/>
    <w:link w:val="12"/>
    <w:semiHidden/>
    <w:qFormat/>
    <w:locked/>
    <w:uiPriority w:val="99"/>
    <w:rPr>
      <w:sz w:val="18"/>
    </w:rPr>
  </w:style>
  <w:style w:type="paragraph" w:customStyle="1" w:styleId="32">
    <w:name w:val="列出段落1"/>
    <w:basedOn w:val="1"/>
    <w:qFormat/>
    <w:uiPriority w:val="99"/>
    <w:pPr>
      <w:ind w:firstLine="420" w:firstLineChars="200"/>
    </w:pPr>
  </w:style>
  <w:style w:type="character" w:customStyle="1" w:styleId="33">
    <w:name w:val="f14w1"/>
    <w:qFormat/>
    <w:uiPriority w:val="99"/>
    <w:rPr>
      <w:b/>
      <w:color w:val="002569"/>
      <w:sz w:val="21"/>
    </w:rPr>
  </w:style>
  <w:style w:type="paragraph" w:customStyle="1" w:styleId="3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5">
    <w:name w:val="列出段落11"/>
    <w:basedOn w:val="1"/>
    <w:qFormat/>
    <w:uiPriority w:val="99"/>
    <w:pPr>
      <w:ind w:firstLine="420" w:firstLineChars="200"/>
    </w:pPr>
  </w:style>
  <w:style w:type="paragraph" w:customStyle="1" w:styleId="36">
    <w:name w:val="列出段落2"/>
    <w:basedOn w:val="1"/>
    <w:qFormat/>
    <w:uiPriority w:val="99"/>
    <w:pPr>
      <w:ind w:firstLine="420" w:firstLineChars="200"/>
    </w:pPr>
    <w:rPr>
      <w:rFonts w:ascii="Calibri" w:hAnsi="Calibri"/>
      <w:szCs w:val="22"/>
    </w:rPr>
  </w:style>
  <w:style w:type="character" w:customStyle="1" w:styleId="37">
    <w:name w:val="标题 字符"/>
    <w:basedOn w:val="18"/>
    <w:link w:val="2"/>
    <w:qFormat/>
    <w:uiPriority w:val="10"/>
    <w:rPr>
      <w:rFonts w:ascii="Calibri" w:hAnsi="Calibri"/>
      <w:b/>
      <w:bCs/>
      <w:kern w:val="2"/>
      <w:sz w:val="32"/>
      <w:szCs w:val="32"/>
    </w:rPr>
  </w:style>
  <w:style w:type="paragraph" w:customStyle="1" w:styleId="38">
    <w:name w:val="1"/>
    <w:basedOn w:val="1"/>
    <w:next w:val="9"/>
    <w:qFormat/>
    <w:uiPriority w:val="0"/>
    <w:rPr>
      <w:rFonts w:ascii="宋体" w:hAnsi="Courier New"/>
      <w:szCs w:val="20"/>
    </w:rPr>
  </w:style>
  <w:style w:type="paragraph" w:customStyle="1" w:styleId="39">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 w:type="paragraph" w:customStyle="1" w:styleId="40">
    <w:name w:val="Default"/>
    <w:unhideWhenUsed/>
    <w:qFormat/>
    <w:uiPriority w:val="99"/>
    <w:pPr>
      <w:widowControl w:val="0"/>
      <w:autoSpaceDE w:val="0"/>
      <w:autoSpaceDN w:val="0"/>
      <w:adjustRightInd w:val="0"/>
      <w:spacing w:beforeLines="0" w:afterLines="0"/>
    </w:pPr>
    <w:rPr>
      <w:rFonts w:hint="default" w:ascii="宋体" w:hAnsi="宋体" w:eastAsia="宋体" w:cstheme="minorBidi"/>
      <w:color w:val="000000"/>
      <w:sz w:val="24"/>
    </w:rPr>
  </w:style>
  <w:style w:type="paragraph" w:customStyle="1" w:styleId="41">
    <w:name w:val="_Style 4"/>
    <w:basedOn w:val="1"/>
    <w:next w:val="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8472</Words>
  <Characters>9513</Characters>
  <Lines>12</Lines>
  <Paragraphs>21</Paragraphs>
  <TotalTime>8</TotalTime>
  <ScaleCrop>false</ScaleCrop>
  <LinksUpToDate>false</LinksUpToDate>
  <CharactersWithSpaces>9897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2019-11-14T17:14:00Z</dcterms:created>
  <dc:creator>李凯01</dc:creator>
  <cp:lastModifiedBy>Zhengyu</cp:lastModifiedBy>
  <cp:lastPrinted>2022-04-12T02:52:00Z</cp:lastPrinted>
  <dcterms:modified xsi:type="dcterms:W3CDTF">2022-04-20T01:29:18Z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KSOSaveFontToCloudKey">
    <vt:lpwstr>230241869_btnclosed</vt:lpwstr>
  </property>
  <property fmtid="{D5CDD505-2E9C-101B-9397-08002B2CF9AE}" pid="4" name="ICV">
    <vt:lpwstr>DA61DAC7724A4EB49EAA91D2F505DAE2</vt:lpwstr>
  </property>
</Properties>
</file>