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T2停车场公共厕所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维修</w:t>
      </w:r>
      <w:r>
        <w:rPr>
          <w:rFonts w:hint="eastAsia" w:ascii="黑体" w:eastAsia="黑体"/>
          <w:sz w:val="36"/>
          <w:szCs w:val="36"/>
        </w:rPr>
        <w:t>采购询价单</w:t>
      </w:r>
    </w:p>
    <w:p>
      <w:pPr>
        <w:spacing w:line="380" w:lineRule="exact"/>
        <w:rPr>
          <w:rFonts w:ascii="宋体" w:hAnsi="宋体"/>
        </w:rPr>
      </w:pPr>
      <w:r>
        <w:rPr>
          <w:rFonts w:hint="eastAsia" w:ascii="宋体" w:hAnsi="宋体"/>
          <w:lang w:eastAsia="zh-CN"/>
        </w:rPr>
        <w:t>询价员：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  <w:r>
        <w:rPr>
          <w:rFonts w:hint="eastAsia" w:ascii="宋体" w:hAnsi="宋体"/>
        </w:rPr>
        <w:t xml:space="preserve"> 日期：                 </w:t>
      </w:r>
    </w:p>
    <w:tbl>
      <w:tblPr>
        <w:tblStyle w:val="3"/>
        <w:tblW w:w="104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590"/>
        <w:gridCol w:w="1320"/>
        <w:gridCol w:w="1170"/>
        <w:gridCol w:w="1140"/>
        <w:gridCol w:w="735"/>
        <w:gridCol w:w="857"/>
        <w:gridCol w:w="178"/>
        <w:gridCol w:w="1005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供应商名称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供应商代表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联系人</w:t>
            </w:r>
          </w:p>
        </w:tc>
        <w:tc>
          <w:tcPr>
            <w:tcW w:w="3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eastAsia="zh-CN"/>
              </w:rPr>
            </w:pP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采购物资明细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名    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型号规格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数量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单价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金额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1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微软雅黑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抽水箱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widowControl w:val="0"/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880" w:firstLineChars="400"/>
              <w:jc w:val="both"/>
              <w:rPr>
                <w:rFonts w:hint="eastAsia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套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 w:cstheme="minorBidi"/>
                <w:kern w:val="24"/>
                <w:sz w:val="24"/>
                <w:szCs w:val="22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6300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 w:eastAsia="微软雅黑"/>
                <w:kern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kern w:val="24"/>
                <w:sz w:val="24"/>
                <w:lang w:val="en-US" w:eastAsia="zh-CN"/>
              </w:rPr>
              <w:t>2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theme="minorBidi"/>
                <w:kern w:val="24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屋面防水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24"/>
                <w:sz w:val="24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12000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铝扣板吊顶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mc:AlternateContent>
              <mc:Choice Requires="wpsCustomData">
                <wpsCustomData:diagonals>
                  <wpsCustomData:diagonal from="20000" to="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vertAlign w:val="baseline"/>
              </w:rPr>
            </w:pPr>
          </w:p>
          <w:p>
            <w:pPr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平方米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80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6400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合      计      金      额（元）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>含税价（税率</w:t>
            </w: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  <w:tc>
          <w:tcPr>
            <w:tcW w:w="456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7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 w:val="24"/>
                <w:lang w:val="en-US" w:eastAsia="zh-CN"/>
              </w:rPr>
            </w:pPr>
          </w:p>
        </w:tc>
        <w:tc>
          <w:tcPr>
            <w:tcW w:w="158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both"/>
              <w:rPr>
                <w:rFonts w:hint="default" w:ascii="宋体" w:hAnsi="宋体" w:eastAsia="微软雅黑"/>
                <w:kern w:val="24"/>
                <w:sz w:val="24"/>
                <w:lang w:val="en-US" w:eastAsia="zh-CN"/>
              </w:rPr>
            </w:pPr>
            <w:r>
              <w:rPr>
                <w:rFonts w:hint="eastAsia" w:ascii="宋体" w:hAnsi="宋体"/>
              </w:rPr>
              <w:t>不含税价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宋体" w:hAnsi="宋体" w:eastAsia="宋体" w:cs="Times New Roman"/>
                <w:kern w:val="24"/>
                <w:sz w:val="24"/>
                <w:szCs w:val="20"/>
              </w:rPr>
            </w:pPr>
            <w:r>
              <w:rPr>
                <w:rFonts w:hint="eastAsia" w:ascii="宋体" w:hAnsi="宋体"/>
              </w:rPr>
              <w:t>大写：</w:t>
            </w:r>
          </w:p>
          <w:p>
            <w:pPr>
              <w:widowControl w:val="0"/>
              <w:spacing w:line="380" w:lineRule="exact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小写：</w:t>
            </w:r>
          </w:p>
        </w:tc>
        <w:tc>
          <w:tcPr>
            <w:tcW w:w="456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hint="eastAsia" w:ascii="宋体" w:hAnsi="宋体"/>
                <w:kern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2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380" w:lineRule="exact"/>
              <w:jc w:val="center"/>
              <w:rPr>
                <w:rFonts w:ascii="宋体" w:hAnsi="宋体"/>
                <w:kern w:val="24"/>
                <w:sz w:val="24"/>
              </w:rPr>
            </w:pPr>
            <w:r>
              <w:rPr>
                <w:rFonts w:hint="eastAsia" w:ascii="宋体" w:hAnsi="宋体"/>
              </w:rPr>
              <w:t>备注</w:t>
            </w:r>
          </w:p>
        </w:tc>
        <w:tc>
          <w:tcPr>
            <w:tcW w:w="978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报价须知：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1、报价人必须具有独立法人资格，营业执照中经营范围包含装饰装修、市政工程或其他建筑作业相关资格。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、请于20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日上午9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11点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整将报价单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及营业执照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密封送至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重庆机场集团有限公司公共区管理部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320号房间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，过时无效。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、报价时须认真阅读本报价单全部内容，提交报价即视为对报价单中的所有要求做出实质性响应，且只能一次报出不得更改。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、交货时间、地点：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2022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日前在采购人指定地点验收交货。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、根据符合采购需求以报价最低的原则确定成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交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供应商（若所有供应商报价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超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出采购预算时本次询价作废）价格相同者，现场进行第二轮报价。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6、本项目承包方式为：总价包干。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15" w:lineRule="atLeast"/>
              <w:jc w:val="lef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、本次采购预算总额为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2.47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万元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(含税)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，报价不得超过预算价，否则视为无效报价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bookmarkStart w:id="0" w:name="_GoBack"/>
            <w:bookmarkEnd w:id="0"/>
          </w:p>
        </w:tc>
      </w:tr>
    </w:tbl>
    <w:p>
      <w:pPr>
        <w:jc w:val="both"/>
        <w:rPr>
          <w:rFonts w:ascii="黑体" w:eastAsia="黑体"/>
          <w:sz w:val="36"/>
          <w:szCs w:val="36"/>
        </w:rPr>
      </w:pPr>
    </w:p>
    <w:sectPr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2900"/>
    <w:rsid w:val="00052DF0"/>
    <w:rsid w:val="000E6B59"/>
    <w:rsid w:val="00104498"/>
    <w:rsid w:val="001528A9"/>
    <w:rsid w:val="00177FEF"/>
    <w:rsid w:val="001E324A"/>
    <w:rsid w:val="00323B43"/>
    <w:rsid w:val="003B60BA"/>
    <w:rsid w:val="003B68C3"/>
    <w:rsid w:val="003D37D8"/>
    <w:rsid w:val="004235A2"/>
    <w:rsid w:val="00426133"/>
    <w:rsid w:val="004358AB"/>
    <w:rsid w:val="0045092D"/>
    <w:rsid w:val="004A48EC"/>
    <w:rsid w:val="004D71EC"/>
    <w:rsid w:val="004F7C8B"/>
    <w:rsid w:val="005109E1"/>
    <w:rsid w:val="0051117A"/>
    <w:rsid w:val="00594A45"/>
    <w:rsid w:val="00640D52"/>
    <w:rsid w:val="006523F9"/>
    <w:rsid w:val="006F2DFD"/>
    <w:rsid w:val="00765439"/>
    <w:rsid w:val="00785232"/>
    <w:rsid w:val="007F4949"/>
    <w:rsid w:val="008005D2"/>
    <w:rsid w:val="008A1967"/>
    <w:rsid w:val="008B6999"/>
    <w:rsid w:val="008B7726"/>
    <w:rsid w:val="008C1F7C"/>
    <w:rsid w:val="008C323F"/>
    <w:rsid w:val="008D6759"/>
    <w:rsid w:val="00922EF6"/>
    <w:rsid w:val="009879B2"/>
    <w:rsid w:val="009A7AE3"/>
    <w:rsid w:val="00A06381"/>
    <w:rsid w:val="00A254BA"/>
    <w:rsid w:val="00AD1914"/>
    <w:rsid w:val="00AD6887"/>
    <w:rsid w:val="00BA5884"/>
    <w:rsid w:val="00BB3DE3"/>
    <w:rsid w:val="00BD14F2"/>
    <w:rsid w:val="00C04ADC"/>
    <w:rsid w:val="00C340C8"/>
    <w:rsid w:val="00CA68A8"/>
    <w:rsid w:val="00CC1C8F"/>
    <w:rsid w:val="00D05869"/>
    <w:rsid w:val="00D31D50"/>
    <w:rsid w:val="00DB2E09"/>
    <w:rsid w:val="00DB4E93"/>
    <w:rsid w:val="00DC6F0E"/>
    <w:rsid w:val="00DD58B7"/>
    <w:rsid w:val="00E44F68"/>
    <w:rsid w:val="00E82E06"/>
    <w:rsid w:val="00E838BA"/>
    <w:rsid w:val="00E86F4B"/>
    <w:rsid w:val="00EA2EC6"/>
    <w:rsid w:val="00EB1DE9"/>
    <w:rsid w:val="00F57B81"/>
    <w:rsid w:val="00FA71E9"/>
    <w:rsid w:val="00FB1797"/>
    <w:rsid w:val="03DC0174"/>
    <w:rsid w:val="077F519F"/>
    <w:rsid w:val="0A58225A"/>
    <w:rsid w:val="164A34C9"/>
    <w:rsid w:val="169D3B94"/>
    <w:rsid w:val="18620FFC"/>
    <w:rsid w:val="26301A91"/>
    <w:rsid w:val="26761226"/>
    <w:rsid w:val="298125C6"/>
    <w:rsid w:val="2AF25EB8"/>
    <w:rsid w:val="32794AFF"/>
    <w:rsid w:val="3BA255D1"/>
    <w:rsid w:val="3D8E16E0"/>
    <w:rsid w:val="3F721DC2"/>
    <w:rsid w:val="42C26704"/>
    <w:rsid w:val="52D62FFC"/>
    <w:rsid w:val="570A6438"/>
    <w:rsid w:val="5A130FC9"/>
    <w:rsid w:val="5EB17729"/>
    <w:rsid w:val="6095167E"/>
    <w:rsid w:val="619E15AA"/>
    <w:rsid w:val="6C515686"/>
    <w:rsid w:val="704624C9"/>
    <w:rsid w:val="79F90413"/>
    <w:rsid w:val="7CC7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</Words>
  <Characters>217</Characters>
  <Lines>1</Lines>
  <Paragraphs>1</Paragraphs>
  <TotalTime>3</TotalTime>
  <ScaleCrop>false</ScaleCrop>
  <LinksUpToDate>false</LinksUpToDate>
  <CharactersWithSpaces>254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西园寺</cp:lastModifiedBy>
  <cp:lastPrinted>2021-10-13T02:39:00Z</cp:lastPrinted>
  <dcterms:modified xsi:type="dcterms:W3CDTF">2022-04-07T08:06:47Z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03A1FE9BE59E4A8F9090C93D8D42EF1E</vt:lpwstr>
  </property>
</Properties>
</file>