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adjustRightInd w:val="0"/>
        <w:snapToGrid w:val="0"/>
        <w:jc w:val="cente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1.8G无线通信系统专业设备维修框架</w:t>
      </w:r>
      <w:r>
        <w:rPr>
          <w:rFonts w:hint="eastAsia" w:ascii="方正小标宋_GBK" w:hAnsi="仿宋" w:eastAsia="方正小标宋_GBK" w:cs="方正小标宋简体"/>
          <w:bCs/>
          <w:color w:val="000000" w:themeColor="text1"/>
          <w:sz w:val="44"/>
          <w:szCs w:val="44"/>
          <w14:textFill>
            <w14:solidFill>
              <w14:schemeClr w14:val="tx1"/>
            </w14:solidFill>
          </w14:textFill>
        </w:rPr>
        <w:t>项</w:t>
      </w:r>
      <w:r>
        <w:rPr>
          <w:rFonts w:hint="eastAsia" w:ascii="方正小标宋_GBK" w:hAnsi="仿宋" w:eastAsia="方正小标宋_GBK" w:cs="方正小标宋简体"/>
          <w:bCs/>
          <w:color w:val="000000"/>
          <w:sz w:val="44"/>
          <w:szCs w:val="44"/>
        </w:rPr>
        <w:t>目</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编号：框架</w:t>
      </w:r>
      <w:r>
        <w:rPr>
          <w:rFonts w:hint="eastAsia" w:ascii="仿宋_GB2312" w:hAnsi="仿宋" w:eastAsia="仿宋_GB2312" w:cs="宋体"/>
          <w:b/>
          <w:bCs/>
          <w:color w:val="000000"/>
          <w:sz w:val="36"/>
          <w:szCs w:val="36"/>
          <w:lang w:val="en-US" w:eastAsia="zh-CN"/>
        </w:rPr>
        <w:t>2022003</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2"/>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二〇二二年四月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Pr>
        <w:pStyle w:val="4"/>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我司决定于近期将对1.8G无线通信系统专业设备维修框架项目邀请符合相应条件的供应商就本项目进行比选。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项目名称：1.8G无线通信系统专业设备维修框架项目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目内容：该项目主要针对1.8G系统专业设备维修需求签订框架供应商。 </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2"/>
        <w:tblW w:w="8359" w:type="dxa"/>
        <w:jc w:val="center"/>
        <w:tblLayout w:type="autofit"/>
        <w:tblCellMar>
          <w:top w:w="0" w:type="dxa"/>
          <w:left w:w="108" w:type="dxa"/>
          <w:bottom w:w="0" w:type="dxa"/>
          <w:right w:w="108" w:type="dxa"/>
        </w:tblCellMar>
      </w:tblPr>
      <w:tblGrid>
        <w:gridCol w:w="552"/>
        <w:gridCol w:w="898"/>
        <w:gridCol w:w="900"/>
        <w:gridCol w:w="1557"/>
        <w:gridCol w:w="1843"/>
        <w:gridCol w:w="1360"/>
        <w:gridCol w:w="1249"/>
      </w:tblGrid>
      <w:tr>
        <w:tblPrEx>
          <w:tblCellMar>
            <w:top w:w="0" w:type="dxa"/>
            <w:left w:w="108" w:type="dxa"/>
            <w:bottom w:w="0" w:type="dxa"/>
            <w:right w:w="108" w:type="dxa"/>
          </w:tblCellMar>
        </w:tblPrEx>
        <w:trPr>
          <w:trHeight w:val="51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品名</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品牌</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型号规格</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更换/维修内容</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单价控制价（含税）（元）</w:t>
            </w:r>
          </w:p>
        </w:tc>
        <w:tc>
          <w:tcPr>
            <w:tcW w:w="12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货期</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1.8G核心网</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华为</w:t>
            </w: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eCNS210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机框</w:t>
            </w:r>
          </w:p>
        </w:tc>
        <w:tc>
          <w:tcPr>
            <w:tcW w:w="1360" w:type="dxa"/>
            <w:tcBorders>
              <w:top w:val="nil"/>
              <w:left w:val="nil"/>
              <w:bottom w:val="single" w:color="auto" w:sz="4" w:space="0"/>
              <w:right w:val="single" w:color="auto" w:sz="4" w:space="0"/>
            </w:tcBorders>
            <w:shd w:val="clear" w:color="auto" w:fill="auto"/>
            <w:vAlign w:val="center"/>
          </w:tcPr>
          <w:p>
            <w:pPr>
              <w:jc w:val="center"/>
            </w:pPr>
            <w:r>
              <w:t>13248</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风扇</w:t>
            </w:r>
          </w:p>
        </w:tc>
        <w:tc>
          <w:tcPr>
            <w:tcW w:w="1360" w:type="dxa"/>
            <w:tcBorders>
              <w:top w:val="nil"/>
              <w:left w:val="nil"/>
              <w:bottom w:val="single" w:color="auto" w:sz="4" w:space="0"/>
              <w:right w:val="single" w:color="auto" w:sz="4" w:space="0"/>
            </w:tcBorders>
            <w:shd w:val="clear" w:color="auto" w:fill="auto"/>
            <w:vAlign w:val="center"/>
          </w:tcPr>
          <w:p>
            <w:pPr>
              <w:jc w:val="center"/>
            </w:pPr>
            <w:r>
              <w:t>2870</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电源</w:t>
            </w:r>
          </w:p>
        </w:tc>
        <w:tc>
          <w:tcPr>
            <w:tcW w:w="1360" w:type="dxa"/>
            <w:tcBorders>
              <w:top w:val="nil"/>
              <w:left w:val="nil"/>
              <w:bottom w:val="single" w:color="auto" w:sz="4" w:space="0"/>
              <w:right w:val="single" w:color="auto" w:sz="4" w:space="0"/>
            </w:tcBorders>
            <w:shd w:val="clear" w:color="auto" w:fill="auto"/>
            <w:vAlign w:val="center"/>
          </w:tcPr>
          <w:p>
            <w:pPr>
              <w:jc w:val="center"/>
            </w:pPr>
            <w:r>
              <w:t>4416</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8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1.8G基站</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华为</w:t>
            </w: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eBBU3900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整机</w:t>
            </w:r>
          </w:p>
        </w:tc>
        <w:tc>
          <w:tcPr>
            <w:tcW w:w="1360" w:type="dxa"/>
            <w:tcBorders>
              <w:top w:val="nil"/>
              <w:left w:val="nil"/>
              <w:bottom w:val="single" w:color="auto" w:sz="4" w:space="0"/>
              <w:right w:val="single" w:color="auto" w:sz="4" w:space="0"/>
            </w:tcBorders>
            <w:shd w:val="clear" w:color="auto" w:fill="auto"/>
            <w:vAlign w:val="center"/>
          </w:tcPr>
          <w:p>
            <w:pPr>
              <w:jc w:val="center"/>
            </w:pPr>
            <w:r>
              <w:t>66240</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光模块6.144G</w:t>
            </w:r>
          </w:p>
        </w:tc>
        <w:tc>
          <w:tcPr>
            <w:tcW w:w="1360" w:type="dxa"/>
            <w:tcBorders>
              <w:top w:val="nil"/>
              <w:left w:val="nil"/>
              <w:bottom w:val="single" w:color="auto" w:sz="4" w:space="0"/>
              <w:right w:val="single" w:color="auto" w:sz="4" w:space="0"/>
            </w:tcBorders>
            <w:shd w:val="clear" w:color="auto" w:fill="auto"/>
            <w:vAlign w:val="center"/>
          </w:tcPr>
          <w:p>
            <w:pPr>
              <w:jc w:val="center"/>
            </w:pPr>
            <w:r>
              <w:t>1766</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光模块1.25G</w:t>
            </w:r>
          </w:p>
        </w:tc>
        <w:tc>
          <w:tcPr>
            <w:tcW w:w="1360" w:type="dxa"/>
            <w:tcBorders>
              <w:top w:val="nil"/>
              <w:left w:val="nil"/>
              <w:bottom w:val="single" w:color="auto" w:sz="4" w:space="0"/>
              <w:right w:val="single" w:color="auto" w:sz="4" w:space="0"/>
            </w:tcBorders>
            <w:shd w:val="clear" w:color="auto" w:fill="auto"/>
            <w:vAlign w:val="center"/>
          </w:tcPr>
          <w:p>
            <w:pPr>
              <w:jc w:val="center"/>
            </w:pPr>
            <w:r>
              <w:t>883</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主控板</w:t>
            </w:r>
          </w:p>
        </w:tc>
        <w:tc>
          <w:tcPr>
            <w:tcW w:w="1360" w:type="dxa"/>
            <w:tcBorders>
              <w:top w:val="nil"/>
              <w:left w:val="nil"/>
              <w:bottom w:val="single" w:color="auto" w:sz="4" w:space="0"/>
              <w:right w:val="single" w:color="auto" w:sz="4" w:space="0"/>
            </w:tcBorders>
            <w:shd w:val="clear" w:color="auto" w:fill="auto"/>
            <w:vAlign w:val="center"/>
          </w:tcPr>
          <w:p>
            <w:pPr>
              <w:jc w:val="center"/>
            </w:pPr>
            <w:r>
              <w:t>19872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基带板</w:t>
            </w:r>
          </w:p>
        </w:tc>
        <w:tc>
          <w:tcPr>
            <w:tcW w:w="1360" w:type="dxa"/>
            <w:tcBorders>
              <w:top w:val="nil"/>
              <w:left w:val="nil"/>
              <w:bottom w:val="single" w:color="auto" w:sz="4" w:space="0"/>
              <w:right w:val="single" w:color="auto" w:sz="4" w:space="0"/>
            </w:tcBorders>
            <w:shd w:val="clear" w:color="auto" w:fill="auto"/>
            <w:vAlign w:val="center"/>
          </w:tcPr>
          <w:p>
            <w:pPr>
              <w:jc w:val="center"/>
            </w:pPr>
            <w:r>
              <w:t>28704</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eRRU3232</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整机</w:t>
            </w:r>
          </w:p>
        </w:tc>
        <w:tc>
          <w:tcPr>
            <w:tcW w:w="1360" w:type="dxa"/>
            <w:tcBorders>
              <w:top w:val="nil"/>
              <w:left w:val="nil"/>
              <w:bottom w:val="single" w:color="auto" w:sz="4" w:space="0"/>
              <w:right w:val="single" w:color="auto" w:sz="4" w:space="0"/>
            </w:tcBorders>
            <w:shd w:val="clear" w:color="auto" w:fill="auto"/>
            <w:vAlign w:val="center"/>
          </w:tcPr>
          <w:p>
            <w:pPr>
              <w:jc w:val="center"/>
            </w:pPr>
            <w:r>
              <w:t>77280</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板状天线</w:t>
            </w:r>
          </w:p>
        </w:tc>
        <w:tc>
          <w:tcPr>
            <w:tcW w:w="1360" w:type="dxa"/>
            <w:tcBorders>
              <w:top w:val="nil"/>
              <w:left w:val="nil"/>
              <w:bottom w:val="single" w:color="auto" w:sz="4" w:space="0"/>
              <w:right w:val="single" w:color="auto" w:sz="4" w:space="0"/>
            </w:tcBorders>
            <w:shd w:val="clear" w:color="auto" w:fill="auto"/>
            <w:vAlign w:val="center"/>
          </w:tcPr>
          <w:p>
            <w:pPr>
              <w:jc w:val="center"/>
            </w:pPr>
            <w:r>
              <w:t>1987</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eRRU5251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整机</w:t>
            </w:r>
          </w:p>
        </w:tc>
        <w:tc>
          <w:tcPr>
            <w:tcW w:w="1360" w:type="dxa"/>
            <w:tcBorders>
              <w:top w:val="nil"/>
              <w:left w:val="nil"/>
              <w:bottom w:val="single" w:color="auto" w:sz="4" w:space="0"/>
              <w:right w:val="single" w:color="auto" w:sz="4" w:space="0"/>
            </w:tcBorders>
            <w:shd w:val="clear" w:color="auto" w:fill="auto"/>
            <w:vAlign w:val="center"/>
          </w:tcPr>
          <w:p>
            <w:pPr>
              <w:jc w:val="center"/>
            </w:pPr>
            <w:r>
              <w:t>66240</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板状天线</w:t>
            </w:r>
          </w:p>
        </w:tc>
        <w:tc>
          <w:tcPr>
            <w:tcW w:w="1360" w:type="dxa"/>
            <w:tcBorders>
              <w:top w:val="nil"/>
              <w:left w:val="nil"/>
              <w:bottom w:val="single" w:color="auto" w:sz="4" w:space="0"/>
              <w:right w:val="single" w:color="auto" w:sz="4" w:space="0"/>
            </w:tcBorders>
            <w:shd w:val="clear" w:color="auto" w:fill="auto"/>
            <w:vAlign w:val="center"/>
          </w:tcPr>
          <w:p>
            <w:pPr>
              <w:jc w:val="center"/>
            </w:pPr>
            <w:r>
              <w:t>1987</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8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1.8G终端</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华为</w:t>
            </w: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EV751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整机</w:t>
            </w:r>
          </w:p>
        </w:tc>
        <w:tc>
          <w:tcPr>
            <w:tcW w:w="1360" w:type="dxa"/>
            <w:tcBorders>
              <w:top w:val="nil"/>
              <w:left w:val="nil"/>
              <w:bottom w:val="single" w:color="auto" w:sz="4" w:space="0"/>
              <w:right w:val="single" w:color="auto" w:sz="4" w:space="0"/>
            </w:tcBorders>
            <w:shd w:val="clear" w:color="auto" w:fill="auto"/>
            <w:vAlign w:val="center"/>
          </w:tcPr>
          <w:p>
            <w:pPr>
              <w:jc w:val="center"/>
            </w:pPr>
            <w:r>
              <w:t>24288</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天线</w:t>
            </w:r>
          </w:p>
        </w:tc>
        <w:tc>
          <w:tcPr>
            <w:tcW w:w="1360" w:type="dxa"/>
            <w:tcBorders>
              <w:top w:val="nil"/>
              <w:left w:val="nil"/>
              <w:bottom w:val="single" w:color="auto" w:sz="4" w:space="0"/>
              <w:right w:val="single" w:color="auto" w:sz="4" w:space="0"/>
            </w:tcBorders>
            <w:shd w:val="clear" w:color="auto" w:fill="auto"/>
            <w:vAlign w:val="center"/>
          </w:tcPr>
          <w:p>
            <w:pPr>
              <w:jc w:val="center"/>
            </w:pPr>
            <w:r>
              <w:t>2208</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电源适配器</w:t>
            </w:r>
          </w:p>
        </w:tc>
        <w:tc>
          <w:tcPr>
            <w:tcW w:w="1360" w:type="dxa"/>
            <w:tcBorders>
              <w:top w:val="nil"/>
              <w:left w:val="nil"/>
              <w:bottom w:val="single" w:color="auto" w:sz="4" w:space="0"/>
              <w:right w:val="single" w:color="auto" w:sz="4" w:space="0"/>
            </w:tcBorders>
            <w:shd w:val="clear" w:color="auto" w:fill="auto"/>
            <w:vAlign w:val="center"/>
          </w:tcPr>
          <w:p>
            <w:pPr>
              <w:jc w:val="center"/>
            </w:pPr>
            <w:r>
              <w:t>1656</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EP631(S)</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p>
        </w:tc>
        <w:tc>
          <w:tcPr>
            <w:tcW w:w="1360" w:type="dxa"/>
            <w:tcBorders>
              <w:top w:val="nil"/>
              <w:left w:val="nil"/>
              <w:bottom w:val="single" w:color="auto" w:sz="4" w:space="0"/>
              <w:right w:val="single" w:color="auto" w:sz="4" w:space="0"/>
            </w:tcBorders>
            <w:shd w:val="clear" w:color="auto" w:fill="auto"/>
            <w:vAlign w:val="center"/>
          </w:tcPr>
          <w:p>
            <w:pPr>
              <w:jc w:val="center"/>
            </w:pPr>
            <w:r>
              <w:t>6072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充电器</w:t>
            </w:r>
          </w:p>
        </w:tc>
        <w:tc>
          <w:tcPr>
            <w:tcW w:w="1360" w:type="dxa"/>
            <w:tcBorders>
              <w:top w:val="nil"/>
              <w:left w:val="nil"/>
              <w:bottom w:val="single" w:color="auto" w:sz="4" w:space="0"/>
              <w:right w:val="single" w:color="auto" w:sz="4" w:space="0"/>
            </w:tcBorders>
            <w:shd w:val="clear" w:color="auto" w:fill="auto"/>
            <w:vAlign w:val="center"/>
          </w:tcPr>
          <w:p>
            <w:pPr>
              <w:jc w:val="center"/>
            </w:pPr>
            <w:r>
              <w:t>662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耳机</w:t>
            </w:r>
          </w:p>
        </w:tc>
        <w:tc>
          <w:tcPr>
            <w:tcW w:w="1360" w:type="dxa"/>
            <w:tcBorders>
              <w:top w:val="nil"/>
              <w:left w:val="nil"/>
              <w:bottom w:val="single" w:color="auto" w:sz="4" w:space="0"/>
              <w:right w:val="single" w:color="auto" w:sz="4" w:space="0"/>
            </w:tcBorders>
            <w:shd w:val="clear" w:color="auto" w:fill="auto"/>
            <w:vAlign w:val="center"/>
          </w:tcPr>
          <w:p>
            <w:pPr>
              <w:jc w:val="center"/>
            </w:pPr>
            <w:r>
              <w:t>386</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电池</w:t>
            </w:r>
          </w:p>
        </w:tc>
        <w:tc>
          <w:tcPr>
            <w:tcW w:w="1360" w:type="dxa"/>
            <w:tcBorders>
              <w:top w:val="nil"/>
              <w:left w:val="nil"/>
              <w:bottom w:val="single" w:color="auto" w:sz="4" w:space="0"/>
              <w:right w:val="single" w:color="auto" w:sz="4" w:space="0"/>
            </w:tcBorders>
            <w:shd w:val="clear" w:color="auto" w:fill="auto"/>
            <w:vAlign w:val="center"/>
          </w:tcPr>
          <w:p>
            <w:pPr>
              <w:jc w:val="center"/>
            </w:pPr>
            <w:r>
              <w:t>607</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NFC模块</w:t>
            </w:r>
          </w:p>
        </w:tc>
        <w:tc>
          <w:tcPr>
            <w:tcW w:w="1360" w:type="dxa"/>
            <w:tcBorders>
              <w:top w:val="nil"/>
              <w:left w:val="nil"/>
              <w:bottom w:val="single" w:color="auto" w:sz="4" w:space="0"/>
              <w:right w:val="single" w:color="auto" w:sz="4" w:space="0"/>
            </w:tcBorders>
            <w:shd w:val="clear" w:color="auto" w:fill="auto"/>
            <w:vAlign w:val="center"/>
          </w:tcPr>
          <w:p>
            <w:pPr>
              <w:jc w:val="center"/>
            </w:pPr>
            <w:r>
              <w:t>662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EP821</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p>
        </w:tc>
        <w:tc>
          <w:tcPr>
            <w:tcW w:w="1360" w:type="dxa"/>
            <w:tcBorders>
              <w:top w:val="nil"/>
              <w:left w:val="nil"/>
              <w:bottom w:val="single" w:color="auto" w:sz="4" w:space="0"/>
              <w:right w:val="single" w:color="auto" w:sz="4" w:space="0"/>
            </w:tcBorders>
            <w:shd w:val="clear" w:color="auto" w:fill="auto"/>
            <w:vAlign w:val="center"/>
          </w:tcPr>
          <w:p>
            <w:pPr>
              <w:jc w:val="center"/>
            </w:pPr>
            <w:r>
              <w:t>13248</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充电器</w:t>
            </w:r>
          </w:p>
        </w:tc>
        <w:tc>
          <w:tcPr>
            <w:tcW w:w="1360" w:type="dxa"/>
            <w:tcBorders>
              <w:top w:val="nil"/>
              <w:left w:val="nil"/>
              <w:bottom w:val="single" w:color="auto" w:sz="4" w:space="0"/>
              <w:right w:val="single" w:color="auto" w:sz="4" w:space="0"/>
            </w:tcBorders>
            <w:shd w:val="clear" w:color="auto" w:fill="auto"/>
            <w:vAlign w:val="center"/>
          </w:tcPr>
          <w:p>
            <w:pPr>
              <w:jc w:val="center"/>
            </w:pPr>
            <w:r>
              <w:t>662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耳机</w:t>
            </w:r>
          </w:p>
        </w:tc>
        <w:tc>
          <w:tcPr>
            <w:tcW w:w="1360" w:type="dxa"/>
            <w:tcBorders>
              <w:top w:val="nil"/>
              <w:left w:val="nil"/>
              <w:bottom w:val="single" w:color="auto" w:sz="4" w:space="0"/>
              <w:right w:val="single" w:color="auto" w:sz="4" w:space="0"/>
            </w:tcBorders>
            <w:shd w:val="clear" w:color="auto" w:fill="auto"/>
            <w:vAlign w:val="center"/>
          </w:tcPr>
          <w:p>
            <w:pPr>
              <w:jc w:val="center"/>
            </w:pPr>
            <w:r>
              <w:t>386</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电池</w:t>
            </w:r>
          </w:p>
        </w:tc>
        <w:tc>
          <w:tcPr>
            <w:tcW w:w="1360" w:type="dxa"/>
            <w:tcBorders>
              <w:top w:val="nil"/>
              <w:left w:val="nil"/>
              <w:bottom w:val="single" w:color="auto" w:sz="4" w:space="0"/>
              <w:right w:val="single" w:color="auto" w:sz="4" w:space="0"/>
            </w:tcBorders>
            <w:shd w:val="clear" w:color="auto" w:fill="auto"/>
            <w:vAlign w:val="center"/>
          </w:tcPr>
          <w:p>
            <w:pPr>
              <w:jc w:val="center"/>
            </w:pPr>
            <w:r>
              <w:t>607</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NFC模块</w:t>
            </w:r>
          </w:p>
        </w:tc>
        <w:tc>
          <w:tcPr>
            <w:tcW w:w="1360" w:type="dxa"/>
            <w:tcBorders>
              <w:top w:val="nil"/>
              <w:left w:val="nil"/>
              <w:bottom w:val="single" w:color="auto" w:sz="4" w:space="0"/>
              <w:right w:val="single" w:color="auto" w:sz="4" w:space="0"/>
            </w:tcBorders>
            <w:shd w:val="clear" w:color="auto" w:fill="auto"/>
            <w:vAlign w:val="center"/>
          </w:tcPr>
          <w:p>
            <w:pPr>
              <w:jc w:val="center"/>
            </w:pPr>
            <w:r>
              <w:t>662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26</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EP820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充电器</w:t>
            </w:r>
          </w:p>
        </w:tc>
        <w:tc>
          <w:tcPr>
            <w:tcW w:w="1360" w:type="dxa"/>
            <w:tcBorders>
              <w:top w:val="nil"/>
              <w:left w:val="nil"/>
              <w:bottom w:val="single" w:color="auto" w:sz="4" w:space="0"/>
              <w:right w:val="single" w:color="auto" w:sz="4" w:space="0"/>
            </w:tcBorders>
            <w:shd w:val="clear" w:color="auto" w:fill="auto"/>
            <w:vAlign w:val="center"/>
          </w:tcPr>
          <w:p>
            <w:pPr>
              <w:jc w:val="center"/>
            </w:pPr>
            <w:r>
              <w:t>662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27</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耳机</w:t>
            </w:r>
          </w:p>
        </w:tc>
        <w:tc>
          <w:tcPr>
            <w:tcW w:w="1360" w:type="dxa"/>
            <w:tcBorders>
              <w:top w:val="nil"/>
              <w:left w:val="nil"/>
              <w:bottom w:val="single" w:color="auto" w:sz="4" w:space="0"/>
              <w:right w:val="single" w:color="auto" w:sz="4" w:space="0"/>
            </w:tcBorders>
            <w:shd w:val="clear" w:color="auto" w:fill="auto"/>
            <w:vAlign w:val="center"/>
          </w:tcPr>
          <w:p>
            <w:pPr>
              <w:jc w:val="center"/>
            </w:pPr>
            <w:r>
              <w:t>386</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电池</w:t>
            </w:r>
          </w:p>
        </w:tc>
        <w:tc>
          <w:tcPr>
            <w:tcW w:w="1360" w:type="dxa"/>
            <w:tcBorders>
              <w:top w:val="nil"/>
              <w:left w:val="nil"/>
              <w:bottom w:val="single" w:color="auto" w:sz="4" w:space="0"/>
              <w:right w:val="single" w:color="auto" w:sz="4" w:space="0"/>
            </w:tcBorders>
            <w:shd w:val="clear" w:color="auto" w:fill="auto"/>
            <w:vAlign w:val="center"/>
          </w:tcPr>
          <w:p>
            <w:pPr>
              <w:jc w:val="center"/>
            </w:pPr>
            <w:r>
              <w:t>607</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NFC模块</w:t>
            </w:r>
          </w:p>
        </w:tc>
        <w:tc>
          <w:tcPr>
            <w:tcW w:w="1360" w:type="dxa"/>
            <w:tcBorders>
              <w:top w:val="nil"/>
              <w:left w:val="nil"/>
              <w:bottom w:val="single" w:color="auto" w:sz="4" w:space="0"/>
              <w:right w:val="single" w:color="auto" w:sz="4" w:space="0"/>
            </w:tcBorders>
            <w:shd w:val="clear" w:color="auto" w:fill="auto"/>
            <w:vAlign w:val="center"/>
          </w:tcPr>
          <w:p>
            <w:pPr>
              <w:jc w:val="center"/>
            </w:pPr>
            <w:r>
              <w:t>662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EP720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p>
        </w:tc>
        <w:tc>
          <w:tcPr>
            <w:tcW w:w="1360" w:type="dxa"/>
            <w:tcBorders>
              <w:top w:val="nil"/>
              <w:left w:val="nil"/>
              <w:bottom w:val="single" w:color="auto" w:sz="4" w:space="0"/>
              <w:right w:val="single" w:color="auto" w:sz="4" w:space="0"/>
            </w:tcBorders>
            <w:shd w:val="clear" w:color="auto" w:fill="auto"/>
            <w:vAlign w:val="center"/>
          </w:tcPr>
          <w:p>
            <w:pPr>
              <w:jc w:val="center"/>
            </w:pPr>
            <w:r>
              <w:t>10819</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充电器</w:t>
            </w:r>
          </w:p>
        </w:tc>
        <w:tc>
          <w:tcPr>
            <w:tcW w:w="1360" w:type="dxa"/>
            <w:tcBorders>
              <w:top w:val="nil"/>
              <w:left w:val="nil"/>
              <w:bottom w:val="single" w:color="auto" w:sz="4" w:space="0"/>
              <w:right w:val="single" w:color="auto" w:sz="4" w:space="0"/>
            </w:tcBorders>
            <w:shd w:val="clear" w:color="auto" w:fill="auto"/>
            <w:vAlign w:val="center"/>
          </w:tcPr>
          <w:p>
            <w:pPr>
              <w:jc w:val="center"/>
            </w:pPr>
            <w:r>
              <w:t>662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耳机</w:t>
            </w:r>
          </w:p>
        </w:tc>
        <w:tc>
          <w:tcPr>
            <w:tcW w:w="1360" w:type="dxa"/>
            <w:tcBorders>
              <w:top w:val="nil"/>
              <w:left w:val="nil"/>
              <w:bottom w:val="single" w:color="auto" w:sz="4" w:space="0"/>
              <w:right w:val="single" w:color="auto" w:sz="4" w:space="0"/>
            </w:tcBorders>
            <w:shd w:val="clear" w:color="auto" w:fill="auto"/>
            <w:vAlign w:val="center"/>
          </w:tcPr>
          <w:p>
            <w:pPr>
              <w:jc w:val="center"/>
            </w:pPr>
            <w:r>
              <w:t>386</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电池</w:t>
            </w:r>
          </w:p>
        </w:tc>
        <w:tc>
          <w:tcPr>
            <w:tcW w:w="1360" w:type="dxa"/>
            <w:tcBorders>
              <w:top w:val="nil"/>
              <w:left w:val="nil"/>
              <w:bottom w:val="single" w:color="auto" w:sz="4" w:space="0"/>
              <w:right w:val="single" w:color="auto" w:sz="4" w:space="0"/>
            </w:tcBorders>
            <w:shd w:val="clear" w:color="auto" w:fill="auto"/>
            <w:vAlign w:val="center"/>
          </w:tcPr>
          <w:p>
            <w:pPr>
              <w:jc w:val="center"/>
            </w:pPr>
            <w:r>
              <w:t>607</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34</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NFC模块</w:t>
            </w:r>
          </w:p>
        </w:tc>
        <w:tc>
          <w:tcPr>
            <w:tcW w:w="1360" w:type="dxa"/>
            <w:tcBorders>
              <w:top w:val="nil"/>
              <w:left w:val="nil"/>
              <w:bottom w:val="single" w:color="auto" w:sz="4" w:space="0"/>
              <w:right w:val="single" w:color="auto" w:sz="4" w:space="0"/>
            </w:tcBorders>
            <w:shd w:val="clear" w:color="auto" w:fill="auto"/>
            <w:vAlign w:val="center"/>
          </w:tcPr>
          <w:p>
            <w:pPr>
              <w:jc w:val="center"/>
            </w:pPr>
            <w:r>
              <w:t>662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执法记录仪</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整机EC310(4G版本)</w:t>
            </w:r>
          </w:p>
        </w:tc>
        <w:tc>
          <w:tcPr>
            <w:tcW w:w="1360" w:type="dxa"/>
            <w:tcBorders>
              <w:top w:val="nil"/>
              <w:left w:val="nil"/>
              <w:bottom w:val="single" w:color="auto" w:sz="4" w:space="0"/>
              <w:right w:val="single" w:color="auto" w:sz="4" w:space="0"/>
            </w:tcBorders>
            <w:shd w:val="clear" w:color="auto" w:fill="auto"/>
            <w:vAlign w:val="center"/>
          </w:tcPr>
          <w:p>
            <w:pPr>
              <w:jc w:val="center"/>
            </w:pPr>
            <w:r>
              <w:t>2428</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整机EC520(5G版本)</w:t>
            </w:r>
          </w:p>
        </w:tc>
        <w:tc>
          <w:tcPr>
            <w:tcW w:w="1360" w:type="dxa"/>
            <w:tcBorders>
              <w:top w:val="nil"/>
              <w:left w:val="nil"/>
              <w:bottom w:val="single" w:color="auto" w:sz="4" w:space="0"/>
              <w:right w:val="single" w:color="auto" w:sz="4" w:space="0"/>
            </w:tcBorders>
            <w:shd w:val="clear" w:color="auto" w:fill="auto"/>
            <w:vAlign w:val="center"/>
          </w:tcPr>
          <w:p>
            <w:pPr>
              <w:jc w:val="center"/>
            </w:pPr>
            <w:r>
              <w:t>5299</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510"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整机EC520s(5G版本)</w:t>
            </w:r>
          </w:p>
        </w:tc>
        <w:tc>
          <w:tcPr>
            <w:tcW w:w="1360" w:type="dxa"/>
            <w:tcBorders>
              <w:top w:val="nil"/>
              <w:left w:val="nil"/>
              <w:bottom w:val="single" w:color="auto" w:sz="4" w:space="0"/>
              <w:right w:val="single" w:color="auto" w:sz="4" w:space="0"/>
            </w:tcBorders>
            <w:shd w:val="clear" w:color="auto" w:fill="auto"/>
            <w:vAlign w:val="center"/>
          </w:tcPr>
          <w:p>
            <w:pPr>
              <w:jc w:val="center"/>
            </w:pPr>
            <w:r>
              <w:t>6403</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510"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数据接入设备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华为</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EG860 CPE</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整机</w:t>
            </w:r>
          </w:p>
        </w:tc>
        <w:tc>
          <w:tcPr>
            <w:tcW w:w="1360" w:type="dxa"/>
            <w:tcBorders>
              <w:top w:val="nil"/>
              <w:left w:val="nil"/>
              <w:bottom w:val="single" w:color="auto" w:sz="4" w:space="0"/>
              <w:right w:val="single" w:color="auto" w:sz="4" w:space="0"/>
            </w:tcBorders>
            <w:shd w:val="clear" w:color="auto" w:fill="auto"/>
            <w:vAlign w:val="center"/>
          </w:tcPr>
          <w:p>
            <w:pPr>
              <w:jc w:val="center"/>
            </w:pPr>
            <w:r>
              <w:t>9936</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61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39</w:t>
            </w:r>
          </w:p>
        </w:tc>
        <w:tc>
          <w:tcPr>
            <w:tcW w:w="8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软件</w:t>
            </w:r>
          </w:p>
        </w:tc>
        <w:tc>
          <w:tcPr>
            <w:tcW w:w="9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华为</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1.8G集群功能软件</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（宽带集群用户接入软件（每100用户））</w:t>
            </w:r>
          </w:p>
        </w:tc>
        <w:tc>
          <w:tcPr>
            <w:tcW w:w="1360" w:type="dxa"/>
            <w:tcBorders>
              <w:top w:val="nil"/>
              <w:left w:val="nil"/>
              <w:bottom w:val="single" w:color="auto" w:sz="4" w:space="0"/>
              <w:right w:val="single" w:color="auto" w:sz="4" w:space="0"/>
            </w:tcBorders>
            <w:shd w:val="clear" w:color="auto" w:fill="auto"/>
            <w:vAlign w:val="center"/>
          </w:tcPr>
          <w:p>
            <w:pPr>
              <w:jc w:val="center"/>
            </w:pPr>
            <w:r>
              <w:t>8832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5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1.8G核心网软件</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eCNS嵌入式用户接入软件（每100用户）</w:t>
            </w:r>
          </w:p>
        </w:tc>
        <w:tc>
          <w:tcPr>
            <w:tcW w:w="1360" w:type="dxa"/>
            <w:tcBorders>
              <w:top w:val="nil"/>
              <w:left w:val="nil"/>
              <w:bottom w:val="single" w:color="auto" w:sz="4" w:space="0"/>
              <w:right w:val="single" w:color="auto" w:sz="4" w:space="0"/>
            </w:tcBorders>
            <w:shd w:val="clear" w:color="auto" w:fill="auto"/>
            <w:vAlign w:val="center"/>
          </w:tcPr>
          <w:p>
            <w:pPr>
              <w:jc w:val="center"/>
            </w:pPr>
            <w:r>
              <w:t>6624</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285"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8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1.8G调度终端软件</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360" w:type="dxa"/>
            <w:tcBorders>
              <w:top w:val="nil"/>
              <w:left w:val="nil"/>
              <w:bottom w:val="single" w:color="auto" w:sz="4" w:space="0"/>
              <w:right w:val="single" w:color="auto" w:sz="4" w:space="0"/>
            </w:tcBorders>
            <w:shd w:val="clear" w:color="auto" w:fill="auto"/>
            <w:vAlign w:val="center"/>
          </w:tcPr>
          <w:p>
            <w:pPr>
              <w:jc w:val="center"/>
            </w:pPr>
            <w:r>
              <w:t>19872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510" w:hRule="atLeast"/>
          <w:jc w:val="center"/>
        </w:trPr>
        <w:tc>
          <w:tcPr>
            <w:tcW w:w="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PCI-E模块</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EM360</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整机</w:t>
            </w:r>
          </w:p>
        </w:tc>
        <w:tc>
          <w:tcPr>
            <w:tcW w:w="1360" w:type="dxa"/>
            <w:tcBorders>
              <w:top w:val="nil"/>
              <w:left w:val="nil"/>
              <w:bottom w:val="single" w:color="auto" w:sz="4" w:space="0"/>
              <w:right w:val="single" w:color="auto" w:sz="4" w:space="0"/>
            </w:tcBorders>
            <w:shd w:val="clear" w:color="auto" w:fill="auto"/>
            <w:vAlign w:val="center"/>
          </w:tcPr>
          <w:p>
            <w:pPr>
              <w:jc w:val="center"/>
            </w:pPr>
            <w:r>
              <w:t>3312</w:t>
            </w:r>
          </w:p>
        </w:tc>
        <w:tc>
          <w:tcPr>
            <w:tcW w:w="1249" w:type="dxa"/>
            <w:tcBorders>
              <w:top w:val="nil"/>
              <w:left w:val="nil"/>
              <w:bottom w:val="single" w:color="auto" w:sz="4" w:space="0"/>
              <w:right w:val="single" w:color="auto" w:sz="4" w:space="0"/>
            </w:tcBorders>
            <w:vAlign w:val="center"/>
          </w:tcPr>
          <w:p>
            <w:pPr>
              <w:jc w:val="center"/>
            </w:pPr>
            <w:r>
              <w:rPr>
                <w:rFonts w:hint="eastAsia" w:asciiTheme="minorEastAsia" w:hAnsiTheme="minorEastAsia" w:eastAsiaTheme="minorEastAsia"/>
                <w:szCs w:val="21"/>
              </w:rPr>
              <w:t>30日历天</w:t>
            </w:r>
          </w:p>
        </w:tc>
      </w:tr>
      <w:tr>
        <w:tblPrEx>
          <w:tblCellMar>
            <w:top w:w="0" w:type="dxa"/>
            <w:left w:w="108" w:type="dxa"/>
            <w:bottom w:w="0" w:type="dxa"/>
            <w:right w:w="108" w:type="dxa"/>
          </w:tblCellMar>
        </w:tblPrEx>
        <w:trPr>
          <w:trHeight w:val="510" w:hRule="atLeast"/>
          <w:jc w:val="center"/>
        </w:trPr>
        <w:tc>
          <w:tcPr>
            <w:tcW w:w="575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b/>
                <w:bCs/>
                <w:kern w:val="0"/>
                <w:szCs w:val="21"/>
              </w:rPr>
              <w:t>合价</w:t>
            </w:r>
          </w:p>
        </w:tc>
        <w:tc>
          <w:tcPr>
            <w:tcW w:w="1360" w:type="dxa"/>
            <w:tcBorders>
              <w:top w:val="nil"/>
              <w:left w:val="nil"/>
              <w:bottom w:val="single" w:color="auto" w:sz="4" w:space="0"/>
              <w:right w:val="single" w:color="auto" w:sz="4" w:space="0"/>
            </w:tcBorders>
            <w:shd w:val="clear" w:color="auto" w:fill="auto"/>
            <w:vAlign w:val="center"/>
          </w:tcPr>
          <w:p>
            <w:pPr>
              <w:jc w:val="center"/>
            </w:pPr>
            <w:r>
              <w:fldChar w:fldCharType="begin"/>
            </w:r>
            <w:r>
              <w:instrText xml:space="preserve"> = sum(F2:F43) \* MERGEFORMAT </w:instrText>
            </w:r>
            <w:r>
              <w:fldChar w:fldCharType="separate"/>
            </w:r>
            <w:r>
              <w:t>415758</w:t>
            </w:r>
            <w:r>
              <w:fldChar w:fldCharType="end"/>
            </w:r>
          </w:p>
        </w:tc>
        <w:tc>
          <w:tcPr>
            <w:tcW w:w="1249"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szCs w:val="21"/>
              </w:rPr>
            </w:pPr>
          </w:p>
        </w:tc>
      </w:tr>
    </w:tbl>
    <w:p>
      <w:pPr>
        <w:pStyle w:val="2"/>
        <w:jc w:val="both"/>
        <w:rPr>
          <w:rFonts w:hint="eastAsia" w:eastAsia="宋体"/>
          <w:lang w:val="en-US" w:eastAsia="zh-CN"/>
        </w:rPr>
      </w:pP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服务期：1+1模式，即首签1年，如果1年后双方对合作情况满意，</w:t>
      </w:r>
      <w:r>
        <w:rPr>
          <w:rFonts w:hint="eastAsia" w:ascii="方正仿宋_GBK" w:hAnsi="方正仿宋_GBK" w:eastAsia="方正仿宋_GBK" w:cs="方正仿宋_GBK"/>
          <w:color w:val="000000" w:themeColor="text1"/>
          <w:sz w:val="28"/>
          <w:szCs w:val="28"/>
          <w14:textFill>
            <w14:solidFill>
              <w14:schemeClr w14:val="tx1"/>
            </w14:solidFill>
          </w14:textFill>
        </w:rPr>
        <w:t>无异议，自动续签1年；如果</w:t>
      </w:r>
      <w:r>
        <w:rPr>
          <w:rFonts w:hint="eastAsia" w:ascii="方正仿宋_GBK" w:hAnsi="方正仿宋_GBK" w:eastAsia="方正仿宋_GBK" w:cs="方正仿宋_GBK"/>
          <w:sz w:val="28"/>
          <w:szCs w:val="28"/>
        </w:rPr>
        <w:t>任何一方有异议，解除合同。</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质保期：设备验收合格之日起1年</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4"/>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提供华为技术有限公司针对本项目的授权（原件）。</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000000" w:themeColor="text1"/>
          <w:sz w:val="28"/>
          <w:szCs w:val="28"/>
          <w14:textFill>
            <w14:solidFill>
              <w14:schemeClr w14:val="tx1"/>
            </w14:solidFill>
          </w14:textFill>
        </w:rPr>
        <w:t>报价的货币应为人民币。本项目的合同价格形式为固定单价合同，维修设备数量最终以重庆机场信息通信网络有限公司审核结算为准。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本项目单价</w:t>
      </w:r>
      <w:r>
        <w:rPr>
          <w:rFonts w:hint="eastAsia" w:ascii="方正仿宋_GBK" w:hAnsi="方正仿宋_GBK" w:eastAsia="方正仿宋_GBK" w:cs="方正仿宋_GBK"/>
          <w:sz w:val="28"/>
          <w:szCs w:val="28"/>
          <w:lang w:val="zh-CN"/>
        </w:rPr>
        <w:t>报价不能超过所列出的单价控制价（</w:t>
      </w:r>
      <w:r>
        <w:rPr>
          <w:rFonts w:hint="eastAsia" w:ascii="方正仿宋_GBK" w:hAnsi="方正仿宋_GBK" w:eastAsia="方正仿宋_GBK" w:cs="方正仿宋_GBK"/>
          <w:sz w:val="28"/>
          <w:szCs w:val="28"/>
        </w:rPr>
        <w:t>见表1.4</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履约保证金为</w:t>
      </w:r>
      <w:r>
        <w:rPr>
          <w:rFonts w:ascii="方正仿宋_GBK" w:hAnsi="方正仿宋_GBK" w:eastAsia="方正仿宋_GBK" w:cs="方正仿宋_GBK"/>
          <w:sz w:val="28"/>
          <w:szCs w:val="28"/>
          <w:u w:val="single"/>
        </w:rPr>
        <w:t>10000</w:t>
      </w:r>
      <w:r>
        <w:rPr>
          <w:rFonts w:hint="eastAsia" w:ascii="方正仿宋_GBK" w:hAnsi="方正仿宋_GBK" w:eastAsia="方正仿宋_GBK" w:cs="方正仿宋_GBK"/>
          <w:sz w:val="28"/>
          <w:szCs w:val="28"/>
        </w:rPr>
        <w:t>，在收到成交通知书10日内足额缴纳，于履约结束后，由项目部门一次性退还（不计利息）。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每次设备到货并通过验收后，甲方收到乙方开具的发票后15个工作日内支付本次采购设备的总金额。</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sz w:val="28"/>
          <w:szCs w:val="28"/>
          <w:lang w:val="zh-CN"/>
        </w:rPr>
        <w:t>华为技术有限公司针对本项目的授权（原件），</w:t>
      </w:r>
      <w:r>
        <w:rPr>
          <w:rFonts w:hint="eastAsia" w:ascii="方正仿宋_GBK" w:hAnsi="方正仿宋_GBK" w:eastAsia="方正仿宋_GBK" w:cs="方正仿宋_GBK"/>
          <w:color w:val="000000"/>
          <w:sz w:val="28"/>
          <w:szCs w:val="28"/>
          <w:lang w:val="zh-CN"/>
        </w:rPr>
        <w:t>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spacing w:after="156" w:afterLines="50"/>
        <w:ind w:right="964" w:firstLine="600"/>
        <w:jc w:val="right"/>
        <w:rPr>
          <w:rFonts w:ascii="黑体" w:hAnsi="黑体" w:eastAsia="黑体"/>
          <w:sz w:val="24"/>
        </w:rPr>
      </w:pPr>
      <w:r>
        <w:t xml:space="preserve">   </w:t>
      </w: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9R1AAAAAkBAAAPAAAAAAAAAAEAIAAAACIAAABkcnMvZG93bnJldi54bWxQSwECFAAU&#10;AAAACACHTuJAxZraPfUBAAC/AwAADgAAAAAAAAABACAAAAAjAQAAZHJzL2Uyb0RvYy54bWxQSwUG&#10;AAAAAAYABgBZAQAAig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jc w:val="center"/>
        <w:rPr>
          <w:rFonts w:ascii="黑体" w:hAnsi="黑体" w:eastAsia="黑体"/>
          <w:sz w:val="52"/>
          <w:szCs w:val="52"/>
        </w:rPr>
      </w:pPr>
      <w:r>
        <w:rPr>
          <w:rFonts w:hint="eastAsia" w:ascii="黑体" w:hAnsi="黑体" w:eastAsia="黑体"/>
          <w:sz w:val="52"/>
          <w:szCs w:val="52"/>
        </w:rPr>
        <w:t>1</w:t>
      </w:r>
      <w:r>
        <w:rPr>
          <w:rFonts w:ascii="黑体" w:hAnsi="黑体" w:eastAsia="黑体"/>
          <w:sz w:val="52"/>
          <w:szCs w:val="52"/>
        </w:rPr>
        <w:t>.8</w:t>
      </w:r>
      <w:r>
        <w:rPr>
          <w:rFonts w:hint="eastAsia" w:ascii="黑体" w:hAnsi="黑体" w:eastAsia="黑体"/>
          <w:sz w:val="52"/>
          <w:szCs w:val="52"/>
        </w:rPr>
        <w:t>G无线通信系统专业设备</w:t>
      </w:r>
    </w:p>
    <w:p>
      <w:pPr>
        <w:snapToGrid w:val="0"/>
        <w:spacing w:before="100" w:beforeAutospacing="1" w:after="100" w:afterAutospacing="1"/>
        <w:jc w:val="center"/>
        <w:rPr>
          <w:rFonts w:ascii="黑体" w:hAnsi="黑体" w:eastAsia="黑体" w:cs="宋体"/>
          <w:sz w:val="52"/>
          <w:szCs w:val="52"/>
        </w:rPr>
      </w:pPr>
      <w:r>
        <w:rPr>
          <w:rFonts w:hint="eastAsia" w:ascii="黑体" w:hAnsi="黑体" w:eastAsia="黑体"/>
          <w:sz w:val="52"/>
          <w:szCs w:val="52"/>
        </w:rPr>
        <w:t>维修采购框架协议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4605" r="12700" b="1397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1H9QAAAAJAQAADwAAAAAAAAABACAAAAAiAAAAZHJzL2Rvd25yZXYueG1sUEsBAhQA&#10;FAAAAAgAh07iQAIAJBX2AQAAvw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Pr>
        <w:pStyle w:val="2"/>
      </w:pPr>
    </w:p>
    <w:p/>
    <w:p>
      <w:pPr>
        <w:snapToGrid w:val="0"/>
        <w:spacing w:before="100" w:beforeAutospacing="1" w:after="100" w:afterAutospacing="1"/>
        <w:ind w:firstLine="643"/>
        <w:jc w:val="center"/>
        <w:rPr>
          <w:rFonts w:ascii="宋体" w:hAnsi="宋体"/>
          <w:b/>
          <w:sz w:val="32"/>
          <w:szCs w:val="32"/>
        </w:rPr>
      </w:pPr>
    </w:p>
    <w:p>
      <w:pPr>
        <w:snapToGrid w:val="0"/>
        <w:spacing w:before="100" w:beforeAutospacing="1" w:after="100" w:afterAutospacing="1"/>
        <w:ind w:firstLine="643"/>
        <w:jc w:val="center"/>
        <w:rPr>
          <w:rFonts w:ascii="宋体" w:hAnsi="宋体"/>
          <w:b/>
          <w:sz w:val="32"/>
          <w:szCs w:val="32"/>
        </w:rPr>
      </w:pPr>
    </w:p>
    <w:p>
      <w:pPr>
        <w:snapToGrid w:val="0"/>
        <w:spacing w:before="100" w:beforeAutospacing="1" w:after="100" w:afterAutospacing="1"/>
        <w:ind w:firstLine="600"/>
        <w:jc w:val="center"/>
        <w:rPr>
          <w:rFonts w:ascii="黑体" w:hAnsi="黑体" w:eastAsia="黑体"/>
        </w:rPr>
      </w:pPr>
      <w:r>
        <w:rPr>
          <w:rFonts w:hint="eastAsia" w:ascii="黑体" w:hAnsi="黑体" w:eastAsia="黑体"/>
        </w:rPr>
        <w:t>甲方：重庆机场</w:t>
      </w:r>
      <w:r>
        <w:rPr>
          <w:rFonts w:hint="eastAsia" w:ascii="黑体" w:hAnsi="黑体" w:eastAsia="黑体"/>
          <w:lang w:eastAsia="zh-CN"/>
        </w:rPr>
        <w:t>信息通信网络</w:t>
      </w:r>
      <w:r>
        <w:rPr>
          <w:rFonts w:hint="eastAsia" w:ascii="黑体" w:hAnsi="黑体" w:eastAsia="黑体"/>
        </w:rPr>
        <w:t>有限公司</w:t>
      </w:r>
    </w:p>
    <w:p>
      <w:pPr>
        <w:snapToGrid w:val="0"/>
        <w:ind w:firstLine="600"/>
        <w:rPr>
          <w:rFonts w:ascii="黑体" w:hAnsi="黑体" w:eastAsia="黑体"/>
          <w:b/>
          <w:bCs/>
          <w:u w:val="single"/>
        </w:rPr>
      </w:pP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 乙方：</w:t>
      </w:r>
      <w:r>
        <w:rPr>
          <w:rFonts w:hint="eastAsia" w:ascii="黑体" w:hAnsi="黑体" w:eastAsia="黑体"/>
          <w:bCs/>
          <w:u w:val="single"/>
        </w:rPr>
        <w:t xml:space="preserve">                 </w:t>
      </w:r>
      <w:r>
        <w:rPr>
          <w:rFonts w:hint="eastAsia" w:ascii="黑体" w:hAnsi="黑体" w:eastAsia="黑体"/>
          <w:b/>
          <w:bCs/>
          <w:u w:val="single"/>
        </w:rPr>
        <w:t xml:space="preserve">   </w:t>
      </w:r>
    </w:p>
    <w:p>
      <w:pPr>
        <w:spacing w:line="520" w:lineRule="exact"/>
        <w:ind w:firstLine="643"/>
        <w:jc w:val="center"/>
        <w:rPr>
          <w:rFonts w:ascii="黑体" w:hAnsi="黑体" w:eastAsia="黑体" w:cstheme="minorBidi"/>
          <w:b/>
          <w:bCs/>
          <w:sz w:val="32"/>
          <w:szCs w:val="32"/>
        </w:rPr>
      </w:pPr>
    </w:p>
    <w:p>
      <w:pPr>
        <w:pStyle w:val="2"/>
      </w:pPr>
    </w:p>
    <w:p>
      <w:pPr>
        <w:tabs>
          <w:tab w:val="right" w:pos="7700"/>
        </w:tabs>
        <w:jc w:val="left"/>
        <w:rPr>
          <w:rFonts w:ascii="宋体" w:hAnsi="宋体"/>
          <w:bCs/>
          <w:sz w:val="28"/>
          <w:szCs w:val="28"/>
        </w:rPr>
      </w:pPr>
      <w:r>
        <w:rPr>
          <w:rFonts w:hint="eastAsia" w:ascii="宋体" w:hAnsi="宋体"/>
          <w:bCs/>
          <w:sz w:val="28"/>
          <w:szCs w:val="28"/>
        </w:rPr>
        <w:t>甲</w:t>
      </w:r>
      <w:r>
        <w:rPr>
          <w:rFonts w:hint="eastAsia" w:ascii="宋体" w:hAnsi="宋体" w:eastAsia="宋体" w:cs="宋体"/>
          <w:bCs/>
          <w:color w:val="000000"/>
          <w:kern w:val="2"/>
          <w:sz w:val="28"/>
          <w:szCs w:val="28"/>
          <w:lang w:val="en-US" w:eastAsia="zh-CN" w:bidi="ar-SA"/>
        </w:rPr>
        <w:t>方：重庆机场信息通信网络有限公司</w:t>
      </w:r>
    </w:p>
    <w:p>
      <w:pPr>
        <w:pStyle w:val="24"/>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ascii="宋体" w:hAnsi="宋体" w:eastAsia="宋体"/>
          <w:bCs/>
          <w:sz w:val="28"/>
          <w:szCs w:val="28"/>
        </w:rPr>
      </w:pPr>
      <w:r>
        <w:rPr>
          <w:rFonts w:hint="eastAsia" w:ascii="宋体" w:hAnsi="宋体" w:eastAsia="宋体"/>
          <w:bCs/>
          <w:sz w:val="28"/>
          <w:szCs w:val="28"/>
        </w:rPr>
        <w:t>账号：</w:t>
      </w:r>
    </w:p>
    <w:p>
      <w:pPr>
        <w:pStyle w:val="24"/>
        <w:ind w:firstLine="560"/>
        <w:rPr>
          <w:rFonts w:ascii="宋体" w:hAnsi="宋体" w:eastAsia="宋体"/>
          <w:bCs/>
          <w:sz w:val="28"/>
          <w:szCs w:val="28"/>
        </w:rPr>
      </w:pPr>
    </w:p>
    <w:p>
      <w:pPr>
        <w:pStyle w:val="24"/>
        <w:ind w:firstLine="0" w:firstLineChars="0"/>
        <w:rPr>
          <w:rFonts w:ascii="宋体" w:hAnsi="宋体" w:eastAsia="宋体"/>
          <w:bCs/>
          <w:sz w:val="28"/>
          <w:szCs w:val="28"/>
        </w:rPr>
      </w:pPr>
      <w:r>
        <w:rPr>
          <w:rFonts w:hint="eastAsia" w:ascii="宋体" w:hAnsi="宋体" w:eastAsia="宋体"/>
          <w:bCs/>
          <w:sz w:val="28"/>
          <w:szCs w:val="28"/>
        </w:rPr>
        <w:t>乙方：</w:t>
      </w:r>
    </w:p>
    <w:p>
      <w:pPr>
        <w:pStyle w:val="24"/>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ascii="宋体" w:hAnsi="宋体" w:eastAsia="宋体"/>
          <w:bCs/>
          <w:sz w:val="28"/>
          <w:szCs w:val="28"/>
        </w:rPr>
      </w:pPr>
      <w:r>
        <w:rPr>
          <w:rFonts w:hint="eastAsia" w:ascii="宋体" w:hAnsi="宋体" w:eastAsia="宋体"/>
          <w:bCs/>
          <w:sz w:val="28"/>
          <w:szCs w:val="28"/>
        </w:rPr>
        <w:t>账号：</w:t>
      </w:r>
    </w:p>
    <w:p>
      <w:pPr>
        <w:pStyle w:val="22"/>
        <w:ind w:firstLine="600"/>
      </w:pPr>
    </w:p>
    <w:p>
      <w:pPr>
        <w:ind w:firstLine="600"/>
      </w:pPr>
      <w:r>
        <w:rPr>
          <w:rFonts w:hint="eastAsia"/>
        </w:rPr>
        <w:t xml:space="preserve">根据《中华人民共和国民法典》及相关法律法规规定，经双方协商，一致同意就甲方向乙方采购 </w:t>
      </w:r>
      <w:r>
        <w:rPr>
          <w:i/>
          <w:iCs/>
          <w:u w:val="single"/>
        </w:rPr>
        <w:t xml:space="preserve"> 1.8G无线通信系统专业设备维修/供应 </w:t>
      </w:r>
      <w:r>
        <w:rPr>
          <w:rFonts w:hint="eastAsia"/>
        </w:rPr>
        <w:t>事宜达成以下协议，共同遵守履行:</w:t>
      </w:r>
    </w:p>
    <w:p>
      <w:pPr>
        <w:pStyle w:val="3"/>
        <w:ind w:firstLine="640"/>
      </w:pPr>
      <w:bookmarkStart w:id="1" w:name="_Toc24700706"/>
      <w:r>
        <w:rPr>
          <w:rFonts w:hint="eastAsia"/>
        </w:rPr>
        <w:t>第一条 采购的内容和范围</w:t>
      </w:r>
      <w:bookmarkEnd w:id="1"/>
    </w:p>
    <w:p>
      <w:pPr>
        <w:ind w:firstLine="600"/>
      </w:pPr>
      <w:r>
        <w:rPr>
          <w:rFonts w:hint="eastAsia"/>
        </w:rPr>
        <w:t>1.1甲方向乙方采购的内容是：</w:t>
      </w:r>
      <w:r>
        <w:rPr>
          <w:rFonts w:hint="eastAsia"/>
          <w:u w:val="single"/>
        </w:rPr>
        <w:t xml:space="preserve"> </w:t>
      </w:r>
      <w:r>
        <w:rPr>
          <w:u w:val="single"/>
        </w:rPr>
        <w:t>1.8G无线通信系统专业设备维修/供应</w:t>
      </w:r>
      <w:r>
        <w:rPr>
          <w:rFonts w:hint="eastAsia"/>
          <w:u w:val="single"/>
        </w:rPr>
        <w:t xml:space="preserve"> </w:t>
      </w:r>
      <w:r>
        <w:rPr>
          <w:rFonts w:hint="eastAsia"/>
        </w:rPr>
        <w:t xml:space="preserve"> ，范围：</w:t>
      </w:r>
      <w:r>
        <w:rPr>
          <w:rFonts w:hint="eastAsia"/>
          <w:u w:val="single"/>
        </w:rPr>
        <w:t xml:space="preserve"> 清单见下 </w:t>
      </w:r>
      <w:r>
        <w:rPr>
          <w:rFonts w:hint="eastAsia"/>
        </w:rPr>
        <w:t xml:space="preserve"> 。</w:t>
      </w:r>
    </w:p>
    <w:tbl>
      <w:tblPr>
        <w:tblStyle w:val="12"/>
        <w:tblW w:w="8330" w:type="dxa"/>
        <w:tblInd w:w="0" w:type="dxa"/>
        <w:tblLayout w:type="autofit"/>
        <w:tblCellMar>
          <w:top w:w="0" w:type="dxa"/>
          <w:left w:w="108" w:type="dxa"/>
          <w:bottom w:w="0" w:type="dxa"/>
          <w:right w:w="108" w:type="dxa"/>
        </w:tblCellMar>
      </w:tblPr>
      <w:tblGrid>
        <w:gridCol w:w="600"/>
        <w:gridCol w:w="1776"/>
        <w:gridCol w:w="1701"/>
        <w:gridCol w:w="1560"/>
        <w:gridCol w:w="2693"/>
      </w:tblGrid>
      <w:tr>
        <w:tblPrEx>
          <w:tblCellMar>
            <w:top w:w="0" w:type="dxa"/>
            <w:left w:w="108" w:type="dxa"/>
            <w:bottom w:w="0" w:type="dxa"/>
            <w:right w:w="108" w:type="dxa"/>
          </w:tblCellMar>
        </w:tblPrEx>
        <w:trPr>
          <w:trHeight w:val="51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序号</w:t>
            </w:r>
          </w:p>
        </w:tc>
        <w:tc>
          <w:tcPr>
            <w:tcW w:w="1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品名</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品牌</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型号规格</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更换/维修内容</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firstLine="199" w:firstLineChars="95"/>
              <w:jc w:val="center"/>
              <w:rPr>
                <w:rFonts w:ascii="宋体" w:hAnsi="宋体"/>
                <w:kern w:val="0"/>
                <w:szCs w:val="21"/>
              </w:rPr>
            </w:pPr>
            <w:r>
              <w:rPr>
                <w:rFonts w:hint="eastAsia" w:ascii="宋体" w:hAnsi="宋体"/>
                <w:kern w:val="0"/>
                <w:szCs w:val="21"/>
              </w:rPr>
              <w:t>1</w:t>
            </w:r>
          </w:p>
        </w:tc>
        <w:tc>
          <w:tcPr>
            <w:tcW w:w="1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1.8G核心网</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华为</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eCNS210</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机框</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firstLine="199" w:firstLineChars="95"/>
              <w:jc w:val="center"/>
              <w:rPr>
                <w:rFonts w:ascii="宋体" w:hAnsi="宋体"/>
                <w:kern w:val="0"/>
                <w:szCs w:val="21"/>
              </w:rPr>
            </w:pPr>
            <w:r>
              <w:rPr>
                <w:rFonts w:hint="eastAsia" w:ascii="宋体" w:hAnsi="宋体"/>
                <w:kern w:val="0"/>
                <w:szCs w:val="21"/>
              </w:rPr>
              <w:t>2</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风扇</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firstLine="199" w:firstLineChars="95"/>
              <w:jc w:val="center"/>
              <w:rPr>
                <w:rFonts w:ascii="宋体" w:hAnsi="宋体"/>
                <w:kern w:val="0"/>
                <w:szCs w:val="21"/>
              </w:rPr>
            </w:pPr>
            <w:r>
              <w:rPr>
                <w:rFonts w:hint="eastAsia" w:ascii="宋体" w:hAnsi="宋体"/>
                <w:kern w:val="0"/>
                <w:szCs w:val="21"/>
              </w:rPr>
              <w:t>3</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电源</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firstLine="199" w:firstLineChars="95"/>
              <w:jc w:val="center"/>
              <w:rPr>
                <w:rFonts w:ascii="宋体" w:hAnsi="宋体"/>
                <w:kern w:val="0"/>
                <w:szCs w:val="21"/>
              </w:rPr>
            </w:pPr>
            <w:r>
              <w:rPr>
                <w:rFonts w:hint="eastAsia" w:ascii="宋体" w:hAnsi="宋体"/>
                <w:kern w:val="0"/>
                <w:szCs w:val="21"/>
              </w:rPr>
              <w:t>4</w:t>
            </w:r>
          </w:p>
        </w:tc>
        <w:tc>
          <w:tcPr>
            <w:tcW w:w="1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1.8G基站</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华为</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eBBU3900</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firstLine="199" w:firstLineChars="95"/>
              <w:jc w:val="center"/>
              <w:rPr>
                <w:rFonts w:ascii="宋体" w:hAnsi="宋体"/>
                <w:kern w:val="0"/>
                <w:szCs w:val="21"/>
              </w:rPr>
            </w:pPr>
            <w:r>
              <w:rPr>
                <w:rFonts w:hint="eastAsia" w:ascii="宋体" w:hAnsi="宋体"/>
                <w:kern w:val="0"/>
                <w:szCs w:val="21"/>
              </w:rPr>
              <w:t>5</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光模块6.144G</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firstLine="199" w:firstLineChars="95"/>
              <w:jc w:val="center"/>
              <w:rPr>
                <w:rFonts w:ascii="宋体" w:hAnsi="宋体"/>
                <w:kern w:val="0"/>
                <w:szCs w:val="21"/>
              </w:rPr>
            </w:pPr>
            <w:r>
              <w:rPr>
                <w:rFonts w:hint="eastAsia" w:ascii="宋体" w:hAnsi="宋体"/>
                <w:kern w:val="0"/>
                <w:szCs w:val="21"/>
              </w:rPr>
              <w:t>6</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光模块1.25G</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firstLine="199" w:firstLineChars="95"/>
              <w:jc w:val="center"/>
              <w:rPr>
                <w:rFonts w:ascii="宋体" w:hAnsi="宋体"/>
                <w:kern w:val="0"/>
                <w:szCs w:val="21"/>
              </w:rPr>
            </w:pPr>
            <w:r>
              <w:rPr>
                <w:rFonts w:hint="eastAsia" w:ascii="宋体" w:hAnsi="宋体"/>
                <w:kern w:val="0"/>
                <w:szCs w:val="21"/>
              </w:rPr>
              <w:t>7</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主控板</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firstLine="199" w:firstLineChars="95"/>
              <w:jc w:val="center"/>
              <w:rPr>
                <w:rFonts w:ascii="宋体" w:hAnsi="宋体"/>
                <w:kern w:val="0"/>
                <w:szCs w:val="21"/>
              </w:rPr>
            </w:pPr>
            <w:r>
              <w:rPr>
                <w:rFonts w:hint="eastAsia" w:ascii="宋体" w:hAnsi="宋体"/>
                <w:kern w:val="0"/>
                <w:szCs w:val="21"/>
              </w:rPr>
              <w:t>8</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基带板</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ind w:firstLine="199" w:firstLineChars="95"/>
              <w:jc w:val="center"/>
              <w:rPr>
                <w:rFonts w:ascii="宋体" w:hAnsi="宋体"/>
                <w:kern w:val="0"/>
                <w:szCs w:val="21"/>
              </w:rPr>
            </w:pPr>
            <w:r>
              <w:rPr>
                <w:rFonts w:hint="eastAsia" w:ascii="宋体" w:hAnsi="宋体"/>
                <w:kern w:val="0"/>
                <w:szCs w:val="21"/>
              </w:rPr>
              <w:t>9</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eRRU3232</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10</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板状天线</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11</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Cs w:val="21"/>
              </w:rPr>
            </w:pPr>
            <w:r>
              <w:rPr>
                <w:rFonts w:hint="eastAsia" w:ascii="宋体" w:hAnsi="宋体"/>
                <w:bCs/>
                <w:kern w:val="0"/>
                <w:szCs w:val="21"/>
              </w:rPr>
              <w:t>eRRU5251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12</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2"/>
              <w:jc w:val="center"/>
              <w:rPr>
                <w:rFonts w:ascii="宋体" w:hAnsi="宋体"/>
                <w:b/>
                <w:bCs/>
                <w:color w:val="FF0000"/>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板状天线</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13</w:t>
            </w:r>
          </w:p>
        </w:tc>
        <w:tc>
          <w:tcPr>
            <w:tcW w:w="1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1.8G终端</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华为</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EV751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14</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天线</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15</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电源适配器</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16</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EP631(S)</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17</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充电器</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18</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耳机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19</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电池</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20</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NFC模块</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EP821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充电器</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耳机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电池</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NFC模块</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26</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EP820</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充电器</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27</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耳机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28</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电池</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29</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NFC模块</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30</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EP720</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31</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充电器</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32</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耳机</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33</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电池</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34</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NFC模块</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35</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执法记录仪</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整机EC310(4G版本)</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36</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整机EC520(5G版本)</w:t>
            </w:r>
          </w:p>
        </w:tc>
      </w:tr>
      <w:tr>
        <w:tblPrEx>
          <w:tblCellMar>
            <w:top w:w="0" w:type="dxa"/>
            <w:left w:w="108" w:type="dxa"/>
            <w:bottom w:w="0" w:type="dxa"/>
            <w:right w:w="108" w:type="dxa"/>
          </w:tblCellMar>
        </w:tblPrEx>
        <w:trPr>
          <w:trHeight w:val="51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37</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整机EC520s(5G版本)</w:t>
            </w:r>
          </w:p>
        </w:tc>
      </w:tr>
      <w:tr>
        <w:tblPrEx>
          <w:tblCellMar>
            <w:top w:w="0" w:type="dxa"/>
            <w:left w:w="108" w:type="dxa"/>
            <w:bottom w:w="0" w:type="dxa"/>
            <w:right w:w="108" w:type="dxa"/>
          </w:tblCellMar>
        </w:tblPrEx>
        <w:trPr>
          <w:trHeight w:val="51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38</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数据接入设备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华为</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EG860 CPE</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w:t>
            </w:r>
          </w:p>
        </w:tc>
      </w:tr>
      <w:tr>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39</w:t>
            </w:r>
          </w:p>
        </w:tc>
        <w:tc>
          <w:tcPr>
            <w:tcW w:w="1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软件</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华为</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1.8G集群功能软件</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（宽带集群用户接入软件（每100用户））</w:t>
            </w:r>
          </w:p>
        </w:tc>
      </w:tr>
      <w:tr>
        <w:tblPrEx>
          <w:tblCellMar>
            <w:top w:w="0" w:type="dxa"/>
            <w:left w:w="108" w:type="dxa"/>
            <w:bottom w:w="0" w:type="dxa"/>
            <w:right w:w="108" w:type="dxa"/>
          </w:tblCellMar>
        </w:tblPrEx>
        <w:trPr>
          <w:trHeight w:val="5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40</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1.8G核心网软件</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eCNS嵌入式用户接入软件（每100用户）</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776"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宋体" w:hAnsi="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1.8G调度终端软件</w:t>
            </w:r>
          </w:p>
        </w:tc>
        <w:tc>
          <w:tcPr>
            <w:tcW w:w="2693" w:type="dxa"/>
            <w:tcBorders>
              <w:top w:val="nil"/>
              <w:left w:val="nil"/>
              <w:bottom w:val="single" w:color="auto" w:sz="4" w:space="0"/>
              <w:right w:val="single" w:color="auto" w:sz="4" w:space="0"/>
            </w:tcBorders>
            <w:shd w:val="clear" w:color="auto" w:fill="auto"/>
            <w:vAlign w:val="center"/>
          </w:tcPr>
          <w:p>
            <w:pPr>
              <w:widowControl/>
              <w:ind w:firstLine="420"/>
              <w:jc w:val="center"/>
              <w:rPr>
                <w:rFonts w:ascii="宋体" w:hAnsi="宋体"/>
                <w:kern w:val="0"/>
                <w:szCs w:val="21"/>
              </w:rPr>
            </w:pPr>
          </w:p>
        </w:tc>
      </w:tr>
      <w:tr>
        <w:tblPrEx>
          <w:tblCellMar>
            <w:top w:w="0" w:type="dxa"/>
            <w:left w:w="108" w:type="dxa"/>
            <w:bottom w:w="0" w:type="dxa"/>
            <w:right w:w="108" w:type="dxa"/>
          </w:tblCellMar>
        </w:tblPrEx>
        <w:trPr>
          <w:trHeight w:val="51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PCI-E模块</w:t>
            </w:r>
          </w:p>
        </w:tc>
        <w:tc>
          <w:tcPr>
            <w:tcW w:w="1701" w:type="dxa"/>
            <w:tcBorders>
              <w:top w:val="nil"/>
              <w:left w:val="nil"/>
              <w:bottom w:val="single" w:color="auto" w:sz="4" w:space="0"/>
              <w:right w:val="single" w:color="auto" w:sz="4" w:space="0"/>
            </w:tcBorders>
            <w:shd w:val="clear" w:color="auto" w:fill="auto"/>
            <w:noWrap/>
            <w:vAlign w:val="center"/>
          </w:tcPr>
          <w:p>
            <w:pPr>
              <w:widowControl/>
              <w:ind w:firstLine="420"/>
              <w:jc w:val="center"/>
              <w:rPr>
                <w:rFonts w:ascii="宋体" w:hAnsi="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EM360</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整机</w:t>
            </w:r>
          </w:p>
        </w:tc>
      </w:tr>
    </w:tbl>
    <w:p>
      <w:pPr>
        <w:ind w:firstLine="138" w:firstLineChars="66"/>
      </w:pPr>
    </w:p>
    <w:p>
      <w:pPr>
        <w:ind w:firstLine="600"/>
      </w:pPr>
      <w:r>
        <w:rPr>
          <w:rFonts w:hint="eastAsia"/>
        </w:rPr>
        <w:t>1.2 双方确认，本框架协议下，甲方是否采购以及采购的数量以甲方实际发出的需求为准。乙方对本框架协议下的标的物的供货行为并不是独占和排他的。</w:t>
      </w:r>
    </w:p>
    <w:p>
      <w:pPr>
        <w:pStyle w:val="3"/>
        <w:ind w:firstLine="640"/>
      </w:pPr>
      <w:bookmarkStart w:id="2" w:name="_Toc24700707"/>
      <w:r>
        <w:rPr>
          <w:rFonts w:hint="eastAsia"/>
        </w:rPr>
        <w:t>第二条  合同期限</w:t>
      </w:r>
      <w:bookmarkEnd w:id="2"/>
    </w:p>
    <w:p>
      <w:pPr>
        <w:ind w:left="840" w:leftChars="200" w:hanging="420" w:hangingChars="200"/>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p>
    <w:p>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3"/>
        <w:ind w:firstLine="640"/>
      </w:pPr>
      <w:bookmarkStart w:id="3" w:name="_Toc24700708"/>
      <w:r>
        <w:rPr>
          <w:rFonts w:hint="eastAsia"/>
        </w:rPr>
        <w:t>第三条 合同价款</w:t>
      </w:r>
      <w:bookmarkEnd w:id="3"/>
    </w:p>
    <w:p>
      <w:pPr>
        <w:ind w:firstLine="600"/>
        <w:rPr>
          <w:color w:val="FF0000"/>
        </w:rPr>
      </w:pPr>
      <w:r>
        <w:rPr>
          <w:rFonts w:hint="eastAsia"/>
        </w:rPr>
        <w:t>3.1 合同价款是指甲方向乙方实施采购应当向乙方支付的采购费用。具体标准</w:t>
      </w:r>
      <w:r>
        <w:rPr>
          <w:rFonts w:hint="eastAsia"/>
          <w:color w:val="FF0000"/>
        </w:rPr>
        <w:t>（含增值税）</w:t>
      </w:r>
      <w:r>
        <w:rPr>
          <w:rFonts w:hint="eastAsia"/>
        </w:rPr>
        <w:t>为：</w:t>
      </w:r>
      <w:r>
        <w:rPr>
          <w:rFonts w:hint="eastAsia"/>
          <w:u w:val="single"/>
        </w:rPr>
        <w:t xml:space="preserve">          </w:t>
      </w:r>
      <w:r>
        <w:rPr>
          <w:rFonts w:hint="eastAsia"/>
          <w:color w:val="FF0000"/>
        </w:rPr>
        <w:t>（可附清单说明）（税率_</w:t>
      </w:r>
      <w:r>
        <w:rPr>
          <w:color w:val="FF0000"/>
        </w:rPr>
        <w:t>_____</w:t>
      </w:r>
      <w:r>
        <w:rPr>
          <w:rFonts w:hint="eastAsia"/>
          <w:color w:val="FF0000"/>
        </w:rPr>
        <w:t>）；</w:t>
      </w:r>
    </w:p>
    <w:p>
      <w:pPr>
        <w:ind w:firstLine="600"/>
      </w:pPr>
      <w:r>
        <w:rPr>
          <w:rFonts w:hint="eastAsia"/>
        </w:rPr>
        <w:t>3.2合同价款包含：</w:t>
      </w:r>
      <w:r>
        <w:rPr>
          <w:rFonts w:hint="eastAsia"/>
          <w:u w:val="single"/>
        </w:rPr>
        <w:t xml:space="preserve">                             </w:t>
      </w:r>
      <w:r>
        <w:rPr>
          <w:rFonts w:hint="eastAsia"/>
        </w:rPr>
        <w:t>。</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pPr>
      <w:bookmarkStart w:id="4" w:name="_Toc24700709"/>
      <w:r>
        <w:rPr>
          <w:rFonts w:hint="eastAsia"/>
        </w:rPr>
        <w:t>第四条 采购方式及费用结算</w:t>
      </w:r>
      <w:bookmarkEnd w:id="4"/>
    </w:p>
    <w:p>
      <w:pPr>
        <w:ind w:firstLine="600"/>
      </w:pPr>
      <w:r>
        <w:rPr>
          <w:rFonts w:hint="eastAsia"/>
        </w:rPr>
        <w:t>4.1甲方在合同期限内根据自身需要，在本框架协议约定的采购范围内，定期或不定期向乙方实施采购。采购的方式为以下第</w:t>
      </w:r>
      <w:r>
        <w:rPr>
          <w:rFonts w:hint="eastAsia"/>
          <w:u w:val="single"/>
        </w:rPr>
        <w:t xml:space="preserve">  </w:t>
      </w:r>
      <w:r>
        <w:rPr>
          <w:u w:val="single"/>
        </w:rPr>
        <w:t>1</w:t>
      </w:r>
      <w:r>
        <w:rPr>
          <w:rFonts w:hint="eastAsia"/>
          <w:u w:val="single"/>
        </w:rPr>
        <w:t xml:space="preserve"> </w:t>
      </w:r>
      <w:r>
        <w:rPr>
          <w:rFonts w:hint="eastAsia"/>
        </w:rPr>
        <w:t>种。</w:t>
      </w:r>
    </w:p>
    <w:p>
      <w:pPr>
        <w:ind w:firstLine="600"/>
      </w:pPr>
      <w:r>
        <w:rPr>
          <w:rFonts w:hint="eastAsia"/>
        </w:rPr>
        <w:t>4.1.1 甲方向乙方发出订单；</w:t>
      </w:r>
    </w:p>
    <w:p>
      <w:pPr>
        <w:ind w:firstLine="600"/>
      </w:pPr>
      <w:r>
        <w:rPr>
          <w:rFonts w:hint="eastAsia"/>
        </w:rPr>
        <w:t>4.1.2 甲乙双方另行签订具体的实施协议。</w:t>
      </w:r>
    </w:p>
    <w:p>
      <w:pPr>
        <w:ind w:firstLine="600"/>
      </w:pPr>
      <w:r>
        <w:rPr>
          <w:rFonts w:hint="eastAsia"/>
        </w:rPr>
        <w:t>4.2 采购费用按次结算结算。乙方按约完成供货（服务、工程）并经甲方验收合格后，乙方提出采购费用支付的申请，经甲方确认后</w:t>
      </w:r>
      <w:r>
        <w:rPr>
          <w:rFonts w:hint="eastAsia"/>
          <w:u w:val="single"/>
        </w:rPr>
        <w:t xml:space="preserve">  </w:t>
      </w:r>
      <w:r>
        <w:rPr>
          <w:u w:val="single"/>
        </w:rPr>
        <w:t>15</w:t>
      </w:r>
      <w:r>
        <w:rPr>
          <w:rFonts w:hint="eastAsia"/>
          <w:u w:val="single"/>
        </w:rPr>
        <w:t xml:space="preserve"> </w:t>
      </w:r>
      <w:r>
        <w:rPr>
          <w:rFonts w:hint="eastAsia"/>
        </w:rPr>
        <w:t>个工作日内支付。</w:t>
      </w:r>
    </w:p>
    <w:p>
      <w:pPr>
        <w:ind w:firstLine="600"/>
      </w:pPr>
      <w:r>
        <w:rPr>
          <w:rFonts w:hint="eastAsia"/>
        </w:rPr>
        <w:t>4.3 乙方需向甲方提供正规增值税发票。如果乙方提供增值税普通发票，甲方支付金额为不含增值税金额；如果乙方提供增值税专用发票，甲方支付金额=不含增值税金额+增值税税额。</w:t>
      </w:r>
    </w:p>
    <w:p>
      <w:pPr>
        <w:ind w:firstLine="600"/>
      </w:pPr>
    </w:p>
    <w:p>
      <w:pPr>
        <w:pStyle w:val="3"/>
        <w:ind w:firstLine="640"/>
      </w:pPr>
      <w:bookmarkStart w:id="5" w:name="_Toc24700710"/>
      <w:r>
        <w:rPr>
          <w:rFonts w:hint="eastAsia"/>
        </w:rPr>
        <w:t>第五条 陈述与保证</w:t>
      </w:r>
      <w:bookmarkEnd w:id="5"/>
    </w:p>
    <w:p>
      <w:pPr>
        <w:ind w:firstLine="600"/>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pPr>
      <w:r>
        <w:rPr>
          <w:rFonts w:hint="eastAsia"/>
        </w:rPr>
        <w:t>5.2 乙方承诺所供产品或服务的质量保证期为</w:t>
      </w:r>
      <w:r>
        <w:rPr>
          <w:rFonts w:hint="eastAsia"/>
          <w:u w:val="single"/>
        </w:rPr>
        <w:t xml:space="preserve">  </w:t>
      </w:r>
      <w:r>
        <w:rPr>
          <w:u w:val="single"/>
        </w:rPr>
        <w:t>12</w:t>
      </w:r>
      <w:r>
        <w:rPr>
          <w:rFonts w:hint="eastAsia"/>
          <w:u w:val="single"/>
        </w:rPr>
        <w:t xml:space="preserve">个 </w:t>
      </w:r>
      <w:r>
        <w:rPr>
          <w:rFonts w:hint="eastAsia"/>
        </w:rPr>
        <w:t>月；</w:t>
      </w:r>
    </w:p>
    <w:p>
      <w:pPr>
        <w:ind w:firstLine="600"/>
      </w:pPr>
      <w:r>
        <w:rPr>
          <w:rFonts w:hint="eastAsia"/>
        </w:rPr>
        <w:t>5.3 因产品质量瑕疵或缺陷导致的甲方或第三人损害的，乙方承担赔偿责任。</w:t>
      </w:r>
    </w:p>
    <w:p>
      <w:pPr>
        <w:pStyle w:val="3"/>
        <w:ind w:firstLine="640"/>
      </w:pPr>
      <w:bookmarkStart w:id="6" w:name="_Toc24700711"/>
      <w:r>
        <w:rPr>
          <w:rFonts w:hint="eastAsia"/>
        </w:rPr>
        <w:t>第六条 交付与验收</w:t>
      </w:r>
      <w:bookmarkEnd w:id="6"/>
    </w:p>
    <w:p>
      <w:pPr>
        <w:ind w:firstLine="600"/>
      </w:pPr>
      <w:r>
        <w:rPr>
          <w:rFonts w:hint="eastAsia"/>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pPr>
      <w:r>
        <w:rPr>
          <w:rFonts w:hint="eastAsia"/>
        </w:rPr>
        <w:t>6.2 验收标准</w:t>
      </w:r>
      <w:r>
        <w:rPr>
          <w:rFonts w:hint="eastAsia"/>
          <w:u w:val="single"/>
        </w:rPr>
        <w:t xml:space="preserve">：产品的品种、型号、规格或质量符合本合同约定，可正常使用  </w:t>
      </w:r>
      <w:r>
        <w:rPr>
          <w:rFonts w:hint="eastAsia"/>
        </w:rPr>
        <w:t>。</w:t>
      </w:r>
    </w:p>
    <w:p>
      <w:pPr>
        <w:ind w:firstLine="600"/>
      </w:pPr>
      <w:r>
        <w:rPr>
          <w:rFonts w:hint="eastAsia"/>
        </w:rPr>
        <w:t>6.</w:t>
      </w:r>
      <w:r>
        <w:t>3</w:t>
      </w:r>
      <w:r>
        <w:rPr>
          <w:rFonts w:hint="eastAsia"/>
        </w:rPr>
        <w:t xml:space="preserve"> 验收需有清单及甲方相关人员签字。</w:t>
      </w:r>
    </w:p>
    <w:p>
      <w:pPr>
        <w:pStyle w:val="3"/>
        <w:ind w:firstLine="640"/>
      </w:pPr>
      <w:bookmarkStart w:id="7" w:name="_Toc24700712"/>
      <w:r>
        <w:rPr>
          <w:rFonts w:hint="eastAsia"/>
        </w:rPr>
        <w:t>第七条 履约保证金</w:t>
      </w:r>
      <w:bookmarkEnd w:id="7"/>
    </w:p>
    <w:p>
      <w:pPr>
        <w:ind w:firstLine="600"/>
        <w:rPr>
          <w:color w:val="FF0000"/>
        </w:rPr>
      </w:pPr>
      <w:r>
        <w:rPr>
          <w:rFonts w:hint="eastAsia"/>
          <w:color w:val="FF0000"/>
        </w:rPr>
        <w:t>7.1为保证本框架合同的顺利履行，乙方应向甲方交纳履约保证金即人民币</w:t>
      </w:r>
      <w:r>
        <w:rPr>
          <w:rFonts w:hint="eastAsia"/>
          <w:color w:val="FF0000"/>
          <w:u w:val="single"/>
        </w:rPr>
        <w:t xml:space="preserve">： </w:t>
      </w:r>
      <w:r>
        <w:rPr>
          <w:color w:val="FF0000"/>
          <w:u w:val="single"/>
        </w:rPr>
        <w:t xml:space="preserve">10000  </w:t>
      </w:r>
      <w:r>
        <w:rPr>
          <w:rFonts w:hint="eastAsia"/>
          <w:color w:val="FF0000"/>
        </w:rPr>
        <w:t>（</w:t>
      </w:r>
      <w:r>
        <w:rPr>
          <w:rFonts w:hint="eastAsia"/>
          <w:color w:val="FF0000"/>
          <w:u w:val="single"/>
        </w:rPr>
        <w:t xml:space="preserve"> </w:t>
      </w:r>
      <w:r>
        <w:rPr>
          <w:color w:val="FF0000"/>
          <w:u w:val="single"/>
        </w:rPr>
        <w:t xml:space="preserve"> </w:t>
      </w:r>
      <w:r>
        <w:rPr>
          <w:rFonts w:hint="eastAsia"/>
          <w:color w:val="FF0000"/>
          <w:u w:val="single"/>
        </w:rPr>
        <w:t xml:space="preserve">壹万 </w:t>
      </w:r>
      <w:r>
        <w:rPr>
          <w:rFonts w:hint="eastAsia"/>
          <w:color w:val="FF0000"/>
        </w:rPr>
        <w:t>元），应在中标通知书发出</w:t>
      </w:r>
      <w:r>
        <w:rPr>
          <w:color w:val="FF0000"/>
          <w:u w:val="single"/>
        </w:rPr>
        <w:t xml:space="preserve">      </w:t>
      </w:r>
      <w:r>
        <w:rPr>
          <w:rFonts w:hint="eastAsia"/>
          <w:color w:val="FF0000"/>
        </w:rPr>
        <w:t>日内（或签订本合同之前   日内），一次性向甲方缴纳。</w:t>
      </w:r>
    </w:p>
    <w:p>
      <w:r>
        <w:rPr>
          <w:rFonts w:hint="eastAsia"/>
        </w:rPr>
        <w:t xml:space="preserve">  </w:t>
      </w:r>
      <w:r>
        <w:t xml:space="preserve">   </w:t>
      </w:r>
      <w:r>
        <w:rPr>
          <w:rFonts w:hint="eastAsia"/>
        </w:rPr>
        <w:t xml:space="preserve"> 7.2履约保证金应由乙方名义开立的账户支付到甲方账户，否则视为未支付，甲方有权追究乙方逾期付款责任。</w:t>
      </w:r>
    </w:p>
    <w:p>
      <w:r>
        <w:rPr>
          <w:rFonts w:hint="eastAsia"/>
        </w:rPr>
        <w:t xml:space="preserve"> </w:t>
      </w:r>
      <w:r>
        <w:t xml:space="preserve">   </w:t>
      </w:r>
      <w:r>
        <w:rPr>
          <w:rFonts w:hint="eastAsia"/>
        </w:rPr>
        <w:t xml:space="preserve">  7.3 乙方支付履约保证金时，应在“付款备注”中写明“XX框架合同履约保证金”。乙方不得与其他合同、其他缴费项目一起支付履约保证金，若因混合支付造成无法确认为本合同款项到账的，视为逾期未支付。</w:t>
      </w:r>
    </w:p>
    <w:p>
      <w:pPr>
        <w:ind w:firstLine="600"/>
      </w:pPr>
      <w:r>
        <w:rPr>
          <w:rFonts w:hint="eastAsia"/>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7.5本合同期限届满，全部款项结清后</w:t>
      </w:r>
      <w:r>
        <w:rPr>
          <w:rFonts w:hint="eastAsia"/>
          <w:u w:val="single"/>
        </w:rPr>
        <w:t xml:space="preserve"> </w:t>
      </w:r>
      <w:r>
        <w:rPr>
          <w:u w:val="single"/>
        </w:rPr>
        <w:t>30</w:t>
      </w:r>
      <w:r>
        <w:rPr>
          <w:rFonts w:hint="eastAsia"/>
          <w:u w:val="single"/>
        </w:rPr>
        <w:t xml:space="preserve"> </w:t>
      </w:r>
      <w:r>
        <w:rPr>
          <w:rFonts w:hint="eastAsia"/>
        </w:rPr>
        <w:t>个日历日内将剩余履约保证金无息返还乙方。</w:t>
      </w:r>
    </w:p>
    <w:p>
      <w:pPr>
        <w:pStyle w:val="3"/>
        <w:ind w:firstLine="640"/>
      </w:pPr>
      <w:bookmarkStart w:id="8" w:name="_Toc24700713"/>
      <w:r>
        <w:rPr>
          <w:rFonts w:hint="eastAsia"/>
        </w:rPr>
        <w:t>第八条  双方权利与义务</w:t>
      </w:r>
      <w:bookmarkEnd w:id="8"/>
    </w:p>
    <w:p>
      <w:pPr>
        <w:ind w:firstLine="600"/>
      </w:pPr>
      <w:r>
        <w:rPr>
          <w:rFonts w:hint="eastAsia"/>
        </w:rPr>
        <w:t>8.1甲方应按约定向乙方支付采购费用；</w:t>
      </w:r>
    </w:p>
    <w:p>
      <w:pPr>
        <w:ind w:firstLine="600"/>
      </w:pPr>
      <w:r>
        <w:rPr>
          <w:rFonts w:hint="eastAsia"/>
        </w:rPr>
        <w:t>8.2甲方超出本框架协议约定的采购内容和范围实施采购的，乙方有权拒绝履行，但乙方应书面回复甲方并说明理由；</w:t>
      </w:r>
    </w:p>
    <w:p>
      <w:pPr>
        <w:ind w:firstLine="600"/>
      </w:pPr>
      <w:r>
        <w:rPr>
          <w:rFonts w:hint="eastAsia"/>
        </w:rPr>
        <w:t>8.3因履行合同需要，乙方如需进入机场隔离区的，甲方应协助乙方按机场管理机构有关规定办理相关通行的手续，费用由乙方自理；</w:t>
      </w:r>
    </w:p>
    <w:p>
      <w:pPr>
        <w:ind w:firstLine="600"/>
      </w:pPr>
      <w:r>
        <w:rPr>
          <w:rFonts w:hint="eastAsia"/>
        </w:rPr>
        <w:t>8.4 乙方不得拒绝甲方在本框架协议下的采购需求，否则应承担违约责任；</w:t>
      </w:r>
    </w:p>
    <w:p>
      <w:pPr>
        <w:ind w:firstLine="600"/>
      </w:pPr>
      <w:r>
        <w:rPr>
          <w:rFonts w:hint="eastAsia"/>
        </w:rPr>
        <w:t>8.5 甲方有权对乙方履行本框架协议实施监督，并进行考核；</w:t>
      </w:r>
    </w:p>
    <w:p>
      <w:pPr>
        <w:ind w:firstLine="600"/>
      </w:pPr>
      <w:r>
        <w:rPr>
          <w:rFonts w:hint="eastAsia"/>
        </w:rPr>
        <w:t>8.6 （根据实际项目的特点，再另行增加条款）</w:t>
      </w:r>
    </w:p>
    <w:p>
      <w:pPr>
        <w:pStyle w:val="3"/>
        <w:ind w:firstLine="640"/>
      </w:pPr>
      <w:bookmarkStart w:id="9" w:name="_Toc24700714"/>
      <w:r>
        <w:rPr>
          <w:rFonts w:hint="eastAsia"/>
        </w:rPr>
        <w:t>第九条  违约责任</w:t>
      </w:r>
      <w:bookmarkEnd w:id="9"/>
    </w:p>
    <w:p>
      <w:pPr>
        <w:ind w:firstLine="600"/>
      </w:pPr>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每延期一日，乙方应向甲方支付总货款千分之二的违约金，但总计不超过总货款的百分之五。         </w:t>
      </w:r>
      <w:r>
        <w:rPr>
          <w:rFonts w:hint="eastAsia"/>
        </w:rPr>
        <w:t>计算。</w:t>
      </w:r>
      <w:r>
        <w:t>违约金尚不能补偿对方损失时，有权向对方追索实际损失的赔偿金。</w:t>
      </w:r>
    </w:p>
    <w:p>
      <w:pPr>
        <w:ind w:firstLine="600"/>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pStyle w:val="3"/>
        <w:ind w:firstLine="640"/>
      </w:pPr>
      <w:bookmarkStart w:id="10" w:name="_Toc24700715"/>
      <w:r>
        <w:t>第</w:t>
      </w:r>
      <w:r>
        <w:rPr>
          <w:rFonts w:hint="eastAsia"/>
        </w:rPr>
        <w:t>十</w:t>
      </w:r>
      <w:r>
        <w:t>条 不可抗力</w:t>
      </w:r>
      <w:bookmarkEnd w:id="10"/>
    </w:p>
    <w:p>
      <w:pPr>
        <w:ind w:firstLine="600"/>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pPr>
      <w:bookmarkStart w:id="11" w:name="_Toc24700716"/>
      <w:r>
        <w:rPr>
          <w:rFonts w:hint="eastAsia"/>
        </w:rPr>
        <w:t>第十一条 通知条款</w:t>
      </w:r>
      <w:bookmarkEnd w:id="11"/>
    </w:p>
    <w:p>
      <w:pPr>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ind w:firstLine="600"/>
      </w:pPr>
      <w:r>
        <w:rPr>
          <w:rFonts w:hint="eastAsia"/>
        </w:rPr>
        <w:t>甲方指定的联系方式：</w:t>
      </w:r>
    </w:p>
    <w:p>
      <w:pPr>
        <w:ind w:firstLine="600"/>
      </w:pPr>
      <w:r>
        <w:rPr>
          <w:rFonts w:hint="eastAsia"/>
        </w:rPr>
        <w:t>联系人：</w:t>
      </w:r>
      <w:r>
        <w:t>____________________________________________</w:t>
      </w:r>
    </w:p>
    <w:p>
      <w:pPr>
        <w:ind w:firstLine="600"/>
      </w:pPr>
      <w:r>
        <w:rPr>
          <w:rFonts w:hint="eastAsia"/>
        </w:rPr>
        <w:t>联系电话：</w:t>
      </w:r>
      <w:r>
        <w:t>__________________________________________</w:t>
      </w:r>
    </w:p>
    <w:p>
      <w:pPr>
        <w:ind w:firstLine="600"/>
      </w:pPr>
      <w:r>
        <w:rPr>
          <w:rFonts w:hint="eastAsia"/>
        </w:rPr>
        <w:t>通讯地址：</w:t>
      </w:r>
      <w:r>
        <w:t>__________________________________________</w:t>
      </w:r>
    </w:p>
    <w:p>
      <w:pPr>
        <w:ind w:firstLine="600"/>
      </w:pPr>
      <w:r>
        <w:rPr>
          <w:rFonts w:hint="eastAsia"/>
        </w:rPr>
        <w:t>电子邮件：</w:t>
      </w:r>
      <w:r>
        <w:t>_________________________________________</w:t>
      </w:r>
    </w:p>
    <w:p>
      <w:pPr>
        <w:ind w:firstLine="600"/>
      </w:pPr>
      <w:r>
        <w:rPr>
          <w:rFonts w:hint="eastAsia"/>
        </w:rPr>
        <w:t>乙方指定的联系方式：</w:t>
      </w:r>
    </w:p>
    <w:p>
      <w:pPr>
        <w:ind w:firstLine="600"/>
      </w:pPr>
      <w:r>
        <w:rPr>
          <w:rFonts w:hint="eastAsia"/>
        </w:rPr>
        <w:t>联系人：</w:t>
      </w:r>
      <w:r>
        <w:t>____________________________________________</w:t>
      </w:r>
    </w:p>
    <w:p>
      <w:pPr>
        <w:ind w:firstLine="600"/>
      </w:pPr>
      <w:r>
        <w:rPr>
          <w:rFonts w:hint="eastAsia"/>
        </w:rPr>
        <w:t>联系电话：</w:t>
      </w:r>
      <w:r>
        <w:t>_________________________________________</w:t>
      </w:r>
    </w:p>
    <w:p>
      <w:pPr>
        <w:ind w:firstLine="600"/>
      </w:pPr>
      <w:r>
        <w:rPr>
          <w:rFonts w:hint="eastAsia"/>
        </w:rPr>
        <w:t>通讯地址：</w:t>
      </w:r>
      <w:r>
        <w:t>__________________________________________</w:t>
      </w:r>
    </w:p>
    <w:p>
      <w:pPr>
        <w:ind w:firstLine="600"/>
      </w:pPr>
      <w:r>
        <w:rPr>
          <w:rFonts w:hint="eastAsia"/>
        </w:rPr>
        <w:t>电子邮件：</w:t>
      </w:r>
      <w:r>
        <w:t>__________________________________________</w:t>
      </w:r>
    </w:p>
    <w:p>
      <w:pPr>
        <w:ind w:firstLine="600"/>
      </w:pPr>
      <w:r>
        <w:rPr>
          <w:rFonts w:hint="eastAsia"/>
        </w:rPr>
        <w:t>11</w:t>
      </w:r>
      <w:r>
        <w:t>.1采用当面签收的，应由合同中指定的联系人或双方授权的代表签收，签收日期即为送达时间。</w:t>
      </w:r>
    </w:p>
    <w:p>
      <w:pPr>
        <w:ind w:firstLine="600"/>
      </w:pPr>
      <w:r>
        <w:rPr>
          <w:rFonts w:hint="eastAsia"/>
        </w:rPr>
        <w:t>11</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pPr>
      <w:r>
        <w:rPr>
          <w:rFonts w:hint="eastAsia"/>
        </w:rPr>
        <w:t>11</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pPr>
      <w:r>
        <w:rPr>
          <w:rFonts w:hint="eastAsia"/>
        </w:rPr>
        <w:t>11</w:t>
      </w:r>
      <w:r>
        <w:t>.5收件一方若认为邮件封面标题与邮件中实际文件内容不符的，应在收到邮件后三日内通知相对人，逾期视为邮件封面标题与邮件中实际文件内容一致，并视为有效送达收件人。</w:t>
      </w:r>
    </w:p>
    <w:p>
      <w:pPr>
        <w:ind w:firstLine="600"/>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pPr>
      <w:r>
        <w:rPr>
          <w:rFonts w:hint="eastAsia"/>
        </w:rPr>
        <w:t>11</w:t>
      </w:r>
      <w:r>
        <w:t>.7本合同约定的联系方式与送达方式同时可作为法律文书的联系方式与送达方式。</w:t>
      </w:r>
    </w:p>
    <w:p>
      <w:pPr>
        <w:pStyle w:val="3"/>
        <w:ind w:firstLine="640"/>
      </w:pPr>
      <w:bookmarkStart w:id="12" w:name="_Toc24700717"/>
      <w:r>
        <w:t>第</w:t>
      </w:r>
      <w:r>
        <w:rPr>
          <w:rFonts w:hint="eastAsia"/>
        </w:rPr>
        <w:t>十二</w:t>
      </w:r>
      <w:r>
        <w:t xml:space="preserve">条 </w:t>
      </w:r>
      <w:r>
        <w:rPr>
          <w:rFonts w:hint="eastAsia"/>
        </w:rPr>
        <w:t>保密条款</w:t>
      </w:r>
      <w:bookmarkEnd w:id="12"/>
    </w:p>
    <w:p>
      <w:pPr>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3"/>
        <w:ind w:firstLine="640"/>
      </w:pPr>
      <w:bookmarkStart w:id="13" w:name="_Toc24700718"/>
      <w:r>
        <w:t>第</w:t>
      </w:r>
      <w:r>
        <w:rPr>
          <w:rFonts w:hint="eastAsia"/>
        </w:rPr>
        <w:t>十三</w:t>
      </w:r>
      <w:r>
        <w:t xml:space="preserve">条 </w:t>
      </w:r>
      <w:r>
        <w:rPr>
          <w:rFonts w:hint="eastAsia"/>
        </w:rPr>
        <w:t>合同争议的解决方式</w:t>
      </w:r>
      <w:bookmarkEnd w:id="13"/>
    </w:p>
    <w:p>
      <w:pPr>
        <w:ind w:firstLine="600"/>
      </w:pPr>
      <w:r>
        <w:t>1</w:t>
      </w:r>
      <w:r>
        <w:rPr>
          <w:rFonts w:hint="eastAsia"/>
        </w:rPr>
        <w:t>3</w:t>
      </w:r>
      <w:r>
        <w:t xml:space="preserve">.1 </w:t>
      </w:r>
      <w:r>
        <w:rPr>
          <w:rFonts w:hint="eastAsia"/>
        </w:rPr>
        <w:t>若在合同履行过程中发生争议，甲乙双方应当友好协商解决，协商不成，按以下第（</w:t>
      </w:r>
      <w:r>
        <w:t xml:space="preserve">   ） 种方式解决：</w:t>
      </w:r>
    </w:p>
    <w:p>
      <w:pPr>
        <w:ind w:firstLine="600"/>
      </w:pPr>
      <w:r>
        <w:rPr>
          <w:rFonts w:hint="eastAsia"/>
        </w:rPr>
        <w:t>（一）提交重庆仲裁委员会，按照申请仲裁时该会现行有效的仲裁规则进行仲裁。</w:t>
      </w:r>
    </w:p>
    <w:p>
      <w:pPr>
        <w:ind w:firstLine="600"/>
      </w:pPr>
      <w:r>
        <w:rPr>
          <w:rFonts w:hint="eastAsia"/>
        </w:rPr>
        <w:t>（二）向</w:t>
      </w:r>
      <w:r>
        <w:t>甲方所在地人民法院起诉。</w:t>
      </w:r>
    </w:p>
    <w:p>
      <w:pPr>
        <w:ind w:firstLine="600"/>
      </w:pPr>
      <w:r>
        <w:t>1</w:t>
      </w:r>
      <w:r>
        <w:rPr>
          <w:rFonts w:hint="eastAsia"/>
        </w:rPr>
        <w:t>3</w:t>
      </w:r>
      <w:r>
        <w:t>.2在诉讼期间，除正在进行诉讼的部分外，合同其它部分继续执行。</w:t>
      </w:r>
    </w:p>
    <w:p>
      <w:pPr>
        <w:pStyle w:val="3"/>
        <w:ind w:firstLine="640"/>
      </w:pPr>
      <w:bookmarkStart w:id="14" w:name="_Toc24700719"/>
      <w:r>
        <w:rPr>
          <w:rFonts w:hint="eastAsia"/>
        </w:rPr>
        <w:t xml:space="preserve">第十四条 </w:t>
      </w:r>
      <w:r>
        <w:t>合同的变更和解除</w:t>
      </w:r>
      <w:bookmarkEnd w:id="14"/>
    </w:p>
    <w:p>
      <w:pPr>
        <w:ind w:firstLine="600"/>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ind w:firstLine="600"/>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3"/>
        <w:ind w:firstLine="640"/>
      </w:pPr>
      <w:bookmarkStart w:id="15" w:name="_Toc24700720"/>
      <w:r>
        <w:t>第</w:t>
      </w:r>
      <w:r>
        <w:rPr>
          <w:rFonts w:hint="eastAsia"/>
        </w:rPr>
        <w:t>十五</w:t>
      </w:r>
      <w:r>
        <w:t>条 合同生效及其他</w:t>
      </w:r>
      <w:bookmarkEnd w:id="15"/>
    </w:p>
    <w:p>
      <w:pPr>
        <w:ind w:firstLine="600"/>
      </w:pPr>
      <w:r>
        <w:t>1</w:t>
      </w:r>
      <w:r>
        <w:rPr>
          <w:rFonts w:hint="eastAsia"/>
        </w:rPr>
        <w:t>5</w:t>
      </w:r>
      <w:r>
        <w:t xml:space="preserve">.1 </w:t>
      </w:r>
      <w:r>
        <w:rPr>
          <w:rFonts w:hint="eastAsia"/>
        </w:rPr>
        <w:t>乙方和甲方约定合同内容双方法人代表人或授权代表签字并加盖公司公章或合同专用章后生效</w:t>
      </w:r>
      <w:r>
        <w:t>。</w:t>
      </w:r>
    </w:p>
    <w:p>
      <w:pPr>
        <w:ind w:firstLine="600"/>
      </w:pPr>
      <w:r>
        <w:t>1</w:t>
      </w:r>
      <w:r>
        <w:rPr>
          <w:rFonts w:hint="eastAsia"/>
        </w:rPr>
        <w:t>5</w:t>
      </w:r>
      <w:r>
        <w:t>.</w:t>
      </w:r>
      <w:r>
        <w:rPr>
          <w:rFonts w:hint="eastAsia"/>
        </w:rPr>
        <w:t>2</w:t>
      </w:r>
      <w:r>
        <w:t xml:space="preserve"> 本合同一式</w:t>
      </w:r>
      <w:r>
        <w:rPr>
          <w:rFonts w:hint="eastAsia"/>
          <w:u w:val="single"/>
        </w:rPr>
        <w:t xml:space="preserve">  </w:t>
      </w:r>
      <w:r>
        <w:t>份，甲方执</w:t>
      </w:r>
      <w:r>
        <w:rPr>
          <w:rFonts w:hint="eastAsia"/>
          <w:u w:val="single"/>
        </w:rPr>
        <w:t xml:space="preserve">  </w:t>
      </w:r>
      <w:r>
        <w:t>份，乙方执</w:t>
      </w:r>
      <w:r>
        <w:rPr>
          <w:rFonts w:hint="eastAsia"/>
          <w:u w:val="single"/>
        </w:rPr>
        <w:t xml:space="preserve">  </w:t>
      </w:r>
      <w:r>
        <w:t>份</w:t>
      </w:r>
      <w:r>
        <w:rPr>
          <w:rFonts w:hint="eastAsia"/>
        </w:rPr>
        <w:t>，具有同等法律效力</w:t>
      </w:r>
      <w:r>
        <w:t>。</w:t>
      </w:r>
    </w:p>
    <w:p>
      <w:pPr>
        <w:ind w:left="420" w:leftChars="200"/>
        <w:rPr>
          <w:b/>
          <w:bCs/>
        </w:rPr>
      </w:pPr>
    </w:p>
    <w:p>
      <w:pPr>
        <w:ind w:left="420" w:leftChars="200"/>
        <w:rPr>
          <w:b/>
          <w:bCs/>
        </w:rPr>
      </w:pPr>
    </w:p>
    <w:p>
      <w:pPr>
        <w:ind w:left="420" w:leftChars="200"/>
        <w:rPr>
          <w:b/>
          <w:bCs/>
        </w:rPr>
      </w:pPr>
      <w:r>
        <w:rPr>
          <w:b/>
          <w:bCs/>
        </w:rPr>
        <w:t>甲方（盖章）：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b/>
          <w:bCs/>
        </w:rPr>
        <w:t>乙方（盖章）：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rFonts w:hint="eastAsia"/>
          <w:b/>
          <w:bCs/>
        </w:rPr>
        <w:t>签订地点：</w:t>
      </w:r>
    </w:p>
    <w:p>
      <w:pPr>
        <w:spacing w:line="600" w:lineRule="exact"/>
        <w:jc w:val="center"/>
        <w:rPr>
          <w:rFonts w:ascii="方正小标宋_GBK" w:hAnsi="方正小标宋_GBK" w:eastAsia="方正小标宋_GBK" w:cs="方正小标宋_GBK"/>
          <w:color w:val="000000"/>
          <w:sz w:val="44"/>
          <w:szCs w:val="44"/>
        </w:rPr>
      </w:pPr>
    </w:p>
    <w:p>
      <w:pPr>
        <w:pStyle w:val="2"/>
      </w:pPr>
    </w:p>
    <w:p/>
    <w:p>
      <w:pPr>
        <w:pStyle w:val="2"/>
      </w:pPr>
    </w:p>
    <w:p/>
    <w:p>
      <w:pPr>
        <w:pStyle w:val="2"/>
      </w:pPr>
    </w:p>
    <w:p/>
    <w:p>
      <w:pPr>
        <w:pStyle w:val="2"/>
      </w:pPr>
    </w:p>
    <w:p/>
    <w:p>
      <w:pPr>
        <w:pStyle w:val="2"/>
      </w:pPr>
    </w:p>
    <w:p>
      <w:pPr>
        <w:pStyle w:val="2"/>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bookmarkStart w:id="16" w:name="_GoBack"/>
      <w:bookmarkEnd w:id="16"/>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30"/>
        <w:gridCol w:w="815"/>
        <w:gridCol w:w="874"/>
        <w:gridCol w:w="769"/>
        <w:gridCol w:w="1217"/>
        <w:gridCol w:w="570"/>
        <w:gridCol w:w="88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r>
              <w:rPr>
                <w:rFonts w:hint="eastAsia"/>
                <w:b/>
                <w:sz w:val="24"/>
              </w:rPr>
              <w:t>序号</w:t>
            </w:r>
          </w:p>
        </w:tc>
        <w:tc>
          <w:tcPr>
            <w:tcW w:w="930" w:type="dxa"/>
            <w:vAlign w:val="center"/>
          </w:tcPr>
          <w:p>
            <w:pPr>
              <w:jc w:val="center"/>
              <w:rPr>
                <w:b/>
                <w:sz w:val="24"/>
              </w:rPr>
            </w:pPr>
            <w:r>
              <w:rPr>
                <w:rFonts w:hint="eastAsia"/>
                <w:b/>
                <w:sz w:val="24"/>
              </w:rPr>
              <w:t>品名</w:t>
            </w:r>
          </w:p>
        </w:tc>
        <w:tc>
          <w:tcPr>
            <w:tcW w:w="815" w:type="dxa"/>
            <w:vAlign w:val="center"/>
          </w:tcPr>
          <w:p>
            <w:pPr>
              <w:jc w:val="center"/>
              <w:rPr>
                <w:b/>
                <w:sz w:val="24"/>
              </w:rPr>
            </w:pPr>
            <w:r>
              <w:rPr>
                <w:rFonts w:hint="eastAsia"/>
                <w:b/>
                <w:sz w:val="24"/>
              </w:rPr>
              <w:t>品牌</w:t>
            </w:r>
          </w:p>
        </w:tc>
        <w:tc>
          <w:tcPr>
            <w:tcW w:w="874" w:type="dxa"/>
            <w:vAlign w:val="center"/>
          </w:tcPr>
          <w:p>
            <w:pPr>
              <w:jc w:val="center"/>
              <w:rPr>
                <w:b/>
                <w:sz w:val="24"/>
              </w:rPr>
            </w:pPr>
            <w:r>
              <w:rPr>
                <w:rFonts w:hint="eastAsia"/>
                <w:b/>
                <w:sz w:val="24"/>
              </w:rPr>
              <w:t>型号规格</w:t>
            </w:r>
          </w:p>
        </w:tc>
        <w:tc>
          <w:tcPr>
            <w:tcW w:w="769" w:type="dxa"/>
            <w:vAlign w:val="center"/>
          </w:tcPr>
          <w:p>
            <w:pPr>
              <w:jc w:val="center"/>
              <w:rPr>
                <w:b/>
                <w:sz w:val="24"/>
              </w:rPr>
            </w:pPr>
            <w:r>
              <w:rPr>
                <w:rFonts w:hint="eastAsia"/>
                <w:b/>
                <w:sz w:val="24"/>
              </w:rPr>
              <w:t>数量</w:t>
            </w:r>
          </w:p>
        </w:tc>
        <w:tc>
          <w:tcPr>
            <w:tcW w:w="1217" w:type="dxa"/>
            <w:vAlign w:val="center"/>
          </w:tcPr>
          <w:p>
            <w:pPr>
              <w:jc w:val="center"/>
              <w:rPr>
                <w:rFonts w:hint="eastAsia"/>
                <w:b/>
                <w:sz w:val="24"/>
              </w:rPr>
            </w:pPr>
            <w:r>
              <w:rPr>
                <w:rFonts w:hint="eastAsia"/>
                <w:b/>
                <w:sz w:val="24"/>
              </w:rPr>
              <w:t>更换/</w:t>
            </w:r>
          </w:p>
          <w:p>
            <w:pPr>
              <w:jc w:val="center"/>
              <w:rPr>
                <w:b/>
                <w:sz w:val="24"/>
              </w:rPr>
            </w:pPr>
            <w:r>
              <w:rPr>
                <w:rFonts w:hint="eastAsia"/>
                <w:b/>
                <w:sz w:val="24"/>
              </w:rPr>
              <w:t>维修内容</w:t>
            </w:r>
          </w:p>
        </w:tc>
        <w:tc>
          <w:tcPr>
            <w:tcW w:w="570" w:type="dxa"/>
            <w:vAlign w:val="center"/>
          </w:tcPr>
          <w:p>
            <w:pPr>
              <w:jc w:val="center"/>
              <w:rPr>
                <w:b/>
                <w:sz w:val="24"/>
              </w:rPr>
            </w:pPr>
            <w:r>
              <w:rPr>
                <w:rFonts w:hint="eastAsia"/>
                <w:b/>
                <w:sz w:val="24"/>
              </w:rPr>
              <w:t>单位</w:t>
            </w:r>
          </w:p>
        </w:tc>
        <w:tc>
          <w:tcPr>
            <w:tcW w:w="885" w:type="dxa"/>
            <w:vAlign w:val="center"/>
          </w:tcPr>
          <w:p>
            <w:pPr>
              <w:rPr>
                <w:b/>
                <w:sz w:val="24"/>
              </w:rPr>
            </w:pPr>
            <w:r>
              <w:rPr>
                <w:rFonts w:hint="eastAsia"/>
                <w:b/>
                <w:sz w:val="24"/>
              </w:rPr>
              <w:t>单价（元）</w:t>
            </w:r>
          </w:p>
        </w:tc>
        <w:tc>
          <w:tcPr>
            <w:tcW w:w="1090"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217" w:type="dxa"/>
            <w:vAlign w:val="center"/>
          </w:tcPr>
          <w:p>
            <w:pPr>
              <w:jc w:val="center"/>
              <w:rPr>
                <w:b/>
                <w:sz w:val="24"/>
              </w:rPr>
            </w:pPr>
          </w:p>
        </w:tc>
        <w:tc>
          <w:tcPr>
            <w:tcW w:w="570" w:type="dxa"/>
            <w:vAlign w:val="center"/>
          </w:tcPr>
          <w:p>
            <w:pPr>
              <w:jc w:val="center"/>
              <w:rPr>
                <w:b/>
                <w:sz w:val="24"/>
              </w:rPr>
            </w:pPr>
          </w:p>
        </w:tc>
        <w:tc>
          <w:tcPr>
            <w:tcW w:w="885" w:type="dxa"/>
            <w:vAlign w:val="center"/>
          </w:tcPr>
          <w:p>
            <w:pPr>
              <w:rPr>
                <w:b/>
                <w:sz w:val="24"/>
              </w:rPr>
            </w:pPr>
          </w:p>
        </w:tc>
        <w:tc>
          <w:tcPr>
            <w:tcW w:w="1090"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217" w:type="dxa"/>
            <w:vAlign w:val="center"/>
          </w:tcPr>
          <w:p>
            <w:pPr>
              <w:jc w:val="center"/>
              <w:rPr>
                <w:b/>
                <w:sz w:val="24"/>
              </w:rPr>
            </w:pPr>
          </w:p>
        </w:tc>
        <w:tc>
          <w:tcPr>
            <w:tcW w:w="570" w:type="dxa"/>
            <w:vAlign w:val="center"/>
          </w:tcPr>
          <w:p>
            <w:pPr>
              <w:jc w:val="center"/>
              <w:rPr>
                <w:b/>
                <w:sz w:val="24"/>
              </w:rPr>
            </w:pPr>
          </w:p>
        </w:tc>
        <w:tc>
          <w:tcPr>
            <w:tcW w:w="885" w:type="dxa"/>
          </w:tcPr>
          <w:p>
            <w:pPr>
              <w:rPr>
                <w:b/>
                <w:sz w:val="24"/>
              </w:rPr>
            </w:pPr>
          </w:p>
        </w:tc>
        <w:tc>
          <w:tcPr>
            <w:tcW w:w="1090"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217" w:type="dxa"/>
            <w:vAlign w:val="center"/>
          </w:tcPr>
          <w:p>
            <w:pPr>
              <w:jc w:val="center"/>
              <w:rPr>
                <w:b/>
                <w:sz w:val="24"/>
              </w:rPr>
            </w:pPr>
          </w:p>
        </w:tc>
        <w:tc>
          <w:tcPr>
            <w:tcW w:w="570" w:type="dxa"/>
            <w:vAlign w:val="center"/>
          </w:tcPr>
          <w:p>
            <w:pPr>
              <w:jc w:val="center"/>
              <w:rPr>
                <w:b/>
                <w:sz w:val="24"/>
              </w:rPr>
            </w:pPr>
          </w:p>
        </w:tc>
        <w:tc>
          <w:tcPr>
            <w:tcW w:w="885" w:type="dxa"/>
          </w:tcPr>
          <w:p>
            <w:pPr>
              <w:rPr>
                <w:b/>
                <w:sz w:val="24"/>
              </w:rPr>
            </w:pPr>
          </w:p>
        </w:tc>
        <w:tc>
          <w:tcPr>
            <w:tcW w:w="1090"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217" w:type="dxa"/>
            <w:vAlign w:val="center"/>
          </w:tcPr>
          <w:p>
            <w:pPr>
              <w:jc w:val="center"/>
              <w:rPr>
                <w:b/>
                <w:sz w:val="24"/>
              </w:rPr>
            </w:pPr>
          </w:p>
        </w:tc>
        <w:tc>
          <w:tcPr>
            <w:tcW w:w="570" w:type="dxa"/>
            <w:vAlign w:val="center"/>
          </w:tcPr>
          <w:p>
            <w:pPr>
              <w:jc w:val="center"/>
              <w:rPr>
                <w:b/>
                <w:sz w:val="24"/>
              </w:rPr>
            </w:pPr>
          </w:p>
        </w:tc>
        <w:tc>
          <w:tcPr>
            <w:tcW w:w="885" w:type="dxa"/>
          </w:tcPr>
          <w:p>
            <w:pPr>
              <w:rPr>
                <w:b/>
                <w:sz w:val="24"/>
              </w:rPr>
            </w:pPr>
          </w:p>
        </w:tc>
        <w:tc>
          <w:tcPr>
            <w:tcW w:w="1090"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217" w:type="dxa"/>
            <w:vAlign w:val="center"/>
          </w:tcPr>
          <w:p>
            <w:pPr>
              <w:jc w:val="center"/>
              <w:rPr>
                <w:b/>
                <w:sz w:val="24"/>
              </w:rPr>
            </w:pPr>
          </w:p>
        </w:tc>
        <w:tc>
          <w:tcPr>
            <w:tcW w:w="570" w:type="dxa"/>
            <w:vAlign w:val="center"/>
          </w:tcPr>
          <w:p>
            <w:pPr>
              <w:jc w:val="center"/>
              <w:rPr>
                <w:b/>
                <w:sz w:val="24"/>
              </w:rPr>
            </w:pPr>
          </w:p>
        </w:tc>
        <w:tc>
          <w:tcPr>
            <w:tcW w:w="885" w:type="dxa"/>
          </w:tcPr>
          <w:p>
            <w:pPr>
              <w:rPr>
                <w:b/>
                <w:sz w:val="24"/>
              </w:rPr>
            </w:pPr>
          </w:p>
        </w:tc>
        <w:tc>
          <w:tcPr>
            <w:tcW w:w="1090"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217" w:type="dxa"/>
            <w:vAlign w:val="center"/>
          </w:tcPr>
          <w:p>
            <w:pPr>
              <w:jc w:val="center"/>
              <w:rPr>
                <w:b/>
                <w:sz w:val="24"/>
              </w:rPr>
            </w:pPr>
          </w:p>
        </w:tc>
        <w:tc>
          <w:tcPr>
            <w:tcW w:w="570" w:type="dxa"/>
            <w:vAlign w:val="center"/>
          </w:tcPr>
          <w:p>
            <w:pPr>
              <w:jc w:val="center"/>
              <w:rPr>
                <w:b/>
                <w:sz w:val="24"/>
              </w:rPr>
            </w:pPr>
          </w:p>
        </w:tc>
        <w:tc>
          <w:tcPr>
            <w:tcW w:w="885" w:type="dxa"/>
          </w:tcPr>
          <w:p>
            <w:pPr>
              <w:rPr>
                <w:b/>
                <w:sz w:val="24"/>
              </w:rPr>
            </w:pPr>
          </w:p>
        </w:tc>
        <w:tc>
          <w:tcPr>
            <w:tcW w:w="1090"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1217" w:type="dxa"/>
            <w:vAlign w:val="center"/>
          </w:tcPr>
          <w:p>
            <w:pPr>
              <w:jc w:val="center"/>
              <w:rPr>
                <w:b/>
                <w:sz w:val="24"/>
              </w:rPr>
            </w:pPr>
          </w:p>
        </w:tc>
        <w:tc>
          <w:tcPr>
            <w:tcW w:w="570" w:type="dxa"/>
            <w:vAlign w:val="center"/>
          </w:tcPr>
          <w:p>
            <w:pPr>
              <w:jc w:val="center"/>
              <w:rPr>
                <w:b/>
                <w:sz w:val="24"/>
              </w:rPr>
            </w:pPr>
          </w:p>
        </w:tc>
        <w:tc>
          <w:tcPr>
            <w:tcW w:w="885" w:type="dxa"/>
          </w:tcPr>
          <w:p>
            <w:pPr>
              <w:rPr>
                <w:b/>
                <w:sz w:val="24"/>
              </w:rPr>
            </w:pPr>
          </w:p>
        </w:tc>
        <w:tc>
          <w:tcPr>
            <w:tcW w:w="1090"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2"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29</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0C5449"/>
    <w:rsid w:val="00125C7E"/>
    <w:rsid w:val="002253A0"/>
    <w:rsid w:val="002E44C0"/>
    <w:rsid w:val="00351FAC"/>
    <w:rsid w:val="003862E4"/>
    <w:rsid w:val="003A1AD8"/>
    <w:rsid w:val="003A475B"/>
    <w:rsid w:val="003F2575"/>
    <w:rsid w:val="00412C50"/>
    <w:rsid w:val="004476F0"/>
    <w:rsid w:val="004F0999"/>
    <w:rsid w:val="005170C5"/>
    <w:rsid w:val="00543C0A"/>
    <w:rsid w:val="00585EC4"/>
    <w:rsid w:val="005908C5"/>
    <w:rsid w:val="005D0F04"/>
    <w:rsid w:val="00605587"/>
    <w:rsid w:val="00625D50"/>
    <w:rsid w:val="00697A6D"/>
    <w:rsid w:val="00710CFB"/>
    <w:rsid w:val="00712C58"/>
    <w:rsid w:val="00777701"/>
    <w:rsid w:val="007A63AD"/>
    <w:rsid w:val="007B2DAA"/>
    <w:rsid w:val="00835A58"/>
    <w:rsid w:val="00884CF5"/>
    <w:rsid w:val="008A6E15"/>
    <w:rsid w:val="008B142E"/>
    <w:rsid w:val="008B2C72"/>
    <w:rsid w:val="00953736"/>
    <w:rsid w:val="0099313B"/>
    <w:rsid w:val="009B6BA7"/>
    <w:rsid w:val="00A10E30"/>
    <w:rsid w:val="00B2182E"/>
    <w:rsid w:val="00B21989"/>
    <w:rsid w:val="00BF3511"/>
    <w:rsid w:val="00BF4767"/>
    <w:rsid w:val="00C02C44"/>
    <w:rsid w:val="00C86BEB"/>
    <w:rsid w:val="00CC1C44"/>
    <w:rsid w:val="00CF0D7D"/>
    <w:rsid w:val="00D365FF"/>
    <w:rsid w:val="00DB2ED2"/>
    <w:rsid w:val="00E52085"/>
    <w:rsid w:val="00EB3D3F"/>
    <w:rsid w:val="00F14ABB"/>
    <w:rsid w:val="04CD6009"/>
    <w:rsid w:val="05533181"/>
    <w:rsid w:val="05B55287"/>
    <w:rsid w:val="05CF5B0E"/>
    <w:rsid w:val="060C68AF"/>
    <w:rsid w:val="07652792"/>
    <w:rsid w:val="07FC2827"/>
    <w:rsid w:val="096E6E51"/>
    <w:rsid w:val="0AF366C8"/>
    <w:rsid w:val="0C415E00"/>
    <w:rsid w:val="0EEA4AEA"/>
    <w:rsid w:val="105A13BF"/>
    <w:rsid w:val="134F66CB"/>
    <w:rsid w:val="18F33575"/>
    <w:rsid w:val="1B081233"/>
    <w:rsid w:val="1BEE177A"/>
    <w:rsid w:val="1C817AE6"/>
    <w:rsid w:val="24311D9D"/>
    <w:rsid w:val="2541744C"/>
    <w:rsid w:val="26D06F67"/>
    <w:rsid w:val="2BD81883"/>
    <w:rsid w:val="2D8078B6"/>
    <w:rsid w:val="31AA6DF8"/>
    <w:rsid w:val="351E69DC"/>
    <w:rsid w:val="38FB798C"/>
    <w:rsid w:val="3A6C7EBE"/>
    <w:rsid w:val="43153EBD"/>
    <w:rsid w:val="445A74E8"/>
    <w:rsid w:val="44F90408"/>
    <w:rsid w:val="4967336A"/>
    <w:rsid w:val="4B353607"/>
    <w:rsid w:val="4BCA200B"/>
    <w:rsid w:val="4C512510"/>
    <w:rsid w:val="4D7B4276"/>
    <w:rsid w:val="4D882944"/>
    <w:rsid w:val="4FF817AC"/>
    <w:rsid w:val="51B62AAC"/>
    <w:rsid w:val="52224913"/>
    <w:rsid w:val="52D82873"/>
    <w:rsid w:val="5A6800F2"/>
    <w:rsid w:val="5C043FF2"/>
    <w:rsid w:val="60BF0592"/>
    <w:rsid w:val="63514E9A"/>
    <w:rsid w:val="65243E3D"/>
    <w:rsid w:val="668822FF"/>
    <w:rsid w:val="6DAF6368"/>
    <w:rsid w:val="6E03596D"/>
    <w:rsid w:val="70780E28"/>
    <w:rsid w:val="7A1E2315"/>
    <w:rsid w:val="7B5C4764"/>
    <w:rsid w:val="7E614230"/>
    <w:rsid w:val="7F1C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6"/>
    <w:qFormat/>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link w:val="19"/>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18"/>
    <w:qFormat/>
    <w:uiPriority w:val="0"/>
    <w:pPr>
      <w:spacing w:after="120" w:line="480" w:lineRule="auto"/>
    </w:pPr>
  </w:style>
  <w:style w:type="paragraph" w:styleId="11">
    <w:name w:val="Body Text First Indent 2"/>
    <w:basedOn w:val="7"/>
    <w:link w:val="20"/>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0"/>
    <w:rPr>
      <w:kern w:val="2"/>
      <w:sz w:val="18"/>
      <w:szCs w:val="18"/>
    </w:rPr>
  </w:style>
  <w:style w:type="character" w:customStyle="1" w:styleId="16">
    <w:name w:val="标题 字符"/>
    <w:basedOn w:val="14"/>
    <w:link w:val="2"/>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character" w:customStyle="1" w:styleId="18">
    <w:name w:val="正文文本 2 字符"/>
    <w:basedOn w:val="14"/>
    <w:link w:val="10"/>
    <w:qFormat/>
    <w:uiPriority w:val="0"/>
    <w:rPr>
      <w:kern w:val="2"/>
      <w:sz w:val="21"/>
      <w:szCs w:val="24"/>
    </w:rPr>
  </w:style>
  <w:style w:type="character" w:customStyle="1" w:styleId="19">
    <w:name w:val="正文文本缩进 字符"/>
    <w:basedOn w:val="14"/>
    <w:link w:val="7"/>
    <w:qFormat/>
    <w:uiPriority w:val="0"/>
    <w:rPr>
      <w:kern w:val="2"/>
      <w:sz w:val="21"/>
      <w:szCs w:val="24"/>
    </w:rPr>
  </w:style>
  <w:style w:type="character" w:customStyle="1" w:styleId="20">
    <w:name w:val="正文首行缩进 2 字符"/>
    <w:basedOn w:val="19"/>
    <w:link w:val="11"/>
    <w:qFormat/>
    <w:uiPriority w:val="0"/>
    <w:rPr>
      <w:kern w:val="2"/>
      <w:sz w:val="21"/>
      <w:szCs w:val="24"/>
    </w:rPr>
  </w:style>
  <w:style w:type="character" w:customStyle="1" w:styleId="21">
    <w:name w:val="标题 2 字符"/>
    <w:basedOn w:val="14"/>
    <w:link w:val="3"/>
    <w:semiHidden/>
    <w:qFormat/>
    <w:uiPriority w:val="0"/>
    <w:rPr>
      <w:rFonts w:asciiTheme="majorHAnsi" w:hAnsiTheme="majorHAnsi" w:eastAsiaTheme="majorEastAsia" w:cstheme="majorBidi"/>
      <w:b/>
      <w:bCs/>
      <w:kern w:val="2"/>
      <w:sz w:val="32"/>
      <w:szCs w:val="32"/>
    </w:rPr>
  </w:style>
  <w:style w:type="paragraph" w:customStyle="1" w:styleId="22">
    <w:name w:val="列出段落1"/>
    <w:basedOn w:val="1"/>
    <w:qFormat/>
    <w:uiPriority w:val="0"/>
    <w:pPr>
      <w:spacing w:line="360" w:lineRule="auto"/>
      <w:ind w:firstLine="420" w:firstLineChars="200"/>
    </w:pPr>
    <w:rPr>
      <w:rFonts w:ascii="Calibri" w:hAnsi="Calibri" w:eastAsia="仿宋_GB2312"/>
      <w:color w:val="000000"/>
      <w:sz w:val="30"/>
      <w:szCs w:val="30"/>
    </w:rPr>
  </w:style>
  <w:style w:type="character" w:customStyle="1" w:styleId="23">
    <w:name w:val="zjb正文 字符"/>
    <w:basedOn w:val="14"/>
    <w:link w:val="24"/>
    <w:qFormat/>
    <w:locked/>
    <w:uiPriority w:val="0"/>
    <w:rPr>
      <w:rFonts w:ascii="仿宋_GB2312" w:hAnsi="仿宋" w:eastAsia="仿宋_GB2312" w:cs="宋体"/>
      <w:color w:val="000000"/>
      <w:kern w:val="2"/>
      <w:sz w:val="30"/>
      <w:szCs w:val="30"/>
    </w:rPr>
  </w:style>
  <w:style w:type="paragraph" w:customStyle="1" w:styleId="24">
    <w:name w:val="zjb正文"/>
    <w:basedOn w:val="1"/>
    <w:link w:val="23"/>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29</Pages>
  <Words>11000</Words>
  <Characters>12549</Characters>
  <Lines>103</Lines>
  <Paragraphs>29</Paragraphs>
  <TotalTime>17</TotalTime>
  <ScaleCrop>false</ScaleCrop>
  <LinksUpToDate>false</LinksUpToDate>
  <CharactersWithSpaces>13450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2022-03-07T11:13:00Z</dcterms:created>
  <dc:creator>Administrator</dc:creator>
  <cp:lastModifiedBy>。</cp:lastModifiedBy>
  <dcterms:modified xsi:type="dcterms:W3CDTF">2022-04-01T02:46:08Z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84AC454F6AFF4EB4AF33A41C2BD135D3</vt:lpwstr>
  </property>
</Properties>
</file>