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车载定位终端框架供应商采购项目       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综合评分法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编号：框架2022001</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10"/>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rPr>
        <w:t>三</w:t>
      </w:r>
      <w:r>
        <w:rPr>
          <w:rFonts w:hint="eastAsia" w:ascii="仿宋_GB2312" w:hAnsi="仿宋" w:eastAsia="仿宋_GB2312" w:cs="宋体"/>
          <w:b/>
          <w:bCs/>
          <w:color w:val="000000"/>
          <w:sz w:val="32"/>
          <w:szCs w:val="32"/>
          <w:lang w:val="zh-CN"/>
        </w:rPr>
        <w:t>月</w:t>
      </w:r>
    </w:p>
    <w:p>
      <w:pPr>
        <w:pStyle w:val="10"/>
      </w:pPr>
    </w:p>
    <w:p/>
    <w:p>
      <w:pPr>
        <w:pStyle w:val="10"/>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10"/>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比选评分办法</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第四章  比选附件</w:t>
      </w:r>
    </w:p>
    <w:p>
      <w:pPr>
        <w:spacing w:line="360" w:lineRule="auto"/>
        <w:rPr>
          <w:rFonts w:ascii="方正仿宋_GBK" w:hAnsi="方正仿宋_GBK" w:eastAsia="方正仿宋_GBK" w:cs="方正仿宋_GBK"/>
          <w:b/>
          <w:bCs/>
          <w:sz w:val="32"/>
        </w:rPr>
      </w:pPr>
    </w:p>
    <w:p/>
    <w:p/>
    <w:p>
      <w:pPr>
        <w:pStyle w:val="10"/>
      </w:pPr>
    </w:p>
    <w:p/>
    <w:p>
      <w:pPr>
        <w:pStyle w:val="10"/>
      </w:pPr>
    </w:p>
    <w:p/>
    <w:p>
      <w:pPr>
        <w:pStyle w:val="10"/>
      </w:pPr>
    </w:p>
    <w:p/>
    <w:p>
      <w:pPr>
        <w:pStyle w:val="10"/>
      </w:pPr>
    </w:p>
    <w:p/>
    <w:p>
      <w:pPr>
        <w:pStyle w:val="10"/>
      </w:pPr>
    </w:p>
    <w:p>
      <w:pPr>
        <w:pStyle w:val="4"/>
      </w:pPr>
    </w:p>
    <w:p>
      <w:pPr>
        <w:pStyle w:val="10"/>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我司决定于近期将对车载定位终端框架供应商采购项目邀请符合相应条件的供应商就本项目进行比选。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firstLine="560" w:firstLineChars="2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项目名称：车载定位终端框架供应商采购项目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 xml:space="preserve">项目内容：为满足机场内车辆管理需求，提升隔离区车辆运行安全标准和服务水平，供应商应按甲方实际需求提供车辆管理系统、车载定位终端，包括但不限于设备的安装调试，技术服务等。 </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2"/>
        <w:tblW w:w="7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373"/>
        <w:gridCol w:w="3291"/>
        <w:gridCol w:w="91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0" w:type="dxa"/>
            <w:vAlign w:val="center"/>
          </w:tcPr>
          <w:p>
            <w:pPr>
              <w:jc w:val="center"/>
              <w:rPr>
                <w:b/>
                <w:sz w:val="28"/>
                <w:szCs w:val="28"/>
              </w:rPr>
            </w:pPr>
            <w:r>
              <w:rPr>
                <w:rFonts w:hint="eastAsia"/>
                <w:b/>
                <w:sz w:val="28"/>
                <w:szCs w:val="28"/>
              </w:rPr>
              <w:t>序号</w:t>
            </w:r>
          </w:p>
        </w:tc>
        <w:tc>
          <w:tcPr>
            <w:tcW w:w="1373" w:type="dxa"/>
            <w:vAlign w:val="center"/>
          </w:tcPr>
          <w:p>
            <w:pPr>
              <w:jc w:val="center"/>
              <w:rPr>
                <w:b/>
                <w:sz w:val="28"/>
                <w:szCs w:val="28"/>
              </w:rPr>
            </w:pPr>
            <w:r>
              <w:rPr>
                <w:rFonts w:hint="eastAsia"/>
                <w:b/>
                <w:sz w:val="28"/>
                <w:szCs w:val="28"/>
              </w:rPr>
              <w:t>品名</w:t>
            </w:r>
          </w:p>
        </w:tc>
        <w:tc>
          <w:tcPr>
            <w:tcW w:w="3291" w:type="dxa"/>
            <w:vAlign w:val="center"/>
          </w:tcPr>
          <w:p>
            <w:pPr>
              <w:jc w:val="center"/>
              <w:rPr>
                <w:b/>
                <w:sz w:val="28"/>
                <w:szCs w:val="28"/>
              </w:rPr>
            </w:pPr>
            <w:r>
              <w:rPr>
                <w:rFonts w:hint="eastAsia"/>
                <w:b/>
                <w:sz w:val="28"/>
                <w:szCs w:val="28"/>
              </w:rPr>
              <w:t>规格</w:t>
            </w:r>
          </w:p>
        </w:tc>
        <w:tc>
          <w:tcPr>
            <w:tcW w:w="915" w:type="dxa"/>
            <w:vAlign w:val="center"/>
          </w:tcPr>
          <w:p>
            <w:pPr>
              <w:jc w:val="center"/>
              <w:rPr>
                <w:b/>
                <w:sz w:val="28"/>
                <w:szCs w:val="28"/>
              </w:rPr>
            </w:pPr>
            <w:r>
              <w:rPr>
                <w:rFonts w:hint="eastAsia"/>
                <w:b/>
                <w:sz w:val="28"/>
                <w:szCs w:val="28"/>
              </w:rPr>
              <w:t>单位</w:t>
            </w:r>
          </w:p>
        </w:tc>
        <w:tc>
          <w:tcPr>
            <w:tcW w:w="1203" w:type="dxa"/>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0"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373" w:type="dxa"/>
          </w:tcPr>
          <w:p>
            <w:pPr>
              <w:widowControl/>
              <w:spacing w:line="360" w:lineRule="auto"/>
              <w:jc w:val="center"/>
              <w:rPr>
                <w:b/>
                <w:sz w:val="28"/>
                <w:szCs w:val="28"/>
              </w:rPr>
            </w:pPr>
            <w:r>
              <w:rPr>
                <w:rFonts w:hint="eastAsia"/>
                <w:b/>
                <w:sz w:val="28"/>
                <w:szCs w:val="28"/>
              </w:rPr>
              <w:t>车载定位</w:t>
            </w:r>
          </w:p>
          <w:p>
            <w:pPr>
              <w:widowControl/>
              <w:spacing w:line="360" w:lineRule="auto"/>
              <w:jc w:val="center"/>
              <w:rPr>
                <w:rFonts w:ascii="方正仿宋_GBK" w:hAnsi="方正仿宋_GBK" w:eastAsia="方正仿宋_GBK" w:cs="方正仿宋_GBK"/>
                <w:sz w:val="28"/>
                <w:szCs w:val="28"/>
              </w:rPr>
            </w:pPr>
            <w:r>
              <w:rPr>
                <w:rFonts w:hint="eastAsia"/>
                <w:b/>
                <w:sz w:val="28"/>
                <w:szCs w:val="28"/>
              </w:rPr>
              <w:t>主机</w:t>
            </w:r>
          </w:p>
        </w:tc>
        <w:tc>
          <w:tcPr>
            <w:tcW w:w="3291" w:type="dxa"/>
          </w:tcPr>
          <w:p>
            <w:pPr>
              <w:widowControl/>
              <w:jc w:val="left"/>
              <w:rPr>
                <w:rFonts w:ascii="宋体" w:hAnsi="宋体" w:cs="宋体"/>
                <w:sz w:val="28"/>
                <w:szCs w:val="28"/>
              </w:rPr>
            </w:pPr>
            <w:r>
              <w:rPr>
                <w:rFonts w:hint="eastAsia" w:ascii="宋体" w:hAnsi="宋体" w:cs="宋体"/>
                <w:kern w:val="0"/>
                <w:sz w:val="28"/>
                <w:szCs w:val="28"/>
                <w:lang w:bidi="ar"/>
              </w:rPr>
              <w:t>1、设备包含微处理器、数据存储器、卫星定位模块、无线通信传输模块（可接入公网或专网）。</w:t>
            </w:r>
          </w:p>
          <w:p>
            <w:pPr>
              <w:widowControl/>
              <w:spacing w:line="360" w:lineRule="auto"/>
              <w:jc w:val="left"/>
              <w:rPr>
                <w:rFonts w:ascii="方正仿宋_GBK" w:hAnsi="方正仿宋_GBK" w:eastAsia="方正仿宋_GBK" w:cs="方正仿宋_GBK"/>
                <w:sz w:val="28"/>
                <w:szCs w:val="28"/>
              </w:rPr>
            </w:pPr>
            <w:r>
              <w:rPr>
                <w:rFonts w:hint="eastAsia" w:ascii="宋体" w:hAnsi="宋体" w:cs="宋体"/>
                <w:kern w:val="0"/>
                <w:sz w:val="28"/>
                <w:szCs w:val="28"/>
                <w:lang w:bidi="ar"/>
              </w:rPr>
              <w:t>2、传输模块、实时时钟、高级驾驶辅助系统、驾驶员状态监测系统、数据通信接口、 TTS 语音模块、信息显示模块、告警模块。</w:t>
            </w:r>
          </w:p>
        </w:tc>
        <w:tc>
          <w:tcPr>
            <w:tcW w:w="915"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1203" w:type="dxa"/>
          </w:tcPr>
          <w:p>
            <w:pPr>
              <w:widowControl/>
              <w:spacing w:line="360" w:lineRule="auto"/>
              <w:jc w:val="center"/>
              <w:rPr>
                <w:rFonts w:ascii="方正仿宋_GBK" w:hAnsi="方正仿宋_GBK" w:eastAsia="方正仿宋_GBK" w:cs="方正仿宋_GBK"/>
                <w:sz w:val="28"/>
                <w:szCs w:val="28"/>
              </w:rPr>
            </w:pPr>
            <w:r>
              <w:rPr>
                <w:rFonts w:hint="eastAsia"/>
                <w:b/>
                <w:sz w:val="28"/>
                <w:szCs w:val="28"/>
              </w:rPr>
              <w:t>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0"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373" w:type="dxa"/>
          </w:tcPr>
          <w:p>
            <w:pPr>
              <w:widowControl/>
              <w:spacing w:line="360" w:lineRule="auto"/>
              <w:jc w:val="center"/>
              <w:rPr>
                <w:rFonts w:ascii="方正仿宋_GBK" w:hAnsi="方正仿宋_GBK" w:eastAsia="方正仿宋_GBK" w:cs="方正仿宋_GBK"/>
                <w:sz w:val="28"/>
                <w:szCs w:val="28"/>
              </w:rPr>
            </w:pPr>
            <w:r>
              <w:rPr>
                <w:rFonts w:hint="eastAsia"/>
                <w:b/>
                <w:sz w:val="28"/>
                <w:szCs w:val="28"/>
              </w:rPr>
              <w:t>摄像机</w:t>
            </w:r>
          </w:p>
        </w:tc>
        <w:tc>
          <w:tcPr>
            <w:tcW w:w="3291" w:type="dxa"/>
          </w:tcPr>
          <w:p>
            <w:pPr>
              <w:numPr>
                <w:ilvl w:val="255"/>
                <w:numId w:val="0"/>
              </w:numPr>
              <w:snapToGrid w:val="0"/>
              <w:spacing w:line="360" w:lineRule="auto"/>
              <w:rPr>
                <w:rFonts w:ascii="宋体" w:hAnsi="宋体" w:cs="宋体"/>
                <w:kern w:val="0"/>
                <w:sz w:val="28"/>
                <w:szCs w:val="28"/>
                <w:lang w:bidi="ar"/>
              </w:rPr>
            </w:pPr>
            <w:r>
              <w:rPr>
                <w:rFonts w:hint="eastAsia" w:ascii="宋体" w:hAnsi="宋体" w:cs="宋体"/>
                <w:kern w:val="0"/>
                <w:sz w:val="28"/>
                <w:szCs w:val="28"/>
                <w:lang w:bidi="ar"/>
              </w:rPr>
              <w:t>1、车辆前方前向碰撞报警、 距离飞行器过近预警、车道线偏离报警等主要车辆运营监控功能。</w:t>
            </w:r>
          </w:p>
          <w:p>
            <w:pPr>
              <w:widowControl/>
              <w:spacing w:line="360" w:lineRule="auto"/>
              <w:jc w:val="left"/>
              <w:rPr>
                <w:rFonts w:ascii="方正仿宋_GBK" w:hAnsi="方正仿宋_GBK" w:eastAsia="方正仿宋_GBK" w:cs="方正仿宋_GBK"/>
                <w:sz w:val="28"/>
                <w:szCs w:val="28"/>
              </w:rPr>
            </w:pPr>
            <w:r>
              <w:rPr>
                <w:rFonts w:hint="eastAsia" w:ascii="宋体" w:hAnsi="宋体" w:cs="宋体"/>
                <w:kern w:val="0"/>
                <w:sz w:val="28"/>
                <w:szCs w:val="28"/>
                <w:lang w:bidi="ar"/>
              </w:rPr>
              <w:t>2、疲劳驾驶报警、分神驾驶报警、抽烟报警、接打手持电话报警、驾驶员不在驾驶位报警、驾驶员人脸身份识别、超时驾驶报警、摄像头被遮挡报警等功能。</w:t>
            </w:r>
          </w:p>
        </w:tc>
        <w:tc>
          <w:tcPr>
            <w:tcW w:w="915"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1203" w:type="dxa"/>
          </w:tcPr>
          <w:p>
            <w:pPr>
              <w:widowControl/>
              <w:spacing w:line="360" w:lineRule="auto"/>
              <w:jc w:val="center"/>
              <w:rPr>
                <w:b/>
                <w:sz w:val="28"/>
                <w:szCs w:val="28"/>
              </w:rPr>
            </w:pPr>
            <w:r>
              <w:rPr>
                <w:rFonts w:hint="eastAsia"/>
                <w:b/>
                <w:sz w:val="28"/>
                <w:szCs w:val="28"/>
              </w:rPr>
              <w:t>含安装调试</w:t>
            </w:r>
          </w:p>
        </w:tc>
      </w:tr>
    </w:tbl>
    <w:p>
      <w:pPr>
        <w:pStyle w:val="10"/>
        <w:jc w:val="both"/>
      </w:pPr>
    </w:p>
    <w:p>
      <w:pPr>
        <w:widowControl/>
        <w:spacing w:line="360" w:lineRule="auto"/>
        <w:ind w:firstLine="560" w:firstLineChars="200"/>
        <w:jc w:val="left"/>
        <w:rPr>
          <w:rFonts w:eastAsia="方正仿宋_GBK"/>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工期：下订单起7个工作日内。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质保期：两年，从设备安装调试完成后开始计算。</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2.1.3法定代表人授权书和法定代表人身份证复印件。</w:t>
      </w:r>
    </w:p>
    <w:p>
      <w:pPr>
        <w:pStyle w:val="4"/>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本次比选采购不接受联合体，不能转包。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仿宋" w:hAnsi="仿宋" w:eastAsia="仿宋" w:cs="仿宋"/>
          <w:sz w:val="28"/>
          <w:szCs w:val="28"/>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且该项目提供的设备必须接入厂家自主提供的管理平台，可接收、推送、展示定位终端回传数据。</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3.1平台技术要求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3.1.1平台具备自主开发能力，实现与机场现有GIS系统进行数据对接。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3.1.2平台须符合《道路运输车辆卫星定位系统视频平台技术要求》（JT/T 1077—2016）、《道路运输车辆卫星定位系统车载终端技术要求》（JT/T</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794-201</w:t>
      </w: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t>）、《道路运输车辆卫星定位系统视频通讯协议》（JT/T 1078-2016）的要求，在交通部进行了平台过检并备案。</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3.1.3平台应通过具备 CNAS 认证的软件测试机构针对系统功能、性能、安全性等进行的第三方软件测试，并有相应检测报告。</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3.1.4平台总体性能</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a)支持平台7×24小时不间断运行；</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b)在没有外部因素影响的情况下，故障恢复时间不超过120分钟。</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3.1.5平台车辆接入性能</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系统平台的车辆接入应满足以下要求：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a)具有智能视频监控报警数据高并发处理能力：平均1000条/秒、峰值3000条/秒；</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b)企业监控平台能支持机场至少10,000台车载终端的同时接入。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3.2接口要求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a)提供车辆动态数据接口，或具备推送动态数据能力，包括车辆实时定位、实时速度、历史轨迹等、车辆状态、驶员信息等，并且可根据客户需求增加相关接口。</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 提供车辆摄像头高清视频实时回传、历史视频查看等功能接口，并且可根据客户需求增加相关接口。</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3.3终端技术要求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3.3.1智能视频监控终端必须符合JT/T808-201</w:t>
      </w: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t>《道路运输车辆卫星定位系统-终端通讯协议及格式》要求；JT/T 1076-2016道路运输车辆卫星定位系统车载视频终端技术要求、JT/T 1078</w:t>
      </w:r>
      <w:r>
        <w:rPr>
          <w:rFonts w:ascii="方正仿宋_GBK" w:hAnsi="方正仿宋_GBK" w:eastAsia="方正仿宋_GBK" w:cs="方正仿宋_GBK"/>
          <w:sz w:val="28"/>
          <w:szCs w:val="28"/>
        </w:rPr>
        <w:t>-2016</w:t>
      </w:r>
      <w:r>
        <w:rPr>
          <w:rFonts w:hint="eastAsia" w:ascii="方正仿宋_GBK" w:hAnsi="方正仿宋_GBK" w:eastAsia="方正仿宋_GBK" w:cs="方正仿宋_GBK"/>
          <w:sz w:val="28"/>
          <w:szCs w:val="28"/>
        </w:rPr>
        <w:t xml:space="preserve"> 道路运输车辆卫星定位系统车载视频通信协议。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3.3.2终端支持差分基站高精度定位。</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3.3.3终端至少支持720小时以上视频录像存储。</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3.3.4参数满足以下要求：</w:t>
      </w:r>
    </w:p>
    <w:tbl>
      <w:tblPr>
        <w:tblStyle w:val="11"/>
        <w:tblW w:w="8137" w:type="dxa"/>
        <w:jc w:val="center"/>
        <w:tblLayout w:type="fixed"/>
        <w:tblCellMar>
          <w:top w:w="0" w:type="dxa"/>
          <w:left w:w="0" w:type="dxa"/>
          <w:bottom w:w="0" w:type="dxa"/>
          <w:right w:w="0" w:type="dxa"/>
        </w:tblCellMar>
      </w:tblPr>
      <w:tblGrid>
        <w:gridCol w:w="812"/>
        <w:gridCol w:w="1102"/>
        <w:gridCol w:w="5320"/>
        <w:gridCol w:w="903"/>
      </w:tblGrid>
      <w:tr>
        <w:tblPrEx>
          <w:tblCellMar>
            <w:top w:w="0" w:type="dxa"/>
            <w:left w:w="0" w:type="dxa"/>
            <w:bottom w:w="0" w:type="dxa"/>
            <w:right w:w="0"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序号</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名称</w:t>
            </w:r>
          </w:p>
        </w:tc>
        <w:tc>
          <w:tcPr>
            <w:tcW w:w="5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参数</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单位</w:t>
            </w:r>
          </w:p>
        </w:tc>
      </w:tr>
      <w:tr>
        <w:tblPrEx>
          <w:tblCellMar>
            <w:top w:w="0" w:type="dxa"/>
            <w:left w:w="0" w:type="dxa"/>
            <w:bottom w:w="0" w:type="dxa"/>
            <w:right w:w="0" w:type="dxa"/>
          </w:tblCellMar>
        </w:tblPrEx>
        <w:trPr>
          <w:trHeight w:val="1101"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b/>
                <w:bCs/>
                <w:sz w:val="28"/>
                <w:szCs w:val="28"/>
              </w:rPr>
              <w:t>车载定位主机</w:t>
            </w:r>
          </w:p>
        </w:tc>
        <w:tc>
          <w:tcPr>
            <w:tcW w:w="5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sz w:val="28"/>
                <w:szCs w:val="28"/>
              </w:rPr>
            </w:pPr>
            <w:r>
              <w:rPr>
                <w:rFonts w:hint="eastAsia" w:ascii="宋体" w:hAnsi="宋体" w:cs="宋体"/>
                <w:kern w:val="0"/>
                <w:sz w:val="28"/>
                <w:szCs w:val="28"/>
                <w:lang w:bidi="ar"/>
              </w:rPr>
              <w:t>1、设备包含微处理器、数据存储器、卫星定位模块、无线通信传输模块（可接入公网或专网）。</w:t>
            </w:r>
          </w:p>
          <w:p>
            <w:pPr>
              <w:widowControl/>
              <w:jc w:val="left"/>
              <w:rPr>
                <w:rFonts w:ascii="宋体" w:hAnsi="宋体" w:cs="宋体"/>
                <w:sz w:val="28"/>
                <w:szCs w:val="28"/>
              </w:rPr>
            </w:pPr>
            <w:r>
              <w:rPr>
                <w:rFonts w:hint="eastAsia" w:ascii="宋体" w:hAnsi="宋体" w:cs="宋体"/>
                <w:kern w:val="0"/>
                <w:sz w:val="28"/>
                <w:szCs w:val="28"/>
                <w:lang w:bidi="ar"/>
              </w:rPr>
              <w:t>2、传输模块、实时时钟、高级驾驶辅助系统、驾驶员状态监测系统、数据通信接口、 TTS 语音模块、信息显示模块、告警模块。</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台</w:t>
            </w:r>
          </w:p>
        </w:tc>
      </w:tr>
      <w:tr>
        <w:tblPrEx>
          <w:tblCellMar>
            <w:top w:w="0" w:type="dxa"/>
            <w:left w:w="0" w:type="dxa"/>
            <w:bottom w:w="0" w:type="dxa"/>
            <w:right w:w="0" w:type="dxa"/>
          </w:tblCellMar>
        </w:tblPrEx>
        <w:trPr>
          <w:trHeight w:val="1101"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b/>
                <w:kern w:val="0"/>
                <w:sz w:val="28"/>
                <w:szCs w:val="28"/>
                <w:lang w:bidi="ar"/>
              </w:rPr>
              <w:t>摄像机</w:t>
            </w:r>
          </w:p>
        </w:tc>
        <w:tc>
          <w:tcPr>
            <w:tcW w:w="5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snapToGrid w:val="0"/>
              <w:spacing w:line="360" w:lineRule="auto"/>
              <w:rPr>
                <w:rFonts w:ascii="宋体" w:hAnsi="宋体" w:cs="宋体"/>
                <w:kern w:val="0"/>
                <w:sz w:val="28"/>
                <w:szCs w:val="28"/>
                <w:lang w:bidi="ar"/>
              </w:rPr>
            </w:pPr>
            <w:r>
              <w:rPr>
                <w:rFonts w:hint="eastAsia" w:ascii="宋体" w:hAnsi="宋体" w:cs="宋体"/>
                <w:kern w:val="0"/>
                <w:sz w:val="28"/>
                <w:szCs w:val="28"/>
                <w:lang w:bidi="ar"/>
              </w:rPr>
              <w:t>1、车辆前方前向碰撞报警、 距离飞行器过近预警、车道线偏离报警等主要车辆运营监控功能。</w:t>
            </w:r>
          </w:p>
          <w:p>
            <w:pPr>
              <w:numPr>
                <w:ilvl w:val="255"/>
                <w:numId w:val="0"/>
              </w:numPr>
              <w:snapToGrid w:val="0"/>
              <w:spacing w:line="360" w:lineRule="auto"/>
              <w:rPr>
                <w:rFonts w:ascii="宋体" w:hAnsi="宋体" w:cs="宋体"/>
                <w:sz w:val="28"/>
                <w:szCs w:val="28"/>
              </w:rPr>
            </w:pPr>
            <w:r>
              <w:rPr>
                <w:rFonts w:hint="eastAsia" w:ascii="宋体" w:hAnsi="宋体" w:cs="宋体"/>
                <w:kern w:val="0"/>
                <w:sz w:val="28"/>
                <w:szCs w:val="28"/>
                <w:lang w:bidi="ar"/>
              </w:rPr>
              <w:t>2、疲劳驾驶报警、分神驾驶报警、抽烟报警、接打手持电话报警、驾驶员不在驾驶位报警、驾驶员人脸身份识别、超时驾驶报警、摄像头被遮挡报警等功能。</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台</w:t>
            </w:r>
          </w:p>
        </w:tc>
      </w:tr>
    </w:tbl>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3.4安全要求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平台部署环境应满足以下要求：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3.4.1满足信息系统安全等级保护安全要求；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3.4.2数据库中关键数据加密存储，用户密码加密存储；</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3.4.3采用日志对操作和接受及发送的数据记录，不少于存储180天日志数据；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3.4.4平台间数据交换采用加密传输方式，网络通过VPN进行互联，具体要求应符合道路运输车辆卫星定位系统平台数据交换的相关规定。</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网费以及项目验收工作所产生的差旅费、会议费、专家指导费等为完成本项目所产生的一切费用（不含增值税）。报价的货币应为人民币，</w:t>
      </w:r>
      <w:r>
        <w:rPr>
          <w:rFonts w:hint="eastAsia" w:ascii="方正仿宋_GBK" w:hAnsi="方正仿宋_GBK" w:eastAsia="方正仿宋_GBK" w:cs="方正仿宋_GBK"/>
          <w:b/>
          <w:bCs/>
          <w:sz w:val="28"/>
          <w:szCs w:val="28"/>
        </w:rPr>
        <w:t>本项目的合同价格形式为固定单价合同</w:t>
      </w:r>
      <w:r>
        <w:rPr>
          <w:rFonts w:hint="eastAsia" w:ascii="方正仿宋_GBK" w:hAnsi="方正仿宋_GBK" w:eastAsia="方正仿宋_GBK" w:cs="方正仿宋_GBK"/>
          <w:sz w:val="28"/>
          <w:szCs w:val="28"/>
        </w:rPr>
        <w:t>，设备数量最终以重庆机场信息通信网络有限公司审核结算为准。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b/>
          <w:bCs/>
          <w:sz w:val="28"/>
          <w:szCs w:val="28"/>
        </w:rPr>
        <w:t>车载定位主机</w:t>
      </w:r>
      <w:r>
        <w:rPr>
          <w:rFonts w:hint="eastAsia" w:ascii="方正仿宋_GBK" w:hAnsi="方正仿宋_GBK" w:eastAsia="方正仿宋_GBK" w:cs="方正仿宋_GBK"/>
          <w:sz w:val="28"/>
          <w:szCs w:val="28"/>
        </w:rPr>
        <w:t>含增值税税额的最高限价为人民币5550元/台（大写金额：伍仟伍佰伍拾元整），</w:t>
      </w:r>
      <w:r>
        <w:rPr>
          <w:rFonts w:hint="eastAsia" w:ascii="方正仿宋_GBK" w:hAnsi="方正仿宋_GBK" w:eastAsia="方正仿宋_GBK" w:cs="方正仿宋_GBK"/>
          <w:b/>
          <w:bCs/>
          <w:sz w:val="28"/>
          <w:szCs w:val="28"/>
        </w:rPr>
        <w:t>摄像机</w:t>
      </w:r>
      <w:r>
        <w:rPr>
          <w:rFonts w:hint="eastAsia" w:ascii="方正仿宋_GBK" w:hAnsi="方正仿宋_GBK" w:eastAsia="方正仿宋_GBK" w:cs="方正仿宋_GBK"/>
          <w:sz w:val="28"/>
          <w:szCs w:val="28"/>
        </w:rPr>
        <w:t>含增值税税额的最高限价为人民币2330元/台（大写金额：贰仟叁佰叁拾元整），报价超过最高限价，将取消比选响应方的比选资格。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bCs/>
          <w:color w:val="000000"/>
          <w:sz w:val="28"/>
          <w:szCs w:val="28"/>
        </w:rPr>
        <w:t>经综合评分法评选的得分最高者</w:t>
      </w:r>
      <w:r>
        <w:rPr>
          <w:rFonts w:hint="eastAsia" w:ascii="方正仿宋_GBK" w:hAnsi="方正仿宋_GBK" w:eastAsia="方正仿宋_GBK" w:cs="方正仿宋_GBK"/>
          <w:bCs/>
          <w:color w:val="000000"/>
          <w:sz w:val="28"/>
          <w:szCs w:val="28"/>
        </w:rPr>
        <w:t>成交，即经采购方按规定组建的评审小组评审，</w:t>
      </w:r>
      <w:r>
        <w:rPr>
          <w:rFonts w:hint="eastAsia" w:ascii="方正仿宋_GBK" w:hAnsi="方正仿宋_GBK" w:eastAsia="方正仿宋_GBK" w:cs="方正仿宋_GBK"/>
          <w:color w:val="000000"/>
          <w:kern w:val="0"/>
          <w:sz w:val="28"/>
          <w:szCs w:val="28"/>
        </w:rPr>
        <w:t>根据符合采购需求、质量和服务，且综合评价得分最高的原则确定成交候选人</w:t>
      </w:r>
      <w:r>
        <w:rPr>
          <w:rFonts w:hint="eastAsia" w:ascii="方正仿宋_GBK" w:hAnsi="方正仿宋_GBK" w:eastAsia="方正仿宋_GBK" w:cs="方正仿宋_GBK"/>
          <w:bCs/>
          <w:color w:val="000000"/>
          <w:sz w:val="28"/>
          <w:szCs w:val="28"/>
        </w:rPr>
        <w:t>（评分办法详见第二章）。</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如有项目因专业性及特殊性，导致有效比选响应人不足3个的，评审小组应当否决所有比选响应人。但是有效比选响应人的经济、技术等指标仍然具有市场竞争力，能够满足比选文件要求的，评审小组</w:t>
      </w:r>
      <w:r>
        <w:rPr>
          <w:rFonts w:hint="eastAsia" w:ascii="方正仿宋_GBK" w:hAnsi="方正仿宋_GBK" w:eastAsia="方正仿宋_GBK" w:cs="方正仿宋_GBK"/>
          <w:bCs/>
          <w:color w:val="000000"/>
          <w:sz w:val="28"/>
          <w:szCs w:val="28"/>
        </w:rPr>
        <w:t>可以继续评审。经评审后符合采购需求、质量和服务的比选响应人，按综合得分从高到低排序的原则确定1</w:t>
      </w:r>
      <w:r>
        <w:rPr>
          <w:rFonts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rPr>
        <w:t>3名采购成交候选人。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w:t>
      </w:r>
      <w:r>
        <w:rPr>
          <w:rFonts w:hint="eastAsia" w:ascii="方正仿宋_GBK" w:hAnsi="方正仿宋_GBK" w:eastAsia="方正仿宋_GBK" w:cs="方正仿宋_GBK"/>
          <w:bCs/>
          <w:color w:val="000000"/>
          <w:sz w:val="28"/>
          <w:szCs w:val="28"/>
        </w:rPr>
        <w:t>综合得分从高到低排序的原则确定1</w:t>
      </w:r>
      <w:r>
        <w:rPr>
          <w:rFonts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rPr>
        <w:t>3名采购成交候选人</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2022年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left="279" w:leftChars="133" w:firstLine="280" w:firstLineChars="1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比选响应人对比选采购文件如有疑问，须于2022年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采购人对比选采购文件澄清、补遗的内容在2022年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日12：00前在重庆机场集团有限公司官方网站（https://www.cqa.cn/zbzs/4/）以公告形式发布。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.1 履约保证金为3万元人民币，在收到成交通知书10日内足额缴纳，于履约结束后，由使用部门一次性退还（不计利息）。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乙方所提供设备安装调试完毕后，经甲方验收合格，由乙方向甲方开具增值税发票，甲方在收到发票后的10个工作日内支付乙方已完工的100%发票款（附设备到货验收单）。</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技术部分。主要包括对第三条项目技术要求各项的响应说明等。如果提供的材料和服务与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商务部分。主要包括</w:t>
      </w:r>
      <w:r>
        <w:rPr>
          <w:rFonts w:hint="eastAsia" w:ascii="方正仿宋_GBK" w:hAnsi="方正仿宋_GBK" w:eastAsia="方正仿宋_GBK" w:cs="方正仿宋_GBK"/>
          <w:color w:val="000000"/>
          <w:sz w:val="28"/>
          <w:szCs w:val="28"/>
          <w:lang w:val="zh-CN"/>
        </w:rPr>
        <w:t>营业执照（复印件），一般纳税人资格证明或者小规模纳税人资格证明，法定代表人授权书和法定代表人身份证复印件，被授权人身份证复印件（原件备查）和被授权人近一个月社保证明（须为响应单位在职员工），信誉要求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11</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11</w:t>
      </w:r>
      <w:bookmarkStart w:id="1" w:name="_GoBack"/>
      <w:bookmarkEnd w:id="1"/>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联系人： 马老师</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10"/>
      </w:pPr>
    </w:p>
    <w:p/>
    <w:p>
      <w:pPr>
        <w:pStyle w:val="10"/>
      </w:pPr>
    </w:p>
    <w:p/>
    <w:p>
      <w:pPr>
        <w:pStyle w:val="10"/>
      </w:pPr>
    </w:p>
    <w:p/>
    <w:p>
      <w:pPr>
        <w:pStyle w:val="10"/>
      </w:pPr>
    </w:p>
    <w:p>
      <w:pPr>
        <w:spacing w:line="600" w:lineRule="exact"/>
        <w:jc w:val="center"/>
        <w:rPr>
          <w:rFonts w:ascii="方正小标宋_GBK" w:hAnsi="方正小标宋_GBK" w:eastAsia="方正小标宋_GBK" w:cs="方正小标宋_GBK"/>
          <w:color w:val="FF0000"/>
          <w:sz w:val="44"/>
          <w:szCs w:val="44"/>
        </w:rPr>
      </w:pPr>
    </w:p>
    <w:p>
      <w:pPr>
        <w:spacing w:line="600" w:lineRule="exact"/>
        <w:jc w:val="center"/>
        <w:rPr>
          <w:rFonts w:ascii="方正小标宋_GBK" w:hAnsi="方正小标宋_GBK" w:eastAsia="方正小标宋_GBK" w:cs="方正小标宋_GBK"/>
          <w:color w:val="FF0000"/>
          <w:sz w:val="44"/>
          <w:szCs w:val="44"/>
        </w:rPr>
      </w:pPr>
    </w:p>
    <w:p>
      <w:pPr>
        <w:spacing w:line="600" w:lineRule="exact"/>
        <w:jc w:val="center"/>
        <w:rPr>
          <w:rFonts w:ascii="方正小标宋_GBK" w:hAnsi="方正小标宋_GBK" w:eastAsia="方正小标宋_GBK" w:cs="方正小标宋_GBK"/>
          <w:color w:val="FF0000"/>
          <w:sz w:val="44"/>
          <w:szCs w:val="44"/>
        </w:rPr>
      </w:pPr>
    </w:p>
    <w:p>
      <w:pPr>
        <w:spacing w:line="600" w:lineRule="exact"/>
        <w:jc w:val="center"/>
        <w:rPr>
          <w:rFonts w:ascii="方正小标宋_GBK" w:hAnsi="方正小标宋_GBK" w:eastAsia="方正小标宋_GBK" w:cs="方正小标宋_GBK"/>
          <w:color w:val="FF0000"/>
          <w:sz w:val="44"/>
          <w:szCs w:val="44"/>
        </w:rPr>
      </w:pPr>
    </w:p>
    <w:p>
      <w:pPr>
        <w:spacing w:line="600" w:lineRule="exact"/>
        <w:jc w:val="center"/>
        <w:rPr>
          <w:rFonts w:ascii="方正小标宋_GBK" w:hAnsi="方正小标宋_GBK" w:eastAsia="方正小标宋_GBK" w:cs="方正小标宋_GBK"/>
          <w:color w:val="FF0000"/>
          <w:sz w:val="44"/>
          <w:szCs w:val="44"/>
        </w:rPr>
      </w:pPr>
    </w:p>
    <w:p>
      <w:pPr>
        <w:spacing w:line="600" w:lineRule="exact"/>
        <w:jc w:val="center"/>
        <w:rPr>
          <w:rFonts w:ascii="方正小标宋_GBK" w:hAnsi="方正小标宋_GBK" w:eastAsia="方正小标宋_GBK" w:cs="方正小标宋_GBK"/>
          <w:color w:val="FF0000"/>
          <w:sz w:val="44"/>
          <w:szCs w:val="44"/>
        </w:rPr>
      </w:pP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p>
    <w:p>
      <w:pPr>
        <w:spacing w:line="600" w:lineRule="exact"/>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color w:val="FF0000"/>
          <w:sz w:val="44"/>
          <w:szCs w:val="44"/>
        </w:rPr>
      </w:pPr>
      <w:r>
        <w:rPr>
          <w:rFonts w:hint="eastAsia" w:ascii="方正小标宋_GBK" w:hAnsi="方正小标宋_GBK" w:eastAsia="方正小标宋_GBK" w:cs="方正小标宋_GBK"/>
          <w:sz w:val="44"/>
          <w:szCs w:val="44"/>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sz w:val="28"/>
          <w:szCs w:val="28"/>
        </w:rPr>
      </w:pP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Style w:val="11"/>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88" w:lineRule="exact"/>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条款号</w:t>
            </w:r>
          </w:p>
        </w:tc>
        <w:tc>
          <w:tcPr>
            <w:tcW w:w="250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条款内容</w:t>
            </w:r>
          </w:p>
        </w:tc>
        <w:tc>
          <w:tcPr>
            <w:tcW w:w="614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503" w:type="dxa"/>
            <w:gridSpan w:val="2"/>
            <w:tcBorders>
              <w:bottom w:val="single" w:color="auto" w:sz="4" w:space="0"/>
            </w:tcBorders>
            <w:vAlign w:val="center"/>
          </w:tcPr>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分值构成</w:t>
            </w:r>
          </w:p>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（总分100分）</w:t>
            </w:r>
          </w:p>
        </w:tc>
        <w:tc>
          <w:tcPr>
            <w:tcW w:w="6143"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总分=经济部分得分+商务部分得分+技术部分得分</w:t>
            </w:r>
          </w:p>
          <w:p>
            <w:pPr>
              <w:spacing w:line="400" w:lineRule="exact"/>
              <w:ind w:firstLine="240" w:firstLineChars="100"/>
              <w:rPr>
                <w:rFonts w:ascii="方正仿宋_GBK" w:hAnsi="方正仿宋_GBK" w:eastAsia="方正仿宋_GBK" w:cs="方正仿宋_GBK"/>
                <w:szCs w:val="21"/>
              </w:rPr>
            </w:pPr>
            <w:r>
              <w:rPr>
                <w:rFonts w:hint="eastAsia" w:ascii="方正仿宋_GBK" w:hAnsi="方正仿宋_GBK" w:eastAsia="方正仿宋_GBK" w:cs="方正仿宋_GBK"/>
                <w:sz w:val="24"/>
              </w:rPr>
              <w:t>经济部分：60分；商务部分：25；技术部分：15分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条款号</w:t>
            </w:r>
          </w:p>
        </w:tc>
        <w:tc>
          <w:tcPr>
            <w:tcW w:w="2503" w:type="dxa"/>
            <w:gridSpan w:val="2"/>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2.1</w:t>
            </w:r>
          </w:p>
        </w:tc>
        <w:tc>
          <w:tcPr>
            <w:tcW w:w="2503" w:type="dxa"/>
            <w:gridSpan w:val="2"/>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经济部分评分标准</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60分</w:t>
            </w:r>
          </w:p>
        </w:tc>
        <w:tc>
          <w:tcPr>
            <w:tcW w:w="5151"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kern w:val="0"/>
                <w:sz w:val="28"/>
                <w:szCs w:val="28"/>
              </w:rPr>
            </w:pPr>
            <w:r>
              <w:rPr>
                <w:rFonts w:hint="eastAsia" w:ascii="方正仿宋_GBK" w:hAnsi="方正仿宋_GBK" w:eastAsia="方正仿宋_GBK" w:cs="方正仿宋_GBK"/>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60分；除60分情况以外的其他报价，按照以下标准计算分值：报价每高于比选评审基础报价的1%，扣1分；报价每低于比选评审基础报价的1%，扣</w:t>
            </w:r>
            <w:r>
              <w:rPr>
                <w:rFonts w:ascii="方正仿宋_GBK" w:hAnsi="方正仿宋_GBK" w:eastAsia="方正仿宋_GBK" w:cs="方正仿宋_GBK"/>
                <w:bCs/>
                <w:sz w:val="24"/>
              </w:rPr>
              <w:t>0.5</w:t>
            </w:r>
            <w:r>
              <w:rPr>
                <w:rFonts w:hint="eastAsia" w:ascii="方正仿宋_GBK" w:hAnsi="方正仿宋_GBK" w:eastAsia="方正仿宋_GBK" w:cs="方正仿宋_GBK"/>
                <w:bCs/>
                <w:sz w:val="24"/>
              </w:rPr>
              <w:t>分（不足1%，按1%处理）；以此类推直至扣完为止。（具体得分采用插入法计算，保留小数点后两位，第三位四舍五入。）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restart"/>
            <w:vAlign w:val="center"/>
          </w:tcPr>
          <w:p>
            <w:pPr>
              <w:spacing w:line="400" w:lineRule="exact"/>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2.2</w:t>
            </w:r>
          </w:p>
        </w:tc>
        <w:tc>
          <w:tcPr>
            <w:tcW w:w="1511" w:type="dxa"/>
            <w:vMerge w:val="restart"/>
            <w:tcBorders>
              <w:right w:val="single" w:color="auto" w:sz="4" w:space="0"/>
            </w:tcBorders>
            <w:vAlign w:val="center"/>
          </w:tcPr>
          <w:p>
            <w:pPr>
              <w:spacing w:line="400" w:lineRule="exact"/>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p>
            <w:pPr>
              <w:spacing w:line="400" w:lineRule="exact"/>
              <w:jc w:val="center"/>
              <w:rPr>
                <w:rFonts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rPr>
                <w:rFonts w:ascii="方正仿宋_GBK" w:hAnsi="方正仿宋_GBK" w:eastAsia="方正仿宋_GBK" w:cs="方正仿宋_GBK"/>
                <w:b/>
                <w:bCs/>
                <w:sz w:val="28"/>
                <w:szCs w:val="28"/>
              </w:rPr>
            </w:pP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类似业绩</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rPr>
                <w:rFonts w:ascii="方正仿宋_GBK" w:hAnsi="方正仿宋_GBK" w:eastAsia="方正仿宋_GBK" w:cs="方正仿宋_GBK"/>
                <w:b/>
                <w:bCs/>
                <w:color w:val="FF0000"/>
                <w:sz w:val="28"/>
                <w:szCs w:val="28"/>
              </w:rPr>
            </w:pPr>
          </w:p>
          <w:p>
            <w:pPr>
              <w:adjustRightInd w:val="0"/>
              <w:snapToGrid w:val="0"/>
              <w:spacing w:line="360" w:lineRule="exact"/>
              <w:jc w:val="center"/>
              <w:rPr>
                <w:rFonts w:ascii="方正仿宋_GBK" w:hAnsi="方正仿宋_GBK" w:eastAsia="方正仿宋_GBK" w:cs="方正仿宋_GBK"/>
                <w:b/>
                <w:bCs/>
                <w:color w:val="FF0000"/>
                <w:sz w:val="28"/>
                <w:szCs w:val="28"/>
              </w:rPr>
            </w:pPr>
            <w:r>
              <w:rPr>
                <w:rFonts w:hint="eastAsia" w:ascii="方正仿宋_GBK" w:hAnsi="方正仿宋_GBK" w:eastAsia="方正仿宋_GBK" w:cs="方正仿宋_GBK"/>
                <w:b/>
                <w:bCs/>
                <w:sz w:val="28"/>
                <w:szCs w:val="28"/>
              </w:rPr>
              <w:t>16分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bCs/>
                <w:sz w:val="24"/>
              </w:rPr>
              <w:t>2019年1月1日至今（项目时间以签订合同时间为准），在满足资格审查要求的基础上，每增加1</w:t>
            </w:r>
            <w:r>
              <w:rPr>
                <w:rFonts w:hint="eastAsia" w:ascii="方正仿宋_GBK" w:hAnsi="方正仿宋_GBK" w:eastAsia="方正仿宋_GBK" w:cs="方正仿宋_GBK"/>
                <w:bCs/>
                <w:sz w:val="24"/>
                <w:lang w:val="en-GB"/>
              </w:rPr>
              <w:t>个</w:t>
            </w:r>
            <w:r>
              <w:rPr>
                <w:rFonts w:hint="eastAsia" w:ascii="方正仿宋_GBK" w:hAnsi="方正仿宋_GBK" w:eastAsia="方正仿宋_GBK" w:cs="方正仿宋_GBK"/>
                <w:bCs/>
                <w:sz w:val="24"/>
              </w:rPr>
              <w:t>百万级业绩得4分，本项最多得16分。业绩须提供合同复印件，并加盖鲜章。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项目负责人业绩</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color w:val="FF0000"/>
                <w:sz w:val="28"/>
                <w:szCs w:val="28"/>
              </w:rPr>
            </w:pPr>
            <w:r>
              <w:rPr>
                <w:rFonts w:hint="eastAsia" w:ascii="方正仿宋_GBK" w:hAnsi="方正仿宋_GBK" w:eastAsia="方正仿宋_GBK" w:cs="方正仿宋_GBK"/>
                <w:b/>
                <w:bCs/>
                <w:sz w:val="28"/>
                <w:szCs w:val="28"/>
              </w:rPr>
              <w:t>9分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color w:val="FF0000"/>
              </w:rPr>
            </w:pPr>
            <w:r>
              <w:rPr>
                <w:rFonts w:hint="eastAsia" w:ascii="方正仿宋_GBK" w:hAnsi="方正仿宋_GBK" w:eastAsia="方正仿宋_GBK" w:cs="方正仿宋_GBK"/>
                <w:bCs/>
                <w:sz w:val="24"/>
              </w:rPr>
              <w:t>2019年1月1日至今（项目时间以签订合同时间为准），在满足资格审查要求的基础上，拟派项目负责人每增加1</w:t>
            </w:r>
            <w:r>
              <w:rPr>
                <w:rFonts w:hint="eastAsia" w:ascii="方正仿宋_GBK" w:hAnsi="方正仿宋_GBK" w:eastAsia="方正仿宋_GBK" w:cs="方正仿宋_GBK"/>
                <w:bCs/>
                <w:sz w:val="24"/>
                <w:lang w:val="en-GB"/>
              </w:rPr>
              <w:t>个</w:t>
            </w:r>
            <w:r>
              <w:rPr>
                <w:rFonts w:hint="eastAsia" w:ascii="方正仿宋_GBK" w:hAnsi="方正仿宋_GBK" w:eastAsia="方正仿宋_GBK" w:cs="方正仿宋_GBK"/>
                <w:bCs/>
                <w:sz w:val="24"/>
              </w:rPr>
              <w:t>百万业绩得3分，本项最多得9分。业绩须提供合同复印件，并加盖鲜章。</w:t>
            </w:r>
            <w:r>
              <w:rPr>
                <w:rFonts w:ascii="方正仿宋_GBK" w:hAnsi="方正仿宋_GBK" w:eastAsia="方正仿宋_GBK" w:cs="方正仿宋_GBK"/>
                <w:bCs/>
                <w:sz w:val="24"/>
              </w:rPr>
              <w:t>合同中未体现项目负责人姓名的，还须提供业主出具的业主证明资料复印件</w:t>
            </w:r>
            <w:r>
              <w:rPr>
                <w:rFonts w:hint="eastAsia" w:ascii="方正仿宋_GBK" w:hAnsi="方正仿宋_GBK" w:eastAsia="方正仿宋_GBK" w:cs="方正仿宋_GBK"/>
                <w:bCs/>
                <w:sz w:val="24"/>
              </w:rPr>
              <w:t>，以上文件均需要加盖鲜章。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2.3</w:t>
            </w:r>
          </w:p>
        </w:tc>
        <w:tc>
          <w:tcPr>
            <w:tcW w:w="1511" w:type="dxa"/>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咨询服务</w:t>
            </w: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文本方案</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rPr>
              <w:t>5</w:t>
            </w:r>
          </w:p>
        </w:tc>
        <w:tc>
          <w:tcPr>
            <w:tcW w:w="5151" w:type="dxa"/>
            <w:tcBorders>
              <w:left w:val="single" w:color="auto" w:sz="4" w:space="0"/>
              <w:bottom w:val="single" w:color="auto" w:sz="4" w:space="0"/>
            </w:tcBorders>
            <w:shd w:val="clear" w:color="auto" w:fill="auto"/>
            <w:vAlign w:val="center"/>
          </w:tcPr>
          <w:p>
            <w:pPr>
              <w:numPr>
                <w:ilvl w:val="0"/>
                <w:numId w:val="2"/>
              </w:num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技术方案（</w:t>
            </w:r>
            <w:r>
              <w:rPr>
                <w:rFonts w:ascii="方正仿宋_GBK" w:hAnsi="方正仿宋_GBK" w:eastAsia="方正仿宋_GBK" w:cs="方正仿宋_GBK"/>
                <w:bCs/>
                <w:sz w:val="24"/>
              </w:rPr>
              <w:t>4</w:t>
            </w:r>
            <w:r>
              <w:rPr>
                <w:rFonts w:hint="eastAsia" w:ascii="方正仿宋_GBK" w:hAnsi="方正仿宋_GBK" w:eastAsia="方正仿宋_GBK" w:cs="方正仿宋_GBK"/>
                <w:bCs/>
                <w:sz w:val="24"/>
              </w:rPr>
              <w:t>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①描述设备和平台的参数、功能，网络安全防护手段。文本方案结构清晰、内容完整、表述准确、归纳凝练，较好的得1-2分，合格得0-1分，较差得0分；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②描述设备和平台的安装调试、操作使用、维护方案。工作程序、工作方法科学严谨，服务方案具有强烈的目标导向和问题导向，具有前瞻性和可操作性，较好的得1-2分，合格得0-1分，较差得0分。</w:t>
            </w:r>
          </w:p>
          <w:p>
            <w:pPr>
              <w:numPr>
                <w:ilvl w:val="0"/>
                <w:numId w:val="3"/>
              </w:num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质量控制（4分）：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项目实施阶段划分及进度安排合理，阶段任务明确、时间节点清晰，有较强的业务水准与团队协作能力，较好的得1-4分，合格得0-1分，较差得0分。</w:t>
            </w:r>
          </w:p>
          <w:p>
            <w:pPr>
              <w:numPr>
                <w:ilvl w:val="0"/>
                <w:numId w:val="3"/>
              </w:num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后续支持（7分）：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后续支持服务承诺完善、措施具体可行，评委根据综合服务范围、服务方式（在机场内有指定维修点，附合同），较好的得4-7分，合格得0-4分，较差得0分。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3</w:t>
            </w:r>
          </w:p>
        </w:tc>
        <w:tc>
          <w:tcPr>
            <w:tcW w:w="1511"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程序</w:t>
            </w:r>
          </w:p>
        </w:tc>
        <w:tc>
          <w:tcPr>
            <w:tcW w:w="7135" w:type="dxa"/>
            <w:gridSpan w:val="3"/>
            <w:tcBorders>
              <w:bottom w:val="single" w:color="auto" w:sz="4" w:space="0"/>
            </w:tcBorders>
            <w:vAlign w:val="center"/>
          </w:tcPr>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1.评分分值计算保留小数点后两位，第三位四舍五入。比选响应人最终得分=技术部分得分+商务部分得分+经济部分得分。</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2. 按照比选文件的规定对所有比选响应文件进行初步评审，只有通过初步评审的比选响应文件才能进行后续评审。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3.详细评审，按第一章的规定对响应报价有算术性错误的进行算术性错误修正，并按修正后的经济部分报价进行后续评审。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4.按本章比选评分办法进行评审，综合得分由高至低的前1至3名的比选响应人为成交候选人，按程序报采购领导小组审定，采购领导小组按规定确定成交人。采购人对成交结果不作解释。</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5.如经过对所有比选响应人的比选响应文件进行评审，有效比选响应不足三个使得比选明显缺乏竞争的，评审小组可以否决全部比选响应人。</w:t>
            </w:r>
          </w:p>
        </w:tc>
      </w:tr>
    </w:tbl>
    <w:p>
      <w:pPr>
        <w:spacing w:line="600" w:lineRule="exact"/>
        <w:rPr>
          <w:rFonts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合同条款及格式</w:t>
      </w:r>
    </w:p>
    <w:p>
      <w:pPr>
        <w:ind w:firstLine="560" w:firstLineChars="200"/>
        <w:rPr>
          <w:rFonts w:ascii="方正仿宋_GBK" w:hAnsi="方正仿宋_GBK" w:eastAsia="方正仿宋_GBK" w:cs="方正仿宋_GBK"/>
          <w:color w:val="FF0000"/>
          <w:sz w:val="28"/>
          <w:szCs w:val="28"/>
        </w:rPr>
      </w:pPr>
    </w:p>
    <w:p>
      <w:pPr>
        <w:jc w:val="center"/>
        <w:rPr>
          <w:rFonts w:ascii="黑体" w:hAnsi="黑体" w:eastAsia="黑体"/>
          <w:b/>
          <w:sz w:val="48"/>
          <w:szCs w:val="48"/>
        </w:rPr>
      </w:pPr>
    </w:p>
    <w:p>
      <w:pPr>
        <w:jc w:val="center"/>
        <w:rPr>
          <w:rFonts w:ascii="黑体" w:hAnsi="黑体" w:eastAsia="黑体"/>
          <w:b/>
          <w:sz w:val="48"/>
          <w:szCs w:val="48"/>
        </w:rPr>
      </w:pPr>
    </w:p>
    <w:p>
      <w:pPr>
        <w:jc w:val="center"/>
        <w:rPr>
          <w:rFonts w:ascii="黑体" w:hAnsi="黑体" w:eastAsia="黑体"/>
          <w:b/>
          <w:sz w:val="48"/>
          <w:szCs w:val="48"/>
        </w:rPr>
      </w:pPr>
    </w:p>
    <w:p>
      <w:pPr>
        <w:jc w:val="center"/>
        <w:rPr>
          <w:rFonts w:ascii="黑体" w:hAnsi="黑体" w:eastAsia="黑体"/>
          <w:b/>
          <w:sz w:val="48"/>
          <w:szCs w:val="48"/>
        </w:rPr>
      </w:pPr>
      <w:r>
        <w:rPr>
          <w:rFonts w:hint="eastAsia" w:ascii="黑体" w:hAnsi="黑体" w:eastAsia="黑体"/>
          <w:b/>
          <w:sz w:val="48"/>
          <w:szCs w:val="48"/>
        </w:rPr>
        <w:t>重庆机场车载定位终端采购框架合同</w:t>
      </w:r>
    </w:p>
    <w:p>
      <w:pPr>
        <w:jc w:val="center"/>
        <w:rPr>
          <w:rFonts w:ascii="宋体" w:hAnsi="宋体"/>
          <w:b/>
          <w:sz w:val="44"/>
        </w:rPr>
      </w:pPr>
      <w:r>
        <w:rPr>
          <w:rFonts w:ascii="宋体" w:hAnsi="宋体"/>
          <w:b/>
          <w:sz w:val="44"/>
        </w:rPr>
        <w:t>_____________________________</w:t>
      </w:r>
    </w:p>
    <w:p>
      <w:pPr>
        <w:jc w:val="center"/>
        <w:rPr>
          <w:rFonts w:ascii="宋体" w:hAnsi="宋体"/>
          <w:b/>
          <w:sz w:val="44"/>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rPr>
          <w:rFonts w:ascii="宋体" w:hAnsi="宋体"/>
          <w:sz w:val="36"/>
          <w:szCs w:val="36"/>
          <w:u w:val="single"/>
        </w:rPr>
      </w:pPr>
      <w:r>
        <w:rPr>
          <w:rFonts w:ascii="宋体" w:hAnsi="宋体"/>
          <w:b/>
          <w:sz w:val="28"/>
          <w:szCs w:val="28"/>
        </w:rPr>
        <w:t xml:space="preserve">          </w:t>
      </w:r>
      <w:r>
        <w:rPr>
          <w:rFonts w:hint="eastAsia" w:ascii="宋体" w:hAnsi="宋体"/>
          <w:sz w:val="36"/>
          <w:szCs w:val="36"/>
        </w:rPr>
        <w:t>买方：</w:t>
      </w:r>
      <w:r>
        <w:rPr>
          <w:rFonts w:ascii="宋体" w:hAnsi="宋体"/>
          <w:sz w:val="36"/>
          <w:szCs w:val="36"/>
        </w:rPr>
        <w:t xml:space="preserve"> </w:t>
      </w:r>
      <w:r>
        <w:rPr>
          <w:rFonts w:hint="eastAsia" w:ascii="宋体" w:hAnsi="宋体"/>
          <w:sz w:val="36"/>
          <w:szCs w:val="36"/>
          <w:u w:val="single"/>
        </w:rPr>
        <w:t>重庆机场信息通信网络有限公司</w:t>
      </w:r>
      <w:r>
        <w:rPr>
          <w:rFonts w:ascii="宋体" w:hAnsi="宋体"/>
          <w:sz w:val="36"/>
          <w:szCs w:val="36"/>
        </w:rPr>
        <w:t xml:space="preserve">            </w:t>
      </w:r>
    </w:p>
    <w:p>
      <w:pPr>
        <w:spacing w:line="360" w:lineRule="auto"/>
        <w:rPr>
          <w:rFonts w:ascii="宋体" w:hAnsi="宋体"/>
          <w:sz w:val="36"/>
          <w:szCs w:val="36"/>
        </w:rPr>
      </w:pPr>
      <w:r>
        <w:rPr>
          <w:rFonts w:ascii="宋体" w:hAnsi="宋体"/>
          <w:sz w:val="36"/>
          <w:szCs w:val="36"/>
        </w:rPr>
        <w:t xml:space="preserve">    </w:t>
      </w:r>
    </w:p>
    <w:p>
      <w:pPr>
        <w:spacing w:line="360" w:lineRule="auto"/>
        <w:jc w:val="left"/>
        <w:rPr>
          <w:rFonts w:ascii="宋体" w:hAnsi="宋体"/>
          <w:sz w:val="36"/>
          <w:szCs w:val="36"/>
          <w:u w:val="single"/>
        </w:rPr>
      </w:pPr>
      <w:r>
        <w:rPr>
          <w:rFonts w:ascii="宋体" w:hAnsi="宋体"/>
          <w:sz w:val="36"/>
          <w:szCs w:val="36"/>
        </w:rPr>
        <w:t xml:space="preserve">        </w:t>
      </w:r>
      <w:r>
        <w:rPr>
          <w:rFonts w:hint="eastAsia" w:ascii="宋体" w:hAnsi="宋体"/>
          <w:sz w:val="36"/>
          <w:szCs w:val="36"/>
        </w:rPr>
        <w:t xml:space="preserve">卖方： </w:t>
      </w:r>
    </w:p>
    <w:p>
      <w:pPr>
        <w:spacing w:line="360" w:lineRule="auto"/>
        <w:rPr>
          <w:rFonts w:ascii="宋体" w:hAnsi="宋体"/>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黑体" w:hAnsi="黑体" w:eastAsia="黑体"/>
          <w:b/>
          <w:sz w:val="28"/>
          <w:szCs w:val="28"/>
        </w:rPr>
      </w:pPr>
      <w:r>
        <w:rPr>
          <w:rFonts w:hint="eastAsia" w:ascii="黑体" w:hAnsi="黑体" w:eastAsia="黑体"/>
          <w:b/>
          <w:sz w:val="28"/>
          <w:szCs w:val="28"/>
        </w:rPr>
        <w:t>签订日期</w:t>
      </w:r>
      <w:r>
        <w:rPr>
          <w:rFonts w:ascii="黑体" w:hAnsi="黑体" w:eastAsia="黑体"/>
          <w:b/>
          <w:sz w:val="28"/>
          <w:szCs w:val="28"/>
        </w:rPr>
        <w:t xml:space="preserve">     202</w:t>
      </w:r>
      <w:r>
        <w:rPr>
          <w:rFonts w:hint="eastAsia" w:ascii="黑体" w:hAnsi="黑体" w:eastAsia="黑体"/>
          <w:b/>
          <w:sz w:val="28"/>
          <w:szCs w:val="28"/>
        </w:rPr>
        <w:t>2年 月</w:t>
      </w:r>
    </w:p>
    <w:p>
      <w:pPr>
        <w:spacing w:line="360" w:lineRule="auto"/>
        <w:jc w:val="center"/>
        <w:rPr>
          <w:rFonts w:ascii="宋体" w:hAnsi="宋体"/>
          <w:b/>
          <w:sz w:val="28"/>
          <w:szCs w:val="28"/>
        </w:rPr>
      </w:pPr>
    </w:p>
    <w:p>
      <w:pPr>
        <w:spacing w:line="360" w:lineRule="auto"/>
        <w:jc w:val="center"/>
        <w:rPr>
          <w:rFonts w:ascii="宋体" w:hAnsi="宋体"/>
          <w:color w:val="000000"/>
          <w:sz w:val="29"/>
          <w:szCs w:val="29"/>
          <w:shd w:val="clear" w:color="auto" w:fill="FFFFFF"/>
        </w:rPr>
      </w:pPr>
    </w:p>
    <w:p>
      <w:pPr>
        <w:pStyle w:val="3"/>
        <w:spacing w:line="360" w:lineRule="auto"/>
        <w:jc w:val="center"/>
        <w:rPr>
          <w:rFonts w:hint="eastAsia" w:ascii="黑体" w:hAnsi="黑体" w:eastAsia="黑体"/>
          <w:b w:val="0"/>
          <w:sz w:val="36"/>
          <w:szCs w:val="36"/>
          <w:lang w:eastAsia="zh-CN"/>
        </w:rPr>
      </w:pPr>
      <w:r>
        <w:rPr>
          <w:rFonts w:hint="eastAsia" w:ascii="黑体" w:hAnsi="黑体" w:eastAsia="黑体"/>
          <w:b w:val="0"/>
          <w:sz w:val="36"/>
          <w:szCs w:val="36"/>
        </w:rPr>
        <w:t>框</w:t>
      </w:r>
      <w:r>
        <w:rPr>
          <w:rFonts w:ascii="黑体" w:hAnsi="黑体" w:eastAsia="黑体"/>
          <w:b w:val="0"/>
          <w:sz w:val="36"/>
          <w:szCs w:val="36"/>
        </w:rPr>
        <w:t xml:space="preserve"> </w:t>
      </w:r>
      <w:r>
        <w:rPr>
          <w:rFonts w:hint="eastAsia" w:ascii="黑体" w:hAnsi="黑体" w:eastAsia="黑体"/>
          <w:b w:val="0"/>
          <w:sz w:val="36"/>
          <w:szCs w:val="36"/>
        </w:rPr>
        <w:t>架</w:t>
      </w:r>
      <w:r>
        <w:rPr>
          <w:rFonts w:ascii="黑体" w:hAnsi="黑体" w:eastAsia="黑体"/>
          <w:b w:val="0"/>
          <w:sz w:val="36"/>
          <w:szCs w:val="36"/>
        </w:rPr>
        <w:t xml:space="preserve"> </w:t>
      </w:r>
      <w:r>
        <w:rPr>
          <w:rFonts w:hint="eastAsia" w:ascii="黑体" w:hAnsi="黑体" w:eastAsia="黑体"/>
          <w:b w:val="0"/>
          <w:sz w:val="36"/>
          <w:szCs w:val="36"/>
        </w:rPr>
        <w:t>合 同</w:t>
      </w:r>
      <w:r>
        <w:rPr>
          <w:rFonts w:ascii="黑体" w:hAnsi="黑体" w:eastAsia="黑体"/>
          <w:b w:val="0"/>
          <w:sz w:val="36"/>
          <w:szCs w:val="36"/>
        </w:rPr>
        <w:t xml:space="preserve"> </w:t>
      </w:r>
      <w:r>
        <w:rPr>
          <w:rFonts w:hint="eastAsia" w:ascii="黑体" w:hAnsi="黑体" w:eastAsia="黑体"/>
          <w:b w:val="0"/>
          <w:sz w:val="36"/>
          <w:szCs w:val="36"/>
          <w:lang w:eastAsia="zh-CN"/>
        </w:rPr>
        <w:t>主</w:t>
      </w:r>
      <w:r>
        <w:rPr>
          <w:rFonts w:hint="eastAsia" w:ascii="黑体" w:hAnsi="黑体" w:eastAsia="黑体"/>
          <w:b w:val="0"/>
          <w:sz w:val="36"/>
          <w:szCs w:val="36"/>
          <w:lang w:val="en-US" w:eastAsia="zh-CN"/>
        </w:rPr>
        <w:t xml:space="preserve"> </w:t>
      </w:r>
      <w:r>
        <w:rPr>
          <w:rFonts w:hint="eastAsia" w:ascii="黑体" w:hAnsi="黑体" w:eastAsia="黑体"/>
          <w:b w:val="0"/>
          <w:sz w:val="36"/>
          <w:szCs w:val="36"/>
          <w:lang w:eastAsia="zh-CN"/>
        </w:rPr>
        <w:t>要</w:t>
      </w:r>
      <w:r>
        <w:rPr>
          <w:rFonts w:hint="eastAsia" w:ascii="黑体" w:hAnsi="黑体" w:eastAsia="黑体"/>
          <w:b w:val="0"/>
          <w:sz w:val="36"/>
          <w:szCs w:val="36"/>
          <w:lang w:val="en-US" w:eastAsia="zh-CN"/>
        </w:rPr>
        <w:t xml:space="preserve"> </w:t>
      </w:r>
      <w:r>
        <w:rPr>
          <w:rFonts w:hint="eastAsia" w:ascii="黑体" w:hAnsi="黑体" w:eastAsia="黑体"/>
          <w:b w:val="0"/>
          <w:sz w:val="36"/>
          <w:szCs w:val="36"/>
          <w:lang w:eastAsia="zh-CN"/>
        </w:rPr>
        <w:t>条</w:t>
      </w:r>
      <w:r>
        <w:rPr>
          <w:rFonts w:hint="eastAsia" w:ascii="黑体" w:hAnsi="黑体" w:eastAsia="黑体"/>
          <w:b w:val="0"/>
          <w:sz w:val="36"/>
          <w:szCs w:val="36"/>
          <w:lang w:val="en-US" w:eastAsia="zh-CN"/>
        </w:rPr>
        <w:t xml:space="preserve"> </w:t>
      </w:r>
      <w:r>
        <w:rPr>
          <w:rFonts w:hint="eastAsia" w:ascii="黑体" w:hAnsi="黑体" w:eastAsia="黑体"/>
          <w:b w:val="0"/>
          <w:sz w:val="36"/>
          <w:szCs w:val="36"/>
          <w:lang w:eastAsia="zh-CN"/>
        </w:rPr>
        <w:t>款</w:t>
      </w:r>
    </w:p>
    <w:p>
      <w:pPr>
        <w:rPr>
          <w:rFonts w:ascii="宋体" w:hAnsi="宋体"/>
          <w:sz w:val="28"/>
          <w:szCs w:val="28"/>
        </w:rPr>
      </w:pPr>
    </w:p>
    <w:p>
      <w:pPr>
        <w:spacing w:line="360" w:lineRule="auto"/>
        <w:rPr>
          <w:rFonts w:ascii="仿宋_GB2312" w:hAnsi="宋体" w:eastAsia="仿宋_GB2312"/>
          <w:bCs/>
          <w:sz w:val="24"/>
        </w:rPr>
      </w:pPr>
      <w:r>
        <w:rPr>
          <w:rFonts w:hint="eastAsia" w:ascii="仿宋_GB2312" w:hAnsi="宋体" w:eastAsia="仿宋_GB2312"/>
          <w:bCs/>
          <w:sz w:val="24"/>
        </w:rPr>
        <w:t>甲方（采购方）：</w:t>
      </w:r>
      <w:r>
        <w:rPr>
          <w:rFonts w:hint="eastAsia" w:ascii="仿宋_GB2312" w:hAnsi="宋体" w:eastAsia="仿宋_GB2312"/>
          <w:sz w:val="24"/>
          <w:u w:val="single"/>
        </w:rPr>
        <w:t>重庆机场信息通信网络有限公司</w:t>
      </w:r>
      <w:r>
        <w:rPr>
          <w:rFonts w:hint="eastAsia" w:ascii="仿宋_GB2312" w:hAnsi="宋体" w:eastAsia="仿宋_GB2312"/>
          <w:bCs/>
          <w:sz w:val="24"/>
        </w:rPr>
        <w:t xml:space="preserve">     </w:t>
      </w:r>
    </w:p>
    <w:p>
      <w:pPr>
        <w:spacing w:line="360" w:lineRule="auto"/>
        <w:rPr>
          <w:rFonts w:ascii="仿宋_GB2312" w:hAnsi="宋体" w:eastAsia="仿宋_GB2312"/>
          <w:sz w:val="24"/>
          <w:u w:val="single"/>
        </w:rPr>
      </w:pPr>
      <w:r>
        <w:rPr>
          <w:rFonts w:hint="eastAsia" w:ascii="仿宋_GB2312" w:hAnsi="宋体" w:eastAsia="仿宋_GB2312"/>
          <w:bCs/>
          <w:sz w:val="24"/>
        </w:rPr>
        <w:t>地    址：</w:t>
      </w:r>
      <w:r>
        <w:rPr>
          <w:rFonts w:hint="eastAsia" w:ascii="仿宋_GB2312" w:hAnsi="宋体" w:eastAsia="仿宋_GB2312"/>
          <w:sz w:val="24"/>
          <w:u w:val="single"/>
        </w:rPr>
        <w:t>重庆江北国际机场内</w:t>
      </w:r>
    </w:p>
    <w:p>
      <w:pPr>
        <w:spacing w:line="360" w:lineRule="auto"/>
        <w:rPr>
          <w:rFonts w:ascii="仿宋_GB2312" w:hAnsi="宋体" w:eastAsia="仿宋_GB2312"/>
          <w:sz w:val="24"/>
          <w:u w:val="single"/>
        </w:rPr>
      </w:pPr>
      <w:r>
        <w:rPr>
          <w:rFonts w:hint="eastAsia" w:ascii="仿宋_GB2312" w:hAnsi="宋体" w:eastAsia="仿宋_GB2312"/>
          <w:sz w:val="24"/>
        </w:rPr>
        <w:t>法定代表人：</w:t>
      </w:r>
      <w:r>
        <w:rPr>
          <w:rFonts w:hint="eastAsia" w:ascii="仿宋_GB2312" w:hAnsi="宋体" w:eastAsia="仿宋_GB2312"/>
          <w:sz w:val="24"/>
          <w:u w:val="single"/>
        </w:rPr>
        <w:t>张鹏</w:t>
      </w:r>
    </w:p>
    <w:p>
      <w:pPr>
        <w:spacing w:line="360" w:lineRule="auto"/>
        <w:rPr>
          <w:rFonts w:ascii="仿宋_GB2312" w:hAnsi="宋体" w:eastAsia="仿宋_GB2312"/>
          <w:bCs/>
          <w:sz w:val="24"/>
        </w:rPr>
      </w:pPr>
      <w:r>
        <w:rPr>
          <w:rFonts w:hint="eastAsia" w:ascii="仿宋_GB2312" w:hAnsi="宋体" w:eastAsia="仿宋_GB2312"/>
          <w:bCs/>
          <w:sz w:val="24"/>
        </w:rPr>
        <w:t>邮    编：</w:t>
      </w:r>
      <w:r>
        <w:rPr>
          <w:rFonts w:hint="eastAsia" w:ascii="仿宋_GB2312" w:hAnsi="宋体" w:eastAsia="仿宋_GB2312"/>
          <w:bCs/>
          <w:sz w:val="24"/>
          <w:u w:val="single"/>
        </w:rPr>
        <w:t>401120</w:t>
      </w:r>
    </w:p>
    <w:p>
      <w:pPr>
        <w:spacing w:line="360" w:lineRule="auto"/>
        <w:rPr>
          <w:rFonts w:ascii="仿宋_GB2312" w:hAnsi="宋体" w:eastAsia="仿宋_GB2312"/>
          <w:bCs/>
          <w:sz w:val="24"/>
        </w:rPr>
      </w:pPr>
      <w:r>
        <w:rPr>
          <w:rFonts w:hint="eastAsia" w:ascii="仿宋_GB2312" w:hAnsi="宋体" w:eastAsia="仿宋_GB2312"/>
          <w:bCs/>
          <w:sz w:val="24"/>
        </w:rPr>
        <w:t>联 系 人：</w:t>
      </w:r>
      <w:r>
        <w:rPr>
          <w:rFonts w:hint="eastAsia" w:ascii="仿宋_GB2312" w:hAnsi="宋体" w:eastAsia="仿宋_GB2312"/>
          <w:bCs/>
          <w:sz w:val="24"/>
          <w:u w:val="single"/>
        </w:rPr>
        <w:t>巫平</w:t>
      </w:r>
    </w:p>
    <w:p>
      <w:pPr>
        <w:spacing w:line="360" w:lineRule="auto"/>
        <w:rPr>
          <w:rFonts w:ascii="仿宋_GB2312" w:hAnsi="宋体" w:eastAsia="仿宋_GB2312"/>
          <w:bCs/>
          <w:sz w:val="24"/>
        </w:rPr>
      </w:pPr>
      <w:r>
        <w:rPr>
          <w:rFonts w:hint="eastAsia" w:ascii="仿宋_GB2312" w:hAnsi="宋体" w:eastAsia="仿宋_GB2312"/>
          <w:bCs/>
          <w:sz w:val="24"/>
        </w:rPr>
        <w:t>电    话：</w:t>
      </w:r>
      <w:r>
        <w:rPr>
          <w:rFonts w:hint="eastAsia" w:ascii="仿宋_GB2312" w:hAnsi="宋体" w:eastAsia="仿宋_GB2312"/>
          <w:bCs/>
          <w:sz w:val="24"/>
          <w:u w:val="single"/>
        </w:rPr>
        <w:t>023-67151212</w:t>
      </w:r>
    </w:p>
    <w:p>
      <w:pPr>
        <w:spacing w:line="360" w:lineRule="auto"/>
        <w:rPr>
          <w:rFonts w:ascii="仿宋_GB2312" w:hAnsi="宋体" w:eastAsia="仿宋_GB2312"/>
          <w:bCs/>
          <w:sz w:val="24"/>
        </w:rPr>
      </w:pPr>
      <w:r>
        <w:rPr>
          <w:rFonts w:hint="eastAsia" w:ascii="仿宋_GB2312" w:hAnsi="宋体" w:eastAsia="仿宋_GB2312"/>
          <w:bCs/>
          <w:sz w:val="24"/>
        </w:rPr>
        <w:t>传    真：</w:t>
      </w:r>
      <w:r>
        <w:rPr>
          <w:rFonts w:hint="eastAsia" w:ascii="仿宋_GB2312" w:hAnsi="宋体" w:eastAsia="仿宋_GB2312"/>
          <w:bCs/>
          <w:sz w:val="24"/>
          <w:u w:val="single"/>
        </w:rPr>
        <w:t>023-67828888</w:t>
      </w:r>
    </w:p>
    <w:p>
      <w:pPr>
        <w:spacing w:line="360" w:lineRule="auto"/>
        <w:rPr>
          <w:rFonts w:ascii="仿宋_GB2312" w:hAnsi="宋体" w:eastAsia="仿宋_GB2312"/>
          <w:bCs/>
          <w:sz w:val="24"/>
        </w:rPr>
      </w:pPr>
    </w:p>
    <w:p>
      <w:pPr>
        <w:spacing w:line="360" w:lineRule="auto"/>
        <w:rPr>
          <w:rFonts w:ascii="仿宋_GB2312" w:hAnsi="宋体" w:eastAsia="仿宋_GB2312"/>
          <w:bCs/>
          <w:sz w:val="24"/>
        </w:rPr>
      </w:pPr>
      <w:r>
        <w:rPr>
          <w:rFonts w:hint="eastAsia" w:ascii="仿宋_GB2312" w:hAnsi="宋体" w:eastAsia="仿宋_GB2312"/>
          <w:bCs/>
          <w:sz w:val="24"/>
        </w:rPr>
        <w:t>乙方（供应方）：</w:t>
      </w:r>
      <w:r>
        <w:rPr>
          <w:rFonts w:ascii="仿宋_GB2312" w:hAnsi="宋体" w:eastAsia="仿宋_GB2312"/>
          <w:bCs/>
          <w:sz w:val="24"/>
        </w:rPr>
        <w:t xml:space="preserve">                          </w:t>
      </w:r>
      <w:r>
        <w:rPr>
          <w:rFonts w:hint="eastAsia" w:ascii="仿宋_GB2312" w:hAnsi="宋体" w:eastAsia="仿宋_GB2312"/>
          <w:bCs/>
          <w:sz w:val="24"/>
        </w:rPr>
        <w:t xml:space="preserve">      </w:t>
      </w:r>
    </w:p>
    <w:p>
      <w:pPr>
        <w:spacing w:line="360" w:lineRule="auto"/>
        <w:rPr>
          <w:rFonts w:ascii="仿宋_GB2312" w:hAnsi="宋体" w:eastAsia="仿宋_GB2312"/>
          <w:bCs/>
          <w:sz w:val="24"/>
        </w:rPr>
      </w:pPr>
      <w:r>
        <w:rPr>
          <w:rFonts w:hint="eastAsia" w:ascii="仿宋_GB2312" w:hAnsi="宋体" w:eastAsia="仿宋_GB2312"/>
          <w:bCs/>
          <w:sz w:val="24"/>
        </w:rPr>
        <w:t xml:space="preserve">地    址： </w:t>
      </w:r>
    </w:p>
    <w:p>
      <w:pPr>
        <w:spacing w:line="360" w:lineRule="auto"/>
        <w:rPr>
          <w:rFonts w:ascii="仿宋_GB2312" w:hAnsi="宋体" w:eastAsia="仿宋_GB2312"/>
          <w:bCs/>
          <w:sz w:val="24"/>
        </w:rPr>
      </w:pPr>
      <w:r>
        <w:rPr>
          <w:rFonts w:hint="eastAsia" w:ascii="仿宋_GB2312" w:hAnsi="宋体" w:eastAsia="仿宋_GB2312"/>
          <w:bCs/>
          <w:sz w:val="24"/>
        </w:rPr>
        <w:t>法定代表人：</w:t>
      </w:r>
    </w:p>
    <w:p>
      <w:pPr>
        <w:spacing w:line="360" w:lineRule="auto"/>
        <w:rPr>
          <w:rFonts w:ascii="仿宋_GB2312" w:hAnsi="宋体" w:eastAsia="仿宋_GB2312"/>
          <w:bCs/>
          <w:sz w:val="24"/>
        </w:rPr>
      </w:pPr>
      <w:r>
        <w:rPr>
          <w:rFonts w:hint="eastAsia" w:ascii="仿宋_GB2312" w:hAnsi="宋体" w:eastAsia="仿宋_GB2312"/>
          <w:bCs/>
          <w:sz w:val="24"/>
        </w:rPr>
        <w:t>邮    编：</w:t>
      </w:r>
    </w:p>
    <w:p>
      <w:pPr>
        <w:spacing w:line="360" w:lineRule="auto"/>
        <w:rPr>
          <w:rFonts w:ascii="仿宋_GB2312" w:hAnsi="宋体" w:eastAsia="仿宋_GB2312"/>
          <w:bCs/>
          <w:sz w:val="24"/>
        </w:rPr>
      </w:pPr>
      <w:r>
        <w:rPr>
          <w:rFonts w:hint="eastAsia" w:ascii="仿宋_GB2312" w:hAnsi="宋体" w:eastAsia="仿宋_GB2312"/>
          <w:bCs/>
          <w:sz w:val="24"/>
        </w:rPr>
        <w:t>联 系 人：</w:t>
      </w:r>
    </w:p>
    <w:p>
      <w:pPr>
        <w:spacing w:line="360" w:lineRule="auto"/>
        <w:rPr>
          <w:rFonts w:ascii="仿宋_GB2312" w:hAnsi="宋体" w:eastAsia="仿宋_GB2312"/>
          <w:bCs/>
          <w:sz w:val="24"/>
        </w:rPr>
      </w:pPr>
      <w:r>
        <w:rPr>
          <w:rFonts w:hint="eastAsia" w:ascii="仿宋_GB2312" w:hAnsi="宋体" w:eastAsia="仿宋_GB2312"/>
          <w:bCs/>
          <w:sz w:val="24"/>
        </w:rPr>
        <w:t>电    话：</w:t>
      </w:r>
    </w:p>
    <w:p>
      <w:pPr>
        <w:spacing w:line="360" w:lineRule="auto"/>
        <w:rPr>
          <w:rFonts w:ascii="仿宋_GB2312" w:hAnsi="宋体" w:eastAsia="仿宋_GB2312"/>
          <w:bCs/>
          <w:sz w:val="24"/>
        </w:rPr>
      </w:pPr>
      <w:r>
        <w:rPr>
          <w:rFonts w:hint="eastAsia" w:ascii="仿宋_GB2312" w:hAnsi="宋体" w:eastAsia="仿宋_GB2312"/>
          <w:bCs/>
          <w:sz w:val="24"/>
        </w:rPr>
        <w:t>传    真：</w:t>
      </w:r>
    </w:p>
    <w:p>
      <w:pPr>
        <w:spacing w:line="360" w:lineRule="auto"/>
        <w:rPr>
          <w:rFonts w:ascii="仿宋_GB2312" w:hAnsi="宋体" w:eastAsia="仿宋_GB2312"/>
          <w:bCs/>
          <w:sz w:val="24"/>
        </w:rPr>
      </w:pPr>
      <w:r>
        <w:rPr>
          <w:rFonts w:hint="eastAsia" w:ascii="仿宋_GB2312" w:hAnsi="宋体" w:eastAsia="仿宋_GB2312"/>
          <w:bCs/>
          <w:sz w:val="24"/>
        </w:rPr>
        <w:t>开户银行：</w:t>
      </w:r>
    </w:p>
    <w:p>
      <w:pPr>
        <w:spacing w:line="360" w:lineRule="auto"/>
        <w:rPr>
          <w:rFonts w:ascii="宋体" w:hAnsi="宋体"/>
          <w:bCs/>
          <w:sz w:val="28"/>
          <w:szCs w:val="28"/>
        </w:rPr>
      </w:pPr>
      <w:r>
        <w:rPr>
          <w:rFonts w:hint="eastAsia" w:ascii="仿宋_GB2312" w:hAnsi="宋体" w:eastAsia="仿宋_GB2312"/>
          <w:bCs/>
          <w:sz w:val="24"/>
        </w:rPr>
        <w:t>帐    号：</w:t>
      </w:r>
    </w:p>
    <w:p>
      <w:pPr>
        <w:spacing w:line="360" w:lineRule="auto"/>
        <w:ind w:firstLine="480"/>
        <w:jc w:val="left"/>
        <w:rPr>
          <w:rFonts w:ascii="仿宋_GB2312" w:hAnsi="宋体" w:eastAsia="仿宋_GB2312"/>
          <w:color w:val="000000"/>
          <w:sz w:val="24"/>
          <w:szCs w:val="28"/>
        </w:rPr>
      </w:pPr>
      <w:r>
        <w:rPr>
          <w:rFonts w:hint="eastAsia" w:ascii="仿宋_GB2312" w:hAnsi="宋体" w:eastAsia="仿宋_GB2312" w:cs="宋体"/>
          <w:color w:val="000000"/>
          <w:sz w:val="24"/>
          <w:szCs w:val="28"/>
        </w:rPr>
        <w:t>依照《中华人民共和国民法典》及其它有关法律、行政法规,甲乙双方就本合同有关事宜，在平等、自愿、公平和诚实</w:t>
      </w:r>
      <w:r>
        <w:rPr>
          <w:rFonts w:hint="eastAsia" w:ascii="仿宋_GB2312" w:hAnsi="宋体" w:eastAsia="仿宋_GB2312"/>
          <w:color w:val="000000"/>
          <w:sz w:val="24"/>
          <w:szCs w:val="28"/>
        </w:rPr>
        <w:t>信用原则基础上，达成一致，签订本合同，以此共同遵守。</w:t>
      </w:r>
    </w:p>
    <w:p>
      <w:pPr>
        <w:spacing w:line="360" w:lineRule="auto"/>
        <w:ind w:left="-540" w:leftChars="-257" w:firstLine="944" w:firstLineChars="392"/>
        <w:rPr>
          <w:rFonts w:ascii="仿宋_GB2312" w:hAnsi="宋体" w:eastAsia="仿宋_GB2312"/>
          <w:b/>
          <w:bCs/>
          <w:sz w:val="24"/>
        </w:rPr>
      </w:pPr>
      <w:r>
        <w:rPr>
          <w:rFonts w:hint="eastAsia" w:ascii="仿宋_GB2312" w:hAnsi="宋体" w:eastAsia="仿宋_GB2312"/>
          <w:b/>
          <w:bCs/>
          <w:sz w:val="24"/>
        </w:rPr>
        <w:t>1.释义（除非文本另有不同要求）</w:t>
      </w:r>
    </w:p>
    <w:p>
      <w:pPr>
        <w:spacing w:line="360" w:lineRule="auto"/>
        <w:ind w:left="-2" w:leftChars="-1" w:firstLine="480"/>
        <w:rPr>
          <w:rFonts w:ascii="仿宋_GB2312" w:hAnsi="宋体" w:eastAsia="仿宋_GB2312"/>
          <w:sz w:val="24"/>
        </w:rPr>
      </w:pPr>
      <w:r>
        <w:rPr>
          <w:rFonts w:hint="eastAsia" w:ascii="仿宋_GB2312" w:hAnsi="宋体" w:eastAsia="仿宋_GB2312"/>
          <w:sz w:val="24"/>
        </w:rPr>
        <w:t>1.1文中“双方”指甲方和乙方，“一方”指甲方和乙方中的任何一方。</w:t>
      </w:r>
    </w:p>
    <w:p>
      <w:pPr>
        <w:spacing w:line="360" w:lineRule="auto"/>
        <w:ind w:left="-540" w:leftChars="-257" w:firstLine="940" w:firstLineChars="392"/>
        <w:rPr>
          <w:rFonts w:ascii="仿宋_GB2312" w:hAnsi="宋体" w:eastAsia="仿宋_GB2312"/>
          <w:sz w:val="24"/>
        </w:rPr>
      </w:pPr>
      <w:r>
        <w:rPr>
          <w:rFonts w:hint="eastAsia" w:ascii="仿宋_GB2312" w:hAnsi="宋体" w:eastAsia="仿宋_GB2312"/>
          <w:sz w:val="24"/>
        </w:rPr>
        <w:t>1.2文中所涉及费用均以人民币“元”为计量单位。</w:t>
      </w:r>
    </w:p>
    <w:p>
      <w:pPr>
        <w:spacing w:line="360" w:lineRule="auto"/>
        <w:ind w:firstLine="480"/>
        <w:rPr>
          <w:rFonts w:ascii="仿宋_GB2312" w:hAnsi="宋体" w:eastAsia="仿宋_GB2312"/>
          <w:sz w:val="24"/>
        </w:rPr>
      </w:pPr>
      <w:r>
        <w:rPr>
          <w:rFonts w:hint="eastAsia" w:ascii="仿宋_GB2312" w:hAnsi="宋体" w:eastAsia="仿宋_GB2312"/>
          <w:sz w:val="24"/>
        </w:rPr>
        <w:t>1.3文中“年、月、日”均指公历年、月、日。</w:t>
      </w:r>
    </w:p>
    <w:p>
      <w:pPr>
        <w:spacing w:line="360" w:lineRule="auto"/>
        <w:ind w:left="-2" w:firstLine="482"/>
        <w:rPr>
          <w:rFonts w:ascii="仿宋_GB2312" w:hAnsi="宋体" w:eastAsia="仿宋_GB2312"/>
          <w:b/>
          <w:bCs/>
          <w:sz w:val="24"/>
        </w:rPr>
      </w:pPr>
      <w:r>
        <w:rPr>
          <w:rFonts w:hint="eastAsia" w:ascii="仿宋_GB2312" w:hAnsi="宋体" w:eastAsia="仿宋_GB2312"/>
          <w:b/>
          <w:bCs/>
          <w:sz w:val="24"/>
        </w:rPr>
        <w:t>2.合同标的</w:t>
      </w:r>
    </w:p>
    <w:p>
      <w:pPr>
        <w:spacing w:line="360" w:lineRule="auto"/>
        <w:ind w:firstLine="480"/>
        <w:rPr>
          <w:rFonts w:ascii="仿宋_GB2312" w:hAnsi="宋体" w:eastAsia="仿宋_GB2312"/>
          <w:sz w:val="24"/>
        </w:rPr>
      </w:pPr>
      <w:r>
        <w:rPr>
          <w:rFonts w:hint="eastAsia" w:ascii="仿宋_GB2312" w:hAnsi="宋体" w:eastAsia="仿宋_GB2312"/>
          <w:sz w:val="24"/>
        </w:rPr>
        <w:t>2.1合同有效期内甲方向乙方购买车载定位终端。</w:t>
      </w:r>
    </w:p>
    <w:p>
      <w:pPr>
        <w:spacing w:line="360" w:lineRule="auto"/>
        <w:ind w:firstLine="480"/>
        <w:rPr>
          <w:rFonts w:ascii="仿宋_GB2312" w:hAnsi="宋体" w:eastAsia="仿宋_GB2312"/>
          <w:sz w:val="24"/>
        </w:rPr>
      </w:pPr>
      <w:r>
        <w:rPr>
          <w:rFonts w:hint="eastAsia" w:ascii="仿宋_GB2312" w:hAnsi="宋体" w:eastAsia="仿宋_GB2312"/>
          <w:sz w:val="24"/>
        </w:rPr>
        <w:t>2.2本合同为采购框架合同，甲方按照合同2.3条款中的标的向乙方发出相应数量的采购订单，乙方应按照框架合同规定向甲方发货及提供服务。</w:t>
      </w:r>
    </w:p>
    <w:tbl>
      <w:tblPr>
        <w:tblStyle w:val="11"/>
        <w:tblpPr w:leftFromText="180" w:rightFromText="180" w:vertAnchor="page" w:horzAnchor="margin" w:tblpY="183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842"/>
        <w:gridCol w:w="993"/>
        <w:gridCol w:w="113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75"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序号</w:t>
            </w:r>
          </w:p>
        </w:tc>
        <w:tc>
          <w:tcPr>
            <w:tcW w:w="1560"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名称</w:t>
            </w:r>
          </w:p>
        </w:tc>
        <w:tc>
          <w:tcPr>
            <w:tcW w:w="1842"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型号规格</w:t>
            </w:r>
          </w:p>
        </w:tc>
        <w:tc>
          <w:tcPr>
            <w:tcW w:w="993"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单位</w:t>
            </w:r>
          </w:p>
        </w:tc>
        <w:tc>
          <w:tcPr>
            <w:tcW w:w="1134"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税率</w:t>
            </w:r>
          </w:p>
        </w:tc>
        <w:tc>
          <w:tcPr>
            <w:tcW w:w="2835"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560"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车载定位主机</w:t>
            </w:r>
          </w:p>
        </w:tc>
        <w:tc>
          <w:tcPr>
            <w:tcW w:w="1842" w:type="dxa"/>
            <w:vAlign w:val="center"/>
          </w:tcPr>
          <w:p>
            <w:pPr>
              <w:spacing w:before="120" w:after="120"/>
              <w:jc w:val="center"/>
              <w:rPr>
                <w:rFonts w:ascii="仿宋_GB2312" w:hAnsi="宋体" w:eastAsia="仿宋_GB2312" w:cs="宋体"/>
                <w:color w:val="FF0000"/>
                <w:kern w:val="0"/>
                <w:sz w:val="20"/>
                <w:szCs w:val="20"/>
              </w:rPr>
            </w:pPr>
          </w:p>
        </w:tc>
        <w:tc>
          <w:tcPr>
            <w:tcW w:w="993"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1134" w:type="dxa"/>
            <w:vAlign w:val="center"/>
          </w:tcPr>
          <w:p>
            <w:pPr>
              <w:spacing w:before="120" w:after="120"/>
              <w:jc w:val="center"/>
              <w:rPr>
                <w:rFonts w:ascii="仿宋_GB2312" w:hAnsi="宋体" w:eastAsia="仿宋_GB2312" w:cs="宋体"/>
                <w:kern w:val="0"/>
                <w:sz w:val="20"/>
                <w:szCs w:val="20"/>
              </w:rPr>
            </w:pPr>
          </w:p>
        </w:tc>
        <w:tc>
          <w:tcPr>
            <w:tcW w:w="2835" w:type="dxa"/>
            <w:vAlign w:val="center"/>
          </w:tcPr>
          <w:p>
            <w:pPr>
              <w:spacing w:before="120" w:after="120"/>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560"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摄像机</w:t>
            </w:r>
          </w:p>
        </w:tc>
        <w:tc>
          <w:tcPr>
            <w:tcW w:w="1842" w:type="dxa"/>
            <w:vAlign w:val="center"/>
          </w:tcPr>
          <w:p>
            <w:pPr>
              <w:spacing w:before="120" w:after="120"/>
              <w:jc w:val="center"/>
              <w:rPr>
                <w:rFonts w:ascii="仿宋_GB2312" w:hAnsi="宋体" w:eastAsia="仿宋_GB2312" w:cs="宋体"/>
                <w:color w:val="FF0000"/>
                <w:kern w:val="0"/>
                <w:sz w:val="20"/>
                <w:szCs w:val="20"/>
              </w:rPr>
            </w:pPr>
          </w:p>
        </w:tc>
        <w:tc>
          <w:tcPr>
            <w:tcW w:w="993"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1134" w:type="dxa"/>
            <w:vAlign w:val="center"/>
          </w:tcPr>
          <w:p>
            <w:pPr>
              <w:spacing w:before="120" w:after="120"/>
              <w:jc w:val="center"/>
              <w:rPr>
                <w:rFonts w:ascii="仿宋_GB2312" w:hAnsi="宋体" w:eastAsia="仿宋_GB2312" w:cs="宋体"/>
                <w:kern w:val="0"/>
                <w:sz w:val="20"/>
                <w:szCs w:val="20"/>
              </w:rPr>
            </w:pPr>
          </w:p>
        </w:tc>
        <w:tc>
          <w:tcPr>
            <w:tcW w:w="2835" w:type="dxa"/>
            <w:vAlign w:val="center"/>
          </w:tcPr>
          <w:p>
            <w:pPr>
              <w:spacing w:before="120" w:after="120"/>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pPr>
              <w:pStyle w:val="17"/>
              <w:ind w:firstLine="400"/>
              <w:rPr>
                <w:rFonts w:ascii="仿宋_GB2312" w:hAnsi="等线" w:eastAsia="仿宋_GB2312"/>
                <w:sz w:val="20"/>
                <w:szCs w:val="20"/>
              </w:rPr>
            </w:pPr>
          </w:p>
        </w:tc>
        <w:tc>
          <w:tcPr>
            <w:tcW w:w="1560" w:type="dxa"/>
            <w:vAlign w:val="center"/>
          </w:tcPr>
          <w:p>
            <w:pPr>
              <w:pStyle w:val="17"/>
              <w:jc w:val="center"/>
              <w:rPr>
                <w:rFonts w:ascii="仿宋_GB2312" w:hAnsi="等线" w:eastAsia="仿宋_GB2312"/>
                <w:sz w:val="20"/>
                <w:szCs w:val="20"/>
              </w:rPr>
            </w:pPr>
            <w:r>
              <w:rPr>
                <w:rFonts w:hint="eastAsia" w:ascii="仿宋_GB2312" w:hAnsi="等线" w:eastAsia="仿宋_GB2312"/>
                <w:sz w:val="20"/>
                <w:szCs w:val="20"/>
              </w:rPr>
              <w:t>备注</w:t>
            </w:r>
          </w:p>
        </w:tc>
        <w:tc>
          <w:tcPr>
            <w:tcW w:w="6804" w:type="dxa"/>
            <w:gridSpan w:val="4"/>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含安装调试</w:t>
            </w:r>
          </w:p>
        </w:tc>
      </w:tr>
    </w:tbl>
    <w:p>
      <w:pPr>
        <w:spacing w:line="360" w:lineRule="auto"/>
        <w:ind w:firstLine="480"/>
        <w:rPr>
          <w:rFonts w:ascii="仿宋_GB2312" w:hAnsi="宋体" w:eastAsia="仿宋_GB2312"/>
          <w:sz w:val="24"/>
        </w:rPr>
      </w:pPr>
      <w:r>
        <w:rPr>
          <w:rFonts w:hint="eastAsia" w:ascii="仿宋_GB2312" w:hAnsi="宋体" w:eastAsia="仿宋_GB2312"/>
          <w:sz w:val="24"/>
        </w:rPr>
        <w:t xml:space="preserve"> 2.3框架合同货物名称、型号、规格、单价：</w:t>
      </w:r>
    </w:p>
    <w:p>
      <w:pPr>
        <w:spacing w:line="360" w:lineRule="auto"/>
        <w:ind w:firstLine="482"/>
        <w:rPr>
          <w:rFonts w:ascii="仿宋_GB2312" w:hAnsi="宋体" w:eastAsia="仿宋_GB2312"/>
          <w:b/>
          <w:bCs/>
          <w:sz w:val="24"/>
        </w:rPr>
      </w:pPr>
      <w:r>
        <w:rPr>
          <w:rFonts w:hint="eastAsia" w:ascii="仿宋_GB2312" w:hAnsi="宋体" w:eastAsia="仿宋_GB2312"/>
          <w:b/>
          <w:bCs/>
          <w:sz w:val="24"/>
        </w:rPr>
        <w:t>3.合同价款</w:t>
      </w:r>
    </w:p>
    <w:p>
      <w:pPr>
        <w:spacing w:line="360" w:lineRule="auto"/>
        <w:ind w:left="-2" w:firstLine="480"/>
        <w:rPr>
          <w:rFonts w:ascii="仿宋_GB2312" w:hAnsi="宋体" w:eastAsia="仿宋_GB2312"/>
          <w:sz w:val="24"/>
        </w:rPr>
      </w:pPr>
      <w:r>
        <w:rPr>
          <w:rFonts w:hint="eastAsia" w:ascii="仿宋_GB2312" w:hAnsi="宋体" w:eastAsia="仿宋_GB2312"/>
          <w:sz w:val="24"/>
        </w:rPr>
        <w:t>3.1本合同为设备单价。</w:t>
      </w:r>
    </w:p>
    <w:p>
      <w:pPr>
        <w:spacing w:line="360" w:lineRule="auto"/>
        <w:ind w:firstLine="480"/>
        <w:rPr>
          <w:rFonts w:ascii="仿宋_GB2312" w:hAnsi="宋体" w:eastAsia="仿宋_GB2312"/>
          <w:sz w:val="24"/>
        </w:rPr>
      </w:pPr>
      <w:r>
        <w:rPr>
          <w:rFonts w:hint="eastAsia" w:ascii="仿宋_GB2312" w:hAnsi="宋体" w:eastAsia="仿宋_GB2312"/>
          <w:sz w:val="24"/>
        </w:rPr>
        <w:t>3.2本合同约定货款单价已包含乙方履行本合同可能产生的全部费用，包括货物移交至甲方所需的一切税费、运输费。</w:t>
      </w:r>
    </w:p>
    <w:p>
      <w:pPr>
        <w:spacing w:line="360" w:lineRule="auto"/>
        <w:ind w:left="-2" w:firstLine="482"/>
        <w:rPr>
          <w:rFonts w:ascii="仿宋_GB2312" w:hAnsi="宋体" w:eastAsia="仿宋_GB2312"/>
          <w:b/>
          <w:bCs/>
          <w:sz w:val="24"/>
        </w:rPr>
      </w:pPr>
      <w:r>
        <w:rPr>
          <w:rFonts w:hint="eastAsia" w:ascii="仿宋_GB2312" w:hAnsi="宋体" w:eastAsia="仿宋_GB2312"/>
          <w:b/>
          <w:bCs/>
          <w:sz w:val="24"/>
        </w:rPr>
        <w:t>4.支付方式</w:t>
      </w:r>
    </w:p>
    <w:p>
      <w:pPr>
        <w:spacing w:line="360" w:lineRule="auto"/>
        <w:ind w:firstLine="480"/>
        <w:rPr>
          <w:rFonts w:ascii="仿宋_GB2312" w:hAnsi="宋体" w:eastAsia="仿宋_GB2312"/>
          <w:sz w:val="24"/>
        </w:rPr>
      </w:pPr>
      <w:r>
        <w:rPr>
          <w:rFonts w:hint="eastAsia" w:ascii="仿宋_GB2312" w:hAnsi="宋体" w:eastAsia="仿宋_GB2312"/>
          <w:sz w:val="24"/>
        </w:rPr>
        <w:t>4.1</w:t>
      </w:r>
    </w:p>
    <w:p>
      <w:pPr>
        <w:spacing w:line="440" w:lineRule="exact"/>
        <w:ind w:firstLine="480"/>
        <w:rPr>
          <w:rFonts w:ascii="仿宋_GB2312" w:hAnsi="宋体" w:eastAsia="仿宋_GB2312"/>
          <w:sz w:val="24"/>
        </w:rPr>
      </w:pPr>
      <w:r>
        <w:rPr>
          <w:rFonts w:hint="eastAsia" w:ascii="仿宋_GB2312" w:hAnsi="宋体" w:eastAsia="仿宋_GB2312"/>
          <w:sz w:val="24"/>
        </w:rPr>
        <w:t>4.2发票：甲乙双方约定，由乙方向甲方开具下述第</w:t>
      </w:r>
      <w:r>
        <w:rPr>
          <w:rFonts w:hint="eastAsia" w:ascii="仿宋_GB2312" w:hAnsi="宋体" w:eastAsia="仿宋_GB2312"/>
          <w:sz w:val="24"/>
          <w:u w:val="single"/>
        </w:rPr>
        <w:t>（  1  ）</w:t>
      </w:r>
      <w:r>
        <w:rPr>
          <w:rFonts w:hint="eastAsia" w:ascii="仿宋_GB2312" w:hAnsi="宋体" w:eastAsia="仿宋_GB2312"/>
          <w:sz w:val="24"/>
        </w:rPr>
        <w:t>种发票：</w:t>
      </w:r>
    </w:p>
    <w:p>
      <w:pPr>
        <w:spacing w:line="440" w:lineRule="exact"/>
        <w:ind w:firstLine="480"/>
        <w:rPr>
          <w:rFonts w:ascii="仿宋_GB2312" w:hAnsi="宋体" w:eastAsia="仿宋_GB2312"/>
          <w:sz w:val="24"/>
        </w:rPr>
      </w:pPr>
      <w:r>
        <w:rPr>
          <w:rFonts w:hint="eastAsia" w:ascii="仿宋_GB2312" w:hAnsi="宋体" w:eastAsia="仿宋_GB2312"/>
          <w:sz w:val="24"/>
        </w:rPr>
        <w:t>（1）增值税专用发票（税率：1</w:t>
      </w:r>
      <w:r>
        <w:rPr>
          <w:rFonts w:ascii="仿宋_GB2312" w:hAnsi="宋体" w:eastAsia="仿宋_GB2312"/>
          <w:sz w:val="24"/>
        </w:rPr>
        <w:t>3</w:t>
      </w:r>
      <w:r>
        <w:rPr>
          <w:rFonts w:hint="eastAsia" w:ascii="仿宋_GB2312" w:hAnsi="宋体" w:eastAsia="仿宋_GB2312"/>
          <w:sz w:val="24"/>
        </w:rPr>
        <w:t>%）。甲方的开票信息为：</w:t>
      </w:r>
    </w:p>
    <w:p>
      <w:pPr>
        <w:spacing w:before="240" w:line="240" w:lineRule="exact"/>
        <w:ind w:firstLine="480"/>
        <w:rPr>
          <w:rFonts w:ascii="仿宋_GB2312" w:hAnsi="宋体" w:eastAsia="仿宋_GB2312"/>
          <w:sz w:val="24"/>
          <w:u w:val="single"/>
        </w:rPr>
      </w:pPr>
      <w:r>
        <w:rPr>
          <w:rFonts w:hint="eastAsia" w:ascii="仿宋_GB2312" w:hAnsi="宋体" w:eastAsia="仿宋_GB2312"/>
          <w:sz w:val="24"/>
        </w:rPr>
        <w:t>单位名称：</w:t>
      </w:r>
      <w:r>
        <w:rPr>
          <w:rFonts w:hint="eastAsia" w:ascii="仿宋_GB2312" w:hAnsi="宋体" w:eastAsia="仿宋_GB2312"/>
          <w:sz w:val="24"/>
          <w:u w:val="single"/>
        </w:rPr>
        <w:t xml:space="preserve">重庆机场信息通信网络有限公司     </w:t>
      </w:r>
    </w:p>
    <w:p>
      <w:pPr>
        <w:spacing w:before="240" w:line="240" w:lineRule="exact"/>
        <w:ind w:firstLine="480"/>
        <w:rPr>
          <w:rFonts w:ascii="仿宋_GB2312" w:hAnsi="宋体" w:eastAsia="仿宋_GB2312"/>
          <w:sz w:val="24"/>
        </w:rPr>
      </w:pPr>
      <w:r>
        <w:rPr>
          <w:rFonts w:hint="eastAsia" w:ascii="仿宋_GB2312" w:hAnsi="宋体" w:eastAsia="仿宋_GB2312"/>
          <w:sz w:val="24"/>
        </w:rPr>
        <w:t>纳税人识别号：</w:t>
      </w:r>
      <w:r>
        <w:rPr>
          <w:rFonts w:hint="eastAsia" w:ascii="仿宋_GB2312" w:hAnsi="宋体" w:eastAsia="仿宋_GB2312"/>
          <w:sz w:val="24"/>
          <w:u w:val="single"/>
        </w:rPr>
        <w:t xml:space="preserve">915001127093887860    </w:t>
      </w:r>
    </w:p>
    <w:p>
      <w:pPr>
        <w:spacing w:before="240" w:line="240" w:lineRule="exact"/>
        <w:ind w:firstLine="480"/>
        <w:rPr>
          <w:rFonts w:ascii="仿宋_GB2312" w:hAnsi="宋体" w:eastAsia="仿宋_GB2312"/>
          <w:sz w:val="24"/>
        </w:rPr>
      </w:pPr>
      <w:r>
        <w:rPr>
          <w:rFonts w:hint="eastAsia" w:ascii="仿宋_GB2312" w:hAnsi="宋体" w:eastAsia="仿宋_GB2312"/>
          <w:sz w:val="24"/>
        </w:rPr>
        <w:t>注册地址：</w:t>
      </w:r>
      <w:r>
        <w:rPr>
          <w:rFonts w:hint="eastAsia" w:ascii="仿宋_GB2312" w:hAnsi="宋体" w:eastAsia="仿宋_GB2312"/>
          <w:sz w:val="24"/>
          <w:u w:val="single"/>
        </w:rPr>
        <w:t xml:space="preserve">重庆市渝北区江北机场内    </w:t>
      </w:r>
    </w:p>
    <w:p>
      <w:pPr>
        <w:spacing w:before="240" w:line="240" w:lineRule="exact"/>
        <w:ind w:firstLine="480"/>
        <w:rPr>
          <w:rFonts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50001083800050200627    </w:t>
      </w:r>
    </w:p>
    <w:p>
      <w:pPr>
        <w:spacing w:before="240" w:line="240" w:lineRule="exact"/>
        <w:ind w:firstLine="480"/>
        <w:rPr>
          <w:rFonts w:ascii="仿宋_GB2312" w:hAnsi="宋体" w:eastAsia="仿宋_GB2312"/>
          <w:sz w:val="24"/>
        </w:rPr>
      </w:pPr>
      <w:r>
        <w:rPr>
          <w:rFonts w:hint="eastAsia" w:ascii="仿宋_GB2312" w:hAnsi="宋体" w:eastAsia="仿宋_GB2312"/>
          <w:sz w:val="24"/>
        </w:rPr>
        <w:t>开户行：</w:t>
      </w:r>
      <w:r>
        <w:rPr>
          <w:rFonts w:hint="eastAsia" w:ascii="仿宋_GB2312" w:hAnsi="宋体" w:eastAsia="仿宋_GB2312"/>
          <w:sz w:val="24"/>
          <w:u w:val="single"/>
        </w:rPr>
        <w:t xml:space="preserve">中国建设银行重庆渝北机场支行    </w:t>
      </w:r>
    </w:p>
    <w:p>
      <w:pPr>
        <w:spacing w:before="240" w:line="240" w:lineRule="exact"/>
        <w:ind w:firstLine="480"/>
        <w:rPr>
          <w:rFonts w:ascii="仿宋_GB2312" w:hAnsi="宋体" w:eastAsia="仿宋_GB2312"/>
          <w:sz w:val="24"/>
        </w:rPr>
      </w:pPr>
      <w:r>
        <w:rPr>
          <w:rFonts w:hint="eastAsia" w:ascii="仿宋_GB2312" w:hAnsi="宋体" w:eastAsia="仿宋_GB2312"/>
          <w:sz w:val="24"/>
        </w:rPr>
        <w:t>联系电话：</w:t>
      </w:r>
      <w:r>
        <w:rPr>
          <w:rFonts w:hint="eastAsia" w:ascii="仿宋_GB2312" w:hAnsi="宋体" w:eastAsia="仿宋_GB2312"/>
          <w:sz w:val="24"/>
          <w:u w:val="single"/>
        </w:rPr>
        <w:t xml:space="preserve">（023）67153099    </w:t>
      </w:r>
    </w:p>
    <w:p>
      <w:pPr>
        <w:spacing w:line="440" w:lineRule="exact"/>
        <w:ind w:firstLine="480"/>
        <w:rPr>
          <w:rFonts w:ascii="仿宋_GB2312" w:hAnsi="宋体" w:eastAsia="仿宋_GB2312"/>
          <w:sz w:val="24"/>
        </w:rPr>
      </w:pPr>
      <w:r>
        <w:rPr>
          <w:rFonts w:hint="eastAsia" w:ascii="仿宋_GB2312" w:hAnsi="宋体" w:eastAsia="仿宋_GB2312"/>
          <w:sz w:val="24"/>
        </w:rPr>
        <w:t>（2）普通发票。购货单位名称以本合同甲方全称为准。</w:t>
      </w:r>
    </w:p>
    <w:p>
      <w:pPr>
        <w:spacing w:line="440" w:lineRule="exact"/>
        <w:ind w:firstLine="480"/>
        <w:rPr>
          <w:rFonts w:ascii="仿宋_GB2312" w:hAnsi="宋体" w:eastAsia="仿宋_GB2312"/>
          <w:sz w:val="24"/>
        </w:rPr>
      </w:pPr>
      <w:r>
        <w:rPr>
          <w:rFonts w:hint="eastAsia" w:ascii="仿宋_GB2312" w:hAnsi="宋体" w:eastAsia="仿宋_GB2312"/>
          <w:sz w:val="24"/>
        </w:rPr>
        <w:t>4.3无论何时，乙方出具的发票均不得视为甲方已经付款的凭证。</w:t>
      </w:r>
    </w:p>
    <w:p>
      <w:pPr>
        <w:pStyle w:val="9"/>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5.包装及运输</w:t>
      </w:r>
    </w:p>
    <w:p>
      <w:pPr>
        <w:spacing w:line="360" w:lineRule="auto"/>
        <w:ind w:firstLine="480"/>
        <w:rPr>
          <w:rFonts w:ascii="仿宋_GB2312" w:hAnsi="宋体" w:eastAsia="仿宋_GB2312"/>
          <w:sz w:val="24"/>
        </w:rPr>
      </w:pPr>
      <w:r>
        <w:rPr>
          <w:rFonts w:hint="eastAsia" w:ascii="仿宋_GB2312" w:hAnsi="宋体" w:eastAsia="仿宋_GB2312"/>
          <w:sz w:val="24"/>
        </w:rPr>
        <w:t>5.1乙方应为产品提供适宜产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pStyle w:val="9"/>
        <w:spacing w:line="360" w:lineRule="auto"/>
        <w:ind w:firstLine="480" w:firstLineChars="200"/>
        <w:jc w:val="both"/>
        <w:rPr>
          <w:rFonts w:ascii="仿宋_GB2312" w:hAnsi="宋体" w:eastAsia="仿宋_GB2312"/>
          <w:sz w:val="24"/>
          <w:szCs w:val="24"/>
        </w:rPr>
      </w:pPr>
      <w:r>
        <w:rPr>
          <w:rFonts w:hint="eastAsia" w:ascii="仿宋_GB2312" w:hAnsi="宋体" w:eastAsia="仿宋_GB2312"/>
          <w:sz w:val="24"/>
          <w:szCs w:val="24"/>
        </w:rPr>
        <w:t>5.2乙方负责无偿将商品运送并堆放至甲方指定地点。运输过程中，商品毁损、灭失的风险由乙方承担。</w:t>
      </w:r>
    </w:p>
    <w:p>
      <w:pPr>
        <w:tabs>
          <w:tab w:val="left" w:pos="600"/>
        </w:tabs>
        <w:spacing w:line="360" w:lineRule="auto"/>
        <w:ind w:left="-2" w:firstLine="480"/>
        <w:rPr>
          <w:rFonts w:ascii="仿宋_GB2312" w:hAnsi="宋体" w:eastAsia="仿宋_GB2312"/>
          <w:sz w:val="24"/>
        </w:rPr>
      </w:pPr>
      <w:r>
        <w:rPr>
          <w:rFonts w:hint="eastAsia" w:ascii="仿宋_GB2312" w:hAnsi="宋体" w:eastAsia="仿宋_GB2312"/>
          <w:sz w:val="24"/>
        </w:rPr>
        <w:t>5.3商品运送至甲方指定地点后，由甲乙双方共同对商品进行检验，产品若无需安装调试的，双方应及时办理移交手续。系统安装调试并经甲方验收合格前，毁损、灭失的风险恒定由乙方承担。产品需进行安装调试的，待安装调试完成后，经甲方验收合格后双方办理移交手续。</w:t>
      </w:r>
    </w:p>
    <w:p>
      <w:pPr>
        <w:spacing w:line="360" w:lineRule="auto"/>
        <w:ind w:firstLine="480"/>
        <w:rPr>
          <w:rFonts w:ascii="仿宋_GB2312" w:hAnsi="宋体" w:eastAsia="仿宋_GB2312"/>
          <w:sz w:val="24"/>
        </w:rPr>
      </w:pPr>
      <w:r>
        <w:rPr>
          <w:rFonts w:hint="eastAsia" w:ascii="仿宋_GB2312" w:hAnsi="宋体" w:eastAsia="仿宋_GB2312"/>
          <w:sz w:val="24"/>
        </w:rPr>
        <w:t>5.4运输费用由乙方承担。</w:t>
      </w:r>
    </w:p>
    <w:p>
      <w:pPr>
        <w:tabs>
          <w:tab w:val="left" w:pos="600"/>
        </w:tabs>
        <w:spacing w:line="360" w:lineRule="auto"/>
        <w:ind w:left="-2" w:firstLine="482"/>
        <w:rPr>
          <w:rFonts w:ascii="仿宋_GB2312" w:hAnsi="宋体" w:eastAsia="仿宋_GB2312"/>
          <w:b/>
          <w:bCs/>
          <w:sz w:val="24"/>
        </w:rPr>
      </w:pPr>
      <w:r>
        <w:rPr>
          <w:rFonts w:hint="eastAsia" w:ascii="仿宋_GB2312" w:hAnsi="宋体" w:eastAsia="仿宋_GB2312"/>
          <w:b/>
          <w:bCs/>
          <w:sz w:val="24"/>
        </w:rPr>
        <w:t>6.交货地点、交货期限</w:t>
      </w:r>
    </w:p>
    <w:p>
      <w:pPr>
        <w:tabs>
          <w:tab w:val="left" w:pos="600"/>
        </w:tabs>
        <w:spacing w:line="360" w:lineRule="auto"/>
        <w:ind w:left="-2" w:firstLine="480"/>
        <w:rPr>
          <w:rFonts w:ascii="仿宋_GB2312" w:hAnsi="宋体" w:eastAsia="仿宋_GB2312"/>
          <w:sz w:val="24"/>
        </w:rPr>
      </w:pPr>
      <w:r>
        <w:rPr>
          <w:rFonts w:hint="eastAsia" w:ascii="仿宋_GB2312" w:hAnsi="宋体" w:eastAsia="仿宋_GB2312"/>
          <w:sz w:val="24"/>
        </w:rPr>
        <w:t>6.1交货地点：重庆江北国际机场指定地点</w:t>
      </w:r>
    </w:p>
    <w:p>
      <w:pPr>
        <w:tabs>
          <w:tab w:val="left" w:pos="600"/>
        </w:tabs>
        <w:spacing w:line="360" w:lineRule="auto"/>
        <w:ind w:left="-2" w:firstLine="480"/>
        <w:rPr>
          <w:rFonts w:ascii="仿宋_GB2312" w:hAnsi="宋体" w:eastAsia="仿宋_GB2312"/>
          <w:sz w:val="24"/>
        </w:rPr>
      </w:pPr>
      <w:r>
        <w:rPr>
          <w:rFonts w:hint="eastAsia" w:ascii="仿宋_GB2312" w:hAnsi="宋体" w:eastAsia="仿宋_GB2312"/>
          <w:sz w:val="24"/>
        </w:rPr>
        <w:t>6.2交货时间：订单签订后7个工作日内。</w:t>
      </w:r>
    </w:p>
    <w:p>
      <w:pPr>
        <w:tabs>
          <w:tab w:val="left" w:pos="600"/>
        </w:tabs>
        <w:spacing w:line="360" w:lineRule="auto"/>
        <w:ind w:left="-2" w:firstLine="482"/>
        <w:rPr>
          <w:rFonts w:ascii="仿宋_GB2312" w:hAnsi="宋体" w:eastAsia="仿宋_GB2312"/>
          <w:b/>
          <w:bCs/>
          <w:sz w:val="24"/>
        </w:rPr>
      </w:pPr>
      <w:r>
        <w:rPr>
          <w:rFonts w:hint="eastAsia" w:ascii="仿宋_GB2312" w:hAnsi="宋体" w:eastAsia="仿宋_GB2312"/>
          <w:b/>
          <w:bCs/>
          <w:sz w:val="24"/>
        </w:rPr>
        <w:t xml:space="preserve">7.检验 </w:t>
      </w:r>
    </w:p>
    <w:p>
      <w:pPr>
        <w:spacing w:line="360" w:lineRule="auto"/>
        <w:ind w:firstLine="480"/>
        <w:rPr>
          <w:rFonts w:ascii="仿宋_GB2312" w:hAnsi="宋体" w:eastAsia="仿宋_GB2312"/>
          <w:sz w:val="24"/>
        </w:rPr>
      </w:pPr>
      <w:r>
        <w:rPr>
          <w:rFonts w:hint="eastAsia" w:ascii="仿宋_GB2312" w:hAnsi="宋体" w:eastAsia="仿宋_GB2312"/>
          <w:sz w:val="24"/>
        </w:rPr>
        <w:t>7.1货到后，甲方应及时组织人员进行验收，并出具验收单。需对所供商品进行安装调试的，甲方除应进行到货初验外，还有权对安装调试完成后的状况进行成果验收。</w:t>
      </w:r>
    </w:p>
    <w:p>
      <w:pPr>
        <w:spacing w:line="360" w:lineRule="auto"/>
        <w:ind w:firstLine="482"/>
        <w:rPr>
          <w:rFonts w:ascii="仿宋_GB2312" w:hAnsi="宋体" w:eastAsia="仿宋_GB2312"/>
          <w:b/>
          <w:bCs/>
          <w:sz w:val="24"/>
        </w:rPr>
      </w:pPr>
      <w:r>
        <w:rPr>
          <w:rFonts w:hint="eastAsia" w:ascii="仿宋_GB2312" w:hAnsi="宋体" w:eastAsia="仿宋_GB2312"/>
          <w:b/>
          <w:bCs/>
          <w:sz w:val="24"/>
        </w:rPr>
        <w:t>8.质量保证</w:t>
      </w:r>
    </w:p>
    <w:p>
      <w:pPr>
        <w:spacing w:line="360" w:lineRule="auto"/>
        <w:ind w:firstLine="480"/>
        <w:rPr>
          <w:rFonts w:ascii="仿宋_GB2312" w:hAnsi="宋体" w:eastAsia="仿宋_GB2312"/>
          <w:sz w:val="24"/>
        </w:rPr>
      </w:pPr>
      <w:r>
        <w:rPr>
          <w:rFonts w:hint="eastAsia" w:ascii="仿宋_GB2312" w:hAnsi="宋体" w:eastAsia="仿宋_GB2312"/>
          <w:sz w:val="24"/>
        </w:rPr>
        <w:t>8.1乙方保证所提供的产品为甲方所规定之原厂产品，质量符合相应的国家和行业标准。并向甲方提供所供产品相关资料，包括但不限于产品说明书、质量合格证、型式检验报告，若是进口产品需提供报关单、海关检验证明等资料。如果产品质量不能达到约定标准, 乙方应在接到甲方通知后7</w:t>
      </w:r>
      <w:r>
        <w:rPr>
          <w:rFonts w:hint="eastAsia" w:ascii="仿宋_GB2312" w:hAnsi="宋体" w:eastAsia="仿宋_GB2312"/>
          <w:sz w:val="24"/>
          <w:lang w:eastAsia="zh-CN"/>
        </w:rPr>
        <w:t>个日历天内</w:t>
      </w:r>
      <w:r>
        <w:rPr>
          <w:rFonts w:hint="eastAsia" w:ascii="仿宋_GB2312" w:hAnsi="宋体" w:eastAsia="仿宋_GB2312"/>
          <w:sz w:val="24"/>
        </w:rPr>
        <w:t>将有缺陷设备更换为合格设备，其费用由乙方负担。同时延长质保期。甲方有权要求退货和赔偿。</w:t>
      </w:r>
    </w:p>
    <w:p>
      <w:pPr>
        <w:spacing w:line="360" w:lineRule="auto"/>
        <w:ind w:firstLine="480"/>
        <w:rPr>
          <w:rFonts w:ascii="仿宋_GB2312" w:hAnsi="宋体" w:eastAsia="仿宋_GB2312"/>
          <w:sz w:val="24"/>
        </w:rPr>
      </w:pPr>
      <w:r>
        <w:rPr>
          <w:rFonts w:hint="eastAsia" w:ascii="仿宋_GB2312" w:hAnsi="宋体" w:eastAsia="仿宋_GB2312"/>
          <w:sz w:val="24"/>
        </w:rPr>
        <w:t>8.2设备质保期为两年，自货物验收合格之日起算，质保期内产品出现任何质量问题或者运行不正常时，乙方应保证在接到甲方通知后24小时内到达现场，并在</w:t>
      </w:r>
      <w:r>
        <w:rPr>
          <w:rFonts w:ascii="仿宋_GB2312" w:hAnsi="宋体" w:eastAsia="仿宋_GB2312"/>
          <w:sz w:val="24"/>
        </w:rPr>
        <w:t>5</w:t>
      </w:r>
      <w:r>
        <w:rPr>
          <w:rFonts w:hint="eastAsia" w:ascii="仿宋_GB2312" w:hAnsi="宋体" w:eastAsia="仿宋_GB2312"/>
          <w:sz w:val="24"/>
        </w:rPr>
        <w:t>个工作日时间内免费解决所有质量及运行问题，保证甲方的正常使用，如需返修，乙方将提供备机给甲方使用。如乙方未在约定的时间内响应及解决甲方的需求，甲方可自行安排他方进行维保服务，相关费用由乙方承担；甲方可将该费用从质保金中抵扣，质保金不足以抵扣的部分，由乙方支付差额。</w:t>
      </w:r>
    </w:p>
    <w:p>
      <w:pPr>
        <w:spacing w:line="360" w:lineRule="auto"/>
        <w:ind w:firstLine="480"/>
        <w:rPr>
          <w:rFonts w:ascii="仿宋_GB2312" w:hAnsi="宋体" w:eastAsia="仿宋_GB2312"/>
          <w:sz w:val="24"/>
        </w:rPr>
      </w:pPr>
      <w:r>
        <w:rPr>
          <w:rFonts w:hint="eastAsia" w:ascii="仿宋_GB2312" w:hAnsi="宋体" w:eastAsia="仿宋_GB2312"/>
          <w:sz w:val="24"/>
        </w:rPr>
        <w:t>8.3质保期内如发生重大产品质量等问题，乙方应在接到甲方通知后7</w:t>
      </w:r>
      <w:r>
        <w:rPr>
          <w:rFonts w:hint="eastAsia" w:ascii="仿宋_GB2312" w:hAnsi="宋体" w:eastAsia="仿宋_GB2312"/>
          <w:sz w:val="24"/>
          <w:lang w:eastAsia="zh-CN"/>
        </w:rPr>
        <w:t>个日历天</w:t>
      </w:r>
      <w:r>
        <w:rPr>
          <w:rFonts w:hint="eastAsia" w:ascii="仿宋_GB2312" w:hAnsi="宋体" w:eastAsia="仿宋_GB2312"/>
          <w:sz w:val="24"/>
        </w:rPr>
        <w:t>内及时解决更换为合格产品，质保期自该问题解决之日起重新计算。</w:t>
      </w:r>
    </w:p>
    <w:p>
      <w:pPr>
        <w:tabs>
          <w:tab w:val="left" w:pos="600"/>
        </w:tabs>
        <w:spacing w:line="360" w:lineRule="auto"/>
        <w:ind w:left="-2" w:firstLine="482"/>
        <w:rPr>
          <w:rFonts w:ascii="仿宋_GB2312" w:hAnsi="宋体" w:eastAsia="仿宋_GB2312"/>
          <w:b/>
          <w:bCs/>
          <w:sz w:val="24"/>
        </w:rPr>
      </w:pPr>
      <w:r>
        <w:rPr>
          <w:rFonts w:hint="eastAsia" w:ascii="仿宋_GB2312" w:hAnsi="宋体" w:eastAsia="仿宋_GB2312"/>
          <w:b/>
          <w:bCs/>
          <w:sz w:val="24"/>
        </w:rPr>
        <w:t>9.售后及其他服务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9.1乙方应提供有效的联系人和联系电话，如有变更、乙方应及时、主动通知甲方。乙方需为所供货物的每一适当的单台设备提供详细的操作和维护手册，并对甲方人员提供培训；</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9.2乙方应做好定期客户回访工作，及时发现并回复客户提出的问题；可以根据客户需求提供相关的购买数据。</w:t>
      </w:r>
    </w:p>
    <w:p>
      <w:pPr>
        <w:tabs>
          <w:tab w:val="left" w:pos="600"/>
        </w:tabs>
        <w:spacing w:line="360" w:lineRule="auto"/>
        <w:ind w:firstLine="482"/>
        <w:rPr>
          <w:rFonts w:ascii="仿宋_GB2312" w:hAnsi="宋体" w:eastAsia="仿宋_GB2312"/>
          <w:b/>
          <w:bCs/>
          <w:sz w:val="24"/>
        </w:rPr>
      </w:pPr>
      <w:r>
        <w:rPr>
          <w:rFonts w:hint="eastAsia" w:ascii="仿宋_GB2312" w:hAnsi="宋体" w:eastAsia="仿宋_GB2312"/>
          <w:b/>
          <w:bCs/>
          <w:sz w:val="24"/>
        </w:rPr>
        <w:t>10. 环保、安全及合法性要求</w:t>
      </w:r>
    </w:p>
    <w:p>
      <w:pPr>
        <w:tabs>
          <w:tab w:val="left" w:pos="7560"/>
        </w:tabs>
        <w:spacing w:line="360" w:lineRule="auto"/>
        <w:ind w:left="-2" w:leftChars="-1" w:firstLine="480"/>
        <w:rPr>
          <w:rFonts w:ascii="仿宋_GB2312" w:hAnsi="宋体" w:eastAsia="仿宋_GB2312"/>
          <w:sz w:val="24"/>
        </w:rPr>
      </w:pPr>
      <w:r>
        <w:rPr>
          <w:rFonts w:hint="eastAsia" w:ascii="仿宋_GB2312" w:hAnsi="宋体" w:eastAsia="仿宋_GB2312"/>
          <w:sz w:val="24"/>
        </w:rPr>
        <w:t>10.1 乙方承诺所提供产品和服务符合国家环境保护的有关规定，不能对环境造成不良影响并承担由此造成的经济损失。</w:t>
      </w:r>
    </w:p>
    <w:p>
      <w:pPr>
        <w:tabs>
          <w:tab w:val="left" w:pos="7560"/>
        </w:tabs>
        <w:spacing w:line="360" w:lineRule="auto"/>
        <w:ind w:left="-2" w:leftChars="-1" w:firstLine="480"/>
        <w:rPr>
          <w:rFonts w:ascii="仿宋_GB2312" w:hAnsi="宋体" w:eastAsia="仿宋_GB2312"/>
          <w:sz w:val="24"/>
        </w:rPr>
      </w:pPr>
      <w:r>
        <w:rPr>
          <w:rFonts w:hint="eastAsia" w:ascii="仿宋_GB2312" w:hAnsi="宋体" w:eastAsia="仿宋_GB2312"/>
          <w:sz w:val="24"/>
        </w:rPr>
        <w:t>10.2 乙方所提供产品和服务不能对甲方的正常使用人员的人身健康造成危害并承担由此产生的经济损失。</w:t>
      </w:r>
    </w:p>
    <w:p>
      <w:pPr>
        <w:tabs>
          <w:tab w:val="left" w:pos="7560"/>
        </w:tabs>
        <w:spacing w:line="360" w:lineRule="auto"/>
        <w:ind w:left="-2" w:leftChars="-1" w:firstLine="480"/>
        <w:rPr>
          <w:rFonts w:ascii="仿宋_GB2312" w:hAnsi="宋体" w:eastAsia="仿宋_GB2312"/>
          <w:sz w:val="24"/>
        </w:rPr>
      </w:pPr>
      <w:r>
        <w:rPr>
          <w:rFonts w:hint="eastAsia" w:ascii="仿宋_GB2312" w:hAnsi="宋体" w:eastAsia="仿宋_GB2312"/>
          <w:sz w:val="24"/>
        </w:rPr>
        <w:t>10.3乙方所提供之产品和服务，符合中华人民共和国以及甲方所在地的相关法律法规及其他规范性文件之规定，不会对第三人的任何权利权益造成任何损害。</w:t>
      </w:r>
    </w:p>
    <w:p>
      <w:pPr>
        <w:tabs>
          <w:tab w:val="left" w:pos="600"/>
        </w:tabs>
        <w:spacing w:line="360" w:lineRule="auto"/>
        <w:ind w:left="-2" w:firstLine="482"/>
        <w:rPr>
          <w:rFonts w:ascii="仿宋_GB2312" w:hAnsi="宋体" w:eastAsia="仿宋_GB2312"/>
          <w:b/>
          <w:bCs/>
          <w:sz w:val="24"/>
        </w:rPr>
      </w:pPr>
      <w:r>
        <w:rPr>
          <w:rFonts w:hint="eastAsia" w:ascii="仿宋_GB2312" w:hAnsi="宋体" w:eastAsia="仿宋_GB2312"/>
          <w:b/>
          <w:bCs/>
          <w:sz w:val="24"/>
        </w:rPr>
        <w:t>11. 货物瑕疵</w:t>
      </w:r>
    </w:p>
    <w:p>
      <w:pPr>
        <w:spacing w:line="360" w:lineRule="auto"/>
        <w:ind w:firstLine="480"/>
        <w:rPr>
          <w:rFonts w:ascii="仿宋_GB2312" w:hAnsi="宋体" w:eastAsia="仿宋_GB2312"/>
          <w:sz w:val="24"/>
        </w:rPr>
      </w:pPr>
      <w:r>
        <w:rPr>
          <w:rFonts w:hint="eastAsia" w:ascii="仿宋_GB2312" w:hAnsi="宋体" w:eastAsia="仿宋_GB2312"/>
          <w:sz w:val="24"/>
        </w:rPr>
        <w:t>11.1在交货之前,乙方应就产品的品质、规格、性能、数量及重量做出准确和全面的检验,保证其产品不存在任何瑕疵。</w:t>
      </w:r>
    </w:p>
    <w:p>
      <w:pPr>
        <w:tabs>
          <w:tab w:val="left" w:pos="7560"/>
        </w:tabs>
        <w:spacing w:line="360" w:lineRule="auto"/>
        <w:ind w:left="-2" w:leftChars="-1" w:firstLine="480"/>
        <w:rPr>
          <w:rFonts w:ascii="仿宋_GB2312" w:hAnsi="宋体" w:eastAsia="仿宋_GB2312"/>
          <w:sz w:val="24"/>
        </w:rPr>
      </w:pPr>
      <w:r>
        <w:rPr>
          <w:rFonts w:hint="eastAsia" w:ascii="仿宋_GB2312" w:hAnsi="宋体" w:eastAsia="仿宋_GB2312"/>
          <w:sz w:val="24"/>
        </w:rPr>
        <w:t>11.2如甲方发现乙方所售产品存在任何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spacing w:line="360" w:lineRule="auto"/>
        <w:ind w:firstLine="482"/>
        <w:rPr>
          <w:rFonts w:ascii="仿宋_GB2312" w:hAnsi="宋体" w:eastAsia="仿宋_GB2312"/>
          <w:b/>
          <w:bCs/>
          <w:sz w:val="24"/>
        </w:rPr>
      </w:pPr>
      <w:r>
        <w:rPr>
          <w:rFonts w:hint="eastAsia" w:ascii="仿宋_GB2312" w:hAnsi="宋体" w:eastAsia="仿宋_GB2312"/>
          <w:b/>
          <w:bCs/>
          <w:sz w:val="24"/>
        </w:rPr>
        <w:t>12.违约责任</w:t>
      </w:r>
    </w:p>
    <w:p>
      <w:pPr>
        <w:spacing w:line="360" w:lineRule="auto"/>
        <w:ind w:firstLine="480"/>
        <w:rPr>
          <w:rFonts w:ascii="仿宋_GB2312" w:hAnsi="宋体" w:eastAsia="仿宋_GB2312"/>
          <w:sz w:val="24"/>
        </w:rPr>
      </w:pPr>
      <w:r>
        <w:rPr>
          <w:rFonts w:hint="eastAsia" w:ascii="仿宋_GB2312" w:hAnsi="宋体" w:eastAsia="仿宋_GB2312"/>
          <w:sz w:val="24"/>
        </w:rPr>
        <w:t>12.1合同生效后即对双方具有法律约束力，甲乙双方应本着信守合同、友好协商的原则，处理本合同有关事宜。</w:t>
      </w:r>
    </w:p>
    <w:p>
      <w:pPr>
        <w:spacing w:line="360" w:lineRule="auto"/>
        <w:ind w:firstLine="480"/>
        <w:rPr>
          <w:rFonts w:ascii="仿宋_GB2312" w:hAnsi="宋体" w:eastAsia="仿宋_GB2312"/>
          <w:sz w:val="24"/>
        </w:rPr>
      </w:pPr>
      <w:r>
        <w:rPr>
          <w:rFonts w:hint="eastAsia" w:ascii="仿宋_GB2312" w:hAnsi="宋体" w:eastAsia="仿宋_GB2312"/>
          <w:sz w:val="24"/>
        </w:rPr>
        <w:t>12.2甲乙双方如有一方违约，由违约方承担由此给守约方造成的经济损失。</w:t>
      </w:r>
    </w:p>
    <w:p>
      <w:pPr>
        <w:spacing w:line="360" w:lineRule="auto"/>
        <w:ind w:firstLine="480"/>
        <w:rPr>
          <w:rFonts w:ascii="仿宋_GB2312" w:hAnsi="宋体" w:eastAsia="仿宋_GB2312"/>
          <w:sz w:val="24"/>
        </w:rPr>
      </w:pPr>
      <w:r>
        <w:rPr>
          <w:rFonts w:hint="eastAsia" w:ascii="仿宋_GB2312" w:hAnsi="宋体" w:eastAsia="仿宋_GB2312"/>
          <w:sz w:val="24"/>
        </w:rPr>
        <w:t>12.3如乙方未按合同规定时间将产品运到甲方指定地点或未按约定时间送到全部产品（经甲方允许可以延期送的产品除外），每逾期一日，乙方应按日向甲方支付合同总额千分之二的违约金，但总计不超过合同总额的百分之五。逾期超过   日甲方有权单方终止合同，并要求乙方支付违约金，承担相关损失。</w:t>
      </w:r>
    </w:p>
    <w:p>
      <w:pPr>
        <w:tabs>
          <w:tab w:val="left" w:pos="600"/>
        </w:tabs>
        <w:spacing w:line="360" w:lineRule="auto"/>
        <w:ind w:firstLine="482"/>
        <w:rPr>
          <w:rFonts w:ascii="仿宋_GB2312" w:hAnsi="宋体" w:eastAsia="仿宋_GB2312"/>
          <w:b/>
          <w:sz w:val="24"/>
        </w:rPr>
      </w:pPr>
      <w:r>
        <w:rPr>
          <w:rFonts w:hint="eastAsia" w:ascii="仿宋_GB2312" w:hAnsi="宋体" w:eastAsia="仿宋_GB2312"/>
          <w:b/>
          <w:sz w:val="24"/>
        </w:rPr>
        <w:t>13.合同的变更和解除</w:t>
      </w:r>
    </w:p>
    <w:p>
      <w:pPr>
        <w:spacing w:line="360" w:lineRule="auto"/>
        <w:ind w:firstLine="480"/>
        <w:rPr>
          <w:rFonts w:ascii="仿宋_GB2312" w:hAnsi="宋体" w:eastAsia="仿宋_GB2312"/>
          <w:sz w:val="24"/>
        </w:rPr>
      </w:pPr>
      <w:r>
        <w:rPr>
          <w:rFonts w:hint="eastAsia" w:ascii="仿宋_GB2312" w:hAnsi="宋体" w:eastAsia="仿宋_GB2312"/>
          <w:sz w:val="24"/>
        </w:rPr>
        <w:t>13.1除非遇到不可抗力因素，导致本合同不能履行，未经甲乙双方一致书面同意，任何单方无权变更合同的内容。</w:t>
      </w:r>
    </w:p>
    <w:p>
      <w:pPr>
        <w:spacing w:line="360" w:lineRule="auto"/>
        <w:ind w:firstLine="480"/>
        <w:rPr>
          <w:rFonts w:ascii="仿宋_GB2312" w:hAnsi="宋体" w:eastAsia="仿宋_GB2312"/>
          <w:sz w:val="24"/>
        </w:rPr>
      </w:pPr>
      <w:r>
        <w:rPr>
          <w:rFonts w:hint="eastAsia" w:ascii="仿宋_GB2312" w:hAnsi="宋体" w:eastAsia="仿宋_GB2312"/>
          <w:sz w:val="24"/>
        </w:rPr>
        <w:t>13.2 对本合同的任何修改或补充，只有在双方授权的代表签字后生效，并成为本合同不可分割的组成部分，与本合同具有同等法律效力。</w:t>
      </w:r>
    </w:p>
    <w:p>
      <w:pPr>
        <w:spacing w:line="360" w:lineRule="auto"/>
        <w:ind w:firstLine="480"/>
        <w:rPr>
          <w:rFonts w:ascii="仿宋_GB2312" w:hAnsi="宋体" w:eastAsia="仿宋_GB2312"/>
          <w:sz w:val="24"/>
        </w:rPr>
      </w:pPr>
      <w:r>
        <w:rPr>
          <w:rFonts w:hint="eastAsia" w:ascii="仿宋_GB2312" w:hAnsi="宋体" w:eastAsia="仿宋_GB2312"/>
          <w:sz w:val="24"/>
        </w:rPr>
        <w:t>13.3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tabs>
          <w:tab w:val="left" w:pos="765"/>
        </w:tabs>
        <w:spacing w:line="360" w:lineRule="auto"/>
        <w:ind w:firstLine="480"/>
        <w:rPr>
          <w:rFonts w:ascii="仿宋_GB2312" w:hAnsi="宋体" w:eastAsia="仿宋_GB2312"/>
          <w:sz w:val="24"/>
        </w:rPr>
      </w:pPr>
      <w:r>
        <w:rPr>
          <w:rFonts w:hint="eastAsia" w:ascii="仿宋_GB2312" w:hAnsi="宋体" w:eastAsia="仿宋_GB2312"/>
          <w:sz w:val="24"/>
        </w:rPr>
        <w:t>13.4本合同任何一方破产、解散，本合同自动终止，由此所造成的相关损失概由该方承担。</w:t>
      </w:r>
    </w:p>
    <w:p>
      <w:pPr>
        <w:tabs>
          <w:tab w:val="left" w:pos="765"/>
        </w:tabs>
        <w:spacing w:line="360" w:lineRule="auto"/>
        <w:ind w:firstLine="480"/>
        <w:rPr>
          <w:rFonts w:ascii="仿宋_GB2312" w:hAnsi="宋体" w:eastAsia="仿宋_GB2312"/>
          <w:sz w:val="24"/>
        </w:rPr>
      </w:pPr>
      <w:r>
        <w:rPr>
          <w:rFonts w:hint="eastAsia" w:ascii="仿宋_GB2312" w:hAnsi="宋体" w:eastAsia="仿宋_GB2312"/>
          <w:sz w:val="24"/>
        </w:rPr>
        <w:t>13.5 除非合同目的无法实现，否则在合同存续的情况下，违约方承担相应的违约责任后仍应继续履行本合同。</w:t>
      </w:r>
    </w:p>
    <w:p>
      <w:pPr>
        <w:spacing w:line="360" w:lineRule="auto"/>
        <w:ind w:firstLine="482"/>
        <w:rPr>
          <w:rFonts w:ascii="仿宋_GB2312" w:hAnsi="宋体" w:eastAsia="仿宋_GB2312"/>
          <w:b/>
          <w:sz w:val="24"/>
        </w:rPr>
      </w:pPr>
      <w:r>
        <w:rPr>
          <w:rFonts w:hint="eastAsia" w:ascii="仿宋_GB2312" w:hAnsi="宋体" w:eastAsia="仿宋_GB2312"/>
          <w:b/>
          <w:sz w:val="24"/>
        </w:rPr>
        <w:t>14.不可抗力</w:t>
      </w:r>
    </w:p>
    <w:p>
      <w:pPr>
        <w:spacing w:line="360" w:lineRule="auto"/>
        <w:ind w:firstLine="480"/>
        <w:rPr>
          <w:rFonts w:ascii="仿宋_GB2312" w:hAnsi="宋体" w:eastAsia="仿宋_GB2312"/>
          <w:sz w:val="24"/>
        </w:rPr>
      </w:pPr>
      <w:r>
        <w:rPr>
          <w:rFonts w:hint="eastAsia" w:ascii="仿宋_GB2312" w:hAnsi="宋体" w:eastAsia="仿宋_GB2312"/>
          <w:sz w:val="24"/>
        </w:rPr>
        <w:t>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360" w:lineRule="auto"/>
        <w:ind w:firstLine="480"/>
        <w:rPr>
          <w:rFonts w:ascii="仿宋_GB2312" w:hAnsi="宋体" w:eastAsia="仿宋_GB2312"/>
          <w:sz w:val="24"/>
        </w:rPr>
      </w:pPr>
      <w:r>
        <w:rPr>
          <w:rFonts w:hint="eastAsia" w:ascii="仿宋_GB2312" w:hAnsi="宋体" w:eastAsia="仿宋_GB2312"/>
          <w:sz w:val="24"/>
        </w:rPr>
        <w:t>14.2受不可抗力影响的一方，应尽一切努力减轻和克服不可抗力的影响，并在不可抗力事件后，继续履行合同职责。</w:t>
      </w:r>
    </w:p>
    <w:p>
      <w:pPr>
        <w:spacing w:line="360" w:lineRule="auto"/>
        <w:ind w:firstLine="480"/>
        <w:rPr>
          <w:rFonts w:ascii="仿宋_GB2312" w:hAnsi="宋体" w:eastAsia="仿宋_GB2312"/>
          <w:sz w:val="24"/>
        </w:rPr>
      </w:pPr>
      <w:r>
        <w:rPr>
          <w:rFonts w:hint="eastAsia" w:ascii="仿宋_GB2312" w:hAnsi="宋体" w:eastAsia="仿宋_GB2312"/>
          <w:sz w:val="24"/>
        </w:rPr>
        <w:t>14.3在不可抗力的影响下，受阻方可暂时停止执行合同的受阻部分。当不可抗力事件确实导致本合同继续执行，将甲乙双方确认后可以就解除合同及其他未尽事宜进行协商处理。</w:t>
      </w:r>
    </w:p>
    <w:p>
      <w:pPr>
        <w:tabs>
          <w:tab w:val="left" w:pos="7560"/>
        </w:tabs>
        <w:spacing w:line="360" w:lineRule="auto"/>
        <w:ind w:firstLine="480"/>
        <w:rPr>
          <w:rFonts w:ascii="仿宋_GB2312" w:hAnsi="宋体" w:eastAsia="仿宋_GB2312"/>
          <w:sz w:val="24"/>
        </w:rPr>
      </w:pPr>
      <w:r>
        <w:rPr>
          <w:rFonts w:hint="eastAsia" w:ascii="仿宋_GB2312" w:hAnsi="宋体" w:eastAsia="仿宋_GB2312"/>
          <w:sz w:val="24"/>
        </w:rPr>
        <w:t>14.4对因不可抗力造成的损失，双方互不承担责任。但受不可抗力影响的一方未能按照14.1之约定及时通知另一方，加重或扩大了另一方损失的除外。</w:t>
      </w:r>
    </w:p>
    <w:p>
      <w:pPr>
        <w:tabs>
          <w:tab w:val="left" w:pos="7560"/>
        </w:tabs>
        <w:spacing w:line="360" w:lineRule="auto"/>
        <w:ind w:firstLine="482"/>
        <w:rPr>
          <w:rFonts w:ascii="仿宋_GB2312" w:hAnsi="宋体" w:eastAsia="仿宋_GB2312"/>
          <w:b/>
          <w:bCs/>
          <w:sz w:val="24"/>
        </w:rPr>
      </w:pPr>
      <w:r>
        <w:rPr>
          <w:rFonts w:hint="eastAsia" w:ascii="仿宋_GB2312" w:hAnsi="宋体" w:eastAsia="仿宋_GB2312"/>
          <w:b/>
          <w:bCs/>
          <w:sz w:val="24"/>
        </w:rPr>
        <w:t>15.通知及送达</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15.1甲乙双方一致确认，本合同首部注明的双方的通讯地址、联系人及联系电话为双方的送达地址及电话，其适用范围包括：本合同双方发出的任何通知、联络或争议进入民事诉讼程序后的一审程序、二审程序和执行程序有关司法文书的通知或送达。</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15.2本合同任何一方的通讯地址、联系电话如有变更的，须在变更前十</w:t>
      </w:r>
      <w:r>
        <w:rPr>
          <w:rFonts w:hint="eastAsia" w:ascii="仿宋_GB2312" w:hAnsi="宋体" w:eastAsia="仿宋_GB2312"/>
          <w:b/>
          <w:sz w:val="24"/>
          <w:lang w:eastAsia="zh-CN"/>
        </w:rPr>
        <w:t>个日历天</w:t>
      </w:r>
      <w:r>
        <w:rPr>
          <w:rFonts w:hint="eastAsia" w:ascii="仿宋_GB2312" w:hAnsi="宋体" w:eastAsia="仿宋_GB2312"/>
          <w:b/>
          <w:sz w:val="24"/>
        </w:rPr>
        <w:t>以书面形式通知相对方，在书面变更通知送达相对方之前，视为通讯地址、联系电话未变更。</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15.3对于任何通知、联络或司法文书，甲乙双方约定如下日期为正式送达日期。</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（1）直接交付的，在交付时视为送达。</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（2）以短信方式发出的，在系统显示发送成功时视为送达。</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（3）以邮政快递形式发出的，在收件方收到或拒收或因地址、电话不详或错误而退回时是视为送达。</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16.争议解决和适用法律</w:t>
      </w:r>
    </w:p>
    <w:p>
      <w:pPr>
        <w:spacing w:line="360" w:lineRule="auto"/>
        <w:ind w:firstLine="480"/>
        <w:rPr>
          <w:rFonts w:ascii="仿宋_GB2312" w:hAnsi="宋体" w:eastAsia="仿宋_GB2312"/>
          <w:sz w:val="24"/>
        </w:rPr>
      </w:pPr>
      <w:r>
        <w:rPr>
          <w:rFonts w:hint="eastAsia" w:ascii="仿宋_GB2312" w:hAnsi="宋体" w:eastAsia="仿宋_GB2312"/>
          <w:sz w:val="24"/>
        </w:rPr>
        <w:t>16.1与本合同有关的或因执行本合同所产生之争议，应由双方友好协商解决，不能解决时，任何一方均可向甲方住所地人民法院提起诉讼。</w:t>
      </w:r>
    </w:p>
    <w:p>
      <w:pPr>
        <w:spacing w:line="360" w:lineRule="auto"/>
        <w:ind w:firstLine="480"/>
        <w:rPr>
          <w:rFonts w:ascii="仿宋_GB2312" w:hAnsi="宋体" w:eastAsia="仿宋_GB2312"/>
          <w:sz w:val="24"/>
        </w:rPr>
      </w:pPr>
      <w:r>
        <w:rPr>
          <w:rFonts w:hint="eastAsia" w:ascii="仿宋_GB2312" w:hAnsi="宋体" w:eastAsia="仿宋_GB2312"/>
          <w:sz w:val="24"/>
        </w:rPr>
        <w:t>16.2争议处理期间除正在审理的部分以外，双方应继续执行合同的其余部分。</w:t>
      </w:r>
    </w:p>
    <w:p>
      <w:pPr>
        <w:spacing w:line="360" w:lineRule="auto"/>
        <w:ind w:firstLine="480"/>
        <w:rPr>
          <w:rFonts w:ascii="仿宋_GB2312" w:hAnsi="宋体" w:eastAsia="仿宋_GB2312"/>
          <w:sz w:val="24"/>
        </w:rPr>
      </w:pPr>
      <w:r>
        <w:rPr>
          <w:rFonts w:hint="eastAsia" w:ascii="仿宋_GB2312" w:hAnsi="宋体" w:eastAsia="仿宋_GB2312"/>
          <w:sz w:val="24"/>
        </w:rPr>
        <w:t>16.4本合同的订立、效力、解释、履行及争议的解决适用中华人民共和国的法律、法规。</w:t>
      </w:r>
    </w:p>
    <w:p>
      <w:pPr>
        <w:tabs>
          <w:tab w:val="left" w:pos="600"/>
        </w:tabs>
        <w:spacing w:line="360" w:lineRule="auto"/>
        <w:ind w:firstLine="482"/>
        <w:rPr>
          <w:rFonts w:ascii="仿宋_GB2312" w:hAnsi="宋体" w:eastAsia="仿宋_GB2312"/>
          <w:b/>
          <w:sz w:val="24"/>
        </w:rPr>
      </w:pPr>
      <w:r>
        <w:rPr>
          <w:rFonts w:hint="eastAsia" w:ascii="仿宋_GB2312" w:hAnsi="宋体" w:eastAsia="仿宋_GB2312"/>
          <w:b/>
          <w:sz w:val="24"/>
        </w:rPr>
        <w:t>17.其他</w:t>
      </w:r>
    </w:p>
    <w:p>
      <w:pPr>
        <w:tabs>
          <w:tab w:val="left" w:pos="900"/>
        </w:tabs>
        <w:spacing w:line="360" w:lineRule="auto"/>
        <w:ind w:firstLine="480"/>
        <w:rPr>
          <w:rFonts w:ascii="仿宋_GB2312" w:hAnsi="宋体" w:eastAsia="仿宋_GB2312"/>
          <w:sz w:val="24"/>
        </w:rPr>
      </w:pPr>
      <w:r>
        <w:rPr>
          <w:rFonts w:hint="eastAsia" w:ascii="仿宋_GB2312" w:hAnsi="宋体" w:eastAsia="仿宋_GB2312"/>
          <w:sz w:val="24"/>
        </w:rPr>
        <w:t>17.1本合同未尽事宜，应由甲、乙双方协商后以书面形式补充，加盖甲、乙双方公司</w:t>
      </w:r>
      <w:r>
        <w:rPr>
          <w:rFonts w:hint="eastAsia" w:ascii="仿宋_GB2312" w:hAnsi="宋体" w:eastAsia="仿宋_GB2312"/>
          <w:sz w:val="24"/>
          <w:lang w:eastAsia="zh-CN"/>
        </w:rPr>
        <w:t>公章</w:t>
      </w:r>
      <w:r>
        <w:rPr>
          <w:rFonts w:hint="eastAsia" w:ascii="仿宋_GB2312" w:hAnsi="宋体" w:eastAsia="仿宋_GB2312"/>
          <w:sz w:val="24"/>
        </w:rPr>
        <w:t>并经双方授权代表签字后生效。</w:t>
      </w:r>
    </w:p>
    <w:p>
      <w:pPr>
        <w:tabs>
          <w:tab w:val="left" w:pos="900"/>
        </w:tabs>
        <w:spacing w:line="360" w:lineRule="auto"/>
        <w:ind w:firstLine="480"/>
        <w:rPr>
          <w:rFonts w:ascii="仿宋_GB2312" w:hAnsi="宋体" w:eastAsia="仿宋_GB2312"/>
          <w:sz w:val="24"/>
        </w:rPr>
      </w:pPr>
      <w:r>
        <w:rPr>
          <w:rFonts w:hint="eastAsia" w:ascii="仿宋_GB2312" w:hAnsi="宋体" w:eastAsia="仿宋_GB2312"/>
          <w:sz w:val="24"/>
        </w:rPr>
        <w:t>17.2本框架合同有效期为自签订之日起</w:t>
      </w:r>
      <w:r>
        <w:rPr>
          <w:rFonts w:ascii="仿宋_GB2312" w:hAnsi="宋体" w:eastAsia="仿宋_GB2312"/>
          <w:sz w:val="24"/>
        </w:rPr>
        <w:t>2</w:t>
      </w:r>
      <w:r>
        <w:rPr>
          <w:rFonts w:hint="eastAsia" w:ascii="仿宋_GB2312" w:hAnsi="宋体" w:eastAsia="仿宋_GB2312"/>
          <w:sz w:val="24"/>
        </w:rPr>
        <w:t>年，有效期内甲方如有需求，乙方应保证按采购清单所列价格及合同约定时间向甲方供货。本合同有效期截止日期前一个月双方应就续签事宜进行商讨，如在履行合约中各方均无重大过失，则双方都拥有续签本合同的权利</w:t>
      </w:r>
    </w:p>
    <w:p>
      <w:pPr>
        <w:tabs>
          <w:tab w:val="left" w:pos="750"/>
        </w:tabs>
        <w:spacing w:line="360" w:lineRule="auto"/>
        <w:ind w:firstLine="480"/>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3</w:t>
      </w:r>
      <w:r>
        <w:rPr>
          <w:rFonts w:hint="eastAsia" w:ascii="仿宋_GB2312" w:hAnsi="宋体" w:eastAsia="仿宋_GB2312"/>
          <w:sz w:val="24"/>
        </w:rPr>
        <w:t>本合同一式肆份，甲方执叁份，乙方执壹份，具有同等法律效力。</w:t>
      </w:r>
    </w:p>
    <w:p>
      <w:pPr>
        <w:tabs>
          <w:tab w:val="left" w:pos="7560"/>
        </w:tabs>
        <w:spacing w:line="360" w:lineRule="auto"/>
        <w:ind w:left="-2" w:leftChars="-1" w:firstLine="480"/>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4</w:t>
      </w:r>
      <w:r>
        <w:rPr>
          <w:rFonts w:hint="eastAsia" w:ascii="仿宋_GB2312" w:hAnsi="宋体" w:eastAsia="仿宋_GB2312"/>
          <w:sz w:val="24"/>
        </w:rPr>
        <w:t>本合同自甲、乙双方加盖公司印章，并经双方授权代表签字后生效。</w:t>
      </w:r>
    </w:p>
    <w:p>
      <w:pPr>
        <w:tabs>
          <w:tab w:val="left" w:pos="7560"/>
        </w:tabs>
        <w:spacing w:line="360" w:lineRule="auto"/>
        <w:ind w:left="-2" w:leftChars="-1" w:firstLine="480"/>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5</w:t>
      </w:r>
      <w:r>
        <w:rPr>
          <w:rFonts w:hint="eastAsia" w:ascii="仿宋_GB2312" w:hAnsi="宋体" w:eastAsia="仿宋_GB2312"/>
          <w:sz w:val="24"/>
        </w:rPr>
        <w:t>本合同生效日以甲方签字盖章日为准。</w:t>
      </w:r>
    </w:p>
    <w:p>
      <w:pPr>
        <w:tabs>
          <w:tab w:val="left" w:pos="7560"/>
        </w:tabs>
        <w:spacing w:line="360" w:lineRule="auto"/>
        <w:ind w:left="-2" w:leftChars="-1" w:firstLine="480"/>
        <w:rPr>
          <w:rFonts w:ascii="仿宋_GB2312" w:hAnsi="宋体" w:eastAsia="仿宋_GB2312"/>
          <w:sz w:val="24"/>
        </w:rPr>
      </w:pPr>
    </w:p>
    <w:p>
      <w:pPr>
        <w:tabs>
          <w:tab w:val="left" w:pos="7560"/>
        </w:tabs>
        <w:spacing w:line="360" w:lineRule="auto"/>
        <w:ind w:left="-2" w:leftChars="-1" w:firstLine="480"/>
        <w:rPr>
          <w:rFonts w:ascii="仿宋_GB2312" w:hAnsi="宋体" w:eastAsia="仿宋_GB2312"/>
          <w:sz w:val="24"/>
        </w:rPr>
      </w:pPr>
    </w:p>
    <w:p>
      <w:pPr>
        <w:spacing w:line="360" w:lineRule="auto"/>
        <w:rPr>
          <w:rFonts w:ascii="仿宋_GB2312" w:hAnsi="宋体" w:eastAsia="仿宋_GB2312"/>
          <w:color w:val="000000"/>
          <w:sz w:val="24"/>
          <w:szCs w:val="28"/>
        </w:rPr>
      </w:pPr>
      <w:r>
        <w:rPr>
          <w:rFonts w:hint="eastAsia" w:ascii="仿宋_GB2312" w:hAnsi="宋体" w:eastAsia="仿宋_GB2312"/>
          <w:color w:val="000000"/>
          <w:sz w:val="24"/>
          <w:szCs w:val="28"/>
        </w:rPr>
        <w:t>甲方：（公章）</w:t>
      </w:r>
      <w:r>
        <w:rPr>
          <w:rFonts w:hint="eastAsia"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 xml:space="preserve">  </w:t>
      </w:r>
      <w:r>
        <w:rPr>
          <w:rFonts w:hint="eastAsia" w:ascii="仿宋_GB2312" w:hAnsi="宋体" w:eastAsia="仿宋_GB2312"/>
          <w:color w:val="000000"/>
          <w:sz w:val="24"/>
          <w:szCs w:val="28"/>
        </w:rPr>
        <w:t xml:space="preserve">      乙方：（公章）</w:t>
      </w:r>
    </w:p>
    <w:p>
      <w:pPr>
        <w:spacing w:line="360" w:lineRule="auto"/>
        <w:rPr>
          <w:rFonts w:ascii="新宋体" w:hAnsi="新宋体" w:eastAsia="新宋体"/>
          <w:bCs/>
          <w:sz w:val="24"/>
        </w:rPr>
      </w:pPr>
      <w:r>
        <w:rPr>
          <w:rFonts w:hint="eastAsia" w:ascii="仿宋_GB2312" w:hAnsi="宋体" w:eastAsia="仿宋_GB2312"/>
          <w:color w:val="000000"/>
          <w:sz w:val="24"/>
          <w:szCs w:val="28"/>
        </w:rPr>
        <w:t>重庆机场信息通信网络有限公司</w:t>
      </w:r>
      <w:r>
        <w:rPr>
          <w:rFonts w:ascii="新宋体" w:hAnsi="新宋体" w:eastAsia="新宋体"/>
          <w:bCs/>
          <w:sz w:val="24"/>
        </w:rPr>
        <w:tab/>
      </w:r>
      <w:r>
        <w:rPr>
          <w:rFonts w:ascii="新宋体" w:hAnsi="新宋体" w:eastAsia="新宋体"/>
          <w:bCs/>
          <w:sz w:val="24"/>
        </w:rPr>
        <w:tab/>
      </w:r>
      <w:r>
        <w:rPr>
          <w:rFonts w:ascii="新宋体" w:hAnsi="新宋体" w:eastAsia="新宋体"/>
          <w:bCs/>
          <w:sz w:val="24"/>
        </w:rPr>
        <w:tab/>
      </w:r>
      <w:r>
        <w:rPr>
          <w:rFonts w:ascii="新宋体" w:hAnsi="新宋体" w:eastAsia="新宋体"/>
          <w:bCs/>
          <w:sz w:val="24"/>
        </w:rPr>
        <w:t xml:space="preserve"> </w:t>
      </w:r>
      <w:r>
        <w:rPr>
          <w:rFonts w:ascii="新宋体" w:hAnsi="新宋体" w:eastAsia="新宋体"/>
          <w:bCs/>
          <w:sz w:val="24"/>
        </w:rPr>
        <w:tab/>
      </w:r>
    </w:p>
    <w:p>
      <w:pPr>
        <w:spacing w:line="360" w:lineRule="auto"/>
        <w:rPr>
          <w:rFonts w:ascii="仿宋_GB2312" w:hAnsi="宋体" w:eastAsia="仿宋_GB2312"/>
          <w:color w:val="000000"/>
          <w:sz w:val="24"/>
          <w:szCs w:val="28"/>
        </w:rPr>
      </w:pPr>
      <w:r>
        <w:rPr>
          <w:rFonts w:hint="eastAsia" w:ascii="仿宋_GB2312" w:hAnsi="宋体" w:eastAsia="仿宋_GB2312"/>
          <w:color w:val="000000"/>
          <w:sz w:val="24"/>
          <w:szCs w:val="28"/>
        </w:rPr>
        <w:t>法定代表人或委托代理人：                法定代表人或委托代理人：</w:t>
      </w:r>
    </w:p>
    <w:p>
      <w:pPr>
        <w:spacing w:line="360" w:lineRule="auto"/>
        <w:ind w:firstLine="480"/>
        <w:rPr>
          <w:rFonts w:ascii="仿宋_GB2312" w:hAnsi="宋体" w:eastAsia="仿宋_GB2312"/>
          <w:color w:val="000000"/>
          <w:sz w:val="24"/>
          <w:szCs w:val="28"/>
        </w:rPr>
      </w:pPr>
    </w:p>
    <w:p>
      <w:pPr>
        <w:spacing w:line="360" w:lineRule="auto"/>
        <w:ind w:firstLine="480"/>
        <w:rPr>
          <w:rFonts w:ascii="仿宋_GB2312" w:hAnsi="宋体" w:eastAsia="仿宋_GB2312"/>
          <w:color w:val="000000"/>
          <w:sz w:val="24"/>
          <w:szCs w:val="28"/>
        </w:rPr>
      </w:pPr>
    </w:p>
    <w:p>
      <w:pPr>
        <w:spacing w:line="360" w:lineRule="auto"/>
        <w:ind w:firstLine="480"/>
        <w:rPr>
          <w:rFonts w:ascii="仿宋_GB2312" w:hAnsi="宋体" w:eastAsia="仿宋_GB2312"/>
          <w:color w:val="000000"/>
          <w:sz w:val="24"/>
          <w:szCs w:val="28"/>
        </w:rPr>
      </w:pPr>
    </w:p>
    <w:p>
      <w:pPr>
        <w:spacing w:line="360" w:lineRule="auto"/>
        <w:ind w:firstLine="480"/>
        <w:rPr>
          <w:rFonts w:ascii="仿宋_GB2312" w:hAnsi="宋体" w:eastAsia="仿宋_GB2312"/>
          <w:color w:val="000000"/>
          <w:sz w:val="24"/>
          <w:szCs w:val="28"/>
        </w:rPr>
      </w:pPr>
      <w:r>
        <w:rPr>
          <w:rFonts w:hint="eastAsia" w:ascii="仿宋_GB2312" w:hAnsi="宋体" w:eastAsia="仿宋_GB2312"/>
          <w:color w:val="000000"/>
          <w:sz w:val="24"/>
          <w:szCs w:val="28"/>
        </w:rPr>
        <w:t xml:space="preserve">                                     签订日期：</w:t>
      </w:r>
    </w:p>
    <w:p>
      <w:pPr>
        <w:spacing w:line="360" w:lineRule="auto"/>
        <w:ind w:firstLine="480"/>
        <w:rPr>
          <w:rFonts w:ascii="仿宋_GB2312" w:eastAsia="仿宋_GB2312"/>
          <w:color w:val="000000"/>
          <w:sz w:val="24"/>
          <w:szCs w:val="28"/>
        </w:rPr>
      </w:pPr>
      <w:r>
        <w:rPr>
          <w:rFonts w:hint="eastAsia" w:ascii="仿宋_GB2312" w:hAnsi="宋体" w:eastAsia="仿宋_GB2312"/>
          <w:color w:val="000000"/>
          <w:sz w:val="24"/>
          <w:szCs w:val="28"/>
        </w:rPr>
        <w:t xml:space="preserve">                                     签订地点：重庆江北国际机场</w:t>
      </w:r>
    </w:p>
    <w:p>
      <w:pPr>
        <w:pStyle w:val="10"/>
        <w:spacing w:before="0" w:after="0"/>
        <w:ind w:firstLine="560" w:firstLineChars="200"/>
        <w:jc w:val="left"/>
        <w:rPr>
          <w:rFonts w:ascii="方正仿宋_GBK" w:hAnsi="方正仿宋_GBK" w:eastAsia="方正仿宋_GBK" w:cs="方正仿宋_GBK"/>
          <w:color w:val="FF0000"/>
          <w:sz w:val="28"/>
          <w:szCs w:val="28"/>
        </w:rPr>
      </w:pPr>
    </w:p>
    <w:p/>
    <w:p>
      <w:pPr>
        <w:pStyle w:val="10"/>
        <w:jc w:val="both"/>
        <w:rPr>
          <w:rFonts w:ascii="方正仿宋_GBK" w:hAnsi="方正仿宋_GBK" w:eastAsia="方正仿宋_GBK" w:cs="方正仿宋_GBK"/>
          <w:color w:val="FF0000"/>
          <w:sz w:val="28"/>
          <w:szCs w:val="28"/>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第四章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10"/>
      </w:pPr>
      <w:r>
        <w:rPr>
          <w:rFonts w:hint="eastAsia"/>
        </w:rPr>
        <w:t>供应货物清单</w:t>
      </w:r>
    </w:p>
    <w:tbl>
      <w:tblPr>
        <w:tblStyle w:val="12"/>
        <w:tblW w:w="6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964"/>
        <w:gridCol w:w="106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10"/>
      </w:pPr>
    </w:p>
    <w:p/>
    <w:p>
      <w:pPr>
        <w:pStyle w:val="10"/>
      </w:pPr>
    </w:p>
    <w:p/>
    <w:p>
      <w:pPr>
        <w:pStyle w:val="10"/>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2"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24</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953714"/>
    <w:multiLevelType w:val="singleLevel"/>
    <w:tmpl w:val="DE953714"/>
    <w:lvl w:ilvl="0" w:tentative="0">
      <w:start w:val="2"/>
      <w:numFmt w:val="decimal"/>
      <w:suff w:val="space"/>
      <w:lvlText w:val="%1."/>
      <w:lvlJc w:val="left"/>
    </w:lvl>
  </w:abstractNum>
  <w:abstractNum w:abstractNumId="1">
    <w:nsid w:val="2124B847"/>
    <w:multiLevelType w:val="singleLevel"/>
    <w:tmpl w:val="2124B847"/>
    <w:lvl w:ilvl="0" w:tentative="0">
      <w:start w:val="1"/>
      <w:numFmt w:val="decimal"/>
      <w:suff w:val="space"/>
      <w:lvlText w:val="%1."/>
      <w:lvlJc w:val="left"/>
    </w:lvl>
  </w:abstractNum>
  <w:abstractNum w:abstractNumId="2">
    <w:nsid w:val="7EF376D2"/>
    <w:multiLevelType w:val="singleLevel"/>
    <w:tmpl w:val="7EF376D2"/>
    <w:lvl w:ilvl="0" w:tentative="0">
      <w:start w:val="8"/>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1A6605"/>
    <w:rsid w:val="0022312E"/>
    <w:rsid w:val="002253A0"/>
    <w:rsid w:val="002C32C1"/>
    <w:rsid w:val="002E44C0"/>
    <w:rsid w:val="003A1AD8"/>
    <w:rsid w:val="003A2614"/>
    <w:rsid w:val="003A475B"/>
    <w:rsid w:val="00412C50"/>
    <w:rsid w:val="00496260"/>
    <w:rsid w:val="004F0999"/>
    <w:rsid w:val="00543C0A"/>
    <w:rsid w:val="00585EC4"/>
    <w:rsid w:val="005A72B9"/>
    <w:rsid w:val="00622B98"/>
    <w:rsid w:val="00625D50"/>
    <w:rsid w:val="00712C58"/>
    <w:rsid w:val="00747E88"/>
    <w:rsid w:val="0078762D"/>
    <w:rsid w:val="007A63AD"/>
    <w:rsid w:val="007C38B8"/>
    <w:rsid w:val="0081423C"/>
    <w:rsid w:val="009B6BA7"/>
    <w:rsid w:val="00A10E30"/>
    <w:rsid w:val="00A34DBA"/>
    <w:rsid w:val="00A45B0F"/>
    <w:rsid w:val="00AD0999"/>
    <w:rsid w:val="00B2182E"/>
    <w:rsid w:val="00B74274"/>
    <w:rsid w:val="00BD17BB"/>
    <w:rsid w:val="00BF3511"/>
    <w:rsid w:val="00C86BEB"/>
    <w:rsid w:val="00D365FF"/>
    <w:rsid w:val="00D63230"/>
    <w:rsid w:val="00D7531C"/>
    <w:rsid w:val="00E52085"/>
    <w:rsid w:val="00E6586C"/>
    <w:rsid w:val="00E72BC9"/>
    <w:rsid w:val="00EF4DC0"/>
    <w:rsid w:val="00F14ABB"/>
    <w:rsid w:val="00F3195E"/>
    <w:rsid w:val="00F662A9"/>
    <w:rsid w:val="04CD6009"/>
    <w:rsid w:val="05533181"/>
    <w:rsid w:val="05B55287"/>
    <w:rsid w:val="05CF5B0E"/>
    <w:rsid w:val="060C68AF"/>
    <w:rsid w:val="07652792"/>
    <w:rsid w:val="096E6E51"/>
    <w:rsid w:val="0C415E00"/>
    <w:rsid w:val="0D4C5E6C"/>
    <w:rsid w:val="0E5C4FA1"/>
    <w:rsid w:val="0EEA4AEA"/>
    <w:rsid w:val="0F7229B6"/>
    <w:rsid w:val="12B52357"/>
    <w:rsid w:val="134F66CB"/>
    <w:rsid w:val="179448C0"/>
    <w:rsid w:val="18C57813"/>
    <w:rsid w:val="18F33575"/>
    <w:rsid w:val="1AAD63FA"/>
    <w:rsid w:val="1BEE177A"/>
    <w:rsid w:val="1C817AE6"/>
    <w:rsid w:val="22450C43"/>
    <w:rsid w:val="22F22A86"/>
    <w:rsid w:val="24311D9D"/>
    <w:rsid w:val="2541744C"/>
    <w:rsid w:val="254868DE"/>
    <w:rsid w:val="25A466AC"/>
    <w:rsid w:val="26D06F67"/>
    <w:rsid w:val="291B572E"/>
    <w:rsid w:val="2BC010AC"/>
    <w:rsid w:val="2BD81883"/>
    <w:rsid w:val="2BE74EB3"/>
    <w:rsid w:val="2D8078B6"/>
    <w:rsid w:val="31C14142"/>
    <w:rsid w:val="37083CF3"/>
    <w:rsid w:val="38FB798C"/>
    <w:rsid w:val="3A6C7EBE"/>
    <w:rsid w:val="4027003D"/>
    <w:rsid w:val="404C3A55"/>
    <w:rsid w:val="40590AEE"/>
    <w:rsid w:val="43153EBD"/>
    <w:rsid w:val="434F6007"/>
    <w:rsid w:val="43930EFB"/>
    <w:rsid w:val="44266555"/>
    <w:rsid w:val="445A74E8"/>
    <w:rsid w:val="48257A3D"/>
    <w:rsid w:val="4BCA200B"/>
    <w:rsid w:val="4C512510"/>
    <w:rsid w:val="4D7B4276"/>
    <w:rsid w:val="4E19713B"/>
    <w:rsid w:val="4FF817AC"/>
    <w:rsid w:val="51B62AAC"/>
    <w:rsid w:val="52224913"/>
    <w:rsid w:val="52D31C28"/>
    <w:rsid w:val="5398659E"/>
    <w:rsid w:val="59415AA9"/>
    <w:rsid w:val="599F43BD"/>
    <w:rsid w:val="5A272E2C"/>
    <w:rsid w:val="5A6800F2"/>
    <w:rsid w:val="5BCB0E58"/>
    <w:rsid w:val="609E33B3"/>
    <w:rsid w:val="60BF0592"/>
    <w:rsid w:val="63514E9A"/>
    <w:rsid w:val="64841598"/>
    <w:rsid w:val="65243E3D"/>
    <w:rsid w:val="668822FF"/>
    <w:rsid w:val="67EB5499"/>
    <w:rsid w:val="694C3DBB"/>
    <w:rsid w:val="69530F3E"/>
    <w:rsid w:val="6B562C7E"/>
    <w:rsid w:val="6CA331F4"/>
    <w:rsid w:val="6DAF6368"/>
    <w:rsid w:val="6E03596D"/>
    <w:rsid w:val="70676F0C"/>
    <w:rsid w:val="70780E28"/>
    <w:rsid w:val="750C673B"/>
    <w:rsid w:val="75F85F53"/>
    <w:rsid w:val="7626345E"/>
    <w:rsid w:val="76EB0144"/>
    <w:rsid w:val="7A1E2315"/>
    <w:rsid w:val="7A4E57C4"/>
    <w:rsid w:val="7A573402"/>
    <w:rsid w:val="7F511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utlineLvl w:val="0"/>
    </w:pPr>
    <w:rPr>
      <w:b/>
      <w:bCs/>
      <w:kern w:val="44"/>
      <w:sz w:val="44"/>
      <w:szCs w:val="44"/>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jc w:val="center"/>
    </w:pPr>
    <w:rPr>
      <w:rFonts w:ascii="幼圆" w:eastAsia="幼圆"/>
      <w:b/>
      <w:sz w:val="44"/>
    </w:rPr>
  </w:style>
  <w:style w:type="paragraph" w:styleId="6">
    <w:name w:val="Balloon Text"/>
    <w:basedOn w:val="1"/>
    <w:link w:val="18"/>
    <w:qFormat/>
    <w:uiPriority w:val="0"/>
    <w:rPr>
      <w:sz w:val="18"/>
      <w:szCs w:val="18"/>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10">
    <w:name w:val="Title"/>
    <w:basedOn w:val="1"/>
    <w:next w:val="1"/>
    <w:link w:val="15"/>
    <w:qFormat/>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0"/>
    <w:rPr>
      <w:kern w:val="2"/>
      <w:sz w:val="18"/>
      <w:szCs w:val="18"/>
    </w:rPr>
  </w:style>
  <w:style w:type="character" w:customStyle="1" w:styleId="15">
    <w:name w:val="标题 字符"/>
    <w:basedOn w:val="13"/>
    <w:link w:val="10"/>
    <w:qFormat/>
    <w:uiPriority w:val="0"/>
    <w:rPr>
      <w:rFonts w:ascii="Calibri" w:hAnsi="Calibri"/>
      <w:b/>
      <w:bCs/>
      <w:kern w:val="2"/>
      <w:sz w:val="32"/>
      <w:szCs w:val="32"/>
    </w:rPr>
  </w:style>
  <w:style w:type="paragraph" w:styleId="16">
    <w:name w:val="List Paragraph"/>
    <w:basedOn w:val="1"/>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框文本 字符"/>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BD67F-B724-476D-BBAC-AC43723BC99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34</Pages>
  <Words>13001</Words>
  <Characters>14071</Characters>
  <Lines>110</Lines>
  <Paragraphs>31</Paragraphs>
  <TotalTime>7</TotalTime>
  <ScaleCrop>false</ScaleCrop>
  <LinksUpToDate>false</LinksUpToDate>
  <CharactersWithSpaces>14974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2022-03-15T08:26:00Z</dcterms:created>
  <dc:creator>Administrator</dc:creator>
  <cp:lastModifiedBy>Administrator</cp:lastModifiedBy>
  <dcterms:modified xsi:type="dcterms:W3CDTF">2022-03-30T08:26:33Z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CFB5A13D446A41B9BFF87430EF114CB9</vt:lpwstr>
  </property>
</Properties>
</file>