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40"/>
          <w:szCs w:val="40"/>
          <w:lang w:val="en-US" w:eastAsia="zh-CN"/>
        </w:rPr>
      </w:pPr>
      <w:r>
        <w:rPr>
          <w:rFonts w:hint="eastAsia" w:ascii="仿宋_GB2312" w:hAnsi="仿宋" w:eastAsia="仿宋_GB2312"/>
          <w:b/>
          <w:color w:val="000000"/>
          <w:sz w:val="40"/>
          <w:szCs w:val="40"/>
          <w:lang w:val="en-US" w:eastAsia="zh-CN"/>
        </w:rPr>
        <w:t>国际1号货站提升门设置幕布封闭项目</w:t>
      </w:r>
    </w:p>
    <w:p>
      <w:pPr>
        <w:jc w:val="center"/>
        <w:rPr>
          <w:rFonts w:ascii="仿宋_GB2312" w:eastAsia="仿宋_GB2312"/>
          <w:b/>
          <w:color w:val="000000"/>
          <w:sz w:val="28"/>
          <w:szCs w:val="22"/>
        </w:rPr>
      </w:pPr>
      <w:r>
        <w:rPr>
          <w:rFonts w:hint="eastAsia" w:ascii="仿宋_GB2312" w:hAnsi="仿宋" w:eastAsia="仿宋_GB2312"/>
          <w:b/>
          <w:color w:val="000000"/>
          <w:sz w:val="40"/>
          <w:szCs w:val="40"/>
          <w:lang w:eastAsia="zh-CN"/>
        </w:rPr>
        <w:t>询价文件</w:t>
      </w:r>
    </w:p>
    <w:p>
      <w:pPr>
        <w:keepNext w:val="0"/>
        <w:keepLines w:val="0"/>
        <w:widowControl/>
        <w:suppressLineNumbers w:val="0"/>
        <w:jc w:val="center"/>
        <w:rPr>
          <w:rFonts w:hint="eastAsia" w:ascii="仿宋_GB2312" w:eastAsia="仿宋_GB2312"/>
          <w:b/>
          <w:color w:val="000000"/>
          <w:sz w:val="32"/>
        </w:rPr>
      </w:pPr>
    </w:p>
    <w:p>
      <w:pPr>
        <w:jc w:val="center"/>
        <w:rPr>
          <w:rFonts w:ascii="仿宋_GB2312" w:eastAsia="仿宋_GB2312"/>
          <w:b/>
          <w:color w:val="000000"/>
          <w:sz w:val="52"/>
          <w:lang w:val="en-US"/>
        </w:rPr>
      </w:pPr>
      <w:r>
        <w:rPr>
          <w:rFonts w:hint="eastAsia" w:ascii="仿宋_GB2312" w:eastAsia="仿宋_GB2312"/>
          <w:b/>
          <w:color w:val="000000"/>
          <w:sz w:val="32"/>
        </w:rPr>
        <w:t>编号</w:t>
      </w:r>
      <w:r>
        <w:rPr>
          <w:rFonts w:hint="eastAsia" w:ascii="仿宋_GB2312" w:eastAsia="仿宋_GB2312"/>
          <w:b/>
          <w:color w:val="000000"/>
          <w:sz w:val="32"/>
          <w:lang w:eastAsia="zh-CN"/>
        </w:rPr>
        <w:t>：</w:t>
      </w:r>
      <w:r>
        <w:rPr>
          <w:rFonts w:hint="eastAsia" w:ascii="仿宋_GB2312" w:eastAsia="仿宋_GB2312"/>
          <w:b/>
          <w:color w:val="000000"/>
          <w:sz w:val="32"/>
          <w:lang w:val="en-US" w:eastAsia="zh-CN"/>
        </w:rPr>
        <w:t>XJ2022-008</w:t>
      </w: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二</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三</w:t>
      </w:r>
      <w:r>
        <w:rPr>
          <w:rFonts w:hint="eastAsia" w:ascii="仿宋_GB2312" w:eastAsia="仿宋_GB2312"/>
          <w:b/>
          <w:color w:val="000000"/>
          <w:sz w:val="32"/>
          <w:szCs w:val="32"/>
        </w:rPr>
        <w:t>月</w:t>
      </w:r>
    </w:p>
    <w:p>
      <w:pPr>
        <w:rPr>
          <w:rFonts w:ascii="仿宋_GB2312" w:eastAsia="仿宋_GB2312"/>
          <w:b/>
          <w:color w:val="000000"/>
          <w:sz w:val="52"/>
        </w:rPr>
      </w:pPr>
    </w:p>
    <w:p>
      <w:pPr>
        <w:jc w:val="both"/>
        <w:rPr>
          <w:rFonts w:ascii="仿宋_GB2312" w:eastAsia="仿宋_GB2312"/>
          <w:b/>
          <w:color w:val="000000"/>
          <w:sz w:val="52"/>
          <w:szCs w:val="52"/>
        </w:rPr>
      </w:pPr>
    </w:p>
    <w:p>
      <w:pPr>
        <w:jc w:val="center"/>
        <w:rPr>
          <w:rFonts w:hint="eastAsia" w:ascii="仿宋_GB2312" w:hAnsi="仿宋" w:eastAsia="仿宋_GB2312"/>
          <w:b/>
          <w:color w:val="000000"/>
          <w:sz w:val="40"/>
          <w:szCs w:val="40"/>
          <w:lang w:val="en-US" w:eastAsia="zh-CN"/>
        </w:rPr>
      </w:pPr>
    </w:p>
    <w:p>
      <w:pPr>
        <w:jc w:val="center"/>
        <w:rPr>
          <w:rFonts w:hint="eastAsia" w:ascii="仿宋_GB2312" w:hAnsi="仿宋" w:eastAsia="仿宋_GB2312"/>
          <w:b/>
          <w:color w:val="000000"/>
          <w:sz w:val="40"/>
          <w:szCs w:val="40"/>
          <w:lang w:val="en-US" w:eastAsia="zh-CN"/>
        </w:rPr>
      </w:pPr>
    </w:p>
    <w:p>
      <w:pPr>
        <w:jc w:val="center"/>
        <w:rPr>
          <w:rFonts w:hint="eastAsia" w:ascii="仿宋_GB2312" w:hAnsi="仿宋" w:eastAsia="仿宋_GB2312"/>
          <w:b/>
          <w:color w:val="000000"/>
          <w:sz w:val="40"/>
          <w:szCs w:val="40"/>
          <w:lang w:val="en-US" w:eastAsia="zh-CN"/>
        </w:rPr>
      </w:pPr>
    </w:p>
    <w:p>
      <w:pPr>
        <w:jc w:val="center"/>
        <w:rPr>
          <w:rFonts w:hint="eastAsia" w:ascii="仿宋_GB2312" w:hAnsi="仿宋" w:eastAsia="仿宋_GB2312"/>
          <w:b/>
          <w:color w:val="000000"/>
          <w:sz w:val="40"/>
          <w:szCs w:val="40"/>
          <w:lang w:val="en-US" w:eastAsia="zh-CN"/>
        </w:rPr>
      </w:pPr>
      <w:r>
        <w:rPr>
          <w:rFonts w:hint="eastAsia" w:ascii="仿宋_GB2312" w:hAnsi="仿宋" w:eastAsia="仿宋_GB2312"/>
          <w:b/>
          <w:color w:val="000000"/>
          <w:sz w:val="40"/>
          <w:szCs w:val="40"/>
          <w:lang w:val="en-US" w:eastAsia="zh-CN"/>
        </w:rPr>
        <w:t>国际1号货站提升门设置幕布封闭项目</w:t>
      </w:r>
    </w:p>
    <w:p>
      <w:pPr>
        <w:jc w:val="center"/>
        <w:rPr>
          <w:rFonts w:hint="eastAsia" w:ascii="仿宋_GB2312" w:hAnsi="仿宋" w:eastAsia="仿宋_GB2312"/>
          <w:b/>
          <w:color w:val="000000"/>
          <w:sz w:val="40"/>
          <w:szCs w:val="40"/>
          <w:lang w:eastAsia="zh-CN"/>
        </w:rPr>
      </w:pPr>
      <w:r>
        <w:rPr>
          <w:rFonts w:hint="eastAsia" w:ascii="仿宋_GB2312" w:hAnsi="仿宋" w:eastAsia="仿宋_GB2312"/>
          <w:b/>
          <w:color w:val="000000"/>
          <w:sz w:val="40"/>
          <w:szCs w:val="40"/>
          <w:lang w:eastAsia="zh-CN"/>
        </w:rPr>
        <w:t>询价文件</w:t>
      </w:r>
    </w:p>
    <w:p>
      <w:pPr>
        <w:jc w:val="center"/>
        <w:rPr>
          <w:rFonts w:hint="eastAsia" w:ascii="仿宋_GB2312" w:hAnsi="仿宋" w:eastAsia="仿宋_GB2312"/>
          <w:b/>
          <w:color w:val="000000"/>
          <w:sz w:val="40"/>
          <w:szCs w:val="40"/>
          <w:lang w:eastAsia="zh-CN"/>
        </w:rPr>
      </w:pPr>
    </w:p>
    <w:p>
      <w:pPr>
        <w:widowControl/>
        <w:numPr>
          <w:ilvl w:val="0"/>
          <w:numId w:val="1"/>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1.资质要求</w:t>
      </w:r>
    </w:p>
    <w:p>
      <w:pPr>
        <w:spacing w:line="360" w:lineRule="auto"/>
        <w:jc w:val="lef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1.1注册资本在</w:t>
      </w:r>
      <w:r>
        <w:rPr>
          <w:rFonts w:hint="eastAsia" w:ascii="仿宋_GB2312" w:eastAsia="仿宋_GB2312"/>
          <w:color w:val="000000"/>
          <w:sz w:val="28"/>
          <w:szCs w:val="28"/>
          <w:highlight w:val="none"/>
          <w:lang w:val="en-US" w:eastAsia="zh-CN"/>
        </w:rPr>
        <w:t>100万</w:t>
      </w:r>
      <w:r>
        <w:rPr>
          <w:rFonts w:hint="eastAsia" w:ascii="仿宋_GB2312" w:eastAsia="仿宋_GB2312"/>
          <w:color w:val="000000"/>
          <w:sz w:val="28"/>
          <w:szCs w:val="28"/>
          <w:highlight w:val="none"/>
        </w:rPr>
        <w:t>元（含）以上的</w:t>
      </w:r>
      <w:r>
        <w:rPr>
          <w:rFonts w:hint="eastAsia" w:ascii="仿宋_GB2312" w:eastAsia="仿宋_GB2312"/>
          <w:color w:val="000000"/>
          <w:sz w:val="28"/>
          <w:szCs w:val="28"/>
          <w:highlight w:val="none"/>
          <w:lang w:eastAsia="zh-CN"/>
        </w:rPr>
        <w:t>相关</w:t>
      </w:r>
      <w:r>
        <w:rPr>
          <w:rFonts w:hint="eastAsia" w:ascii="仿宋_GB2312" w:eastAsia="仿宋_GB2312"/>
          <w:color w:val="000000"/>
          <w:sz w:val="28"/>
          <w:szCs w:val="28"/>
          <w:highlight w:val="none"/>
        </w:rPr>
        <w:t>公司，公司为独立法人，本项目不接受联合体投标，不得转包、分包。</w:t>
      </w:r>
    </w:p>
    <w:p>
      <w:pPr>
        <w:widowControl/>
        <w:numPr>
          <w:ilvl w:val="0"/>
          <w:numId w:val="0"/>
        </w:numPr>
        <w:spacing w:line="360" w:lineRule="auto"/>
        <w:ind w:firstLine="560"/>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rPr>
        <w:t>公司具备有效的营业执照，</w:t>
      </w:r>
      <w:r>
        <w:rPr>
          <w:rFonts w:hint="eastAsia" w:ascii="仿宋_GB2312" w:eastAsia="仿宋_GB2312"/>
          <w:color w:val="000000"/>
          <w:sz w:val="28"/>
          <w:szCs w:val="28"/>
          <w:highlight w:val="none"/>
          <w:lang w:eastAsia="zh-CN"/>
        </w:rPr>
        <w:t>含建筑装修装饰工程专业资质。</w:t>
      </w:r>
    </w:p>
    <w:p>
      <w:pPr>
        <w:widowControl/>
        <w:spacing w:line="360" w:lineRule="auto"/>
        <w:jc w:val="left"/>
        <w:rPr>
          <w:rFonts w:hint="eastAsia" w:ascii="仿宋_GB2312" w:eastAsia="仿宋_GB2312"/>
          <w:color w:val="000000"/>
          <w:sz w:val="28"/>
          <w:szCs w:val="28"/>
          <w:lang w:val="en-US" w:eastAsia="zh-CN"/>
        </w:rPr>
      </w:pPr>
      <w:r>
        <w:rPr>
          <w:rFonts w:hint="eastAsia" w:ascii="仿宋_GB2312" w:hAnsi="宋体" w:eastAsia="仿宋_GB2312" w:cs="宋体"/>
          <w:b/>
          <w:bCs/>
          <w:color w:val="000000"/>
          <w:kern w:val="0"/>
          <w:sz w:val="28"/>
          <w:szCs w:val="28"/>
          <w:highlight w:val="none"/>
        </w:rPr>
        <w:t>2</w:t>
      </w:r>
      <w:r>
        <w:rPr>
          <w:rFonts w:hint="eastAsia" w:ascii="仿宋_GB2312" w:hAnsi="宋体" w:eastAsia="仿宋_GB2312" w:cs="宋体"/>
          <w:b/>
          <w:bCs/>
          <w:color w:val="000000"/>
          <w:kern w:val="0"/>
          <w:sz w:val="28"/>
          <w:szCs w:val="28"/>
          <w:highlight w:val="none"/>
          <w:lang w:eastAsia="zh-CN"/>
        </w:rPr>
        <w:t>.项目内容及要求</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2.1采用喷绘布（型号520）封闭陆侧1-12号收货口（12处）、空侧提升门（11处）、营业厅门（1处），合计面积约：约472.95㎡。</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2.2工程量明细：</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2.2.1收货口12处</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①（4.5m*3.3m）*12处=约178.2㎡</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2.2.2营业厅1处</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②13.5m*3.5m=约47.25㎡</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2.2.3空侧通道门11处</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③（4.5m*5m）*11=约247.50㎡</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2.3在铺设喷绘布时，使用木条压实固定，确保安装密闭严实，木条不外露。封闭空间内侧采用内架木条，用射钉枪绷直幕布，确保封闭喷绘布平整，部分区域可开通风孔。</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2.4喷绘布图案由甲方负责提供。</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2.5整体安装完成确保门洞封闭严实，喷绘布平整不脱落，喷绘图案清晰不脱色。</w:t>
      </w:r>
    </w:p>
    <w:p>
      <w:pPr>
        <w:keepNext w:val="0"/>
        <w:keepLines w:val="0"/>
        <w:pageBreakBefore w:val="0"/>
        <w:widowControl/>
        <w:numPr>
          <w:ilvl w:val="0"/>
          <w:numId w:val="2"/>
        </w:numPr>
        <w:kinsoku/>
        <w:wordWrap/>
        <w:overflowPunct/>
        <w:topLinePunct w:val="0"/>
        <w:autoSpaceDE/>
        <w:autoSpaceDN/>
        <w:bidi w:val="0"/>
        <w:adjustRightInd/>
        <w:snapToGrid/>
        <w:spacing w:line="360" w:lineRule="auto"/>
        <w:jc w:val="left"/>
        <w:textAlignment w:val="auto"/>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施工及防疫安全：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3.1空侧提升门作业区为隔离区，需提前办理施工人员隔离区通行证件。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 xml:space="preserve">  3.2施工</w:t>
      </w:r>
      <w:r>
        <w:rPr>
          <w:rFonts w:hint="eastAsia" w:ascii="仿宋_GB2312" w:eastAsia="仿宋_GB2312"/>
          <w:color w:val="000000"/>
          <w:sz w:val="28"/>
          <w:szCs w:val="28"/>
        </w:rPr>
        <w:t>前应提供工作方案及安全措施，经甲方同意确认后方可工作。成交方应服从</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安排，</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可对成交方工作人员不符合要求的工作叫停，工作人员必须在监护人员指定的区域工作，不得从事与工作无关事情。工作过程做好保证安全技术。</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 xml:space="preserve">    3.3施工人员应按要求完成应接疫苗，做好个人防护，遵守园区内部疫情防控相关规定。</w:t>
      </w:r>
    </w:p>
    <w:p>
      <w:pPr>
        <w:widowControl/>
        <w:numPr>
          <w:ilvl w:val="0"/>
          <w:numId w:val="0"/>
        </w:numPr>
        <w:spacing w:line="360" w:lineRule="auto"/>
        <w:jc w:val="left"/>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4.报价要求：</w:t>
      </w:r>
    </w:p>
    <w:p>
      <w:pPr>
        <w:widowControl/>
        <w:spacing w:line="360" w:lineRule="auto"/>
        <w:ind w:firstLine="560" w:firstLineChars="200"/>
        <w:jc w:val="left"/>
        <w:rPr>
          <w:rFonts w:hint="eastAsia"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项目最高限价</w:t>
      </w:r>
      <w:r>
        <w:rPr>
          <w:rFonts w:hint="eastAsia" w:ascii="仿宋_GB2312" w:eastAsia="仿宋_GB2312"/>
          <w:color w:val="auto"/>
          <w:sz w:val="28"/>
          <w:szCs w:val="28"/>
          <w:highlight w:val="none"/>
          <w:lang w:eastAsia="zh-CN"/>
        </w:rPr>
        <w:t>（含税）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9583.52</w:t>
      </w:r>
      <w:r>
        <w:rPr>
          <w:rFonts w:hint="eastAsia" w:ascii="仿宋_GB2312" w:eastAsia="仿宋_GB2312"/>
          <w:color w:val="auto"/>
          <w:sz w:val="28"/>
          <w:szCs w:val="28"/>
          <w:highlight w:val="none"/>
        </w:rPr>
        <w:t>元（大写</w:t>
      </w:r>
      <w:r>
        <w:rPr>
          <w:rFonts w:hint="eastAsia" w:ascii="仿宋_GB2312" w:eastAsia="仿宋_GB2312"/>
          <w:color w:val="auto"/>
          <w:sz w:val="28"/>
          <w:szCs w:val="28"/>
          <w:highlight w:val="none"/>
          <w:lang w:val="en-US" w:eastAsia="zh-CN"/>
        </w:rPr>
        <w:t>:玖</w:t>
      </w:r>
      <w:r>
        <w:rPr>
          <w:rFonts w:hint="eastAsia" w:ascii="仿宋_GB2312" w:eastAsia="仿宋_GB2312"/>
          <w:color w:val="auto"/>
          <w:sz w:val="28"/>
          <w:szCs w:val="28"/>
          <w:highlight w:val="none"/>
        </w:rPr>
        <w:t>仟</w:t>
      </w:r>
      <w:r>
        <w:rPr>
          <w:rFonts w:hint="eastAsia" w:ascii="仿宋_GB2312" w:eastAsia="仿宋_GB2312"/>
          <w:color w:val="auto"/>
          <w:sz w:val="28"/>
          <w:szCs w:val="28"/>
          <w:highlight w:val="none"/>
          <w:lang w:eastAsia="zh-CN"/>
        </w:rPr>
        <w:t>伍佰捌拾三</w:t>
      </w:r>
      <w:r>
        <w:rPr>
          <w:rFonts w:hint="eastAsia" w:ascii="仿宋_GB2312" w:eastAsia="仿宋_GB2312"/>
          <w:color w:val="auto"/>
          <w:sz w:val="28"/>
          <w:szCs w:val="28"/>
          <w:highlight w:val="none"/>
        </w:rPr>
        <w:t>元</w:t>
      </w:r>
      <w:r>
        <w:rPr>
          <w:rFonts w:hint="eastAsia" w:ascii="仿宋_GB2312" w:eastAsia="仿宋_GB2312"/>
          <w:color w:val="auto"/>
          <w:sz w:val="28"/>
          <w:szCs w:val="28"/>
          <w:highlight w:val="none"/>
          <w:lang w:eastAsia="zh-CN"/>
        </w:rPr>
        <w:t>伍</w:t>
      </w:r>
      <w:r>
        <w:rPr>
          <w:rFonts w:hint="eastAsia" w:ascii="仿宋_GB2312" w:eastAsia="仿宋_GB2312"/>
          <w:color w:val="auto"/>
          <w:sz w:val="28"/>
          <w:szCs w:val="28"/>
          <w:highlight w:val="none"/>
        </w:rPr>
        <w:t>角</w:t>
      </w:r>
      <w:r>
        <w:rPr>
          <w:rFonts w:hint="eastAsia" w:ascii="仿宋_GB2312" w:eastAsia="仿宋_GB2312"/>
          <w:color w:val="auto"/>
          <w:sz w:val="28"/>
          <w:szCs w:val="28"/>
          <w:highlight w:val="none"/>
          <w:lang w:val="en-US" w:eastAsia="zh-CN"/>
        </w:rPr>
        <w:t>贰</w:t>
      </w:r>
      <w:r>
        <w:rPr>
          <w:rFonts w:hint="eastAsia" w:ascii="仿宋_GB2312" w:eastAsia="仿宋_GB2312"/>
          <w:color w:val="auto"/>
          <w:sz w:val="28"/>
          <w:szCs w:val="28"/>
          <w:highlight w:val="none"/>
        </w:rPr>
        <w:t>分），报价超过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rPr>
        <w:t>询价响应</w:t>
      </w:r>
      <w:r>
        <w:rPr>
          <w:rFonts w:ascii="仿宋_GB2312" w:eastAsia="仿宋_GB2312"/>
          <w:color w:val="auto"/>
          <w:sz w:val="28"/>
          <w:szCs w:val="28"/>
          <w:highlight w:val="none"/>
        </w:rPr>
        <w:t>方的询价资格。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w:t>
      </w:r>
      <w:r>
        <w:rPr>
          <w:rFonts w:hint="eastAsia" w:ascii="仿宋_GB2312" w:hAnsi="宋体" w:eastAsia="仿宋_GB2312" w:cs="宋体"/>
          <w:b/>
          <w:bCs/>
          <w:color w:val="000000"/>
          <w:kern w:val="0"/>
          <w:sz w:val="28"/>
          <w:szCs w:val="28"/>
          <w:lang w:eastAsia="zh-CN"/>
        </w:rPr>
        <w:t>施工方</w:t>
      </w:r>
      <w:r>
        <w:rPr>
          <w:rFonts w:hint="eastAsia" w:ascii="仿宋_GB2312" w:hAnsi="宋体" w:eastAsia="仿宋_GB2312" w:cs="宋体"/>
          <w:b/>
          <w:bCs/>
          <w:color w:val="000000"/>
          <w:kern w:val="0"/>
          <w:sz w:val="28"/>
          <w:szCs w:val="28"/>
        </w:rPr>
        <w:t>：</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lang w:val="en-US" w:eastAsia="zh-CN"/>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hint="default" w:ascii="仿宋_GB2312" w:eastAsia="仿宋_GB2312"/>
          <w:color w:val="000000"/>
          <w:sz w:val="28"/>
          <w:szCs w:val="28"/>
          <w:lang w:val="en-US" w:eastAsia="zh-CN"/>
        </w:rPr>
      </w:pPr>
      <w:r>
        <w:rPr>
          <w:rFonts w:hint="eastAsia" w:ascii="仿宋_GB2312" w:eastAsia="仿宋_GB2312"/>
          <w:b/>
          <w:bCs/>
          <w:color w:val="000000"/>
          <w:sz w:val="28"/>
          <w:szCs w:val="28"/>
          <w:lang w:val="en-US" w:eastAsia="zh-CN"/>
        </w:rPr>
        <w:t>2.</w:t>
      </w:r>
      <w:r>
        <w:rPr>
          <w:rFonts w:hint="eastAsia" w:ascii="仿宋_GB2312" w:hAnsi="宋体" w:eastAsia="仿宋_GB2312" w:cs="宋体"/>
          <w:bCs/>
          <w:color w:val="000000"/>
          <w:kern w:val="0"/>
          <w:sz w:val="28"/>
          <w:szCs w:val="28"/>
        </w:rPr>
        <w:t>具有与本询价文件要求相适应的维修能力且必须开具增值税专用发票。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spacing w:line="360"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本次</w:t>
      </w:r>
      <w:r>
        <w:rPr>
          <w:rFonts w:hint="eastAsia" w:ascii="仿宋_GB2312" w:eastAsia="仿宋_GB2312"/>
          <w:color w:val="000000"/>
          <w:sz w:val="28"/>
          <w:szCs w:val="28"/>
          <w:lang w:eastAsia="zh-CN"/>
        </w:rPr>
        <w:t>询价</w:t>
      </w:r>
      <w:r>
        <w:rPr>
          <w:rFonts w:hint="eastAsia" w:ascii="仿宋_GB2312" w:hAnsi="宋体" w:eastAsia="仿宋_GB2312"/>
          <w:bCs/>
          <w:color w:val="000000"/>
          <w:sz w:val="28"/>
          <w:szCs w:val="28"/>
        </w:rPr>
        <w:t>成交</w:t>
      </w:r>
      <w:r>
        <w:rPr>
          <w:rFonts w:hint="eastAsia" w:ascii="仿宋_GB2312" w:hAnsi="宋体" w:eastAsia="仿宋_GB2312"/>
          <w:bCs/>
          <w:color w:val="000000"/>
          <w:sz w:val="28"/>
          <w:szCs w:val="28"/>
          <w:lang w:eastAsia="zh-CN"/>
        </w:rPr>
        <w:t>施工方</w:t>
      </w:r>
      <w:r>
        <w:rPr>
          <w:rFonts w:hint="eastAsia" w:ascii="仿宋_GB2312" w:hAnsi="宋体" w:eastAsia="仿宋_GB2312"/>
          <w:bCs/>
          <w:color w:val="000000"/>
          <w:sz w:val="28"/>
          <w:szCs w:val="28"/>
        </w:rPr>
        <w:t>确定办法采用</w:t>
      </w:r>
      <w:r>
        <w:rPr>
          <w:rFonts w:hint="eastAsia" w:ascii="仿宋_GB2312" w:hAnsi="宋体" w:eastAsia="仿宋_GB2312"/>
          <w:b/>
          <w:bCs/>
          <w:color w:val="000000"/>
          <w:sz w:val="28"/>
          <w:szCs w:val="28"/>
          <w:u w:val="single"/>
          <w:lang w:eastAsia="zh-CN"/>
        </w:rPr>
        <w:t>不含税</w:t>
      </w:r>
      <w:r>
        <w:rPr>
          <w:rFonts w:hint="eastAsia" w:ascii="仿宋_GB2312" w:hAnsi="宋体" w:eastAsia="仿宋_GB2312"/>
          <w:b/>
          <w:bCs/>
          <w:color w:val="000000"/>
          <w:sz w:val="28"/>
          <w:szCs w:val="28"/>
          <w:u w:val="single"/>
        </w:rPr>
        <w:t>最低成交价法</w:t>
      </w:r>
      <w:r>
        <w:rPr>
          <w:rFonts w:hint="eastAsia" w:ascii="仿宋_GB2312" w:hAnsi="宋体" w:eastAsia="仿宋_GB2312"/>
          <w:bCs/>
          <w:color w:val="000000"/>
          <w:sz w:val="28"/>
          <w:szCs w:val="28"/>
        </w:rPr>
        <w:t>成交；</w:t>
      </w:r>
    </w:p>
    <w:p>
      <w:pPr>
        <w:snapToGrid w:val="0"/>
        <w:spacing w:line="360" w:lineRule="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lang w:eastAsia="zh-CN"/>
        </w:rPr>
        <w:t>询价</w:t>
      </w:r>
      <w:r>
        <w:rPr>
          <w:rFonts w:hint="eastAsia" w:ascii="仿宋_GB2312" w:hAnsi="宋体" w:eastAsia="仿宋_GB2312"/>
          <w:b/>
          <w:sz w:val="28"/>
          <w:szCs w:val="28"/>
        </w:rPr>
        <w:t>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hint="eastAsia" w:ascii="仿宋_GB2312" w:hAnsi="宋体" w:eastAsia="仿宋_GB2312" w:cs="Arial"/>
          <w:b/>
          <w:color w:val="000000"/>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color w:val="auto"/>
          <w:kern w:val="0"/>
          <w:sz w:val="28"/>
          <w:szCs w:val="28"/>
        </w:rPr>
        <w:t>无</w:t>
      </w:r>
      <w:r>
        <w:rPr>
          <w:rFonts w:hint="eastAsia" w:ascii="仿宋_GB2312" w:eastAsia="仿宋_GB2312"/>
          <w:color w:val="auto"/>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待工程竣工验收后，乙方提供增值税专用发票，甲方支付工程总价款的9</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w:t>
      </w:r>
      <w:bookmarkStart w:id="0" w:name="_Toc210291009"/>
      <w:bookmarkStart w:id="1" w:name="_Toc210240648"/>
      <w:r>
        <w:rPr>
          <w:rFonts w:hint="eastAsia" w:ascii="仿宋_GB2312" w:hAnsi="宋体" w:eastAsia="仿宋_GB2312"/>
          <w:sz w:val="28"/>
          <w:szCs w:val="28"/>
          <w:lang w:eastAsia="zh-CN"/>
        </w:rPr>
        <w:t>乙方在质量保证期满且完成全部保修任务后，向重庆机场集团有限公司航空物流园发展分公司提出书面申请，经核实后无息支付剩余的</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hint="eastAsia"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 w:val="0"/>
          <w:bCs/>
          <w:sz w:val="28"/>
          <w:szCs w:val="28"/>
          <w:u w:val="single"/>
          <w:lang w:val="en-US" w:eastAsia="zh-CN"/>
        </w:rPr>
        <w:t xml:space="preserve"> 20 </w:t>
      </w:r>
      <w:r>
        <w:rPr>
          <w:rFonts w:hint="eastAsia" w:ascii="仿宋_GB2312" w:hAnsi="宋体" w:eastAsia="仿宋_GB2312" w:cs="Arial"/>
          <w:b w:val="0"/>
          <w:bCs/>
          <w:sz w:val="28"/>
          <w:szCs w:val="28"/>
          <w:lang w:val="en-US" w:eastAsia="zh-CN"/>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en-US" w:eastAsia="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700" w:firstLineChars="25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9.2.4本公司营业执照复印件</w:t>
      </w:r>
    </w:p>
    <w:p>
      <w:pPr>
        <w:autoSpaceDE w:val="0"/>
        <w:autoSpaceDN w:val="0"/>
        <w:adjustRightInd w:val="0"/>
        <w:snapToGrid w:val="0"/>
        <w:spacing w:line="594" w:lineRule="exact"/>
        <w:ind w:firstLine="630" w:firstLineChars="225"/>
        <w:rPr>
          <w:rFonts w:hint="eastAsia" w:ascii="仿宋_GB2312" w:eastAsia="仿宋_GB2312"/>
          <w:b/>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pacing w:line="360" w:lineRule="auto"/>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2022</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24</w:t>
      </w:r>
      <w:bookmarkStart w:id="2" w:name="_GoBack"/>
      <w:bookmarkEnd w:id="2"/>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：00 时前送到重庆机场集团有限公司航空物流园发展分公司办公楼A</w:t>
      </w:r>
      <w:r>
        <w:rPr>
          <w:rFonts w:hint="eastAsia" w:ascii="仿宋_GB2312" w:eastAsia="仿宋_GB2312"/>
          <w:color w:val="000000"/>
          <w:sz w:val="28"/>
          <w:szCs w:val="28"/>
          <w:lang w:val="en-US" w:eastAsia="zh-CN"/>
        </w:rPr>
        <w:t>203</w:t>
      </w:r>
      <w:r>
        <w:rPr>
          <w:rFonts w:hint="eastAsia" w:ascii="仿宋_GB2312" w:eastAsia="仿宋_GB2312"/>
          <w:color w:val="000000"/>
          <w:sz w:val="28"/>
          <w:szCs w:val="28"/>
        </w:rPr>
        <w:t xml:space="preserve"> 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hint="eastAsia" w:ascii="仿宋_GB2312" w:hAnsi="宋体" w:eastAsia="仿宋_GB2312" w:cs="Arial"/>
          <w:b/>
          <w:color w:val="000000"/>
          <w:sz w:val="28"/>
          <w:szCs w:val="28"/>
        </w:rPr>
      </w:pPr>
    </w:p>
    <w:p>
      <w:pPr>
        <w:autoSpaceDE w:val="0"/>
        <w:autoSpaceDN w:val="0"/>
        <w:adjustRightInd w:val="0"/>
        <w:snapToGrid w:val="0"/>
        <w:spacing w:line="360" w:lineRule="auto"/>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w:t>
      </w:r>
      <w:r>
        <w:rPr>
          <w:rFonts w:hint="eastAsia" w:ascii="仿宋_GB2312" w:hAnsi="宋体" w:eastAsia="仿宋_GB2312" w:cs="Arial"/>
          <w:b/>
          <w:color w:val="000000"/>
          <w:sz w:val="28"/>
          <w:szCs w:val="28"/>
          <w:lang w:eastAsia="zh-CN"/>
        </w:rPr>
        <w:t>询价</w:t>
      </w:r>
      <w:r>
        <w:rPr>
          <w:rFonts w:hint="eastAsia" w:ascii="仿宋_GB2312" w:hAnsi="宋体" w:eastAsia="仿宋_GB2312" w:cs="Arial"/>
          <w:b/>
          <w:color w:val="000000"/>
          <w:sz w:val="28"/>
          <w:szCs w:val="28"/>
        </w:rPr>
        <w:t>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联系人：</w:t>
      </w:r>
      <w:r>
        <w:rPr>
          <w:rFonts w:hint="eastAsia" w:ascii="仿宋_GB2312" w:hAnsi="宋体" w:eastAsia="仿宋_GB2312"/>
          <w:sz w:val="28"/>
          <w:szCs w:val="28"/>
          <w:lang w:val="en-US" w:eastAsia="zh-CN"/>
        </w:rPr>
        <w:t>李信</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话：023-6715</w:t>
      </w:r>
      <w:r>
        <w:rPr>
          <w:rFonts w:hint="eastAsia" w:ascii="仿宋_GB2312" w:hAnsi="宋体" w:eastAsia="仿宋_GB2312"/>
          <w:sz w:val="28"/>
          <w:szCs w:val="28"/>
          <w:lang w:val="en-US" w:eastAsia="zh-CN"/>
        </w:rPr>
        <w:t>6539</w:t>
      </w:r>
    </w:p>
    <w:p>
      <w:pPr>
        <w:adjustRightInd w:val="0"/>
        <w:snapToGrid w:val="0"/>
        <w:spacing w:line="594" w:lineRule="exact"/>
        <w:ind w:firstLine="539"/>
        <w:rPr>
          <w:rFonts w:hint="default" w:ascii="仿宋_GB2312" w:hAnsi="宋体" w:eastAsia="仿宋_GB2312"/>
          <w:sz w:val="28"/>
          <w:szCs w:val="28"/>
          <w:lang w:val="en-US"/>
        </w:rPr>
      </w:pPr>
      <w:r>
        <w:rPr>
          <w:rFonts w:hint="eastAsia" w:ascii="仿宋_GB2312" w:hAnsi="宋体" w:eastAsia="仿宋_GB2312"/>
          <w:sz w:val="28"/>
          <w:szCs w:val="28"/>
        </w:rPr>
        <w:t>邮</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箱：</w:t>
      </w:r>
      <w:r>
        <w:rPr>
          <w:rFonts w:hint="eastAsia" w:ascii="仿宋_GB2312" w:hAnsi="宋体" w:eastAsia="仿宋_GB2312"/>
          <w:sz w:val="28"/>
          <w:szCs w:val="28"/>
          <w:lang w:val="en-US" w:eastAsia="zh-CN"/>
        </w:rPr>
        <w:t>40891104@qq.com</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rPr>
          <w:rFonts w:ascii="仿宋_GB2312" w:hAnsi="宋体" w:eastAsia="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42CCC"/>
    <w:rsid w:val="0096421C"/>
    <w:rsid w:val="009865AA"/>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A17E2"/>
    <w:rsid w:val="00FF1C7D"/>
    <w:rsid w:val="03C269B9"/>
    <w:rsid w:val="09C2047E"/>
    <w:rsid w:val="09CF6937"/>
    <w:rsid w:val="0AE22BF0"/>
    <w:rsid w:val="0F0B33E8"/>
    <w:rsid w:val="10382BA5"/>
    <w:rsid w:val="114C6F03"/>
    <w:rsid w:val="12256D04"/>
    <w:rsid w:val="12D446AC"/>
    <w:rsid w:val="12F53E94"/>
    <w:rsid w:val="15A0690C"/>
    <w:rsid w:val="18F40524"/>
    <w:rsid w:val="1A2247F0"/>
    <w:rsid w:val="1A5D5310"/>
    <w:rsid w:val="1B7D6E67"/>
    <w:rsid w:val="1E622522"/>
    <w:rsid w:val="1F51106F"/>
    <w:rsid w:val="1FF368CC"/>
    <w:rsid w:val="22251D9E"/>
    <w:rsid w:val="254B0C2C"/>
    <w:rsid w:val="29326A7A"/>
    <w:rsid w:val="2A617ADD"/>
    <w:rsid w:val="2BB52E41"/>
    <w:rsid w:val="2DE74F72"/>
    <w:rsid w:val="304269F9"/>
    <w:rsid w:val="30E45C63"/>
    <w:rsid w:val="31097CFF"/>
    <w:rsid w:val="318D027E"/>
    <w:rsid w:val="31B718EC"/>
    <w:rsid w:val="36DF1A24"/>
    <w:rsid w:val="390E1A8E"/>
    <w:rsid w:val="3A140F9B"/>
    <w:rsid w:val="3AE76E8F"/>
    <w:rsid w:val="3BCB39B7"/>
    <w:rsid w:val="3C804994"/>
    <w:rsid w:val="3CEC5442"/>
    <w:rsid w:val="3E101D1E"/>
    <w:rsid w:val="415426A8"/>
    <w:rsid w:val="46332FA5"/>
    <w:rsid w:val="465D5950"/>
    <w:rsid w:val="477404A3"/>
    <w:rsid w:val="48B21D24"/>
    <w:rsid w:val="48CC7324"/>
    <w:rsid w:val="49F06EFA"/>
    <w:rsid w:val="4B5D694B"/>
    <w:rsid w:val="4CD54398"/>
    <w:rsid w:val="4F304639"/>
    <w:rsid w:val="50DB6BB1"/>
    <w:rsid w:val="5360664C"/>
    <w:rsid w:val="56811338"/>
    <w:rsid w:val="57AD4B2A"/>
    <w:rsid w:val="57B32171"/>
    <w:rsid w:val="58312386"/>
    <w:rsid w:val="58F46DD8"/>
    <w:rsid w:val="59D42EB5"/>
    <w:rsid w:val="5BF32BD4"/>
    <w:rsid w:val="5BF615BC"/>
    <w:rsid w:val="5CD94274"/>
    <w:rsid w:val="5D2D231E"/>
    <w:rsid w:val="5DA75851"/>
    <w:rsid w:val="5E9F1AC6"/>
    <w:rsid w:val="5F947D80"/>
    <w:rsid w:val="6006041D"/>
    <w:rsid w:val="60BD4615"/>
    <w:rsid w:val="62F65C4A"/>
    <w:rsid w:val="63300980"/>
    <w:rsid w:val="64352713"/>
    <w:rsid w:val="677D0564"/>
    <w:rsid w:val="68BB21E9"/>
    <w:rsid w:val="68C369BF"/>
    <w:rsid w:val="6A287C64"/>
    <w:rsid w:val="6ABF7608"/>
    <w:rsid w:val="6C977C55"/>
    <w:rsid w:val="6CD4529E"/>
    <w:rsid w:val="6E2454D0"/>
    <w:rsid w:val="6F5C50FC"/>
    <w:rsid w:val="6F8B1FE2"/>
    <w:rsid w:val="702C32F4"/>
    <w:rsid w:val="738721C8"/>
    <w:rsid w:val="7433707F"/>
    <w:rsid w:val="77A24F9E"/>
    <w:rsid w:val="77C55665"/>
    <w:rsid w:val="78135ED4"/>
    <w:rsid w:val="78FE4116"/>
    <w:rsid w:val="798A3C0A"/>
    <w:rsid w:val="7BA2135B"/>
    <w:rsid w:val="7C231216"/>
    <w:rsid w:val="7C695AC3"/>
    <w:rsid w:val="7E2675E8"/>
    <w:rsid w:val="7EFA09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link w:val="6"/>
    <w:semiHidden/>
    <w:qFormat/>
    <w:locked/>
    <w:uiPriority w:val="99"/>
    <w:rPr>
      <w:rFonts w:cs="Times New Roman"/>
      <w:sz w:val="18"/>
      <w:szCs w:val="18"/>
    </w:rPr>
  </w:style>
  <w:style w:type="character" w:customStyle="1" w:styleId="13">
    <w:name w:val="页脚 字符"/>
    <w:link w:val="5"/>
    <w:qFormat/>
    <w:locked/>
    <w:uiPriority w:val="99"/>
    <w:rPr>
      <w:rFonts w:cs="Times New Roman"/>
      <w:sz w:val="18"/>
      <w:szCs w:val="18"/>
    </w:rPr>
  </w:style>
  <w:style w:type="paragraph" w:customStyle="1" w:styleId="14">
    <w:name w:val="List Paragraph"/>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字符"/>
    <w:link w:val="4"/>
    <w:semiHidden/>
    <w:qFormat/>
    <w:uiPriority w:val="99"/>
    <w:rPr>
      <w:rFonts w:ascii="Times New Roman" w:hAnsi="Times New Roman"/>
      <w:kern w:val="2"/>
      <w:sz w:val="18"/>
      <w:szCs w:val="18"/>
    </w:rPr>
  </w:style>
  <w:style w:type="character" w:customStyle="1" w:styleId="20">
    <w:name w:val="日期 字符"/>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524</Words>
  <Characters>2988</Characters>
  <Lines>24</Lines>
  <Paragraphs>7</Paragraphs>
  <TotalTime>40</TotalTime>
  <ScaleCrop>false</ScaleCrop>
  <LinksUpToDate>false</LinksUpToDate>
  <CharactersWithSpaces>3505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物流合同管理</cp:lastModifiedBy>
  <cp:lastPrinted>2022-03-21T02:08:20Z</cp:lastPrinted>
  <dcterms:modified xsi:type="dcterms:W3CDTF">2022-03-21T02:08:37Z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5BC8417B95B742C5A2756B335073F382</vt:lpwstr>
  </property>
</Properties>
</file>