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imes New Roman" w:hAnsi="Times New Roman" w:eastAsia="仿宋_GB2312" w:cs="Times New Roman"/>
          <w:b/>
          <w:color w:val="000000" w:themeColor="text1"/>
          <w:sz w:val="28"/>
          <w:szCs w:val="28"/>
          <w:lang w:val="en-US" w:eastAsia="zh-CN"/>
          <w14:textFill>
            <w14:solidFill>
              <w14:schemeClr w14:val="tx1"/>
            </w14:solidFill>
          </w14:textFill>
        </w:rPr>
      </w:pPr>
      <w:r>
        <w:rPr>
          <w:rFonts w:hint="eastAsia" w:eastAsia="仿宋_GB2312" w:cs="Times New Roman"/>
          <w:b/>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ind w:right="-313" w:rightChars="-149"/>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电动车辆框架维修项目</w:t>
      </w:r>
    </w:p>
    <w:p>
      <w:pPr>
        <w:keepNext w:val="0"/>
        <w:keepLines w:val="0"/>
        <w:pageBreakBefore w:val="0"/>
        <w:kinsoku/>
        <w:wordWrap/>
        <w:overflowPunct/>
        <w:topLinePunct w:val="0"/>
        <w:bidi w:val="0"/>
        <w:spacing w:line="560" w:lineRule="exact"/>
        <w:ind w:right="-313" w:rightChars="-149"/>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比选</w:t>
      </w:r>
      <w:r>
        <w:rPr>
          <w:rFonts w:hint="eastAsia" w:ascii="宋体" w:hAnsi="宋体" w:eastAsia="宋体" w:cs="宋体"/>
          <w:b/>
          <w:bCs/>
          <w:color w:val="000000" w:themeColor="text1"/>
          <w:sz w:val="44"/>
          <w:szCs w:val="44"/>
          <w:lang w:eastAsia="zh-CN"/>
          <w14:textFill>
            <w14:solidFill>
              <w14:schemeClr w14:val="tx1"/>
            </w14:solidFill>
          </w14:textFill>
        </w:rPr>
        <w:t>采购</w:t>
      </w:r>
      <w:r>
        <w:rPr>
          <w:rFonts w:hint="eastAsia" w:ascii="宋体" w:hAnsi="宋体" w:eastAsia="宋体" w:cs="宋体"/>
          <w:b/>
          <w:bCs/>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eastAsia" w:ascii="华文宋体" w:hAnsi="华文宋体" w:eastAsia="华文宋体" w:cs="华文宋体"/>
          <w:b/>
          <w:bCs/>
          <w:color w:val="000000" w:themeColor="text1"/>
          <w:sz w:val="32"/>
          <w:szCs w:val="32"/>
          <w14:textFill>
            <w14:solidFill>
              <w14:schemeClr w14:val="tx1"/>
            </w14:solidFill>
          </w14:textFill>
        </w:rPr>
        <w:t>编号：</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jc w:val="center"/>
        <w:rPr>
          <w:rFonts w:hint="eastAsia" w:ascii="华文宋体" w:hAnsi="华文宋体" w:eastAsia="华文宋体" w:cs="华文宋体"/>
          <w:b/>
          <w:bCs/>
          <w:color w:val="000000" w:themeColor="text1"/>
          <w:sz w:val="32"/>
          <w:szCs w:val="32"/>
          <w14:textFill>
            <w14:solidFill>
              <w14:schemeClr w14:val="tx1"/>
            </w14:solidFill>
          </w14:textFill>
        </w:rPr>
      </w:pPr>
      <w:r>
        <w:rPr>
          <w:rFonts w:hint="eastAsia" w:ascii="华文宋体" w:hAnsi="华文宋体" w:eastAsia="华文宋体" w:cs="华文宋体"/>
          <w:b/>
          <w:bCs/>
          <w:color w:val="000000" w:themeColor="text1"/>
          <w:sz w:val="32"/>
          <w:szCs w:val="32"/>
          <w:lang w:eastAsia="zh-CN"/>
          <w14:textFill>
            <w14:solidFill>
              <w14:schemeClr w14:val="tx1"/>
            </w14:solidFill>
          </w14:textFill>
        </w:rPr>
        <w:t>重庆空港航空地面服务</w:t>
      </w:r>
      <w:r>
        <w:rPr>
          <w:rFonts w:hint="eastAsia" w:ascii="华文宋体" w:hAnsi="华文宋体" w:eastAsia="华文宋体" w:cs="华文宋体"/>
          <w:b/>
          <w:bCs/>
          <w:color w:val="000000" w:themeColor="text1"/>
          <w:sz w:val="32"/>
          <w:szCs w:val="32"/>
          <w14:textFill>
            <w14:solidFill>
              <w14:schemeClr w14:val="tx1"/>
            </w14:solidFill>
          </w14:textFill>
        </w:rPr>
        <w:t>有限公司</w:t>
      </w:r>
    </w:p>
    <w:p>
      <w:pPr>
        <w:keepNext w:val="0"/>
        <w:keepLines w:val="0"/>
        <w:pageBreakBefore w:val="0"/>
        <w:kinsoku/>
        <w:wordWrap/>
        <w:overflowPunct/>
        <w:topLinePunct w:val="0"/>
        <w:bidi w:val="0"/>
        <w:spacing w:line="560" w:lineRule="exact"/>
        <w:ind w:firstLine="3203" w:firstLineChars="1000"/>
        <w:jc w:val="both"/>
        <w:rPr>
          <w:rFonts w:hint="eastAsia" w:ascii="华文宋体" w:hAnsi="华文宋体" w:eastAsia="华文宋体" w:cs="华文宋体"/>
          <w:b/>
          <w:bCs/>
          <w:color w:val="000000" w:themeColor="text1"/>
          <w:sz w:val="32"/>
          <w:szCs w:val="32"/>
          <w14:textFill>
            <w14:solidFill>
              <w14:schemeClr w14:val="tx1"/>
            </w14:solidFill>
          </w14:textFill>
        </w:rPr>
      </w:pPr>
      <w:r>
        <w:rPr>
          <w:rFonts w:hint="eastAsia" w:ascii="华文宋体" w:hAnsi="华文宋体" w:eastAsia="华文宋体" w:cs="华文宋体"/>
          <w:b/>
          <w:bCs/>
          <w:color w:val="000000" w:themeColor="text1"/>
          <w:sz w:val="32"/>
          <w:szCs w:val="32"/>
          <w14:textFill>
            <w14:solidFill>
              <w14:schemeClr w14:val="tx1"/>
            </w14:solidFill>
          </w14:textFill>
        </w:rPr>
        <w:t>202</w:t>
      </w:r>
      <w:r>
        <w:rPr>
          <w:rFonts w:hint="eastAsia" w:ascii="华文宋体" w:hAnsi="华文宋体" w:eastAsia="华文宋体" w:cs="华文宋体"/>
          <w:b/>
          <w:bCs/>
          <w:color w:val="000000" w:themeColor="text1"/>
          <w:sz w:val="32"/>
          <w:szCs w:val="32"/>
          <w:lang w:val="en-US" w:eastAsia="zh-CN"/>
          <w14:textFill>
            <w14:solidFill>
              <w14:schemeClr w14:val="tx1"/>
            </w14:solidFill>
          </w14:textFill>
        </w:rPr>
        <w:t>2</w:t>
      </w:r>
      <w:r>
        <w:rPr>
          <w:rFonts w:hint="eastAsia" w:ascii="华文宋体" w:hAnsi="华文宋体" w:eastAsia="华文宋体" w:cs="华文宋体"/>
          <w:b/>
          <w:bCs/>
          <w:color w:val="000000" w:themeColor="text1"/>
          <w:sz w:val="32"/>
          <w:szCs w:val="32"/>
          <w14:textFill>
            <w14:solidFill>
              <w14:schemeClr w14:val="tx1"/>
            </w14:solidFill>
          </w14:textFill>
        </w:rPr>
        <w:t>年</w:t>
      </w:r>
      <w:r>
        <w:rPr>
          <w:rFonts w:hint="eastAsia" w:ascii="华文宋体" w:hAnsi="华文宋体" w:eastAsia="华文宋体" w:cs="华文宋体"/>
          <w:b/>
          <w:bCs/>
          <w:color w:val="000000" w:themeColor="text1"/>
          <w:sz w:val="32"/>
          <w:szCs w:val="32"/>
          <w:lang w:val="en-US" w:eastAsia="zh-CN"/>
          <w14:textFill>
            <w14:solidFill>
              <w14:schemeClr w14:val="tx1"/>
            </w14:solidFill>
          </w14:textFill>
        </w:rPr>
        <w:t>3</w:t>
      </w:r>
      <w:r>
        <w:rPr>
          <w:rFonts w:hint="eastAsia" w:ascii="华文宋体" w:hAnsi="华文宋体" w:eastAsia="华文宋体" w:cs="华文宋体"/>
          <w:b/>
          <w:bCs/>
          <w:color w:val="000000" w:themeColor="text1"/>
          <w:sz w:val="32"/>
          <w:szCs w:val="32"/>
          <w14:textFill>
            <w14:solidFill>
              <w14:schemeClr w14:val="tx1"/>
            </w14:solidFill>
          </w14:textFill>
        </w:rPr>
        <w:t>月</w:t>
      </w: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16"/>
        <w:rPr>
          <w:rFonts w:hint="eastAsia"/>
        </w:rPr>
      </w:pPr>
    </w:p>
    <w:p>
      <w:pPr>
        <w:keepNext w:val="0"/>
        <w:keepLines w:val="0"/>
        <w:pageBreakBefore w:val="0"/>
        <w:kinsoku/>
        <w:wordWrap/>
        <w:overflowPunct/>
        <w:topLinePunct w:val="0"/>
        <w:bidi w:val="0"/>
        <w:spacing w:line="560" w:lineRule="exact"/>
        <w:jc w:val="center"/>
        <w:textAlignment w:val="auto"/>
        <w:rPr>
          <w:rFonts w:hint="eastAsia" w:ascii="华文宋体" w:hAnsi="华文宋体" w:eastAsia="华文宋体" w:cs="华文宋体"/>
          <w:b/>
          <w:bCs/>
          <w:color w:val="000000" w:themeColor="text1"/>
          <w:sz w:val="32"/>
          <w:szCs w:val="32"/>
          <w:lang w:val="en-US" w:eastAsia="zh-CN"/>
          <w14:textFill>
            <w14:solidFill>
              <w14:schemeClr w14:val="tx1"/>
            </w14:solidFill>
          </w14:textFill>
        </w:rPr>
      </w:pPr>
      <w:r>
        <w:rPr>
          <w:rFonts w:hint="eastAsia" w:ascii="华文宋体" w:hAnsi="华文宋体" w:eastAsia="华文宋体" w:cs="华文宋体"/>
          <w:b/>
          <w:bCs/>
          <w:color w:val="000000" w:themeColor="text1"/>
          <w:sz w:val="32"/>
          <w:szCs w:val="32"/>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textAlignment w:val="auto"/>
        <w:rPr>
          <w:rFonts w:hint="eastAsia" w:ascii="华文宋体" w:hAnsi="华文宋体" w:eastAsia="华文宋体" w:cs="华文宋体"/>
          <w:b/>
          <w:bCs/>
          <w:color w:val="000000" w:themeColor="text1"/>
          <w:sz w:val="32"/>
          <w:szCs w:val="32"/>
          <w14:textFill>
            <w14:solidFill>
              <w14:schemeClr w14:val="tx1"/>
            </w14:solidFill>
          </w14:textFill>
        </w:rPr>
      </w:pPr>
      <w:r>
        <w:rPr>
          <w:rFonts w:hint="eastAsia" w:ascii="华文宋体" w:hAnsi="华文宋体" w:eastAsia="华文宋体" w:cs="华文宋体"/>
          <w:b/>
          <w:bCs/>
          <w:color w:val="000000" w:themeColor="text1"/>
          <w:sz w:val="32"/>
          <w:szCs w:val="32"/>
          <w:lang w:eastAsia="zh-CN"/>
          <w14:textFill>
            <w14:solidFill>
              <w14:schemeClr w14:val="tx1"/>
            </w14:solidFill>
          </w14:textFill>
        </w:rPr>
        <w:t>电动车辆框架维修项目</w:t>
      </w:r>
      <w:r>
        <w:rPr>
          <w:rFonts w:hint="eastAsia" w:ascii="华文宋体" w:hAnsi="华文宋体" w:eastAsia="华文宋体" w:cs="华文宋体"/>
          <w:b/>
          <w:bCs/>
          <w:color w:val="000000" w:themeColor="text1"/>
          <w:sz w:val="32"/>
          <w:szCs w:val="32"/>
          <w14:textFill>
            <w14:solidFill>
              <w14:schemeClr w14:val="tx1"/>
            </w14:solidFill>
          </w14:textFill>
        </w:rPr>
        <w:t>比选</w:t>
      </w:r>
      <w:r>
        <w:rPr>
          <w:rFonts w:hint="eastAsia" w:ascii="华文宋体" w:hAnsi="华文宋体" w:eastAsia="华文宋体" w:cs="华文宋体"/>
          <w:b/>
          <w:bCs/>
          <w:color w:val="000000" w:themeColor="text1"/>
          <w:sz w:val="32"/>
          <w:szCs w:val="32"/>
          <w:lang w:eastAsia="zh-CN"/>
          <w14:textFill>
            <w14:solidFill>
              <w14:schemeClr w14:val="tx1"/>
            </w14:solidFill>
          </w14:textFill>
        </w:rPr>
        <w:t>采购</w:t>
      </w:r>
      <w:r>
        <w:rPr>
          <w:rFonts w:hint="eastAsia" w:ascii="华文宋体" w:hAnsi="华文宋体" w:eastAsia="华文宋体" w:cs="华文宋体"/>
          <w:b/>
          <w:bCs/>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实施电动车辆框架维修项目，现邀请符合相应条件的机构参与本次项目的比选。</w:t>
      </w:r>
    </w:p>
    <w:p>
      <w:pPr>
        <w:pStyle w:val="2"/>
        <w:rPr>
          <w:rFonts w:hint="default"/>
          <w:lang w:val="en-US" w:eastAsia="zh-CN"/>
        </w:rPr>
      </w:pPr>
      <w:r>
        <w:rPr>
          <w:rFonts w:hint="eastAsia"/>
          <w:lang w:val="en-US" w:eastAsia="zh-CN"/>
        </w:rPr>
        <w:t xml:space="preserve">     </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 xml:space="preserve"> 本项目预计合同期内发生金额预计25万元。</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一、</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比选响应人资格要求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具备有效的三证合一营业执照的非分支机构法人主体；如是主体的分支机构参与，须</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取得主体的委托授权，一个主体仅能委托下属一个分支机构参与。</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（提供主体和分支机构的营业执照复印件加盖鲜章）</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1.1.3 本项目不接受联合体，不得转包、分包。</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概况及要求</w:t>
      </w:r>
    </w:p>
    <w:p>
      <w:pPr>
        <w:spacing w:line="360" w:lineRule="auto"/>
        <w:ind w:firstLine="560" w:firstLineChars="200"/>
        <w:jc w:val="left"/>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1.2.1该项目主要承接我司仓储物流转运设备（电动及燃油）相关的维修、保养等业务；具体车辆类别包括但不限于安徽合力CQD15、安徽合力QYS60S-E1、安徽合力CPD15、青岛克拉克EPX16、青岛大连S01-6、大连S01-10、斗山燃油叉车、合力燃油叉车、台励福燃油叉车、前移式叉车等设备，其它详细需求及限价详见附件2。</w:t>
      </w:r>
    </w:p>
    <w:p>
      <w:pPr>
        <w:keepNext w:val="0"/>
        <w:keepLines w:val="0"/>
        <w:pageBreakBefore w:val="0"/>
        <w:widowControl/>
        <w:kinsoku/>
        <w:wordWrap/>
        <w:overflowPunct/>
        <w:topLinePunct w:val="0"/>
        <w:bidi w:val="0"/>
        <w:spacing w:line="560" w:lineRule="exact"/>
        <w:ind w:firstLine="420" w:firstLineChars="200"/>
        <w:jc w:val="left"/>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本项目预计两年合同期内发生金额预计25万元。金额仅作为报价参考使用，并非实际合同期内的最低采购金额，采购人也不承诺最低采购金额。</w:t>
      </w:r>
    </w:p>
    <w:p>
      <w:pPr>
        <w:spacing w:line="360" w:lineRule="auto"/>
        <w:ind w:firstLine="560" w:firstLineChars="200"/>
        <w:jc w:val="left"/>
        <w:rPr>
          <w:rFonts w:hint="eastAsia" w:ascii="仿宋" w:hAnsi="仿宋" w:eastAsia="仿宋"/>
          <w:b w:val="0"/>
          <w:bCs w:val="0"/>
          <w:color w:val="000000"/>
          <w:kern w:val="0"/>
          <w:sz w:val="28"/>
          <w:szCs w:val="28"/>
          <w:lang w:val="en-US" w:eastAsia="zh-CN"/>
        </w:rPr>
      </w:pPr>
      <w:r>
        <w:rPr>
          <w:rFonts w:hint="eastAsia" w:ascii="仿宋" w:hAnsi="仿宋" w:eastAsia="仿宋"/>
          <w:b w:val="0"/>
          <w:bCs w:val="0"/>
          <w:color w:val="000000"/>
          <w:kern w:val="0"/>
          <w:sz w:val="28"/>
          <w:szCs w:val="28"/>
          <w:lang w:val="en-US" w:eastAsia="zh-CN"/>
        </w:rPr>
        <w:t>1.2.2各相关业务需达到我司使用要求或者维修至使用状态，维修验收后根据维修类型，并承诺提供3-6个月不等的质保期。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 w:hAnsi="仿宋" w:eastAsia="仿宋"/>
          <w:b w:val="0"/>
          <w:bCs w:val="0"/>
          <w:color w:val="000000"/>
          <w:kern w:val="0"/>
          <w:sz w:val="28"/>
          <w:szCs w:val="28"/>
          <w:lang w:val="en-US" w:eastAsia="zh-CN"/>
        </w:rPr>
        <w:t>1.2.3比选响应人应当具备电动设备维修的技术能力，从事维修的人员需具备相关的维修从业资格证书。</w:t>
      </w:r>
    </w:p>
    <w:p>
      <w:pPr>
        <w:keepNext w:val="0"/>
        <w:keepLines w:val="0"/>
        <w:pageBreakBefore w:val="0"/>
        <w:kinsoku/>
        <w:wordWrap/>
        <w:overflowPunct/>
        <w:topLinePunct w:val="0"/>
        <w:bidi w:val="0"/>
        <w:spacing w:line="560" w:lineRule="exact"/>
        <w:ind w:firstLine="562" w:firstLineChars="200"/>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1.3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所涉及到的费用为人民币报价，报价包括完成项目要求的全部成本费用、劳务费用、运输费用、安装调试费用、税金（除增值税外）等的全部费用。因比选响应人自身原因造成漏报、少报皆由其自行承担责任，比选采购人不再补偿。</w:t>
      </w:r>
    </w:p>
    <w:p>
      <w:pPr>
        <w:pStyle w:val="2"/>
        <w:rPr>
          <w:rFonts w:hint="default"/>
          <w:lang w:val="en-US" w:eastAsia="zh-CN"/>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本项目分为零部件和工时两部分，零部件部分以下浮比例（百分比）的方式报价，工时以单价金额的方式报价。</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val="0"/>
          <w:color w:val="000000" w:themeColor="text1"/>
          <w:sz w:val="28"/>
          <w:szCs w:val="28"/>
          <w14:textFill>
            <w14:solidFill>
              <w14:schemeClr w14:val="tx1"/>
            </w14:solidFill>
          </w14:textFill>
        </w:rPr>
        <w:t>成交人采用综合评分法，</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按综合得分从高到低的原则确定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3名成交候选人，综合得分第1名的成为推荐成交人。</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14:textFill>
            <w14:solidFill>
              <w14:schemeClr w14:val="tx1"/>
            </w14:solidFill>
          </w14:textFill>
        </w:rPr>
        <w:t>比选规则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递交比选响应文件截止时，比选响应文件少于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有效比选响应人不足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w:t>
      </w:r>
      <w:r>
        <w:rPr>
          <w:rFonts w:hint="eastAsia" w:ascii="仿宋_GB2312" w:hAnsi="仿宋_GB2312" w:eastAsia="仿宋_GB2312" w:cs="仿宋_GB2312"/>
          <w:color w:val="000000" w:themeColor="text1"/>
          <w:kern w:val="0"/>
          <w:sz w:val="28"/>
          <w:szCs w:val="28"/>
          <w14:textFill>
            <w14:solidFill>
              <w14:schemeClr w14:val="tx1"/>
            </w14:solidFill>
          </w14:textFill>
        </w:rPr>
        <w:t>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w:t>
      </w:r>
      <w:r>
        <w:rPr>
          <w:rFonts w:hint="eastAsia" w:ascii="仿宋_GB2312" w:hAnsi="仿宋_GB2312" w:eastAsia="仿宋_GB2312" w:cs="仿宋_GB2312"/>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、比选</w:t>
      </w:r>
      <w:r>
        <w:rPr>
          <w:rFonts w:hint="eastAsia" w:ascii="黑体" w:hAnsi="黑体" w:eastAsia="黑体" w:cs="黑体"/>
          <w:b w:val="0"/>
          <w:bCs/>
          <w:color w:val="000000" w:themeColor="text1"/>
          <w:sz w:val="28"/>
          <w:szCs w:val="28"/>
          <w:lang w:eastAsia="zh-CN"/>
          <w14:textFill>
            <w14:solidFill>
              <w14:schemeClr w14:val="tx1"/>
            </w14:solidFill>
          </w14:textFill>
        </w:rPr>
        <w:t>采购</w:t>
      </w:r>
      <w:r>
        <w:rPr>
          <w:rFonts w:hint="eastAsia" w:ascii="黑体" w:hAnsi="黑体" w:eastAsia="黑体" w:cs="黑体"/>
          <w:b w:val="0"/>
          <w:bCs/>
          <w:color w:val="000000" w:themeColor="text1"/>
          <w:sz w:val="28"/>
          <w:szCs w:val="28"/>
          <w14:textFill>
            <w14:solidFill>
              <w14:schemeClr w14:val="tx1"/>
            </w14:solidFill>
          </w14:textFill>
        </w:rPr>
        <w:t>文件的发放</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自行在网页上下载</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000000" w:themeColor="text1"/>
          <w:kern w:val="2"/>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四、比选响应</w:t>
      </w:r>
      <w:r>
        <w:rPr>
          <w:rFonts w:hint="eastAsia" w:ascii="黑体" w:hAnsi="黑体" w:eastAsia="黑体" w:cs="黑体"/>
          <w:b w:val="0"/>
          <w:bCs/>
          <w:color w:val="000000" w:themeColor="text1"/>
          <w:kern w:val="2"/>
          <w:sz w:val="28"/>
          <w:szCs w:val="28"/>
          <w14:textFill>
            <w14:solidFill>
              <w14:schemeClr w14:val="tx1"/>
            </w14:solidFill>
          </w14:textFill>
        </w:rPr>
        <w:t>保证金及履约保证金</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保证金：无</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履约保证金：壹万叁仟元整。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在收到成交通知书后7天内，以银行转账的方式向以下甲方账户提交履约保证金</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(大写）壹万叁仟元整 （小写：¥ 13000.00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。合同履约完毕无违约事件，由成交人提出申请，甲方于40天内一次性退还，不计利息。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甲方账户信息：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户名：重庆空港航空地面服务有限公司</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税号：91500112666441363D</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地址：重庆市渝北区双凤桥街道渝航路1幢1/2-0</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电话号码：023-67153596</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开户银行：建行渝北机场支行</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账户账号：5000 1083 8000 5020 0711</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五、合同期</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自合同生效之日起2年。</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Fonts w:hint="eastAsia" w:ascii="黑体" w:hAnsi="黑体" w:eastAsia="黑体" w:cs="黑体"/>
          <w:b w:val="0"/>
          <w:bCs w:val="0"/>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封面（响应文件应密封，在封面注明项目名称）。</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left="0" w:leftChars="0" w:firstLine="638" w:firstLineChars="228"/>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 技术部分。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根据1.2.各项项目要求、按技术评分标准准备相关的证明材料等。</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比选人响应人授权委托书（原件）、比选响应人资格要求证明文件、按商务评分标准准备相关证明材料以及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比选响应文件各部分合并装订成一册，纸质文件一式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.1.1比选响应文件必须在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09:30至10:00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前</w:t>
      </w:r>
      <w:r>
        <w:rPr>
          <w:rFonts w:hint="eastAsia" w:ascii="仿宋_GB2312" w:hAnsi="仿宋_GB2312" w:eastAsia="仿宋_GB2312" w:cs="仿宋_GB2312"/>
          <w:color w:val="000000" w:themeColor="text1"/>
          <w:sz w:val="28"/>
          <w:szCs w:val="28"/>
          <w14:textFill>
            <w14:solidFill>
              <w14:schemeClr w14:val="tx1"/>
            </w14:solidFill>
          </w14:textFill>
        </w:rPr>
        <w:t>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有限公司110房间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bookmarkStart w:id="2" w:name="_GoBack"/>
      <w:bookmarkEnd w:id="2"/>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.2比选响应文件散装或者活页装订的；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.3资质不符合比选文件要求的；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.5比选响应文件无有效授权书的；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.6比选有效期不足的；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.7未按规定的格式填写，内容不全或关键字迹模糊、无法辨认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304</w:t>
      </w:r>
      <w:r>
        <w:rPr>
          <w:rFonts w:hint="eastAsia" w:ascii="仿宋_GB2312" w:hAnsi="仿宋_GB2312" w:eastAsia="仿宋_GB2312" w:cs="仿宋_GB2312"/>
          <w:color w:val="000000" w:themeColor="text1"/>
          <w:sz w:val="28"/>
          <w:szCs w:val="28"/>
          <w:lang w:eastAsia="zh-CN"/>
          <w14:textFill>
            <w14:solidFill>
              <w14:schemeClr w14:val="tx1"/>
            </w14:solidFill>
          </w14:textFill>
        </w:rPr>
        <w:t>办公室（地址：重庆空港航空地面服务有限公司办公楼；电话：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w:t>
      </w:r>
      <w:r>
        <w:rPr>
          <w:rFonts w:hint="eastAsia" w:ascii="仿宋_GB2312" w:hAnsi="仿宋_GB2312" w:eastAsia="仿宋_GB2312" w:cs="仿宋_GB2312"/>
          <w:color w:val="000000" w:themeColor="text1"/>
          <w:sz w:val="28"/>
          <w:szCs w:val="28"/>
          <w:lang w:eastAsia="zh-CN"/>
          <w14:textFill>
            <w14:solidFill>
              <w14:schemeClr w14:val="tx1"/>
            </w14:solidFill>
          </w14:textFill>
        </w:rPr>
        <w:t>资产设备部（地址：重庆空港航空地面服务有限公司办公楼；电话：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、比选时间、地点、结果通知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09:30至10:00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重庆空港航空地面服务有限公司110房间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重庆空港航空地面服务有限公司209会议</w:t>
      </w:r>
      <w:r>
        <w:rPr>
          <w:rFonts w:hint="eastAsia" w:ascii="仿宋_GB2312" w:hAnsi="仿宋_GB2312" w:eastAsia="仿宋_GB2312" w:cs="仿宋_GB2312"/>
          <w:color w:val="000000" w:themeColor="text1"/>
          <w:sz w:val="28"/>
          <w:szCs w:val="28"/>
          <w:u w:val="none"/>
          <w14:textFill>
            <w14:solidFill>
              <w14:schemeClr w14:val="tx1"/>
            </w14:solidFill>
          </w14:textFill>
        </w:rPr>
        <w:t>室对本项目进</w:t>
      </w:r>
      <w:r>
        <w:rPr>
          <w:rFonts w:hint="eastAsia" w:ascii="仿宋_GB2312" w:hAnsi="仿宋_GB2312" w:eastAsia="仿宋_GB2312" w:cs="仿宋_GB2312"/>
          <w:color w:val="000000" w:themeColor="text1"/>
          <w:sz w:val="28"/>
          <w:szCs w:val="28"/>
          <w14:textFill>
            <w14:solidFill>
              <w14:schemeClr w14:val="tx1"/>
            </w14:solidFill>
          </w14:textFill>
        </w:rPr>
        <w:t>行比选，各比选响应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各潜在比选响应人如有疑问，请将加盖公章的书面质疑函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PDF版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至少于比选开始前2个工作日通过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的形式发送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至以下邮箱：zhengyu@cqa.cn</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经比选人内部决策程序</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确定后会及时通知，原则上只通知被选中的比选响应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对未被选中的比选响应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不通知</w:t>
      </w:r>
      <w:r>
        <w:rPr>
          <w:rFonts w:hint="eastAsia" w:ascii="仿宋_GB2312" w:hAnsi="仿宋_GB2312" w:eastAsia="仿宋_GB2312" w:cs="仿宋_GB2312"/>
          <w:color w:val="000000" w:themeColor="text1"/>
          <w:sz w:val="28"/>
          <w:szCs w:val="28"/>
          <w14:textFill>
            <w14:solidFill>
              <w14:schemeClr w14:val="tx1"/>
            </w14:solidFill>
          </w14:textFill>
        </w:rPr>
        <w:t>、不解释。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合同签订：比选响应人接到成交通知后，应在20天内按比选采购文件和比选响应文件与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联系人：杨老师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电话：023-67156351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传真：023-67153540</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bookmarkStart w:id="1" w:name="_Toc7485"/>
    </w:p>
    <w:p>
      <w:pP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br w:type="page"/>
      </w:r>
    </w:p>
    <w:p>
      <w:pPr>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16"/>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16"/>
        <w:keepNext w:val="0"/>
        <w:keepLines w:val="0"/>
        <w:pageBreakBefore w:val="0"/>
        <w:kinsoku/>
        <w:wordWrap/>
        <w:overflowPunct/>
        <w:topLinePunct w:val="0"/>
        <w:bidi w:val="0"/>
        <w:spacing w:line="560" w:lineRule="exact"/>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1"/>
    </w:p>
    <w:tbl>
      <w:tblPr>
        <w:tblStyle w:val="17"/>
        <w:tblW w:w="9535"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450"/>
        <w:gridCol w:w="825"/>
        <w:gridCol w:w="6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450" w:type="dxa"/>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6950" w:type="dxa"/>
            <w:gridSpan w:val="2"/>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450"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695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ind w:firstLine="210" w:firstLineChars="1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总分=</w:t>
            </w:r>
            <w:r>
              <w:rPr>
                <w:rFonts w:hint="default" w:ascii="Times New Roman" w:hAnsi="Times New Roman" w:eastAsia="方正仿宋_GBK" w:cs="Times New Roman"/>
                <w:color w:val="000000"/>
                <w:sz w:val="21"/>
                <w:szCs w:val="21"/>
                <w:lang w:val="en-US" w:eastAsia="zh-CN"/>
              </w:rPr>
              <w:t>经济</w:t>
            </w:r>
            <w:r>
              <w:rPr>
                <w:rFonts w:hint="default" w:ascii="Times New Roman" w:hAnsi="Times New Roman" w:eastAsia="方正仿宋_GBK" w:cs="Times New Roman"/>
                <w:color w:val="000000"/>
                <w:sz w:val="21"/>
                <w:szCs w:val="21"/>
              </w:rPr>
              <w:t>部分得分+</w:t>
            </w:r>
            <w:r>
              <w:rPr>
                <w:rFonts w:hint="default" w:ascii="Times New Roman" w:hAnsi="Times New Roman" w:eastAsia="方正仿宋_GBK" w:cs="Times New Roman"/>
                <w:color w:val="000000"/>
                <w:sz w:val="21"/>
                <w:szCs w:val="21"/>
                <w:lang w:val="en-US" w:eastAsia="zh-CN"/>
              </w:rPr>
              <w:t>技术部分</w:t>
            </w:r>
            <w:r>
              <w:rPr>
                <w:rFonts w:hint="default" w:ascii="Times New Roman" w:hAnsi="Times New Roman" w:eastAsia="方正仿宋_GBK" w:cs="Times New Roman"/>
                <w:color w:val="000000"/>
                <w:sz w:val="21"/>
                <w:szCs w:val="21"/>
              </w:rPr>
              <w:t>得分</w:t>
            </w:r>
            <w:r>
              <w:rPr>
                <w:rFonts w:hint="default" w:ascii="Times New Roman" w:hAnsi="Times New Roman" w:eastAsia="方正仿宋_GBK" w:cs="Times New Roman"/>
                <w:color w:val="000000"/>
                <w:sz w:val="21"/>
                <w:szCs w:val="21"/>
                <w:lang w:val="en-US" w:eastAsia="zh-CN"/>
              </w:rPr>
              <w:t>+商务部分得分</w:t>
            </w:r>
          </w:p>
          <w:p>
            <w:pPr>
              <w:keepNext w:val="0"/>
              <w:keepLines w:val="0"/>
              <w:pageBreakBefore w:val="0"/>
              <w:widowControl w:val="0"/>
              <w:kinsoku/>
              <w:wordWrap/>
              <w:overflowPunct/>
              <w:topLinePunct w:val="0"/>
              <w:autoSpaceDE/>
              <w:autoSpaceDN/>
              <w:bidi w:val="0"/>
              <w:spacing w:line="500" w:lineRule="exact"/>
              <w:ind w:firstLine="210" w:firstLineChars="100"/>
              <w:textAlignment w:val="auto"/>
              <w:outlineLvl w:val="9"/>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 w:val="21"/>
                <w:szCs w:val="21"/>
              </w:rPr>
              <w:t>经济部分：</w:t>
            </w:r>
            <w:r>
              <w:rPr>
                <w:rFonts w:hint="eastAsia" w:eastAsia="方正仿宋_GBK" w:cs="Times New Roman"/>
                <w:color w:val="000000"/>
                <w:sz w:val="21"/>
                <w:szCs w:val="21"/>
                <w:lang w:val="en-US" w:eastAsia="zh-CN"/>
              </w:rPr>
              <w:t>75</w:t>
            </w:r>
            <w:r>
              <w:rPr>
                <w:rFonts w:hint="default" w:ascii="Times New Roman" w:hAnsi="Times New Roman" w:eastAsia="方正仿宋_GBK" w:cs="Times New Roman"/>
                <w:color w:val="000000"/>
                <w:sz w:val="21"/>
                <w:szCs w:val="21"/>
              </w:rPr>
              <w:t>分</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技术部分：</w:t>
            </w:r>
            <w:r>
              <w:rPr>
                <w:rFonts w:hint="eastAsia" w:eastAsia="方正仿宋_GBK" w:cs="Times New Roman"/>
                <w:color w:val="000000"/>
                <w:sz w:val="21"/>
                <w:szCs w:val="21"/>
                <w:lang w:val="en-US" w:eastAsia="zh-CN"/>
              </w:rPr>
              <w:t>15</w:t>
            </w:r>
            <w:r>
              <w:rPr>
                <w:rFonts w:hint="default" w:ascii="Times New Roman" w:hAnsi="Times New Roman" w:eastAsia="方正仿宋_GBK" w:cs="Times New Roman"/>
                <w:color w:val="000000"/>
                <w:sz w:val="21"/>
                <w:szCs w:val="21"/>
                <w:lang w:val="en-US" w:eastAsia="zh-CN"/>
              </w:rPr>
              <w:t>分；商务部分：</w:t>
            </w:r>
            <w:r>
              <w:rPr>
                <w:rFonts w:hint="eastAsia"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12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4"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450"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82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Times New Roman" w:hAnsi="Times New Roman" w:eastAsia="方正仿宋_GBK" w:cs="Times New Roman"/>
                <w:b/>
                <w:color w:val="000000"/>
                <w:sz w:val="28"/>
                <w:szCs w:val="28"/>
                <w:lang w:val="en-US" w:eastAsia="zh-CN"/>
              </w:rPr>
            </w:pPr>
            <w:r>
              <w:rPr>
                <w:rFonts w:hint="eastAsia" w:eastAsia="方正仿宋_GBK" w:cs="Times New Roman"/>
                <w:b/>
                <w:color w:val="000000"/>
                <w:sz w:val="28"/>
                <w:szCs w:val="28"/>
                <w:lang w:val="en-US" w:eastAsia="zh-CN"/>
              </w:rPr>
              <w:t>75</w:t>
            </w:r>
            <w:r>
              <w:rPr>
                <w:rFonts w:hint="default" w:ascii="Times New Roman" w:hAnsi="Times New Roman" w:eastAsia="方正仿宋_GBK" w:cs="Times New Roman"/>
                <w:b/>
                <w:color w:val="000000"/>
                <w:sz w:val="28"/>
                <w:szCs w:val="28"/>
                <w:lang w:val="en-US" w:eastAsia="zh-CN"/>
              </w:rPr>
              <w:t>分</w:t>
            </w:r>
          </w:p>
        </w:tc>
        <w:tc>
          <w:tcPr>
            <w:tcW w:w="6125" w:type="dxa"/>
            <w:tcBorders>
              <w:left w:val="single" w:color="auto" w:sz="4" w:space="0"/>
              <w:bottom w:val="single" w:color="auto" w:sz="4" w:space="0"/>
            </w:tcBorders>
            <w:vAlign w:val="center"/>
          </w:tcPr>
          <w:p>
            <w:pPr>
              <w:autoSpaceDE/>
              <w:autoSpaceDN/>
              <w:snapToGrid w:val="0"/>
              <w:spacing w:line="240" w:lineRule="auto"/>
              <w:ind w:firstLine="420" w:firstLineChars="200"/>
              <w:outlineLvl w:val="9"/>
              <w:rPr>
                <w:rFonts w:hint="eastAsia"/>
                <w:lang w:val="en-US" w:eastAsia="zh-CN"/>
              </w:rPr>
            </w:pPr>
            <w:r>
              <w:rPr>
                <w:rFonts w:hint="eastAsia"/>
                <w:lang w:val="en-US" w:eastAsia="zh-CN"/>
              </w:rPr>
              <w:t>零部件部分报价（40分）</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所有经初步评审合格的零部件下浮比例所得的算术平均值即为评审基准下浮比例。</w:t>
            </w:r>
          </w:p>
          <w:p>
            <w:pPr>
              <w:autoSpaceDE/>
              <w:autoSpaceDN/>
              <w:snapToGrid w:val="0"/>
              <w:spacing w:line="240" w:lineRule="auto"/>
              <w:outlineLvl w:val="9"/>
              <w:rPr>
                <w:rFonts w:hint="eastAsia"/>
                <w:lang w:val="en-US" w:eastAsia="zh-CN"/>
              </w:rPr>
            </w:pPr>
            <w:r>
              <w:rPr>
                <w:rFonts w:hint="eastAsia"/>
                <w:lang w:val="en-US" w:eastAsia="zh-CN"/>
              </w:rPr>
              <w:t xml:space="preserve">   零部件部分报价的偏差率计算方式：</w:t>
            </w:r>
          </w:p>
          <w:p>
            <w:pPr>
              <w:pStyle w:val="2"/>
              <w:spacing w:line="240" w:lineRule="auto"/>
              <w:ind w:firstLine="420" w:firstLineChars="200"/>
              <w:rPr>
                <w:rFonts w:hint="eastAsia"/>
                <w:lang w:val="en-US" w:eastAsia="zh-CN"/>
              </w:rPr>
            </w:pPr>
            <w:r>
              <w:rPr>
                <w:rFonts w:hint="eastAsia"/>
                <w:lang w:val="en-US" w:eastAsia="zh-CN"/>
              </w:rPr>
              <w:t>偏差率=比选响应人所报下浮比例-基准下浮比例</w:t>
            </w:r>
          </w:p>
          <w:p>
            <w:pPr>
              <w:spacing w:line="240" w:lineRule="auto"/>
              <w:ind w:firstLine="420" w:firstLineChars="200"/>
              <w:rPr>
                <w:rFonts w:hint="default"/>
                <w:lang w:val="en-US" w:eastAsia="zh-CN"/>
              </w:rPr>
            </w:pPr>
            <w:r>
              <w:rPr>
                <w:rFonts w:hint="eastAsia"/>
                <w:lang w:val="en-US" w:eastAsia="zh-CN"/>
              </w:rPr>
              <w:t>所有经初步评审合格的比选响应人的不含税总报价与评审基准价进行比较，等于评审基准价的得40分；有效报价与评审基准价格相比，每增加1％扣0.3分，每减少1％扣0.1分；扣完为止。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p>
        </w:tc>
        <w:tc>
          <w:tcPr>
            <w:tcW w:w="82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eastAsia="方正仿宋_GBK" w:cs="Times New Roman"/>
                <w:b/>
                <w:color w:val="000000"/>
                <w:sz w:val="28"/>
                <w:szCs w:val="28"/>
                <w:lang w:val="en-US" w:eastAsia="zh-CN"/>
              </w:rPr>
            </w:pPr>
          </w:p>
        </w:tc>
        <w:tc>
          <w:tcPr>
            <w:tcW w:w="6125" w:type="dxa"/>
            <w:tcBorders>
              <w:top w:val="single" w:color="auto" w:sz="4" w:space="0"/>
              <w:left w:val="single" w:color="auto" w:sz="4" w:space="0"/>
            </w:tcBorders>
            <w:vAlign w:val="center"/>
          </w:tcPr>
          <w:p>
            <w:pPr>
              <w:autoSpaceDE/>
              <w:autoSpaceDN/>
              <w:snapToGrid w:val="0"/>
              <w:spacing w:line="240" w:lineRule="auto"/>
              <w:ind w:firstLine="420" w:firstLineChars="200"/>
              <w:outlineLvl w:val="9"/>
              <w:rPr>
                <w:rFonts w:hint="default"/>
                <w:lang w:val="en-US" w:eastAsia="zh-CN"/>
              </w:rPr>
            </w:pPr>
            <w:r>
              <w:rPr>
                <w:rFonts w:hint="eastAsia"/>
                <w:lang w:val="en-US" w:eastAsia="zh-CN"/>
              </w:rPr>
              <w:t>工时部分报价（35分）</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所有经初步评审合格的工时单价不含税总报价所得的算术平均值即为评审基准价。</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工时部分报价的偏差率计算公式：</w:t>
            </w:r>
          </w:p>
          <w:p>
            <w:pPr>
              <w:autoSpaceDE/>
              <w:autoSpaceDN/>
              <w:snapToGrid w:val="0"/>
              <w:spacing w:line="240" w:lineRule="auto"/>
              <w:ind w:firstLine="420" w:firstLineChars="200"/>
              <w:outlineLvl w:val="9"/>
              <w:rPr>
                <w:rFonts w:hint="eastAsia"/>
                <w:lang w:val="en-US" w:eastAsia="zh-CN"/>
              </w:rPr>
            </w:pPr>
            <w:r>
              <w:rPr>
                <w:rFonts w:hint="eastAsia"/>
                <w:lang w:val="en-US" w:eastAsia="zh-CN"/>
              </w:rPr>
              <w:t>偏差率=1OO％×(比选响应人报价</w:t>
            </w:r>
            <w:r>
              <w:rPr>
                <w:rFonts w:hint="default"/>
                <w:lang w:val="en-US" w:eastAsia="zh-CN"/>
              </w:rPr>
              <w:t>－</w:t>
            </w:r>
            <w:r>
              <w:rPr>
                <w:rFonts w:hint="eastAsia"/>
                <w:lang w:val="en-US" w:eastAsia="zh-CN"/>
              </w:rPr>
              <w:t xml:space="preserve">评审基准价)／评审基准价    </w:t>
            </w:r>
          </w:p>
          <w:p>
            <w:pPr>
              <w:autoSpaceDE/>
              <w:autoSpaceDN/>
              <w:snapToGrid w:val="0"/>
              <w:spacing w:line="240" w:lineRule="auto"/>
              <w:ind w:firstLine="420" w:firstLineChars="200"/>
              <w:outlineLvl w:val="9"/>
              <w:rPr>
                <w:rFonts w:hint="eastAsia" w:ascii="Times New Roman" w:hAnsi="Times New Roman" w:eastAsia="方正仿宋_GBK" w:cs="Times New Roman"/>
                <w:b w:val="0"/>
                <w:color w:val="000000"/>
                <w:kern w:val="2"/>
                <w:sz w:val="21"/>
                <w:szCs w:val="21"/>
                <w:lang w:val="en-US" w:eastAsia="zh-CN" w:bidi="ar-SA"/>
              </w:rPr>
            </w:pPr>
            <w:r>
              <w:rPr>
                <w:rFonts w:hint="eastAsia"/>
                <w:lang w:val="en-US" w:eastAsia="zh-CN"/>
              </w:rPr>
              <w:t>所有经初步评审合格的比选响应人的不含税总报价与评审基准价进行比较，等于评审基准价的得35分；有效报价与评审基准价格相比，每增加1％扣0.3分，每减少1％扣0.1分；扣完为止。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45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rPr>
            </w:pPr>
            <w:r>
              <w:rPr>
                <w:rFonts w:hint="eastAsia" w:eastAsia="方正仿宋_GBK" w:cs="Times New Roman"/>
                <w:b/>
                <w:bCs/>
                <w:color w:val="000000"/>
                <w:sz w:val="28"/>
                <w:szCs w:val="28"/>
                <w:lang w:val="en-US" w:eastAsia="zh-CN"/>
              </w:rPr>
              <w:t>15</w:t>
            </w:r>
            <w:r>
              <w:rPr>
                <w:rFonts w:hint="default" w:ascii="Times New Roman" w:hAnsi="Times New Roman" w:eastAsia="方正仿宋_GBK" w:cs="Times New Roman"/>
                <w:b/>
                <w:bCs/>
                <w:color w:val="000000"/>
                <w:sz w:val="28"/>
                <w:szCs w:val="28"/>
              </w:rPr>
              <w:t>分</w:t>
            </w:r>
          </w:p>
        </w:tc>
        <w:tc>
          <w:tcPr>
            <w:tcW w:w="6125" w:type="dxa"/>
            <w:tcBorders>
              <w:left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snapToGrid w:val="0"/>
              <w:spacing w:line="240" w:lineRule="auto"/>
              <w:ind w:firstLine="420" w:firstLineChars="200"/>
              <w:textAlignment w:val="auto"/>
              <w:outlineLvl w:val="9"/>
              <w:rPr>
                <w:rFonts w:hint="default"/>
                <w:lang w:val="en-US" w:eastAsia="zh-CN"/>
              </w:rPr>
            </w:pPr>
            <w:r>
              <w:rPr>
                <w:rFonts w:hint="eastAsia"/>
                <w:lang w:val="en-US" w:eastAsia="zh-CN"/>
              </w:rPr>
              <w:t>服务方案（5分）</w:t>
            </w:r>
          </w:p>
          <w:p>
            <w:pPr>
              <w:pStyle w:val="2"/>
              <w:spacing w:line="240" w:lineRule="auto"/>
              <w:rPr>
                <w:rFonts w:hint="default"/>
                <w:lang w:val="en-US" w:eastAsia="zh-CN"/>
              </w:rPr>
            </w:pPr>
            <w:r>
              <w:rPr>
                <w:rFonts w:hint="eastAsia"/>
                <w:lang w:val="en-US" w:eastAsia="zh-CN"/>
              </w:rPr>
              <w:t>提供具体的服务方案，包括是否成立专人对接组、货源质量、维修时效、应急措施等综合评分。优秀得5分，良好得3-4分，一般得1-2分，差或不提供的得0分。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420" w:firstLineChars="200"/>
              <w:textAlignment w:val="auto"/>
              <w:outlineLvl w:val="9"/>
              <w:rPr>
                <w:rFonts w:hint="eastAsia"/>
                <w:lang w:val="en-US" w:eastAsia="zh-CN"/>
              </w:rPr>
            </w:pPr>
            <w:r>
              <w:rPr>
                <w:rFonts w:hint="eastAsia"/>
                <w:lang w:val="en-US" w:eastAsia="zh-CN"/>
              </w:rPr>
              <w:t>技术认证（6分）</w:t>
            </w:r>
          </w:p>
          <w:p>
            <w:pPr>
              <w:pStyle w:val="2"/>
              <w:numPr>
                <w:ilvl w:val="0"/>
                <w:numId w:val="0"/>
              </w:numPr>
              <w:spacing w:line="240" w:lineRule="auto"/>
              <w:rPr>
                <w:rFonts w:hint="eastAsia"/>
                <w:lang w:val="en-US" w:eastAsia="zh-CN"/>
              </w:rPr>
            </w:pPr>
            <w:r>
              <w:rPr>
                <w:rFonts w:hint="eastAsia"/>
                <w:lang w:eastAsia="zh-CN"/>
              </w:rPr>
              <w:t>每具备安徽合力、青岛克拉克、大连叉车、斗山叉车的品牌维修技术授权或合作的得</w:t>
            </w:r>
            <w:r>
              <w:rPr>
                <w:rFonts w:hint="eastAsia"/>
                <w:lang w:val="en-US" w:eastAsia="zh-CN"/>
              </w:rPr>
              <w:t>2分，最多得6分。</w:t>
            </w:r>
          </w:p>
          <w:p>
            <w:pPr>
              <w:pStyle w:val="2"/>
              <w:numPr>
                <w:ilvl w:val="0"/>
                <w:numId w:val="0"/>
              </w:numPr>
              <w:spacing w:line="240" w:lineRule="auto"/>
              <w:rPr>
                <w:rFonts w:hint="default"/>
                <w:lang w:val="en-US" w:eastAsia="zh-CN"/>
              </w:rPr>
            </w:pPr>
            <w:r>
              <w:rPr>
                <w:rFonts w:hint="eastAsia"/>
                <w:lang w:val="en-US" w:eastAsia="zh-CN"/>
              </w:rPr>
              <w:t>提供授权证明或合作材料复印件加盖公章。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spacing w:line="240" w:lineRule="auto"/>
              <w:ind w:left="0" w:leftChars="0" w:firstLine="420" w:firstLineChars="200"/>
              <w:textAlignment w:val="auto"/>
              <w:outlineLvl w:val="9"/>
              <w:rPr>
                <w:rFonts w:hint="eastAsia"/>
                <w:lang w:val="en-US" w:eastAsia="zh-CN"/>
              </w:rPr>
            </w:pPr>
            <w:r>
              <w:rPr>
                <w:rFonts w:hint="eastAsia"/>
                <w:lang w:val="en-US" w:eastAsia="zh-CN"/>
              </w:rPr>
              <w:t>维修人员（4分）</w:t>
            </w:r>
          </w:p>
          <w:p>
            <w:pPr>
              <w:pStyle w:val="2"/>
              <w:numPr>
                <w:ilvl w:val="0"/>
                <w:numId w:val="0"/>
              </w:numPr>
              <w:spacing w:line="240" w:lineRule="auto"/>
              <w:rPr>
                <w:rFonts w:hint="eastAsia"/>
                <w:lang w:val="en-US" w:eastAsia="zh-CN"/>
              </w:rPr>
            </w:pPr>
            <w:r>
              <w:rPr>
                <w:rFonts w:hint="eastAsia"/>
                <w:lang w:val="en-US" w:eastAsia="zh-CN"/>
              </w:rPr>
              <w:t>每具备一个电工类维修职业资格证书技术人员的得1分，最多得4分。</w:t>
            </w:r>
          </w:p>
          <w:p>
            <w:pPr>
              <w:spacing w:line="240" w:lineRule="auto"/>
              <w:rPr>
                <w:rFonts w:hint="default"/>
                <w:lang w:val="en-US" w:eastAsia="zh-CN"/>
              </w:rPr>
            </w:pPr>
            <w:r>
              <w:rPr>
                <w:rFonts w:hint="eastAsia"/>
                <w:lang w:val="en-US" w:eastAsia="zh-CN"/>
              </w:rPr>
              <w:t>提供人员的社保证明材料加盖公章。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450"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82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eastAsia" w:eastAsia="方正仿宋_GBK" w:cs="Times New Roman"/>
                <w:b/>
                <w:bCs/>
                <w:color w:val="000000"/>
                <w:sz w:val="28"/>
                <w:szCs w:val="28"/>
                <w:lang w:val="en-US" w:eastAsia="zh-CN"/>
              </w:rPr>
              <w:t>10</w:t>
            </w:r>
            <w:r>
              <w:rPr>
                <w:rFonts w:hint="default" w:ascii="Times New Roman" w:hAnsi="Times New Roman" w:eastAsia="方正仿宋_GBK" w:cs="Times New Roman"/>
                <w:b/>
                <w:bCs/>
                <w:color w:val="000000"/>
                <w:sz w:val="28"/>
                <w:szCs w:val="28"/>
                <w:lang w:val="en-US" w:eastAsia="zh-CN"/>
              </w:rPr>
              <w:t>分</w:t>
            </w:r>
          </w:p>
        </w:tc>
        <w:tc>
          <w:tcPr>
            <w:tcW w:w="6125" w:type="dxa"/>
            <w:tcBorders>
              <w:left w:val="single" w:color="auto" w:sz="4" w:space="0"/>
              <w:bottom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spacing w:line="240" w:lineRule="auto"/>
              <w:ind w:firstLine="420" w:firstLineChars="200"/>
              <w:textAlignment w:val="auto"/>
              <w:outlineLvl w:val="9"/>
              <w:rPr>
                <w:rFonts w:hint="eastAsia"/>
                <w:lang w:val="en-US" w:eastAsia="zh-CN"/>
              </w:rPr>
            </w:pPr>
            <w:r>
              <w:rPr>
                <w:rFonts w:hint="eastAsia"/>
                <w:lang w:val="en-US" w:eastAsia="zh-CN"/>
              </w:rPr>
              <w:t>业绩（5分）</w:t>
            </w:r>
          </w:p>
          <w:p>
            <w:pPr>
              <w:pStyle w:val="2"/>
              <w:numPr>
                <w:ilvl w:val="0"/>
                <w:numId w:val="0"/>
              </w:numPr>
              <w:spacing w:line="240" w:lineRule="auto"/>
              <w:rPr>
                <w:rFonts w:hint="eastAsia"/>
                <w:lang w:val="en-US" w:eastAsia="zh-CN"/>
              </w:rPr>
            </w:pPr>
            <w:r>
              <w:rPr>
                <w:rFonts w:hint="eastAsia"/>
                <w:lang w:val="en-US" w:eastAsia="zh-CN"/>
              </w:rPr>
              <w:t>每具备一个电动设备维修协议年度概算金额不低于20万元的得1分，最多不超过5分。</w:t>
            </w:r>
          </w:p>
          <w:p>
            <w:pPr>
              <w:spacing w:line="240" w:lineRule="auto"/>
              <w:rPr>
                <w:rFonts w:hint="default"/>
                <w:lang w:val="en-US" w:eastAsia="zh-CN"/>
              </w:rPr>
            </w:pPr>
            <w:r>
              <w:rPr>
                <w:rFonts w:hint="eastAsia"/>
                <w:lang w:val="en-US" w:eastAsia="zh-CN"/>
              </w:rPr>
              <w:t>提供合同的非涉密部分复印件加盖公章。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spacing w:line="240" w:lineRule="auto"/>
              <w:ind w:firstLine="420" w:firstLineChars="200"/>
              <w:textAlignment w:val="auto"/>
              <w:outlineLvl w:val="9"/>
              <w:rPr>
                <w:rFonts w:hint="eastAsia"/>
                <w:lang w:val="en-US" w:eastAsia="zh-CN"/>
              </w:rPr>
            </w:pPr>
            <w:r>
              <w:rPr>
                <w:rFonts w:hint="eastAsia"/>
                <w:lang w:val="en-US" w:eastAsia="zh-CN"/>
              </w:rPr>
              <w:t>驻场地址（5分）</w:t>
            </w:r>
          </w:p>
          <w:p>
            <w:pPr>
              <w:numPr>
                <w:ilvl w:val="0"/>
                <w:numId w:val="0"/>
              </w:numPr>
              <w:spacing w:line="240" w:lineRule="auto"/>
              <w:rPr>
                <w:rFonts w:hint="default"/>
                <w:lang w:val="en-US" w:eastAsia="zh-CN"/>
              </w:rPr>
            </w:pPr>
            <w:r>
              <w:rPr>
                <w:rFonts w:hint="eastAsia"/>
                <w:lang w:val="en-US" w:eastAsia="zh-CN"/>
              </w:rPr>
              <w:t>维修的驻场地址在重庆江北国际机场范围内的得5分；维修的驻场地址在重庆江北国际机场范围内5公里以内的得3分；维修的驻场地址在重庆江北国际机场范围内5-10公里以内的得1分；超出10公里的不得分。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4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695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textAlignment w:val="auto"/>
              <w:outlineLvl w:val="9"/>
              <w:rPr>
                <w:rFonts w:hint="default"/>
              </w:rPr>
            </w:pPr>
            <w:r>
              <w:rPr>
                <w:rFonts w:hint="default"/>
              </w:rPr>
              <w:t>1.评分分值计算保留小数点后两位，第三位四舍五入。比选响应人最终得分=技术部分得分+经济部分得分</w:t>
            </w:r>
            <w:r>
              <w:rPr>
                <w:rFonts w:hint="default"/>
                <w:lang w:val="en-US" w:eastAsia="zh-CN"/>
              </w:rPr>
              <w:t>+商务部分得分</w:t>
            </w:r>
            <w:r>
              <w:rPr>
                <w:rFonts w:hint="default"/>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hint="default"/>
              </w:rPr>
            </w:pPr>
            <w:r>
              <w:rPr>
                <w:rFonts w:hint="default"/>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spacing w:line="240" w:lineRule="auto"/>
              <w:textAlignment w:val="auto"/>
              <w:outlineLvl w:val="9"/>
              <w:rPr>
                <w:rFonts w:hint="default"/>
              </w:rPr>
            </w:pPr>
            <w:r>
              <w:rPr>
                <w:rFonts w:hint="default"/>
              </w:rPr>
              <w:t>3.按比选办法进行评审，得分最高的比选响应人中选。</w:t>
            </w:r>
          </w:p>
          <w:p>
            <w:pPr>
              <w:spacing w:line="240" w:lineRule="auto"/>
              <w:jc w:val="left"/>
              <w:outlineLvl w:val="9"/>
              <w:rPr>
                <w:rFonts w:hint="eastAsia" w:ascii="Times New Roman" w:hAnsi="Times New Roman" w:eastAsia="宋体"/>
                <w:b w:val="0"/>
                <w:bCs w:val="0"/>
                <w:sz w:val="21"/>
                <w:szCs w:val="24"/>
                <w:lang w:eastAsia="zh-CN"/>
              </w:rPr>
            </w:pPr>
            <w:r>
              <w:rPr>
                <w:rFonts w:hint="eastAsia" w:ascii="Times New Roman" w:hAnsi="Times New Roman"/>
                <w:b w:val="0"/>
                <w:bCs w:val="0"/>
                <w:sz w:val="21"/>
                <w:szCs w:val="24"/>
                <w:lang w:val="en-US" w:eastAsia="zh-CN"/>
              </w:rPr>
              <w:t>4.</w:t>
            </w:r>
            <w:r>
              <w:rPr>
                <w:rFonts w:hint="default" w:ascii="Times New Roman" w:hAnsi="Times New Roman"/>
                <w:b w:val="0"/>
                <w:bCs w:val="0"/>
                <w:sz w:val="21"/>
                <w:szCs w:val="24"/>
              </w:rPr>
              <w:t>除有规定的外，其他加分项均需提供其他证明材料</w:t>
            </w:r>
            <w:r>
              <w:rPr>
                <w:rFonts w:hint="eastAsia"/>
                <w:b w:val="0"/>
                <w:bCs w:val="0"/>
                <w:sz w:val="21"/>
                <w:szCs w:val="24"/>
                <w:lang w:eastAsia="zh-CN"/>
              </w:rPr>
              <w:t>。</w:t>
            </w:r>
          </w:p>
          <w:p>
            <w:pPr>
              <w:pStyle w:val="16"/>
              <w:spacing w:line="240" w:lineRule="auto"/>
              <w:rPr>
                <w:rFonts w:hint="default"/>
              </w:rPr>
            </w:pPr>
          </w:p>
        </w:tc>
      </w:tr>
    </w:tbl>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w:t>
      </w:r>
      <w:r>
        <w:rPr>
          <w:rFonts w:hint="eastAsia" w:eastAsia="仿宋_GB2312" w:cs="Times New Roman"/>
          <w:color w:val="000000" w:themeColor="text1"/>
          <w:sz w:val="28"/>
          <w:szCs w:val="28"/>
          <w:lang w:eastAsia="zh-CN"/>
          <w14:textFill>
            <w14:solidFill>
              <w14:schemeClr w14:val="tx1"/>
            </w14:solidFill>
          </w14:textFill>
        </w:rPr>
        <w:t>件</w:t>
      </w:r>
      <w:r>
        <w:rPr>
          <w:rFonts w:hint="eastAsia"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：合同主要条款</w:t>
      </w:r>
    </w:p>
    <w:p>
      <w:pPr>
        <w:spacing w:line="400" w:lineRule="exact"/>
        <w:ind w:firstLine="643" w:firstLineChars="200"/>
        <w:jc w:val="center"/>
        <w:rPr>
          <w:rFonts w:ascii="宋体" w:hAnsi="宋体" w:cs="宋体"/>
          <w:b/>
          <w:bCs/>
          <w:sz w:val="32"/>
          <w:szCs w:val="32"/>
        </w:rPr>
      </w:pPr>
      <w:r>
        <w:rPr>
          <w:rFonts w:hint="eastAsia" w:ascii="宋体" w:hAnsi="宋体" w:cs="宋体"/>
          <w:b/>
          <w:bCs/>
          <w:sz w:val="32"/>
          <w:szCs w:val="32"/>
          <w:lang w:eastAsia="zh-CN"/>
        </w:rPr>
        <w:t>电动设备</w:t>
      </w:r>
      <w:r>
        <w:rPr>
          <w:rFonts w:hint="eastAsia" w:ascii="宋体" w:hAnsi="宋体" w:cs="宋体"/>
          <w:b/>
          <w:bCs/>
          <w:sz w:val="32"/>
          <w:szCs w:val="32"/>
        </w:rPr>
        <w:t>维修框架采购合同</w:t>
      </w:r>
    </w:p>
    <w:p>
      <w:pPr>
        <w:spacing w:line="420" w:lineRule="exact"/>
        <w:jc w:val="center"/>
        <w:rPr>
          <w:rFonts w:hint="default" w:ascii="宋体" w:hAnsi="宋体" w:eastAsia="宋体" w:cs="宋体"/>
          <w:szCs w:val="21"/>
          <w:lang w:val="en-US" w:eastAsia="zh-CN"/>
        </w:rPr>
      </w:pPr>
      <w:r>
        <w:rPr>
          <w:rFonts w:hint="eastAsia" w:ascii="宋体" w:hAnsi="宋体" w:cs="宋体"/>
          <w:szCs w:val="21"/>
        </w:rPr>
        <w:t xml:space="preserve">                                        合同编号：</w:t>
      </w:r>
    </w:p>
    <w:p>
      <w:pPr>
        <w:spacing w:line="420" w:lineRule="exact"/>
        <w:ind w:firstLine="420" w:firstLineChars="200"/>
        <w:jc w:val="left"/>
        <w:rPr>
          <w:rFonts w:ascii="宋体" w:hAnsi="宋体" w:cs="宋体"/>
          <w:szCs w:val="21"/>
        </w:rPr>
      </w:pPr>
      <w:r>
        <w:rPr>
          <w:rFonts w:hint="eastAsia" w:ascii="宋体" w:hAnsi="宋体" w:cs="宋体"/>
          <w:szCs w:val="21"/>
        </w:rPr>
        <w:t>甲方：重庆空港航空地面服务有限公司       （以下简称甲方）</w:t>
      </w:r>
    </w:p>
    <w:p>
      <w:pPr>
        <w:spacing w:line="420" w:lineRule="exact"/>
        <w:ind w:firstLine="420" w:firstLineChars="200"/>
        <w:jc w:val="left"/>
        <w:rPr>
          <w:rFonts w:ascii="宋体" w:hAnsi="宋体" w:cs="宋体"/>
          <w:szCs w:val="21"/>
        </w:rPr>
      </w:pPr>
      <w:r>
        <w:rPr>
          <w:rFonts w:hint="eastAsia" w:ascii="宋体" w:hAnsi="宋体" w:cs="宋体"/>
          <w:szCs w:val="21"/>
        </w:rPr>
        <w:t xml:space="preserve">乙方：     </w:t>
      </w:r>
      <w:r>
        <w:rPr>
          <w:rFonts w:hint="eastAsia" w:ascii="宋体" w:hAnsi="宋体" w:cs="宋体"/>
          <w:szCs w:val="21"/>
          <w:lang w:val="en-US" w:eastAsia="zh-CN"/>
        </w:rPr>
        <w:t xml:space="preserve">                            </w:t>
      </w:r>
      <w:r>
        <w:rPr>
          <w:rFonts w:hint="eastAsia" w:ascii="宋体" w:hAnsi="宋体" w:cs="宋体"/>
          <w:szCs w:val="21"/>
        </w:rPr>
        <w:t xml:space="preserve">  （以下简称乙方）</w:t>
      </w:r>
    </w:p>
    <w:p>
      <w:pPr>
        <w:spacing w:line="420" w:lineRule="exact"/>
        <w:ind w:firstLine="420" w:firstLineChars="200"/>
        <w:jc w:val="left"/>
        <w:rPr>
          <w:rFonts w:ascii="宋体" w:hAnsi="宋体" w:cs="宋体"/>
          <w:szCs w:val="21"/>
        </w:rPr>
      </w:pPr>
    </w:p>
    <w:p>
      <w:pPr>
        <w:spacing w:line="420" w:lineRule="exact"/>
        <w:ind w:firstLine="420" w:firstLineChars="200"/>
        <w:jc w:val="left"/>
        <w:rPr>
          <w:rFonts w:ascii="宋体" w:hAnsi="宋体" w:cs="宋体"/>
          <w:szCs w:val="21"/>
        </w:rPr>
      </w:pPr>
      <w:r>
        <w:rPr>
          <w:rFonts w:hint="eastAsia" w:ascii="宋体" w:hAnsi="宋体" w:cs="宋体"/>
          <w:szCs w:val="21"/>
        </w:rPr>
        <w:t>乙方为甲方</w:t>
      </w:r>
      <w:r>
        <w:rPr>
          <w:rFonts w:hint="eastAsia" w:ascii="宋体" w:hAnsi="宋体" w:cs="宋体"/>
          <w:szCs w:val="21"/>
          <w:lang w:eastAsia="zh-CN"/>
        </w:rPr>
        <w:t>电动</w:t>
      </w:r>
      <w:r>
        <w:rPr>
          <w:rFonts w:hint="eastAsia" w:ascii="宋体" w:hAnsi="宋体" w:cs="宋体"/>
          <w:szCs w:val="21"/>
        </w:rPr>
        <w:t>维修提供零部件供应、维修以及保养等服务。依照《中华人民共和国民法典》及其他有关法律、行政法规，遵循平等、自愿、公平和诚实信用的原则，经双方充分协商，就特种车辆维修事宜达成一致，签订本合同，以便共同遵守。</w:t>
      </w:r>
    </w:p>
    <w:p>
      <w:pPr>
        <w:spacing w:line="420" w:lineRule="exact"/>
        <w:ind w:firstLine="422" w:firstLineChars="200"/>
        <w:jc w:val="left"/>
        <w:rPr>
          <w:rFonts w:ascii="宋体" w:hAnsi="宋体" w:cs="宋体"/>
          <w:b/>
          <w:bCs/>
          <w:szCs w:val="21"/>
        </w:rPr>
      </w:pPr>
      <w:r>
        <w:rPr>
          <w:rFonts w:hint="eastAsia" w:ascii="宋体" w:hAnsi="宋体" w:cs="宋体"/>
          <w:b/>
          <w:bCs/>
          <w:szCs w:val="21"/>
        </w:rPr>
        <w:t>一、采购内容</w:t>
      </w:r>
    </w:p>
    <w:p>
      <w:pPr>
        <w:spacing w:line="420" w:lineRule="exact"/>
        <w:ind w:firstLine="420" w:firstLineChars="200"/>
        <w:jc w:val="left"/>
        <w:rPr>
          <w:rFonts w:ascii="宋体" w:hAnsi="宋体" w:cs="宋体"/>
          <w:szCs w:val="21"/>
        </w:rPr>
      </w:pPr>
      <w:r>
        <w:rPr>
          <w:rFonts w:hint="eastAsia" w:ascii="宋体" w:hAnsi="宋体" w:cs="宋体"/>
          <w:szCs w:val="21"/>
        </w:rPr>
        <w:t>乙方为甲方各类特种车辆提供零部件供应、工时维修以及保养服务等，主要车型包括</w:t>
      </w:r>
      <w:r>
        <w:rPr>
          <w:rFonts w:hint="eastAsia" w:ascii="宋体" w:hAnsi="宋体" w:cs="宋体"/>
          <w:szCs w:val="21"/>
          <w:lang w:eastAsia="zh-CN"/>
        </w:rPr>
        <w:t>但不限于</w:t>
      </w:r>
      <w:r>
        <w:rPr>
          <w:rFonts w:hint="eastAsia" w:ascii="宋体" w:hAnsi="宋体" w:cs="宋体"/>
          <w:szCs w:val="21"/>
          <w:lang w:val="en-US" w:eastAsia="zh-CN"/>
        </w:rPr>
        <w:t>安徽合力CQD15、安徽合力QYS60S-E1、安徽合力CPD15、青岛克拉克EPX16、</w:t>
      </w:r>
      <w:r>
        <w:rPr>
          <w:rFonts w:hint="eastAsia" w:asciiTheme="minorEastAsia" w:hAnsiTheme="minorEastAsia" w:eastAsiaTheme="minorEastAsia" w:cstheme="minorEastAsia"/>
          <w:b w:val="0"/>
          <w:bCs w:val="0"/>
          <w:color w:val="000000"/>
          <w:kern w:val="0"/>
          <w:sz w:val="21"/>
          <w:szCs w:val="21"/>
          <w:lang w:val="en-US" w:eastAsia="zh-CN"/>
        </w:rPr>
        <w:t>青岛大连S01-6、大连S01-10、斗山燃油叉车、合力燃油叉车、台励福燃油叉车、前移式叉车等设备</w:t>
      </w:r>
      <w:r>
        <w:rPr>
          <w:rFonts w:hint="eastAsia" w:asciiTheme="minorEastAsia" w:hAnsiTheme="minorEastAsia" w:eastAsiaTheme="minorEastAsia" w:cstheme="minorEastAsia"/>
          <w:sz w:val="21"/>
          <w:szCs w:val="21"/>
        </w:rPr>
        <w:t>。</w:t>
      </w:r>
    </w:p>
    <w:p>
      <w:pPr>
        <w:spacing w:line="420" w:lineRule="exact"/>
        <w:ind w:firstLine="420" w:firstLineChars="200"/>
        <w:jc w:val="left"/>
        <w:rPr>
          <w:rFonts w:ascii="宋体" w:hAnsi="宋体" w:cs="宋体"/>
          <w:szCs w:val="21"/>
        </w:rPr>
      </w:pPr>
      <w:r>
        <w:rPr>
          <w:rFonts w:hint="eastAsia" w:ascii="宋体" w:hAnsi="宋体" w:cs="宋体"/>
          <w:szCs w:val="21"/>
        </w:rPr>
        <w:t>甲方根据采购计划，结合车辆维修实际需求向乙方不定期发出采购订单；若需采购清单外的零部件或维修服务，甲方维修人员和采购人员共同审核后实施采购。</w:t>
      </w:r>
    </w:p>
    <w:p>
      <w:pPr>
        <w:spacing w:line="420" w:lineRule="exact"/>
        <w:ind w:firstLine="422" w:firstLineChars="200"/>
        <w:jc w:val="left"/>
        <w:rPr>
          <w:rFonts w:ascii="宋体" w:hAnsi="宋体" w:cs="宋体"/>
          <w:b/>
          <w:bCs/>
          <w:szCs w:val="21"/>
        </w:rPr>
      </w:pPr>
      <w:r>
        <w:rPr>
          <w:rFonts w:hint="eastAsia" w:ascii="宋体" w:hAnsi="宋体" w:cs="宋体"/>
          <w:b/>
          <w:bCs/>
          <w:szCs w:val="21"/>
        </w:rPr>
        <w:t>二、质量技术要求</w:t>
      </w:r>
    </w:p>
    <w:p>
      <w:pPr>
        <w:spacing w:line="420" w:lineRule="exact"/>
        <w:ind w:firstLine="420" w:firstLineChars="200"/>
        <w:jc w:val="left"/>
        <w:rPr>
          <w:rFonts w:ascii="宋体" w:hAnsi="宋体" w:cs="宋体"/>
          <w:szCs w:val="21"/>
        </w:rPr>
      </w:pPr>
      <w:r>
        <w:rPr>
          <w:rFonts w:hint="eastAsia" w:ascii="宋体" w:hAnsi="宋体" w:cs="宋体"/>
          <w:szCs w:val="21"/>
        </w:rPr>
        <w:t>乙方的各类设备、技术人员、管理制度、环境保护措施等均按照国家标准和车辆使用手册执行。</w:t>
      </w:r>
    </w:p>
    <w:p>
      <w:pPr>
        <w:spacing w:line="420" w:lineRule="exact"/>
        <w:ind w:firstLine="422" w:firstLineChars="200"/>
        <w:jc w:val="left"/>
        <w:rPr>
          <w:rFonts w:ascii="宋体" w:hAnsi="宋体" w:cs="宋体"/>
          <w:b/>
          <w:bCs/>
          <w:szCs w:val="21"/>
        </w:rPr>
      </w:pPr>
      <w:r>
        <w:rPr>
          <w:rFonts w:hint="eastAsia" w:ascii="宋体" w:hAnsi="宋体" w:cs="宋体"/>
          <w:b/>
          <w:bCs/>
          <w:szCs w:val="21"/>
        </w:rPr>
        <w:t>三、地点、工期及验收</w:t>
      </w:r>
    </w:p>
    <w:p>
      <w:pPr>
        <w:spacing w:line="420" w:lineRule="exact"/>
        <w:ind w:firstLine="420" w:firstLineChars="200"/>
        <w:jc w:val="left"/>
        <w:rPr>
          <w:rFonts w:ascii="宋体" w:hAnsi="宋体" w:cs="宋体"/>
          <w:szCs w:val="21"/>
        </w:rPr>
      </w:pPr>
      <w:r>
        <w:rPr>
          <w:rFonts w:hint="eastAsia" w:ascii="宋体" w:hAnsi="宋体" w:cs="宋体"/>
          <w:szCs w:val="21"/>
        </w:rPr>
        <w:t>3.1地点：送修或驻场；</w:t>
      </w:r>
    </w:p>
    <w:p>
      <w:pPr>
        <w:spacing w:line="420" w:lineRule="exact"/>
        <w:ind w:firstLine="420" w:firstLineChars="200"/>
        <w:jc w:val="left"/>
        <w:rPr>
          <w:rFonts w:ascii="宋体" w:hAnsi="宋体" w:cs="宋体"/>
          <w:szCs w:val="21"/>
        </w:rPr>
      </w:pPr>
      <w:r>
        <w:rPr>
          <w:rFonts w:hint="eastAsia" w:ascii="宋体" w:hAnsi="宋体" w:cs="宋体"/>
          <w:szCs w:val="21"/>
        </w:rPr>
        <w:t>3.2工期：送货时效和维修时效根据采购订单要求而定；提供24小时应急服务。</w:t>
      </w:r>
    </w:p>
    <w:p>
      <w:pPr>
        <w:spacing w:line="420" w:lineRule="exact"/>
        <w:ind w:firstLine="420" w:firstLineChars="200"/>
        <w:jc w:val="left"/>
        <w:rPr>
          <w:rFonts w:ascii="宋体" w:hAnsi="宋体" w:cs="宋体"/>
          <w:szCs w:val="21"/>
        </w:rPr>
      </w:pPr>
      <w:r>
        <w:rPr>
          <w:rFonts w:hint="eastAsia" w:ascii="宋体" w:hAnsi="宋体" w:cs="宋体"/>
          <w:szCs w:val="21"/>
        </w:rPr>
        <w:t>甲方大部分车辆为场内牌照，场内牌照车辆无法在机场外道路通行，如乙方经营维修地点在机场范围外的，因送修产生的装卸费用、运送费用等全部费用由乙方承担。</w:t>
      </w:r>
    </w:p>
    <w:p>
      <w:pPr>
        <w:spacing w:line="420" w:lineRule="exact"/>
        <w:ind w:firstLine="420" w:firstLineChars="200"/>
        <w:jc w:val="left"/>
        <w:rPr>
          <w:rFonts w:ascii="宋体" w:hAnsi="宋体" w:cs="宋体"/>
          <w:szCs w:val="21"/>
        </w:rPr>
      </w:pPr>
      <w:r>
        <w:rPr>
          <w:rFonts w:hint="eastAsia" w:ascii="宋体" w:hAnsi="宋体" w:cs="宋体"/>
          <w:szCs w:val="21"/>
        </w:rPr>
        <w:t>3.3送货或维修完成后，由乙方通知甲方组织验收，需符合本合同第二条相关质量技术要求，确保达到甲方可使用状态。如未达到使用状态，甲方将拒绝接受维修车辆，直至修复至可使用状态，返工费用由乙方承担。</w:t>
      </w:r>
    </w:p>
    <w:p>
      <w:pPr>
        <w:spacing w:line="420" w:lineRule="exact"/>
        <w:ind w:firstLine="422" w:firstLineChars="200"/>
        <w:jc w:val="left"/>
        <w:rPr>
          <w:rFonts w:ascii="宋体" w:hAnsi="宋体" w:cs="宋体"/>
          <w:b/>
          <w:bCs/>
          <w:szCs w:val="21"/>
        </w:rPr>
      </w:pPr>
      <w:r>
        <w:rPr>
          <w:rFonts w:hint="eastAsia" w:ascii="宋体" w:hAnsi="宋体" w:cs="宋体"/>
          <w:b/>
          <w:bCs/>
          <w:szCs w:val="21"/>
        </w:rPr>
        <w:t>四、履约保证</w:t>
      </w:r>
    </w:p>
    <w:p>
      <w:pPr>
        <w:spacing w:line="420" w:lineRule="exact"/>
        <w:ind w:firstLine="420" w:firstLineChars="200"/>
        <w:jc w:val="left"/>
        <w:rPr>
          <w:rFonts w:ascii="宋体" w:hAnsi="宋体" w:cs="宋体"/>
          <w:szCs w:val="21"/>
          <w:lang w:val="en-GB"/>
        </w:rPr>
      </w:pPr>
      <w:r>
        <w:rPr>
          <w:rFonts w:hint="eastAsia" w:ascii="宋体" w:hAnsi="宋体" w:cs="宋体"/>
          <w:szCs w:val="21"/>
        </w:rPr>
        <w:t>4.1</w:t>
      </w:r>
      <w:r>
        <w:rPr>
          <w:rFonts w:hint="eastAsia" w:ascii="宋体" w:hAnsi="宋体" w:cs="宋体"/>
          <w:szCs w:val="21"/>
          <w:lang w:val="en-GB"/>
        </w:rPr>
        <w:t>提交形式：</w:t>
      </w:r>
      <w:r>
        <w:rPr>
          <w:rFonts w:hint="eastAsia" w:ascii="宋体" w:hAnsi="宋体" w:cs="宋体"/>
          <w:szCs w:val="21"/>
        </w:rPr>
        <w:t>以银行转账或汇款的形式转入重庆空港航空地面服务有限公司账户。</w:t>
      </w:r>
    </w:p>
    <w:p>
      <w:pPr>
        <w:spacing w:line="420" w:lineRule="exact"/>
        <w:ind w:firstLine="420" w:firstLineChars="200"/>
        <w:jc w:val="left"/>
        <w:rPr>
          <w:rFonts w:ascii="宋体" w:hAnsi="宋体" w:cs="宋体"/>
          <w:szCs w:val="21"/>
        </w:rPr>
      </w:pPr>
      <w:r>
        <w:rPr>
          <w:rFonts w:hint="eastAsia" w:ascii="宋体" w:hAnsi="宋体" w:cs="宋体"/>
          <w:szCs w:val="21"/>
        </w:rPr>
        <w:t>4.2</w:t>
      </w:r>
      <w:r>
        <w:rPr>
          <w:rFonts w:hint="eastAsia" w:ascii="宋体" w:hAnsi="宋体" w:cs="宋体"/>
          <w:szCs w:val="21"/>
          <w:lang w:val="en-GB"/>
        </w:rPr>
        <w:t>金额：</w:t>
      </w:r>
      <w:r>
        <w:rPr>
          <w:rFonts w:hint="eastAsia" w:ascii="宋体" w:hAnsi="宋体" w:cs="宋体"/>
          <w:szCs w:val="21"/>
          <w:lang w:val="en-GB" w:eastAsia="zh-CN"/>
        </w:rPr>
        <w:t>壹万叁仟</w:t>
      </w:r>
      <w:r>
        <w:rPr>
          <w:rFonts w:hint="eastAsia" w:ascii="宋体" w:hAnsi="宋体" w:cs="宋体"/>
          <w:szCs w:val="21"/>
          <w:lang w:val="en-GB"/>
        </w:rPr>
        <w:t>元整（</w:t>
      </w:r>
      <w:r>
        <w:rPr>
          <w:rFonts w:hint="eastAsia" w:ascii="宋体" w:hAnsi="宋体" w:cs="宋体"/>
          <w:szCs w:val="21"/>
        </w:rPr>
        <w:t>¥：</w:t>
      </w:r>
      <w:r>
        <w:rPr>
          <w:rFonts w:hint="eastAsia" w:ascii="宋体" w:hAnsi="宋体" w:cs="宋体"/>
          <w:szCs w:val="21"/>
          <w:lang w:val="en-US" w:eastAsia="zh-CN"/>
        </w:rPr>
        <w:t>13000元</w:t>
      </w:r>
      <w:r>
        <w:rPr>
          <w:rFonts w:hint="eastAsia" w:ascii="宋体" w:hAnsi="宋体" w:cs="宋体"/>
          <w:szCs w:val="21"/>
        </w:rPr>
        <w:t>）</w:t>
      </w:r>
    </w:p>
    <w:p>
      <w:pPr>
        <w:spacing w:line="420" w:lineRule="exact"/>
        <w:ind w:firstLine="420" w:firstLineChars="200"/>
        <w:jc w:val="left"/>
        <w:rPr>
          <w:rFonts w:ascii="宋体" w:hAnsi="宋体" w:cs="宋体"/>
          <w:szCs w:val="21"/>
          <w:lang w:val="en-GB"/>
        </w:rPr>
      </w:pPr>
      <w:r>
        <w:rPr>
          <w:rFonts w:hint="eastAsia" w:ascii="宋体" w:hAnsi="宋体" w:cs="宋体"/>
          <w:szCs w:val="21"/>
        </w:rPr>
        <w:t>4.3</w:t>
      </w:r>
      <w:r>
        <w:rPr>
          <w:rFonts w:hint="eastAsia" w:ascii="宋体" w:hAnsi="宋体" w:cs="宋体"/>
          <w:szCs w:val="21"/>
          <w:lang w:val="en-GB"/>
        </w:rPr>
        <w:t>缴纳时间：乙方在中标通知书发出1</w:t>
      </w:r>
      <w:r>
        <w:rPr>
          <w:rFonts w:hint="eastAsia" w:ascii="宋体" w:hAnsi="宋体" w:cs="宋体"/>
          <w:szCs w:val="21"/>
        </w:rPr>
        <w:t>0</w:t>
      </w:r>
      <w:r>
        <w:rPr>
          <w:rFonts w:hint="eastAsia" w:ascii="宋体" w:hAnsi="宋体" w:cs="宋体"/>
          <w:szCs w:val="21"/>
          <w:lang w:val="en-GB"/>
        </w:rPr>
        <w:t>日内以</w:t>
      </w:r>
      <w:r>
        <w:rPr>
          <w:rFonts w:hint="eastAsia" w:ascii="宋体" w:hAnsi="宋体" w:cs="宋体"/>
          <w:szCs w:val="21"/>
        </w:rPr>
        <w:t>银行</w:t>
      </w:r>
      <w:r>
        <w:rPr>
          <w:rFonts w:hint="eastAsia" w:ascii="宋体" w:hAnsi="宋体" w:cs="宋体"/>
          <w:szCs w:val="21"/>
          <w:lang w:val="en-GB"/>
        </w:rPr>
        <w:t>转账方式交到以下甲方银行账户，在合同期满后无息退还。乙方在合同履约过程中，未按承诺提供产品或服务、给甲方造成重大安全事故等情况，甲方有权终止合同，且不退还履约保证金。</w:t>
      </w:r>
    </w:p>
    <w:p>
      <w:pPr>
        <w:spacing w:line="420" w:lineRule="exact"/>
        <w:ind w:firstLine="420" w:firstLineChars="200"/>
        <w:jc w:val="left"/>
        <w:rPr>
          <w:rFonts w:ascii="宋体" w:hAnsi="宋体" w:cs="宋体"/>
          <w:szCs w:val="21"/>
          <w:lang w:val="en-GB"/>
        </w:rPr>
      </w:pPr>
      <w:r>
        <w:rPr>
          <w:rFonts w:hint="eastAsia" w:ascii="宋体" w:hAnsi="宋体" w:cs="宋体"/>
          <w:szCs w:val="21"/>
        </w:rPr>
        <w:t>4.4</w:t>
      </w:r>
      <w:r>
        <w:rPr>
          <w:rFonts w:hint="eastAsia" w:ascii="宋体" w:hAnsi="宋体" w:cs="宋体"/>
          <w:szCs w:val="21"/>
          <w:lang w:val="en-GB"/>
        </w:rPr>
        <w:t>甲方银行账号信息：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户名：重庆空港航空地面服务有限公司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税号：91500112666441363D</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地址：重庆市渝北区双凤桥街道渝航路1幢1/2-0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电话号码：023-67153596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开户银行：建行渝北机场支行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账户账号：5000 1083 8000 5020 0711</w:t>
      </w:r>
    </w:p>
    <w:p>
      <w:pPr>
        <w:spacing w:line="420" w:lineRule="exact"/>
        <w:ind w:firstLine="420" w:firstLineChars="200"/>
        <w:jc w:val="left"/>
        <w:rPr>
          <w:rFonts w:ascii="宋体" w:hAnsi="宋体" w:cs="宋体"/>
          <w:szCs w:val="21"/>
          <w:lang w:val="en-GB"/>
        </w:rPr>
      </w:pPr>
      <w:r>
        <w:rPr>
          <w:rFonts w:hint="eastAsia" w:ascii="宋体" w:hAnsi="宋体" w:cs="宋体"/>
          <w:szCs w:val="21"/>
        </w:rPr>
        <w:t>4.5</w:t>
      </w:r>
      <w:r>
        <w:rPr>
          <w:rFonts w:hint="eastAsia" w:ascii="宋体" w:hAnsi="宋体" w:cs="宋体"/>
          <w:szCs w:val="21"/>
          <w:lang w:val="en-GB"/>
        </w:rPr>
        <w:t>履约保证金的管理</w:t>
      </w:r>
    </w:p>
    <w:p>
      <w:pPr>
        <w:spacing w:line="420" w:lineRule="exact"/>
        <w:ind w:firstLine="420" w:firstLineChars="200"/>
        <w:jc w:val="left"/>
        <w:rPr>
          <w:rFonts w:ascii="宋体" w:hAnsi="宋体" w:cs="宋体"/>
          <w:szCs w:val="21"/>
          <w:lang w:val="en-GB"/>
        </w:rPr>
      </w:pPr>
      <w:r>
        <w:rPr>
          <w:rFonts w:hint="eastAsia" w:ascii="宋体" w:hAnsi="宋体" w:cs="宋体"/>
          <w:szCs w:val="21"/>
          <w:lang w:val="en-GB"/>
        </w:rPr>
        <w:t>甲方有权从履约保证金中扣除由于乙方违反本合同条款或违反甲方相关管理规定而应支付的违约金，乙方在接到扣除通知书后10日内，应补足履约保证金金额。</w:t>
      </w:r>
    </w:p>
    <w:p>
      <w:pPr>
        <w:spacing w:line="420" w:lineRule="exact"/>
        <w:ind w:firstLine="420" w:firstLineChars="200"/>
        <w:jc w:val="left"/>
        <w:rPr>
          <w:rFonts w:ascii="宋体" w:hAnsi="宋体" w:cs="宋体"/>
          <w:szCs w:val="21"/>
          <w:lang w:val="en-GB"/>
        </w:rPr>
      </w:pPr>
      <w:r>
        <w:rPr>
          <w:rFonts w:hint="eastAsia" w:ascii="宋体" w:hAnsi="宋体" w:cs="宋体"/>
          <w:szCs w:val="21"/>
        </w:rPr>
        <w:t>4.6</w:t>
      </w:r>
      <w:r>
        <w:rPr>
          <w:rFonts w:hint="eastAsia" w:ascii="宋体" w:hAnsi="宋体" w:cs="宋体"/>
          <w:szCs w:val="21"/>
          <w:lang w:val="en-GB"/>
        </w:rPr>
        <w:t>履约保证金的退还</w:t>
      </w:r>
    </w:p>
    <w:p>
      <w:pPr>
        <w:spacing w:line="420" w:lineRule="exact"/>
        <w:ind w:firstLine="420" w:firstLineChars="200"/>
        <w:jc w:val="left"/>
        <w:rPr>
          <w:rFonts w:ascii="宋体" w:hAnsi="宋体" w:cs="宋体"/>
          <w:szCs w:val="21"/>
        </w:rPr>
      </w:pPr>
      <w:r>
        <w:rPr>
          <w:rFonts w:hint="eastAsia" w:ascii="宋体" w:hAnsi="宋体" w:cs="宋体"/>
          <w:szCs w:val="21"/>
          <w:lang w:val="en-GB"/>
        </w:rPr>
        <w:t>合同履行完毕，如乙方在本合同有效期内完全履行了本合同条款，服从甲方监督，甲方应在全部款项结清</w:t>
      </w:r>
      <w:r>
        <w:rPr>
          <w:rFonts w:hint="eastAsia" w:ascii="宋体" w:hAnsi="宋体" w:cs="宋体"/>
          <w:szCs w:val="21"/>
        </w:rPr>
        <w:t>180天</w:t>
      </w:r>
      <w:r>
        <w:rPr>
          <w:rFonts w:hint="eastAsia" w:ascii="宋体" w:hAnsi="宋体" w:cs="宋体"/>
          <w:szCs w:val="21"/>
          <w:lang w:val="en-GB"/>
        </w:rPr>
        <w:t>后将履约保证金无息全额返还乙方。</w:t>
      </w:r>
    </w:p>
    <w:p>
      <w:pPr>
        <w:spacing w:line="420" w:lineRule="exact"/>
        <w:ind w:firstLine="422" w:firstLineChars="200"/>
        <w:jc w:val="left"/>
        <w:rPr>
          <w:rFonts w:ascii="宋体" w:hAnsi="宋体" w:cs="宋体"/>
          <w:b/>
          <w:bCs/>
          <w:szCs w:val="21"/>
        </w:rPr>
      </w:pPr>
      <w:r>
        <w:rPr>
          <w:rFonts w:hint="eastAsia" w:ascii="宋体" w:hAnsi="宋体" w:cs="宋体"/>
          <w:b/>
          <w:bCs/>
          <w:szCs w:val="21"/>
        </w:rPr>
        <w:t>五、合同价款</w:t>
      </w:r>
    </w:p>
    <w:p>
      <w:pPr>
        <w:spacing w:line="420" w:lineRule="exact"/>
        <w:ind w:firstLine="420" w:firstLineChars="200"/>
        <w:jc w:val="left"/>
        <w:rPr>
          <w:rFonts w:hint="eastAsia" w:ascii="宋体" w:hAnsi="宋体" w:eastAsia="宋体" w:cs="宋体"/>
          <w:szCs w:val="21"/>
          <w:lang w:eastAsia="zh-CN"/>
        </w:rPr>
      </w:pPr>
      <w:r>
        <w:rPr>
          <w:rFonts w:hint="eastAsia" w:ascii="宋体" w:hAnsi="宋体" w:cs="宋体"/>
          <w:szCs w:val="21"/>
        </w:rPr>
        <w:t>5.1在零部件报价清单的不含增值税限价基础上提供的综合下浮比例为</w:t>
      </w:r>
      <w:r>
        <w:rPr>
          <w:rFonts w:hint="eastAsia" w:ascii="宋体" w:hAnsi="宋体" w:cs="宋体"/>
          <w:szCs w:val="21"/>
          <w:u w:val="single"/>
        </w:rPr>
        <w:t xml:space="preserve">     </w:t>
      </w:r>
      <w:r>
        <w:rPr>
          <w:rFonts w:hint="eastAsia" w:ascii="宋体" w:hAnsi="宋体" w:cs="宋体"/>
          <w:szCs w:val="21"/>
        </w:rPr>
        <w:t>%。实际结算的不含增值税金额=限价×（1-综合下浮比例）</w:t>
      </w:r>
      <w:r>
        <w:rPr>
          <w:rFonts w:hint="eastAsia" w:ascii="宋体" w:hAnsi="宋体" w:cs="宋体"/>
          <w:szCs w:val="21"/>
          <w:lang w:eastAsia="zh-CN"/>
        </w:rPr>
        <w:t>。</w:t>
      </w:r>
    </w:p>
    <w:p>
      <w:pPr>
        <w:spacing w:line="420" w:lineRule="exact"/>
        <w:ind w:firstLine="420" w:firstLineChars="200"/>
        <w:jc w:val="left"/>
        <w:rPr>
          <w:rFonts w:ascii="宋体" w:hAnsi="宋体" w:cs="宋体"/>
          <w:szCs w:val="21"/>
        </w:rPr>
      </w:pPr>
      <w:r>
        <w:rPr>
          <w:rFonts w:hint="eastAsia" w:ascii="宋体" w:hAnsi="宋体" w:cs="宋体"/>
          <w:szCs w:val="21"/>
        </w:rPr>
        <w:t>5.2工时部分的每个工时的不含增值税单价为</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lang w:val="en-US" w:eastAsia="zh-CN"/>
        </w:rPr>
        <w:t>/小时</w:t>
      </w:r>
      <w:r>
        <w:rPr>
          <w:rFonts w:hint="eastAsia" w:ascii="宋体" w:hAnsi="宋体" w:cs="宋体"/>
          <w:szCs w:val="21"/>
        </w:rPr>
        <w:t>。工时结算数量由甲方和乙方在维修项目实际实施过程中，根据车辆类型、车辆状况共同核定。</w:t>
      </w:r>
    </w:p>
    <w:p>
      <w:pPr>
        <w:spacing w:line="420" w:lineRule="exact"/>
        <w:ind w:firstLine="420" w:firstLineChars="200"/>
        <w:jc w:val="left"/>
        <w:rPr>
          <w:rFonts w:ascii="宋体" w:hAnsi="宋体" w:cs="宋体"/>
          <w:szCs w:val="21"/>
        </w:rPr>
      </w:pPr>
      <w:r>
        <w:rPr>
          <w:rFonts w:hint="eastAsia" w:ascii="宋体" w:hAnsi="宋体" w:cs="宋体"/>
          <w:szCs w:val="21"/>
        </w:rPr>
        <w:t>5.3以上价款均包含乙方履行本合同采购内容的成本费用、人工费用、运输费用、装卸费用、税金（除增值税外）等全部费用。</w:t>
      </w:r>
    </w:p>
    <w:p>
      <w:pPr>
        <w:spacing w:line="420" w:lineRule="exact"/>
        <w:ind w:firstLine="422" w:firstLineChars="200"/>
        <w:jc w:val="left"/>
        <w:rPr>
          <w:rFonts w:ascii="宋体" w:hAnsi="宋体" w:cs="宋体"/>
          <w:b/>
          <w:bCs/>
          <w:szCs w:val="21"/>
        </w:rPr>
      </w:pPr>
      <w:r>
        <w:rPr>
          <w:rFonts w:hint="eastAsia" w:ascii="宋体" w:hAnsi="宋体" w:cs="宋体"/>
          <w:b/>
          <w:bCs/>
          <w:szCs w:val="21"/>
        </w:rPr>
        <w:t>六、付款方式</w:t>
      </w:r>
    </w:p>
    <w:p>
      <w:pPr>
        <w:spacing w:line="420" w:lineRule="exact"/>
        <w:ind w:firstLine="420" w:firstLineChars="200"/>
        <w:jc w:val="left"/>
        <w:rPr>
          <w:rFonts w:ascii="宋体" w:hAnsi="宋体" w:cs="宋体"/>
          <w:szCs w:val="21"/>
        </w:rPr>
      </w:pPr>
      <w:r>
        <w:rPr>
          <w:rFonts w:hint="eastAsia" w:ascii="宋体" w:hAnsi="宋体" w:cs="宋体"/>
          <w:szCs w:val="21"/>
        </w:rPr>
        <w:t>按月支付，根据月实际发生进行结算，次月支付上月发生的费用。费用核对无误后，乙方向甲方出具符合规定的增值税发票后，甲方在20个工作日内通过银行转账或银行承兑汇票的方式一次性支付。</w:t>
      </w:r>
    </w:p>
    <w:p>
      <w:pPr>
        <w:spacing w:line="420" w:lineRule="exact"/>
        <w:ind w:firstLine="420" w:firstLineChars="200"/>
        <w:jc w:val="left"/>
        <w:rPr>
          <w:rFonts w:ascii="宋体" w:hAnsi="宋体" w:cs="宋体"/>
          <w:szCs w:val="21"/>
        </w:rPr>
      </w:pPr>
      <w:r>
        <w:rPr>
          <w:rFonts w:hint="eastAsia" w:ascii="宋体" w:hAnsi="宋体" w:cs="宋体"/>
          <w:szCs w:val="21"/>
        </w:rPr>
        <w:t>如乙方提供的增值税普通发票，甲方实际支付金额=不含增值税金额；如乙方提供的增值税专用发票，甲方实际支付金额=不含增值税金额+增值税税额。</w:t>
      </w:r>
    </w:p>
    <w:p>
      <w:pPr>
        <w:spacing w:line="420" w:lineRule="exact"/>
        <w:ind w:firstLine="420" w:firstLineChars="200"/>
        <w:jc w:val="left"/>
        <w:rPr>
          <w:rFonts w:ascii="宋体" w:hAnsi="宋体" w:cs="宋体"/>
          <w:szCs w:val="21"/>
        </w:rPr>
      </w:pPr>
      <w:r>
        <w:rPr>
          <w:rFonts w:hint="eastAsia" w:ascii="宋体" w:hAnsi="宋体" w:cs="宋体"/>
          <w:szCs w:val="21"/>
        </w:rPr>
        <w:t>乙方账户信息：</w:t>
      </w:r>
    </w:p>
    <w:p>
      <w:pPr>
        <w:spacing w:line="420" w:lineRule="exact"/>
        <w:ind w:firstLine="420" w:firstLineChars="200"/>
        <w:jc w:val="left"/>
        <w:rPr>
          <w:rFonts w:ascii="宋体" w:hAnsi="宋体" w:cs="宋体"/>
          <w:szCs w:val="21"/>
        </w:rPr>
      </w:pPr>
      <w:r>
        <w:rPr>
          <w:rFonts w:hint="eastAsia" w:ascii="宋体" w:hAnsi="宋体" w:cs="宋体"/>
          <w:szCs w:val="21"/>
        </w:rPr>
        <w:t>户名：</w:t>
      </w:r>
    </w:p>
    <w:p>
      <w:pPr>
        <w:spacing w:line="420" w:lineRule="exact"/>
        <w:ind w:firstLine="420" w:firstLineChars="200"/>
        <w:jc w:val="left"/>
        <w:rPr>
          <w:rFonts w:ascii="宋体" w:hAnsi="宋体" w:cs="宋体"/>
          <w:szCs w:val="21"/>
        </w:rPr>
      </w:pPr>
      <w:r>
        <w:rPr>
          <w:rFonts w:hint="eastAsia" w:ascii="宋体" w:hAnsi="宋体" w:cs="宋体"/>
          <w:szCs w:val="21"/>
        </w:rPr>
        <w:t>账号：</w:t>
      </w:r>
    </w:p>
    <w:p>
      <w:pPr>
        <w:spacing w:line="420" w:lineRule="exact"/>
        <w:ind w:firstLine="420" w:firstLineChars="200"/>
        <w:jc w:val="left"/>
        <w:rPr>
          <w:rFonts w:ascii="宋体" w:hAnsi="宋体" w:cs="宋体"/>
          <w:szCs w:val="21"/>
        </w:rPr>
      </w:pPr>
      <w:r>
        <w:rPr>
          <w:rFonts w:hint="eastAsia" w:ascii="宋体" w:hAnsi="宋体" w:cs="宋体"/>
          <w:szCs w:val="21"/>
        </w:rPr>
        <w:t>开户行：</w:t>
      </w:r>
    </w:p>
    <w:p>
      <w:pPr>
        <w:spacing w:line="420" w:lineRule="exact"/>
        <w:ind w:firstLine="420" w:firstLineChars="200"/>
        <w:jc w:val="left"/>
        <w:rPr>
          <w:rFonts w:ascii="宋体" w:hAnsi="宋体" w:cs="宋体"/>
          <w:szCs w:val="21"/>
        </w:rPr>
      </w:pPr>
      <w:r>
        <w:rPr>
          <w:rFonts w:hint="eastAsia" w:ascii="宋体" w:hAnsi="宋体" w:cs="宋体"/>
          <w:szCs w:val="21"/>
        </w:rPr>
        <w:t>开户行联行号：</w:t>
      </w:r>
    </w:p>
    <w:p>
      <w:pPr>
        <w:spacing w:line="420" w:lineRule="exact"/>
        <w:ind w:firstLine="422" w:firstLineChars="200"/>
        <w:jc w:val="left"/>
        <w:rPr>
          <w:rFonts w:ascii="宋体" w:hAnsi="宋体" w:cs="宋体"/>
          <w:b/>
          <w:bCs/>
          <w:szCs w:val="21"/>
        </w:rPr>
      </w:pPr>
      <w:r>
        <w:rPr>
          <w:rFonts w:hint="eastAsia" w:ascii="宋体" w:hAnsi="宋体" w:cs="宋体"/>
          <w:b/>
          <w:bCs/>
          <w:szCs w:val="21"/>
        </w:rPr>
        <w:t>七、质量保证及售后服务</w:t>
      </w:r>
    </w:p>
    <w:p>
      <w:pPr>
        <w:spacing w:line="420" w:lineRule="exact"/>
        <w:ind w:firstLine="420" w:firstLineChars="200"/>
        <w:jc w:val="left"/>
        <w:rPr>
          <w:rFonts w:ascii="宋体" w:hAnsi="宋体" w:cs="宋体"/>
          <w:szCs w:val="21"/>
        </w:rPr>
      </w:pPr>
      <w:r>
        <w:rPr>
          <w:rFonts w:hint="eastAsia" w:ascii="宋体" w:hAnsi="宋体" w:cs="宋体"/>
          <w:szCs w:val="21"/>
        </w:rPr>
        <w:t>7.1根据订单的零部件和送修故障类别的实际情况，提供3-6个月的质保期，质保期内提供免费更换服务；</w:t>
      </w:r>
    </w:p>
    <w:p>
      <w:pPr>
        <w:spacing w:line="420" w:lineRule="exact"/>
        <w:ind w:firstLine="420" w:firstLineChars="200"/>
        <w:jc w:val="left"/>
        <w:rPr>
          <w:rFonts w:hint="eastAsia" w:ascii="宋体" w:hAnsi="宋体" w:eastAsia="宋体" w:cs="宋体"/>
          <w:szCs w:val="21"/>
          <w:lang w:eastAsia="zh-CN"/>
        </w:rPr>
      </w:pPr>
      <w:r>
        <w:rPr>
          <w:rFonts w:hint="eastAsia" w:ascii="宋体" w:hAnsi="宋体" w:cs="宋体"/>
          <w:szCs w:val="21"/>
        </w:rPr>
        <w:t>7.2乙方提供24小时应急救援服务</w:t>
      </w:r>
      <w:r>
        <w:rPr>
          <w:rFonts w:hint="eastAsia" w:ascii="宋体" w:hAnsi="宋体" w:cs="宋体"/>
          <w:szCs w:val="21"/>
          <w:lang w:eastAsia="zh-CN"/>
        </w:rPr>
        <w:t>。</w:t>
      </w:r>
    </w:p>
    <w:p>
      <w:pPr>
        <w:spacing w:line="420" w:lineRule="exact"/>
        <w:ind w:firstLine="422" w:firstLineChars="200"/>
        <w:jc w:val="left"/>
        <w:rPr>
          <w:rFonts w:ascii="宋体" w:hAnsi="宋体" w:cs="宋体"/>
          <w:b/>
          <w:bCs/>
          <w:szCs w:val="21"/>
        </w:rPr>
      </w:pPr>
      <w:r>
        <w:rPr>
          <w:rFonts w:hint="eastAsia" w:ascii="宋体" w:hAnsi="宋体" w:cs="宋体"/>
          <w:b/>
          <w:bCs/>
          <w:szCs w:val="21"/>
        </w:rPr>
        <w:t>八、违约责任</w:t>
      </w:r>
    </w:p>
    <w:p>
      <w:pPr>
        <w:spacing w:line="420" w:lineRule="exact"/>
        <w:ind w:firstLine="420" w:firstLineChars="200"/>
        <w:jc w:val="left"/>
        <w:rPr>
          <w:rFonts w:ascii="宋体" w:hAnsi="宋体" w:cs="宋体"/>
          <w:szCs w:val="21"/>
        </w:rPr>
      </w:pPr>
      <w:r>
        <w:rPr>
          <w:rFonts w:hint="eastAsia" w:ascii="宋体" w:hAnsi="宋体" w:cs="宋体"/>
          <w:szCs w:val="21"/>
        </w:rPr>
        <w:t>8.1乙方未按当次订单约定按期完成送货或维修的，乙方按当次订单总额的千分之三（每天）的比例向甲方支付违约金；若乙方经常不能按期交货或完成维修，又未书面告知协商征得甲方同意的，甲方有权单方面解除本合同，并向乙方要求赔偿相应损失；若乙方私自提高结算价格又未征得甲方同意的，甲方有权单方面解除本合同。</w:t>
      </w:r>
    </w:p>
    <w:p>
      <w:pPr>
        <w:spacing w:line="420" w:lineRule="exact"/>
        <w:ind w:firstLine="420" w:firstLineChars="200"/>
        <w:jc w:val="left"/>
        <w:rPr>
          <w:rFonts w:ascii="宋体" w:hAnsi="宋体" w:cs="宋体"/>
          <w:szCs w:val="21"/>
        </w:rPr>
      </w:pPr>
      <w:r>
        <w:rPr>
          <w:rFonts w:hint="eastAsia" w:ascii="宋体" w:hAnsi="宋体" w:cs="宋体"/>
          <w:szCs w:val="21"/>
        </w:rPr>
        <w:t>8.2甲方未按合同规定验收、支付服务款项，甲方按当次订单总额的千分之三（每天）的比例向乙方支付违约金。</w:t>
      </w:r>
    </w:p>
    <w:p>
      <w:pPr>
        <w:spacing w:line="420" w:lineRule="exact"/>
        <w:ind w:firstLine="420" w:firstLineChars="200"/>
        <w:jc w:val="left"/>
        <w:rPr>
          <w:rFonts w:ascii="宋体" w:hAnsi="宋体" w:cs="宋体"/>
          <w:szCs w:val="21"/>
        </w:rPr>
      </w:pPr>
      <w:r>
        <w:rPr>
          <w:rFonts w:hint="eastAsia" w:ascii="宋体" w:hAnsi="宋体" w:cs="宋体"/>
          <w:szCs w:val="21"/>
        </w:rPr>
        <w:t>8.3甲、乙双方任意一方因不可抗力因素（特指战争和地震）而不能履行合同时，应当及时通知对方，并在提供有关机构出具的证明，协商解决。</w:t>
      </w:r>
    </w:p>
    <w:p>
      <w:pPr>
        <w:spacing w:line="420" w:lineRule="exact"/>
        <w:ind w:firstLine="420" w:firstLineChars="200"/>
        <w:jc w:val="left"/>
        <w:rPr>
          <w:rFonts w:ascii="宋体" w:hAnsi="宋体" w:cs="宋体"/>
          <w:szCs w:val="21"/>
        </w:rPr>
      </w:pPr>
      <w:r>
        <w:rPr>
          <w:rFonts w:hint="eastAsia" w:ascii="宋体" w:hAnsi="宋体" w:cs="宋体"/>
          <w:szCs w:val="21"/>
        </w:rPr>
        <w:t>8.4乙方在维修实施过程中如出现安全事故，由乙方自行承担一切责任。</w:t>
      </w:r>
    </w:p>
    <w:p>
      <w:pPr>
        <w:spacing w:line="420" w:lineRule="exact"/>
        <w:ind w:firstLine="422" w:firstLineChars="200"/>
        <w:jc w:val="left"/>
        <w:rPr>
          <w:rFonts w:ascii="宋体" w:hAnsi="宋体" w:cs="宋体"/>
          <w:b/>
          <w:bCs/>
          <w:szCs w:val="21"/>
        </w:rPr>
      </w:pPr>
      <w:r>
        <w:rPr>
          <w:rFonts w:hint="eastAsia" w:ascii="宋体" w:hAnsi="宋体" w:cs="宋体"/>
          <w:b/>
          <w:bCs/>
          <w:szCs w:val="21"/>
        </w:rPr>
        <w:t>九、合同争议解决方式</w:t>
      </w:r>
    </w:p>
    <w:p>
      <w:pPr>
        <w:spacing w:line="420" w:lineRule="exact"/>
        <w:ind w:firstLine="420" w:firstLineChars="200"/>
        <w:jc w:val="left"/>
        <w:rPr>
          <w:rFonts w:ascii="宋体" w:hAnsi="宋体" w:cs="宋体"/>
          <w:szCs w:val="21"/>
        </w:rPr>
      </w:pPr>
      <w:r>
        <w:rPr>
          <w:rFonts w:hint="eastAsia" w:ascii="宋体" w:hAnsi="宋体" w:cs="宋体"/>
          <w:szCs w:val="21"/>
        </w:rPr>
        <w:t>合同未尽事宜和执行过程中如有争议，由双方友好协商解决，如协商解决不成双方中的任何一方可向甲方所在地人民法院起诉。</w:t>
      </w:r>
    </w:p>
    <w:p>
      <w:pPr>
        <w:spacing w:line="420" w:lineRule="exact"/>
        <w:ind w:firstLine="422" w:firstLineChars="200"/>
        <w:jc w:val="left"/>
        <w:rPr>
          <w:rFonts w:ascii="宋体" w:hAnsi="宋体" w:cs="宋体"/>
          <w:b/>
          <w:bCs/>
          <w:szCs w:val="21"/>
        </w:rPr>
      </w:pPr>
      <w:r>
        <w:rPr>
          <w:rFonts w:hint="eastAsia" w:ascii="宋体" w:hAnsi="宋体" w:cs="宋体"/>
          <w:b/>
          <w:bCs/>
          <w:szCs w:val="21"/>
        </w:rPr>
        <w:t>十、其他</w:t>
      </w:r>
    </w:p>
    <w:p>
      <w:pPr>
        <w:spacing w:line="420" w:lineRule="exact"/>
        <w:ind w:firstLine="420" w:firstLineChars="200"/>
        <w:jc w:val="left"/>
        <w:rPr>
          <w:rFonts w:ascii="宋体" w:hAnsi="宋体" w:cs="宋体"/>
          <w:szCs w:val="21"/>
        </w:rPr>
      </w:pPr>
      <w:r>
        <w:rPr>
          <w:rFonts w:hint="eastAsia" w:ascii="宋体" w:hAnsi="宋体" w:cs="宋体"/>
          <w:szCs w:val="21"/>
        </w:rPr>
        <w:t>10.1本合同有效期两年，自</w:t>
      </w:r>
      <w:r>
        <w:rPr>
          <w:rFonts w:hint="eastAsia" w:ascii="宋体" w:hAnsi="宋体" w:cs="宋体"/>
          <w:szCs w:val="21"/>
          <w:lang w:eastAsia="zh-CN"/>
        </w:rPr>
        <w:t>合同生效之日起算</w:t>
      </w:r>
      <w:r>
        <w:rPr>
          <w:rFonts w:hint="eastAsia" w:ascii="宋体" w:hAnsi="宋体" w:cs="宋体"/>
          <w:szCs w:val="21"/>
        </w:rPr>
        <w:t>。</w:t>
      </w:r>
    </w:p>
    <w:p>
      <w:pPr>
        <w:spacing w:line="420" w:lineRule="exact"/>
        <w:ind w:firstLine="420" w:firstLineChars="200"/>
        <w:jc w:val="left"/>
        <w:rPr>
          <w:rFonts w:ascii="宋体" w:hAnsi="宋体" w:cs="宋体"/>
          <w:szCs w:val="21"/>
        </w:rPr>
      </w:pPr>
      <w:r>
        <w:rPr>
          <w:rFonts w:hint="eastAsia" w:ascii="宋体" w:hAnsi="宋体" w:cs="宋体"/>
          <w:szCs w:val="21"/>
        </w:rPr>
        <w:t>10.2本合同一式陆份，甲方执叁份、乙方执叁份，具有相同法律效力。</w:t>
      </w:r>
    </w:p>
    <w:p>
      <w:pPr>
        <w:spacing w:line="420" w:lineRule="exact"/>
        <w:ind w:firstLine="420" w:firstLineChars="200"/>
        <w:jc w:val="left"/>
        <w:rPr>
          <w:rFonts w:ascii="宋体" w:hAnsi="宋体" w:cs="宋体"/>
          <w:szCs w:val="21"/>
        </w:rPr>
      </w:pPr>
      <w:r>
        <w:rPr>
          <w:rFonts w:hint="eastAsia" w:ascii="宋体" w:hAnsi="宋体" w:cs="宋体"/>
          <w:szCs w:val="21"/>
        </w:rPr>
        <w:t>10.3本合同双方签字并加盖公章或合同专用章后生效。</w:t>
      </w:r>
    </w:p>
    <w:p>
      <w:pPr>
        <w:spacing w:line="420" w:lineRule="exact"/>
        <w:ind w:firstLine="420" w:firstLineChars="200"/>
        <w:jc w:val="left"/>
        <w:rPr>
          <w:rFonts w:ascii="宋体" w:hAnsi="宋体" w:cs="宋体"/>
          <w:szCs w:val="21"/>
        </w:rPr>
      </w:pPr>
    </w:p>
    <w:p>
      <w:pPr>
        <w:spacing w:line="420" w:lineRule="exact"/>
        <w:ind w:firstLine="420" w:firstLineChars="200"/>
        <w:jc w:val="left"/>
        <w:rPr>
          <w:rFonts w:ascii="宋体" w:hAnsi="宋体" w:cs="宋体"/>
          <w:szCs w:val="21"/>
        </w:rPr>
      </w:pPr>
    </w:p>
    <w:p>
      <w:pPr>
        <w:spacing w:line="420" w:lineRule="exact"/>
        <w:ind w:firstLine="420" w:firstLineChars="200"/>
        <w:jc w:val="left"/>
        <w:rPr>
          <w:rFonts w:ascii="宋体" w:hAnsi="宋体" w:cs="宋体"/>
          <w:szCs w:val="21"/>
        </w:rPr>
      </w:pPr>
      <w:r>
        <w:rPr>
          <w:rFonts w:hint="eastAsia" w:ascii="宋体" w:hAnsi="宋体" w:cs="宋体"/>
          <w:szCs w:val="21"/>
        </w:rPr>
        <w:t xml:space="preserve">甲      方：（盖章）                    乙      方：（盖章）   </w:t>
      </w:r>
    </w:p>
    <w:p>
      <w:pPr>
        <w:spacing w:line="420" w:lineRule="exact"/>
        <w:ind w:firstLine="420" w:firstLineChars="200"/>
        <w:jc w:val="left"/>
        <w:rPr>
          <w:rFonts w:ascii="宋体" w:hAnsi="宋体" w:cs="宋体"/>
          <w:szCs w:val="21"/>
        </w:rPr>
      </w:pPr>
      <w:r>
        <w:rPr>
          <w:rFonts w:hint="eastAsia" w:ascii="宋体" w:hAnsi="宋体" w:cs="宋体"/>
          <w:szCs w:val="21"/>
        </w:rPr>
        <w:t xml:space="preserve">重庆空港航空地面服务有限公司            </w:t>
      </w:r>
    </w:p>
    <w:p>
      <w:pPr>
        <w:spacing w:line="420" w:lineRule="exact"/>
        <w:ind w:firstLine="420" w:firstLineChars="200"/>
        <w:jc w:val="left"/>
        <w:rPr>
          <w:rFonts w:ascii="宋体" w:hAnsi="宋体" w:cs="宋体"/>
          <w:szCs w:val="21"/>
        </w:rPr>
      </w:pPr>
      <w:r>
        <w:rPr>
          <w:rFonts w:hint="eastAsia" w:ascii="宋体" w:hAnsi="宋体" w:cs="宋体"/>
          <w:szCs w:val="21"/>
        </w:rPr>
        <w:t>法定代表人                              法定代表人</w:t>
      </w:r>
    </w:p>
    <w:p>
      <w:pPr>
        <w:spacing w:line="420" w:lineRule="exact"/>
        <w:ind w:firstLine="420" w:firstLineChars="200"/>
        <w:jc w:val="left"/>
        <w:rPr>
          <w:rFonts w:ascii="宋体" w:hAnsi="宋体" w:cs="宋体"/>
          <w:szCs w:val="21"/>
        </w:rPr>
      </w:pPr>
      <w:r>
        <w:rPr>
          <w:rFonts w:hint="eastAsia" w:ascii="宋体" w:hAnsi="宋体" w:cs="宋体"/>
          <w:szCs w:val="21"/>
        </w:rPr>
        <w:t xml:space="preserve">或授权代表签字：                        或授权代表签字：        </w:t>
      </w:r>
    </w:p>
    <w:p>
      <w:pPr>
        <w:spacing w:line="420" w:lineRule="exact"/>
        <w:ind w:firstLine="420" w:firstLineChars="200"/>
        <w:jc w:val="left"/>
        <w:rPr>
          <w:rFonts w:ascii="宋体" w:hAnsi="宋体" w:cs="宋体"/>
          <w:szCs w:val="21"/>
        </w:rPr>
      </w:pPr>
      <w:r>
        <w:rPr>
          <w:rFonts w:hint="eastAsia" w:ascii="宋体" w:hAnsi="宋体" w:cs="宋体"/>
          <w:szCs w:val="21"/>
        </w:rPr>
        <w:t xml:space="preserve">日    期：                              日    期：       </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br w:type="page"/>
      </w:r>
    </w:p>
    <w:p>
      <w:pPr>
        <w:spacing w:line="560" w:lineRule="exact"/>
        <w:rPr>
          <w:rFonts w:hint="default"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附件2：</w:t>
      </w:r>
    </w:p>
    <w:p>
      <w:pPr>
        <w:pStyle w:val="2"/>
        <w:rPr>
          <w:rFonts w:hint="default"/>
          <w:lang w:val="en-US" w:eastAsia="zh-CN"/>
        </w:rPr>
      </w:pPr>
      <w:r>
        <w:rPr>
          <w:rFonts w:hint="eastAsia" w:eastAsia="仿宋_GB2312"/>
          <w:color w:val="000000" w:themeColor="text1"/>
          <w:sz w:val="28"/>
          <w:szCs w:val="28"/>
          <w:lang w:val="en-US" w:eastAsia="zh-CN"/>
          <w14:textFill>
            <w14:solidFill>
              <w14:schemeClr w14:val="tx1"/>
            </w14:solidFill>
          </w14:textFill>
        </w:rPr>
        <w:t>一、零部件部分需求及限价</w:t>
      </w:r>
    </w:p>
    <w:tbl>
      <w:tblPr>
        <w:tblStyle w:val="17"/>
        <w:tblW w:w="8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470"/>
        <w:gridCol w:w="2985"/>
        <w:gridCol w:w="615"/>
        <w:gridCol w:w="61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配件名称（常用）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不含增值税单价限价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安徽合力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CQD15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15172.41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侧移短油管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前进后退油管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主动锥齿轮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安徽合力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QYS60S-E1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20565.52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8474.14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插接器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制动蹄片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万向节总成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安徽合力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CPD15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18793.10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7982.76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侧移短油管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前进后退油管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主动锥齿轮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青岛克拉克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EPX16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24655.17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16862.07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1077.59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侧移短油管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前进后退油管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主动锥齿轮</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青岛大连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S01-6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急停开关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钥匙开关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加速器126MCU</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控制器1230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插接器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转向轮轮架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后组合灯总成LED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转向链条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升降链条总成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转向控制器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转向编码器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转向轮毂</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后轮轮毂内轴承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后轮轮毂外轴承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万向轮轴承6304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转向螺栓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4249.56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螺栓/齿轮盘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斗山叉车3T</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加速器126MCU</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后桥修理包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侧移长油管/2M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升降长油管φ25*5000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升降高压油管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水箱下水管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进水管(铝)</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踏板组件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水管/抱箍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柴滤芯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机滤芯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空气机滤器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水温传感器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控制阀总成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变速箱滤芯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变矩器总成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供油泵总成A612433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供油泵A373663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离合器总成YDS30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起动马达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水箱总成DS-铜-管片式033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水箱总成DS-铜管片式099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制动修理包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变速箱壳体A373592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手柄弹簧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启动继电器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保险座</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四缸套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大修包</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止推片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进气门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气门座圈</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气门导管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散热器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偏心瓦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曲轴前油封</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曲轴后油封</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汽缸床</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缸盖</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气门油封</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止推片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凸轮轴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全车油管及油管接头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侧移油缸总成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制动总泵</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制动蹄片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制动分泵总成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前大灯LED总成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前移式叉车</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转向轮轮架</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速度传感器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加速器总成</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转向编码器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侧移长油管Φ10*1500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倾斜油管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承载轮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升降长油管</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挡位杆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承载轮轴承</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转向角度传感器</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1115.04 </w:t>
            </w:r>
          </w:p>
        </w:tc>
      </w:tr>
    </w:tbl>
    <w:p>
      <w:pPr>
        <w:rPr>
          <w:rFonts w:hint="eastAsia"/>
          <w:lang w:val="en-US" w:eastAsia="zh-CN"/>
        </w:rPr>
      </w:pPr>
    </w:p>
    <w:p>
      <w:pPr>
        <w:pStyle w:val="2"/>
        <w:rPr>
          <w:rFonts w:hint="eastAsia"/>
          <w:lang w:val="en-US" w:eastAsia="zh-CN"/>
        </w:rPr>
      </w:pPr>
      <w:r>
        <w:rPr>
          <w:rFonts w:hint="eastAsia"/>
          <w:lang w:val="en-US" w:eastAsia="zh-CN"/>
        </w:rPr>
        <w:t>二、工时部分需求及限价</w:t>
      </w:r>
    </w:p>
    <w:tbl>
      <w:tblPr>
        <w:tblStyle w:val="17"/>
        <w:tblW w:w="7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9"/>
        <w:gridCol w:w="1316"/>
        <w:gridCol w:w="1080"/>
        <w:gridCol w:w="1781"/>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不含增值税单价限价</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一般工时费</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元</w:t>
            </w:r>
            <w:r>
              <w:rPr>
                <w:rFonts w:hint="eastAsia" w:ascii="宋体" w:hAnsi="宋体" w:cs="宋体"/>
                <w:i w:val="0"/>
                <w:iCs w:val="0"/>
                <w:color w:val="000000"/>
                <w:sz w:val="22"/>
                <w:szCs w:val="22"/>
                <w:u w:val="none"/>
                <w:lang w:val="en-US" w:eastAsia="zh-CN"/>
              </w:rPr>
              <w:t>/</w:t>
            </w:r>
            <w:r>
              <w:rPr>
                <w:rFonts w:hint="eastAsia" w:ascii="宋体" w:hAnsi="宋体" w:cs="宋体"/>
                <w:i w:val="0"/>
                <w:iCs w:val="0"/>
                <w:color w:val="000000"/>
                <w:sz w:val="22"/>
                <w:szCs w:val="22"/>
                <w:u w:val="none"/>
                <w:lang w:eastAsia="zh-CN"/>
              </w:rPr>
              <w:t>小时</w:t>
            </w:r>
          </w:p>
        </w:tc>
        <w:tc>
          <w:tcPr>
            <w:tcW w:w="17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53.1</w:t>
            </w:r>
          </w:p>
        </w:tc>
        <w:tc>
          <w:tcPr>
            <w:tcW w:w="17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工时数量根据设备类型、故障类型以及附件3定额标准，由双方共同核定。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基础保养</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一级保养</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二级保养</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8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r>
        <w:rPr>
          <w:rFonts w:hint="eastAsia"/>
          <w:lang w:val="en-US" w:eastAsia="zh-CN"/>
        </w:rPr>
        <w:t>附件3：维修工时定额参考标准</w:t>
      </w:r>
    </w:p>
    <w:tbl>
      <w:tblPr>
        <w:tblStyle w:val="17"/>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305"/>
        <w:gridCol w:w="1080"/>
        <w:gridCol w:w="343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系统名称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故障部位</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维修内容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维修工时定额参考标准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（工时）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13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驱动系统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蓄电池组</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检查蓄电池组（含电压/比重等)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修理电池（焊接/更换/连接块/桩头)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电池组插接器、线路维修/更换</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更换畜电池组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驱动电机</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检查电机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修理电机（更换轴承/速度传感器/温度传感器）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更换电机总成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控制器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检查控制器(接触器/加速器/组合开关/传感器/编码器/线路/接头/插接器等）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修理控制器（委外维修）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更换控制器总成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接触器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检查接触器(线路/接头/插接器等）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更换接触器总成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加速器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检查加速器(线路/接头/插接器等）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更换加速器总成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变速箱</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检查变速箱（油量/油质/密封/油管/接头）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修理变速箱（更换齿轮/换油/密封/垫子/油管/轴承等）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驱动桥</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检查驱动桥（油量/油质/密封/油管/接头）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w:t>
            </w: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修理驱动桥（更换齿轮油/密封/垫子/油管等）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转向系统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转向桥</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检查转向桥（转向节/轴承/连接杆/主销等）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修理转向桥（更换转向节/轴承/连接杆/主销/调整垫片等）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更换转向桥总成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转向油缸</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检查转向油缸（密封/关节轴承/油管/接头）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修理转向油缸（更换油缸修理包/密封/关节轴承/油管/接头）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更换转向油缸总成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方向机</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检查方向机（泄漏/油管/接头/各紧固件）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修理方向机（泄漏/油管/接头/各紧固件）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更换方向机总成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起重系统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齿轮泵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检查齿轮泵（泄漏/油管/接头/各紧固件）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修理齿轮泵（泄漏/油管/接头/各紧固件）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更换齿轮泵总成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多路阀</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检查多路阀（阀芯/泄漏/油管/接头/各紧固件）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修理多路阀（阀芯/泄漏/油管/接头/各紧固件）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更换多路阀总成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升降链条</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检查升降链条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维护升降链条（清洗/润滑/调整张紧/磨损度）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更换升降链条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升降油缸</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检查升降油缸（密封/关节轴承/油管/接头）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修理升降油缸（密封/关节轴承/油管/接头）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更换升降油缸总成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倾斜油缸</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检查倾斜油缸（密封/关节轴承/油管/接头）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修理倾斜油缸（密封/关节轴承/油管/接头）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更换倾斜油缸总成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门架轴承/导轮</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检查门架轴承/导轮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更换门架轴承/导轮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制动系统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制动总泵</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检查制动总泵（泄漏/密封/油管/接头/各紧固件）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46</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更换制动总泵总成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47</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制动器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检查制动器（分泵/蹄片/修理包/制动鼓/泄漏/密封/油管/接头/各紧固件）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修理制动器（更换分泵/蹄片/修理包/制动鼓/泄漏/密封/油管/接头/各紧固件）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更换制动器总成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电器系统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各类灯具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检查各类灯具（DC转换器/电源开关/灯泡/线路/保险等）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维修各类灯具（DC转换器/电源开关/灯泡/线路/保险等）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52</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更换部件总成（DC转换器/电源开关/灯泡/保险等）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53</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喇叭/仪表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检查喇叭/仪表（DC转换器/电源开关/喇叭/仪表/线路/保险等）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54</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维修喇叭/仪表（DC转换器/电源开关/喇叭/仪表/线路/保险等）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55</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更换部件总成（DC转换器/电源开关/喇叭/仪表/保险等）</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topLinePunct w:val="0"/>
        <w:bidi w:val="0"/>
        <w:spacing w:line="560" w:lineRule="exact"/>
        <w:ind w:firstLine="0" w:firstLineChars="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headerReference r:id="rId3" w:type="default"/>
      <w:footerReference r:id="rId4" w:type="default"/>
      <w:pgSz w:w="11906" w:h="16838"/>
      <w:pgMar w:top="156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44291"/>
    <w:multiLevelType w:val="singleLevel"/>
    <w:tmpl w:val="9B144291"/>
    <w:lvl w:ilvl="0" w:tentative="0">
      <w:start w:val="1"/>
      <w:numFmt w:val="decimal"/>
      <w:lvlText w:val="%1."/>
      <w:lvlJc w:val="left"/>
      <w:pPr>
        <w:tabs>
          <w:tab w:val="left" w:pos="312"/>
        </w:tabs>
      </w:pPr>
    </w:lvl>
  </w:abstractNum>
  <w:abstractNum w:abstractNumId="1">
    <w:nsid w:val="62B34791"/>
    <w:multiLevelType w:val="singleLevel"/>
    <w:tmpl w:val="62B3479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2748"/>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845D7E"/>
    <w:rsid w:val="03AB119B"/>
    <w:rsid w:val="03F12107"/>
    <w:rsid w:val="03FC2CFC"/>
    <w:rsid w:val="042D3E0E"/>
    <w:rsid w:val="04346C47"/>
    <w:rsid w:val="04512513"/>
    <w:rsid w:val="046B38D3"/>
    <w:rsid w:val="048F2341"/>
    <w:rsid w:val="04C5575B"/>
    <w:rsid w:val="04E56460"/>
    <w:rsid w:val="04EC7A2C"/>
    <w:rsid w:val="05416D39"/>
    <w:rsid w:val="055E55A9"/>
    <w:rsid w:val="05627D6B"/>
    <w:rsid w:val="05893C34"/>
    <w:rsid w:val="058B37A1"/>
    <w:rsid w:val="05CA0A32"/>
    <w:rsid w:val="05F80DA3"/>
    <w:rsid w:val="06256F1D"/>
    <w:rsid w:val="062B48E9"/>
    <w:rsid w:val="06926D13"/>
    <w:rsid w:val="06B0704C"/>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3E6166"/>
    <w:rsid w:val="0A731E79"/>
    <w:rsid w:val="0A923616"/>
    <w:rsid w:val="0A977327"/>
    <w:rsid w:val="0A9C0B09"/>
    <w:rsid w:val="0B4A774F"/>
    <w:rsid w:val="0B747136"/>
    <w:rsid w:val="0BEE79BD"/>
    <w:rsid w:val="0C2D4738"/>
    <w:rsid w:val="0C68692E"/>
    <w:rsid w:val="0D066FFB"/>
    <w:rsid w:val="0D4571FF"/>
    <w:rsid w:val="0D56362A"/>
    <w:rsid w:val="0D654EF8"/>
    <w:rsid w:val="0D765360"/>
    <w:rsid w:val="0DA0508F"/>
    <w:rsid w:val="0DA145C2"/>
    <w:rsid w:val="0DEC451B"/>
    <w:rsid w:val="0E321F8B"/>
    <w:rsid w:val="0E566F47"/>
    <w:rsid w:val="0E5B7D3A"/>
    <w:rsid w:val="0ED45E50"/>
    <w:rsid w:val="0EE71FAC"/>
    <w:rsid w:val="0EFB2EDC"/>
    <w:rsid w:val="0F303832"/>
    <w:rsid w:val="0F38590F"/>
    <w:rsid w:val="0F5D5D0B"/>
    <w:rsid w:val="0F652260"/>
    <w:rsid w:val="0FF75CB1"/>
    <w:rsid w:val="101B284F"/>
    <w:rsid w:val="107251C5"/>
    <w:rsid w:val="10751C6C"/>
    <w:rsid w:val="10CA602B"/>
    <w:rsid w:val="10E11778"/>
    <w:rsid w:val="110572F9"/>
    <w:rsid w:val="11103A1A"/>
    <w:rsid w:val="112A5D11"/>
    <w:rsid w:val="113405A8"/>
    <w:rsid w:val="11852565"/>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2A33F3"/>
    <w:rsid w:val="1546363A"/>
    <w:rsid w:val="15925856"/>
    <w:rsid w:val="160E5648"/>
    <w:rsid w:val="16301051"/>
    <w:rsid w:val="167726CD"/>
    <w:rsid w:val="16A95AC3"/>
    <w:rsid w:val="16E208CB"/>
    <w:rsid w:val="16EB77A7"/>
    <w:rsid w:val="1738746B"/>
    <w:rsid w:val="173E1A73"/>
    <w:rsid w:val="175F378B"/>
    <w:rsid w:val="17B4753F"/>
    <w:rsid w:val="17C264C9"/>
    <w:rsid w:val="17C6387E"/>
    <w:rsid w:val="18001A10"/>
    <w:rsid w:val="1823074C"/>
    <w:rsid w:val="182A6026"/>
    <w:rsid w:val="18AD4CFB"/>
    <w:rsid w:val="19651732"/>
    <w:rsid w:val="19CE2982"/>
    <w:rsid w:val="19FE0C42"/>
    <w:rsid w:val="1A055576"/>
    <w:rsid w:val="1A0949BF"/>
    <w:rsid w:val="1A2773EE"/>
    <w:rsid w:val="1A780858"/>
    <w:rsid w:val="1AA649B7"/>
    <w:rsid w:val="1ACC3C34"/>
    <w:rsid w:val="1AD9349D"/>
    <w:rsid w:val="1AE045F8"/>
    <w:rsid w:val="1AE07ED1"/>
    <w:rsid w:val="1AE76FFF"/>
    <w:rsid w:val="1B0C3079"/>
    <w:rsid w:val="1B3D3BC7"/>
    <w:rsid w:val="1B530870"/>
    <w:rsid w:val="1B954109"/>
    <w:rsid w:val="1BA159B2"/>
    <w:rsid w:val="1BC03857"/>
    <w:rsid w:val="1C14551E"/>
    <w:rsid w:val="1C2D30C9"/>
    <w:rsid w:val="1CA72944"/>
    <w:rsid w:val="1CA753A6"/>
    <w:rsid w:val="1D0A1192"/>
    <w:rsid w:val="1E004198"/>
    <w:rsid w:val="1E1B0A69"/>
    <w:rsid w:val="1E470BAE"/>
    <w:rsid w:val="1EBF0088"/>
    <w:rsid w:val="1ED85FE7"/>
    <w:rsid w:val="1EDE09E7"/>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BE37AB"/>
    <w:rsid w:val="221F3474"/>
    <w:rsid w:val="22537DDE"/>
    <w:rsid w:val="226E22DD"/>
    <w:rsid w:val="2282770E"/>
    <w:rsid w:val="22D160CB"/>
    <w:rsid w:val="23093D4E"/>
    <w:rsid w:val="232C7B55"/>
    <w:rsid w:val="23523730"/>
    <w:rsid w:val="23532FB0"/>
    <w:rsid w:val="236B5E11"/>
    <w:rsid w:val="23777D76"/>
    <w:rsid w:val="23D41E3A"/>
    <w:rsid w:val="247D38B3"/>
    <w:rsid w:val="24DE033B"/>
    <w:rsid w:val="24F825EA"/>
    <w:rsid w:val="250963F0"/>
    <w:rsid w:val="2527176B"/>
    <w:rsid w:val="255B3973"/>
    <w:rsid w:val="2561251C"/>
    <w:rsid w:val="25EE6378"/>
    <w:rsid w:val="263069F3"/>
    <w:rsid w:val="26630D75"/>
    <w:rsid w:val="26AF0C16"/>
    <w:rsid w:val="26AF1AE1"/>
    <w:rsid w:val="26B1790E"/>
    <w:rsid w:val="26BE4550"/>
    <w:rsid w:val="26DF36D3"/>
    <w:rsid w:val="26F4633F"/>
    <w:rsid w:val="26FC1E95"/>
    <w:rsid w:val="27862A40"/>
    <w:rsid w:val="278B3A20"/>
    <w:rsid w:val="27C022E0"/>
    <w:rsid w:val="27D23323"/>
    <w:rsid w:val="28552F2C"/>
    <w:rsid w:val="286C36E6"/>
    <w:rsid w:val="28867CA7"/>
    <w:rsid w:val="28900766"/>
    <w:rsid w:val="28A1023B"/>
    <w:rsid w:val="28B03454"/>
    <w:rsid w:val="28C62CD7"/>
    <w:rsid w:val="28E5712E"/>
    <w:rsid w:val="290145B0"/>
    <w:rsid w:val="291B5823"/>
    <w:rsid w:val="2954075F"/>
    <w:rsid w:val="29935EC5"/>
    <w:rsid w:val="29F10E7D"/>
    <w:rsid w:val="29F93554"/>
    <w:rsid w:val="2AB73270"/>
    <w:rsid w:val="2AE203DD"/>
    <w:rsid w:val="2B3542A3"/>
    <w:rsid w:val="2B6E3F41"/>
    <w:rsid w:val="2B824505"/>
    <w:rsid w:val="2BB628FE"/>
    <w:rsid w:val="2BD72CF4"/>
    <w:rsid w:val="2C0824D5"/>
    <w:rsid w:val="2C7E30BB"/>
    <w:rsid w:val="2C890986"/>
    <w:rsid w:val="2D2A3B0D"/>
    <w:rsid w:val="2D45694A"/>
    <w:rsid w:val="2D6E61B2"/>
    <w:rsid w:val="2DA3726B"/>
    <w:rsid w:val="2DB01335"/>
    <w:rsid w:val="2DCF4404"/>
    <w:rsid w:val="2DE06E10"/>
    <w:rsid w:val="2DE12229"/>
    <w:rsid w:val="2E12162B"/>
    <w:rsid w:val="2EBF0BBF"/>
    <w:rsid w:val="2F0A16C4"/>
    <w:rsid w:val="2F0D0675"/>
    <w:rsid w:val="2F5F0A5D"/>
    <w:rsid w:val="2F7E753E"/>
    <w:rsid w:val="2F840FFA"/>
    <w:rsid w:val="2FC3325D"/>
    <w:rsid w:val="2FE018BD"/>
    <w:rsid w:val="303429D2"/>
    <w:rsid w:val="306E1C94"/>
    <w:rsid w:val="30A40618"/>
    <w:rsid w:val="314A2798"/>
    <w:rsid w:val="314D0E3F"/>
    <w:rsid w:val="31970779"/>
    <w:rsid w:val="31B7717A"/>
    <w:rsid w:val="31F05866"/>
    <w:rsid w:val="320C68B2"/>
    <w:rsid w:val="320D1E09"/>
    <w:rsid w:val="321E361B"/>
    <w:rsid w:val="32362892"/>
    <w:rsid w:val="32D6687A"/>
    <w:rsid w:val="32F751B6"/>
    <w:rsid w:val="33296D3B"/>
    <w:rsid w:val="33AD241D"/>
    <w:rsid w:val="33C31107"/>
    <w:rsid w:val="33E26F87"/>
    <w:rsid w:val="33E86FAC"/>
    <w:rsid w:val="33FA0FB5"/>
    <w:rsid w:val="3446741E"/>
    <w:rsid w:val="345A6386"/>
    <w:rsid w:val="346A42FC"/>
    <w:rsid w:val="348554CB"/>
    <w:rsid w:val="34B370EE"/>
    <w:rsid w:val="34C176EE"/>
    <w:rsid w:val="34CE0EFC"/>
    <w:rsid w:val="34ED6EC4"/>
    <w:rsid w:val="350C0AD6"/>
    <w:rsid w:val="35195F24"/>
    <w:rsid w:val="3520564A"/>
    <w:rsid w:val="35256E80"/>
    <w:rsid w:val="354C6A50"/>
    <w:rsid w:val="355D1858"/>
    <w:rsid w:val="35775EA4"/>
    <w:rsid w:val="359569B1"/>
    <w:rsid w:val="3597318F"/>
    <w:rsid w:val="359E146C"/>
    <w:rsid w:val="35B72366"/>
    <w:rsid w:val="35DD2679"/>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9F91822"/>
    <w:rsid w:val="3A0871BF"/>
    <w:rsid w:val="3A2B4724"/>
    <w:rsid w:val="3A2E204A"/>
    <w:rsid w:val="3A7F3182"/>
    <w:rsid w:val="3B0520B5"/>
    <w:rsid w:val="3B17405E"/>
    <w:rsid w:val="3B3D3D9C"/>
    <w:rsid w:val="3B5B0F11"/>
    <w:rsid w:val="3B8D1B05"/>
    <w:rsid w:val="3BEA4651"/>
    <w:rsid w:val="3C1228A0"/>
    <w:rsid w:val="3C33613D"/>
    <w:rsid w:val="3C740E08"/>
    <w:rsid w:val="3C7D6996"/>
    <w:rsid w:val="3CD3374A"/>
    <w:rsid w:val="3CDB290B"/>
    <w:rsid w:val="3D1F111D"/>
    <w:rsid w:val="3D406D2F"/>
    <w:rsid w:val="3D4826F8"/>
    <w:rsid w:val="3D5A1ABE"/>
    <w:rsid w:val="3DAA1F99"/>
    <w:rsid w:val="3DB7239F"/>
    <w:rsid w:val="3E630E61"/>
    <w:rsid w:val="3E955595"/>
    <w:rsid w:val="3EA87988"/>
    <w:rsid w:val="3EC42196"/>
    <w:rsid w:val="3EC95C23"/>
    <w:rsid w:val="3ECF44EE"/>
    <w:rsid w:val="3F4F72C3"/>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58669E"/>
    <w:rsid w:val="43814CC4"/>
    <w:rsid w:val="439012B7"/>
    <w:rsid w:val="43970206"/>
    <w:rsid w:val="43B03B5A"/>
    <w:rsid w:val="43B134D0"/>
    <w:rsid w:val="43BC2B1C"/>
    <w:rsid w:val="43EB3E4E"/>
    <w:rsid w:val="4439578D"/>
    <w:rsid w:val="44404BD4"/>
    <w:rsid w:val="4449454C"/>
    <w:rsid w:val="448F056E"/>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32CCD"/>
    <w:rsid w:val="476A02AE"/>
    <w:rsid w:val="47BA26EF"/>
    <w:rsid w:val="47D53CCD"/>
    <w:rsid w:val="48026B38"/>
    <w:rsid w:val="48092C2D"/>
    <w:rsid w:val="482F185E"/>
    <w:rsid w:val="483A01CD"/>
    <w:rsid w:val="483B05D9"/>
    <w:rsid w:val="4857247D"/>
    <w:rsid w:val="48762ABF"/>
    <w:rsid w:val="48902AF2"/>
    <w:rsid w:val="49507314"/>
    <w:rsid w:val="496314E2"/>
    <w:rsid w:val="49CD20B7"/>
    <w:rsid w:val="49DD55BA"/>
    <w:rsid w:val="49F95F2C"/>
    <w:rsid w:val="4A1B175E"/>
    <w:rsid w:val="4A337275"/>
    <w:rsid w:val="4ACA5284"/>
    <w:rsid w:val="4B5B5F27"/>
    <w:rsid w:val="4B7D4460"/>
    <w:rsid w:val="4B823443"/>
    <w:rsid w:val="4B9A15EA"/>
    <w:rsid w:val="4BDC5167"/>
    <w:rsid w:val="4BEA105F"/>
    <w:rsid w:val="4C0842E9"/>
    <w:rsid w:val="4C65110E"/>
    <w:rsid w:val="4C893754"/>
    <w:rsid w:val="4C9D00F4"/>
    <w:rsid w:val="4D024BEC"/>
    <w:rsid w:val="4D030F25"/>
    <w:rsid w:val="4D341CBF"/>
    <w:rsid w:val="4DAE67B4"/>
    <w:rsid w:val="4E4E529F"/>
    <w:rsid w:val="4E700F95"/>
    <w:rsid w:val="4E7F6657"/>
    <w:rsid w:val="4EE77E90"/>
    <w:rsid w:val="4F17563F"/>
    <w:rsid w:val="4F1F0790"/>
    <w:rsid w:val="4F5A7728"/>
    <w:rsid w:val="4F767DC8"/>
    <w:rsid w:val="4F951A1B"/>
    <w:rsid w:val="500A3F81"/>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701036"/>
    <w:rsid w:val="53B138F6"/>
    <w:rsid w:val="541A345A"/>
    <w:rsid w:val="541B0AAA"/>
    <w:rsid w:val="545E4DEB"/>
    <w:rsid w:val="546E7E5D"/>
    <w:rsid w:val="54743095"/>
    <w:rsid w:val="54850F6B"/>
    <w:rsid w:val="54873B82"/>
    <w:rsid w:val="548F60CE"/>
    <w:rsid w:val="54E85717"/>
    <w:rsid w:val="54FD6E9A"/>
    <w:rsid w:val="5505221C"/>
    <w:rsid w:val="555A5E3F"/>
    <w:rsid w:val="55671C6D"/>
    <w:rsid w:val="558E4BD8"/>
    <w:rsid w:val="55E816C6"/>
    <w:rsid w:val="560F6EE9"/>
    <w:rsid w:val="56892339"/>
    <w:rsid w:val="56E47570"/>
    <w:rsid w:val="56F97712"/>
    <w:rsid w:val="57052B6C"/>
    <w:rsid w:val="574A472A"/>
    <w:rsid w:val="5789054D"/>
    <w:rsid w:val="578B264C"/>
    <w:rsid w:val="57A71AC0"/>
    <w:rsid w:val="57B14D9D"/>
    <w:rsid w:val="57D02734"/>
    <w:rsid w:val="58094566"/>
    <w:rsid w:val="5855710D"/>
    <w:rsid w:val="58755AB0"/>
    <w:rsid w:val="58AB6C83"/>
    <w:rsid w:val="5910290D"/>
    <w:rsid w:val="593A5818"/>
    <w:rsid w:val="593B3A79"/>
    <w:rsid w:val="594A7276"/>
    <w:rsid w:val="59EA7163"/>
    <w:rsid w:val="59FD1A86"/>
    <w:rsid w:val="5A6C75D2"/>
    <w:rsid w:val="5A9F2759"/>
    <w:rsid w:val="5AAA6C73"/>
    <w:rsid w:val="5AB56FD6"/>
    <w:rsid w:val="5ADE244E"/>
    <w:rsid w:val="5AE94B0F"/>
    <w:rsid w:val="5B376B2B"/>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DE6371"/>
    <w:rsid w:val="5EF46BFB"/>
    <w:rsid w:val="5F18377D"/>
    <w:rsid w:val="5F36514B"/>
    <w:rsid w:val="5F457474"/>
    <w:rsid w:val="5F562C1F"/>
    <w:rsid w:val="5FE56858"/>
    <w:rsid w:val="5FF356BE"/>
    <w:rsid w:val="604E3931"/>
    <w:rsid w:val="60681418"/>
    <w:rsid w:val="60777004"/>
    <w:rsid w:val="608E1C8F"/>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31E6B06"/>
    <w:rsid w:val="635F599B"/>
    <w:rsid w:val="636304CA"/>
    <w:rsid w:val="638B472E"/>
    <w:rsid w:val="64950E8D"/>
    <w:rsid w:val="64F05D69"/>
    <w:rsid w:val="651F4AF5"/>
    <w:rsid w:val="65280837"/>
    <w:rsid w:val="654D6C47"/>
    <w:rsid w:val="65803004"/>
    <w:rsid w:val="65B13B0F"/>
    <w:rsid w:val="65DD59C7"/>
    <w:rsid w:val="65DF06AA"/>
    <w:rsid w:val="665A3DD8"/>
    <w:rsid w:val="66726DE9"/>
    <w:rsid w:val="667D7612"/>
    <w:rsid w:val="66DA0758"/>
    <w:rsid w:val="66E85868"/>
    <w:rsid w:val="673C24EF"/>
    <w:rsid w:val="67554C72"/>
    <w:rsid w:val="67B44B21"/>
    <w:rsid w:val="67EB0D51"/>
    <w:rsid w:val="67F65044"/>
    <w:rsid w:val="680A7904"/>
    <w:rsid w:val="68166352"/>
    <w:rsid w:val="6898656D"/>
    <w:rsid w:val="68B4061C"/>
    <w:rsid w:val="68B81F22"/>
    <w:rsid w:val="68F23D1B"/>
    <w:rsid w:val="692D64E2"/>
    <w:rsid w:val="694C5F23"/>
    <w:rsid w:val="69572A37"/>
    <w:rsid w:val="696662A4"/>
    <w:rsid w:val="69792046"/>
    <w:rsid w:val="69DF53DC"/>
    <w:rsid w:val="69E27B25"/>
    <w:rsid w:val="6A397FCF"/>
    <w:rsid w:val="6A8A7330"/>
    <w:rsid w:val="6A961F9E"/>
    <w:rsid w:val="6ACB06F4"/>
    <w:rsid w:val="6AD506C8"/>
    <w:rsid w:val="6AEE6C6E"/>
    <w:rsid w:val="6B1B6AD9"/>
    <w:rsid w:val="6B46798C"/>
    <w:rsid w:val="6B51697E"/>
    <w:rsid w:val="6B687B99"/>
    <w:rsid w:val="6B825A7C"/>
    <w:rsid w:val="6B995283"/>
    <w:rsid w:val="6BB93E1A"/>
    <w:rsid w:val="6BC763D5"/>
    <w:rsid w:val="6BCA31AA"/>
    <w:rsid w:val="6BEB1010"/>
    <w:rsid w:val="6BF8468F"/>
    <w:rsid w:val="6C164551"/>
    <w:rsid w:val="6C495E4F"/>
    <w:rsid w:val="6C753674"/>
    <w:rsid w:val="6CC018BA"/>
    <w:rsid w:val="6CF00CE0"/>
    <w:rsid w:val="6D27237C"/>
    <w:rsid w:val="6D2B6A0F"/>
    <w:rsid w:val="6D302E0E"/>
    <w:rsid w:val="6D6650AF"/>
    <w:rsid w:val="6E1612C1"/>
    <w:rsid w:val="6E9B39FD"/>
    <w:rsid w:val="6F604150"/>
    <w:rsid w:val="6F876965"/>
    <w:rsid w:val="6F89225D"/>
    <w:rsid w:val="6FAF68AB"/>
    <w:rsid w:val="703053C9"/>
    <w:rsid w:val="706C4C4B"/>
    <w:rsid w:val="709C49B1"/>
    <w:rsid w:val="70D3620A"/>
    <w:rsid w:val="71193D3B"/>
    <w:rsid w:val="71422B5C"/>
    <w:rsid w:val="71D9412A"/>
    <w:rsid w:val="7211216C"/>
    <w:rsid w:val="723348A3"/>
    <w:rsid w:val="72632B7A"/>
    <w:rsid w:val="72841771"/>
    <w:rsid w:val="729A172F"/>
    <w:rsid w:val="72C95A52"/>
    <w:rsid w:val="72E04E7A"/>
    <w:rsid w:val="730F7EC3"/>
    <w:rsid w:val="732604B1"/>
    <w:rsid w:val="73CA2AF9"/>
    <w:rsid w:val="74085078"/>
    <w:rsid w:val="74283EEA"/>
    <w:rsid w:val="74701552"/>
    <w:rsid w:val="74C55EA5"/>
    <w:rsid w:val="74EA4FB0"/>
    <w:rsid w:val="75154605"/>
    <w:rsid w:val="751C3C2A"/>
    <w:rsid w:val="75821E64"/>
    <w:rsid w:val="766C2683"/>
    <w:rsid w:val="76AB6A72"/>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6A69F7"/>
    <w:rsid w:val="7A775E70"/>
    <w:rsid w:val="7A7D10E4"/>
    <w:rsid w:val="7AA5092A"/>
    <w:rsid w:val="7ACB150F"/>
    <w:rsid w:val="7B304512"/>
    <w:rsid w:val="7B314EA5"/>
    <w:rsid w:val="7B6F7E07"/>
    <w:rsid w:val="7BDE7F34"/>
    <w:rsid w:val="7BE72529"/>
    <w:rsid w:val="7C1E5520"/>
    <w:rsid w:val="7C21083D"/>
    <w:rsid w:val="7C2A5ACE"/>
    <w:rsid w:val="7C500388"/>
    <w:rsid w:val="7C62013B"/>
    <w:rsid w:val="7C9B54C6"/>
    <w:rsid w:val="7CAE5B2E"/>
    <w:rsid w:val="7CBD66EB"/>
    <w:rsid w:val="7CEA14B8"/>
    <w:rsid w:val="7D11011F"/>
    <w:rsid w:val="7D1B40FF"/>
    <w:rsid w:val="7D3C3BC2"/>
    <w:rsid w:val="7D497A1B"/>
    <w:rsid w:val="7D720FEA"/>
    <w:rsid w:val="7D7351AD"/>
    <w:rsid w:val="7D9064BE"/>
    <w:rsid w:val="7D9A213A"/>
    <w:rsid w:val="7DCB0EAA"/>
    <w:rsid w:val="7DEB76C3"/>
    <w:rsid w:val="7E024225"/>
    <w:rsid w:val="7E503DBF"/>
    <w:rsid w:val="7E615781"/>
    <w:rsid w:val="7E6459CD"/>
    <w:rsid w:val="7E75368D"/>
    <w:rsid w:val="7E7D6862"/>
    <w:rsid w:val="7EA75BCD"/>
    <w:rsid w:val="7EF3082E"/>
    <w:rsid w:val="7EFA2FEC"/>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2D64B3"/>
      <w:u w:val="none"/>
    </w:rPr>
  </w:style>
  <w:style w:type="character" w:styleId="21">
    <w:name w:val="Emphasis"/>
    <w:basedOn w:val="19"/>
    <w:qFormat/>
    <w:locked/>
    <w:uiPriority w:val="0"/>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semiHidden/>
    <w:unhideWhenUsed/>
    <w:qFormat/>
    <w:uiPriority w:val="99"/>
    <w:rPr>
      <w:color w:val="2D64B3"/>
      <w:u w:val="none"/>
    </w:rPr>
  </w:style>
  <w:style w:type="character" w:styleId="25">
    <w:name w:val="HTML Code"/>
    <w:basedOn w:val="19"/>
    <w:semiHidden/>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Arial" w:hAnsi="Arial" w:cs="Arial"/>
      <w:sz w:val="20"/>
    </w:rPr>
  </w:style>
  <w:style w:type="character" w:styleId="29">
    <w:name w:val="HTML Sample"/>
    <w:basedOn w:val="19"/>
    <w:semiHidden/>
    <w:unhideWhenUsed/>
    <w:qFormat/>
    <w:uiPriority w:val="99"/>
    <w:rPr>
      <w:rFonts w:hint="default" w:ascii="Arial" w:hAnsi="Arial" w:cs="Arial"/>
    </w:rPr>
  </w:style>
  <w:style w:type="character" w:customStyle="1" w:styleId="30">
    <w:name w:val="批注框文本 字符"/>
    <w:basedOn w:val="19"/>
    <w:link w:val="10"/>
    <w:semiHidden/>
    <w:qFormat/>
    <w:locked/>
    <w:uiPriority w:val="99"/>
    <w:rPr>
      <w:rFonts w:ascii="Times New Roman" w:hAnsi="Times New Roman"/>
      <w:kern w:val="2"/>
      <w:sz w:val="18"/>
    </w:rPr>
  </w:style>
  <w:style w:type="character" w:customStyle="1" w:styleId="31">
    <w:name w:val="页脚 字符"/>
    <w:basedOn w:val="19"/>
    <w:link w:val="11"/>
    <w:qFormat/>
    <w:locked/>
    <w:uiPriority w:val="99"/>
    <w:rPr>
      <w:sz w:val="18"/>
    </w:rPr>
  </w:style>
  <w:style w:type="character" w:customStyle="1" w:styleId="32">
    <w:name w:val="页眉 字符"/>
    <w:basedOn w:val="19"/>
    <w:link w:val="12"/>
    <w:semiHidden/>
    <w:qFormat/>
    <w:locked/>
    <w:uiPriority w:val="99"/>
    <w:rPr>
      <w:sz w:val="18"/>
    </w:rPr>
  </w:style>
  <w:style w:type="paragraph" w:customStyle="1" w:styleId="33">
    <w:name w:val="列出段落1"/>
    <w:basedOn w:val="1"/>
    <w:qFormat/>
    <w:uiPriority w:val="99"/>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字符"/>
    <w:basedOn w:val="19"/>
    <w:link w:val="16"/>
    <w:qFormat/>
    <w:uiPriority w:val="10"/>
    <w:rPr>
      <w:rFonts w:ascii="Calibri" w:hAnsi="Calibri"/>
      <w:b/>
      <w:bCs/>
      <w:kern w:val="2"/>
      <w:sz w:val="32"/>
      <w:szCs w:val="32"/>
    </w:rPr>
  </w:style>
  <w:style w:type="paragraph" w:customStyle="1" w:styleId="39">
    <w:name w:val="1"/>
    <w:basedOn w:val="1"/>
    <w:next w:val="9"/>
    <w:qFormat/>
    <w:uiPriority w:val="0"/>
    <w:rPr>
      <w:rFonts w:ascii="宋体" w:hAnsi="Courier New"/>
      <w:szCs w:val="20"/>
    </w:rPr>
  </w:style>
  <w:style w:type="paragraph" w:customStyle="1" w:styleId="40">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1">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2">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96</TotalTime>
  <ScaleCrop>false</ScaleCrop>
  <LinksUpToDate>false</LinksUpToDate>
  <CharactersWithSpaces>10748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cp:lastModifiedBy>
  <cp:lastPrinted>2022-01-18T02:57:00Z</cp:lastPrinted>
  <dcterms:modified xsi:type="dcterms:W3CDTF">2022-03-01T06:12:17Z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SaveFontToCloudKey">
    <vt:lpwstr>230241869_btnclosed</vt:lpwstr>
  </property>
  <property fmtid="{D5CDD505-2E9C-101B-9397-08002B2CF9AE}" pid="4" name="ICV">
    <vt:lpwstr>EF409E4D48F94D52B6225DE89CBE7C07</vt:lpwstr>
  </property>
</Properties>
</file>