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方正小标宋_GBK" w:eastAsia="方正小标宋_GBK" w:cs="方正小标宋_GBK"/>
          <w:color w:val="auto"/>
          <w:sz w:val="44"/>
          <w:szCs w:val="44"/>
        </w:rPr>
        <w:t>2022年正版软件采购项目（Adobe部分）</w:t>
      </w: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竞争性采购文件</w:t>
      </w:r>
    </w:p>
    <w:p>
      <w:pPr>
        <w:autoSpaceDE w:val="0"/>
        <w:autoSpaceDN w:val="0"/>
        <w:adjustRightInd w:val="0"/>
        <w:spacing w:line="360" w:lineRule="auto"/>
        <w:jc w:val="center"/>
        <w:rPr>
          <w:rFonts w:ascii="仿宋_GB2312" w:hAnsi="仿宋" w:eastAsia="仿宋_GB2312" w:cs="宋体"/>
          <w:b/>
          <w:bCs/>
          <w:color w:val="auto"/>
          <w:sz w:val="36"/>
          <w:szCs w:val="36"/>
          <w:lang w:val="zh-CN"/>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评选方式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有效最低价法</w:t>
      </w:r>
    </w:p>
    <w:p>
      <w:pPr>
        <w:jc w:val="center"/>
        <w:rPr>
          <w:rFonts w:ascii="仿宋" w:hAnsi="仿宋" w:eastAsia="仿宋"/>
          <w:b/>
          <w:color w:val="auto"/>
          <w:sz w:val="32"/>
        </w:rPr>
      </w:pPr>
    </w:p>
    <w:p>
      <w:pPr>
        <w:jc w:val="center"/>
        <w:rPr>
          <w:rFonts w:ascii="仿宋" w:hAnsi="仿宋" w:eastAsia="仿宋"/>
          <w:b/>
          <w:color w:val="auto"/>
          <w:sz w:val="32"/>
        </w:rPr>
      </w:pPr>
    </w:p>
    <w:p>
      <w:pPr>
        <w:autoSpaceDE w:val="0"/>
        <w:autoSpaceDN w:val="0"/>
        <w:adjustRightInd w:val="0"/>
        <w:spacing w:line="360" w:lineRule="auto"/>
        <w:jc w:val="center"/>
        <w:rPr>
          <w:rFonts w:hint="eastAsia"/>
          <w:color w:val="auto"/>
          <w:lang w:val="en-US" w:eastAsia="zh-CN"/>
        </w:rPr>
      </w:pPr>
      <w:r>
        <w:rPr>
          <w:rFonts w:hint="eastAsia" w:ascii="仿宋_GB2312" w:hAnsi="仿宋" w:eastAsia="仿宋_GB2312" w:cs="宋体"/>
          <w:b/>
          <w:bCs/>
          <w:color w:val="auto"/>
          <w:sz w:val="36"/>
          <w:szCs w:val="36"/>
          <w:lang w:val="zh-CN"/>
        </w:rPr>
        <w:t>编号：</w:t>
      </w:r>
      <w:r>
        <w:rPr>
          <w:rFonts w:hint="eastAsia" w:ascii="仿宋_GB2312" w:hAnsi="仿宋" w:eastAsia="仿宋_GB2312" w:cs="宋体"/>
          <w:b/>
          <w:bCs/>
          <w:color w:val="auto"/>
          <w:sz w:val="36"/>
          <w:szCs w:val="36"/>
          <w:lang w:val="en-US" w:eastAsia="zh-CN"/>
        </w:rPr>
        <w:t>软件 2022-001</w:t>
      </w:r>
    </w:p>
    <w:p>
      <w:pPr>
        <w:jc w:val="center"/>
        <w:rPr>
          <w:rFonts w:ascii="仿宋" w:hAnsi="仿宋" w:eastAsia="仿宋"/>
          <w:b/>
          <w:color w:val="auto"/>
          <w:sz w:val="32"/>
        </w:rPr>
      </w:pPr>
    </w:p>
    <w:p>
      <w:pPr>
        <w:jc w:val="center"/>
        <w:rPr>
          <w:rFonts w:ascii="仿宋" w:hAnsi="仿宋" w:eastAsia="仿宋"/>
          <w:b/>
          <w:color w:val="auto"/>
          <w:sz w:val="52"/>
        </w:rPr>
      </w:pPr>
    </w:p>
    <w:p>
      <w:pPr>
        <w:jc w:val="center"/>
        <w:rPr>
          <w:rFonts w:ascii="仿宋" w:hAnsi="仿宋" w:eastAsia="仿宋"/>
          <w:b/>
          <w:color w:val="auto"/>
          <w:sz w:val="5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采购办公室（代章）</w:t>
      </w:r>
      <w:bookmarkStart w:id="17" w:name="_GoBack"/>
      <w:bookmarkEnd w:id="17"/>
    </w:p>
    <w:p>
      <w:pPr>
        <w:rPr>
          <w:rFonts w:ascii="仿宋" w:hAnsi="仿宋" w:eastAsia="仿宋"/>
          <w:b/>
          <w:color w:val="auto"/>
          <w:sz w:val="32"/>
          <w:szCs w:val="3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二〇二二年二月</w:t>
      </w:r>
    </w:p>
    <w:p>
      <w:pPr>
        <w:pStyle w:val="2"/>
        <w:rPr>
          <w:color w:val="auto"/>
        </w:rPr>
      </w:pPr>
    </w:p>
    <w:p>
      <w:pPr>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2"/>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竞争性采购公告及响应人须知</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竞争性采购附件</w:t>
      </w: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竞争性采购公告及响应人须知</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我司决定于近期将对2022年正版软件采购项目（Adobe部分）进行竞争性采购。本竞争性采购办法适用于我司范围内公开招标限额以下的采购活动。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项目名称：2022年正版软件采购项目（Adobe部分）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项目内容：购买2</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套Adobe</w:t>
      </w:r>
      <w:r>
        <w:rPr>
          <w:rFonts w:ascii="方正仿宋_GBK" w:hAnsi="方正仿宋_GBK" w:eastAsia="方正仿宋_GBK" w:cs="方正仿宋_GBK"/>
          <w:color w:val="auto"/>
          <w:sz w:val="28"/>
          <w:szCs w:val="28"/>
        </w:rPr>
        <w:t xml:space="preserve"> Photoshop for enterprise</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套</w:t>
      </w:r>
      <w:r>
        <w:rPr>
          <w:rFonts w:ascii="方正仿宋_GBK" w:hAnsi="方正仿宋_GBK" w:eastAsia="方正仿宋_GBK" w:cs="方正仿宋_GBK"/>
          <w:color w:val="auto"/>
          <w:sz w:val="28"/>
          <w:szCs w:val="28"/>
        </w:rPr>
        <w:t>Adobe Premiere Pro for enterprise</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套</w:t>
      </w:r>
      <w:r>
        <w:rPr>
          <w:rFonts w:ascii="方正仿宋_GBK" w:hAnsi="方正仿宋_GBK" w:eastAsia="方正仿宋_GBK" w:cs="方正仿宋_GBK"/>
          <w:color w:val="auto"/>
          <w:sz w:val="28"/>
          <w:szCs w:val="28"/>
        </w:rPr>
        <w:t>Adobe Audition for enterprise</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92</w:t>
      </w:r>
      <w:r>
        <w:rPr>
          <w:rFonts w:hint="eastAsia" w:ascii="方正仿宋_GBK" w:hAnsi="方正仿宋_GBK" w:eastAsia="方正仿宋_GBK" w:cs="方正仿宋_GBK"/>
          <w:color w:val="auto"/>
          <w:sz w:val="28"/>
          <w:szCs w:val="28"/>
        </w:rPr>
        <w:t>套Adobe</w:t>
      </w:r>
      <w:r>
        <w:rPr>
          <w:rFonts w:ascii="方正仿宋_GBK" w:hAnsi="方正仿宋_GBK" w:eastAsia="方正仿宋_GBK" w:cs="方正仿宋_GBK"/>
          <w:color w:val="auto"/>
          <w:sz w:val="28"/>
          <w:szCs w:val="28"/>
        </w:rPr>
        <w:t xml:space="preserve"> Acrobat Pro DC for enterprise</w:t>
      </w:r>
      <w:r>
        <w:rPr>
          <w:rFonts w:hint="eastAsia" w:ascii="方正仿宋_GBK" w:hAnsi="方正仿宋_GBK" w:eastAsia="方正仿宋_GBK" w:cs="方正仿宋_GBK"/>
          <w:color w:val="auto"/>
          <w:sz w:val="28"/>
          <w:szCs w:val="28"/>
        </w:rPr>
        <w:t>。</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项目采购清单：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1417"/>
        <w:gridCol w:w="1134"/>
        <w:gridCol w:w="9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59" w:type="dxa"/>
            <w:vAlign w:val="center"/>
          </w:tcPr>
          <w:p>
            <w:pPr>
              <w:jc w:val="center"/>
              <w:rPr>
                <w:b/>
                <w:color w:val="auto"/>
                <w:sz w:val="28"/>
                <w:szCs w:val="28"/>
              </w:rPr>
            </w:pPr>
            <w:r>
              <w:rPr>
                <w:rFonts w:hint="eastAsia"/>
                <w:b/>
                <w:color w:val="auto"/>
                <w:sz w:val="28"/>
                <w:szCs w:val="28"/>
              </w:rPr>
              <w:t>序号</w:t>
            </w:r>
          </w:p>
        </w:tc>
        <w:tc>
          <w:tcPr>
            <w:tcW w:w="2835" w:type="dxa"/>
            <w:vAlign w:val="center"/>
          </w:tcPr>
          <w:p>
            <w:pPr>
              <w:jc w:val="center"/>
              <w:rPr>
                <w:b/>
                <w:color w:val="auto"/>
                <w:sz w:val="28"/>
                <w:szCs w:val="28"/>
              </w:rPr>
            </w:pPr>
            <w:r>
              <w:rPr>
                <w:rFonts w:hint="eastAsia"/>
                <w:b/>
                <w:color w:val="auto"/>
                <w:sz w:val="28"/>
                <w:szCs w:val="28"/>
              </w:rPr>
              <w:t>品名</w:t>
            </w:r>
          </w:p>
        </w:tc>
        <w:tc>
          <w:tcPr>
            <w:tcW w:w="1417" w:type="dxa"/>
            <w:vAlign w:val="center"/>
          </w:tcPr>
          <w:p>
            <w:pPr>
              <w:jc w:val="center"/>
              <w:rPr>
                <w:b/>
                <w:color w:val="auto"/>
                <w:sz w:val="28"/>
                <w:szCs w:val="28"/>
              </w:rPr>
            </w:pPr>
            <w:r>
              <w:rPr>
                <w:rFonts w:hint="eastAsia"/>
                <w:b/>
                <w:color w:val="auto"/>
                <w:sz w:val="28"/>
                <w:szCs w:val="28"/>
              </w:rPr>
              <w:t>使用期限</w:t>
            </w:r>
          </w:p>
        </w:tc>
        <w:tc>
          <w:tcPr>
            <w:tcW w:w="1134" w:type="dxa"/>
            <w:vAlign w:val="center"/>
          </w:tcPr>
          <w:p>
            <w:pPr>
              <w:jc w:val="center"/>
              <w:rPr>
                <w:b/>
                <w:color w:val="auto"/>
                <w:sz w:val="28"/>
                <w:szCs w:val="28"/>
              </w:rPr>
            </w:pPr>
            <w:r>
              <w:rPr>
                <w:rFonts w:hint="eastAsia"/>
                <w:b/>
                <w:color w:val="auto"/>
                <w:sz w:val="28"/>
                <w:szCs w:val="28"/>
              </w:rPr>
              <w:t>单位</w:t>
            </w:r>
          </w:p>
        </w:tc>
        <w:tc>
          <w:tcPr>
            <w:tcW w:w="993" w:type="dxa"/>
            <w:vAlign w:val="center"/>
          </w:tcPr>
          <w:p>
            <w:pPr>
              <w:jc w:val="center"/>
              <w:rPr>
                <w:b/>
                <w:color w:val="auto"/>
                <w:sz w:val="28"/>
                <w:szCs w:val="28"/>
              </w:rPr>
            </w:pPr>
            <w:r>
              <w:rPr>
                <w:rFonts w:hint="eastAsia"/>
                <w:b/>
                <w:color w:val="auto"/>
                <w:sz w:val="28"/>
                <w:szCs w:val="28"/>
              </w:rPr>
              <w:t>数量</w:t>
            </w:r>
          </w:p>
        </w:tc>
        <w:tc>
          <w:tcPr>
            <w:tcW w:w="1184" w:type="dxa"/>
            <w:vAlign w:val="center"/>
          </w:tcPr>
          <w:p>
            <w:pPr>
              <w:jc w:val="center"/>
              <w:rPr>
                <w:b/>
                <w:color w:val="auto"/>
                <w:sz w:val="28"/>
                <w:szCs w:val="28"/>
              </w:rPr>
            </w:pPr>
            <w:r>
              <w:rPr>
                <w:rFonts w:hint="eastAsia"/>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59"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2835" w:type="dxa"/>
            <w:vAlign w:val="center"/>
          </w:tcPr>
          <w:p>
            <w:pPr>
              <w:widowControl/>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Adobe</w:t>
            </w:r>
            <w:r>
              <w:rPr>
                <w:rFonts w:ascii="方正仿宋_GBK" w:hAnsi="方正仿宋_GBK" w:eastAsia="方正仿宋_GBK" w:cs="方正仿宋_GBK"/>
                <w:color w:val="auto"/>
                <w:sz w:val="28"/>
                <w:szCs w:val="28"/>
              </w:rPr>
              <w:t xml:space="preserve"> Photoshop for enterprise</w:t>
            </w:r>
          </w:p>
        </w:tc>
        <w:tc>
          <w:tcPr>
            <w:tcW w:w="1417"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一年</w:t>
            </w:r>
          </w:p>
        </w:tc>
        <w:tc>
          <w:tcPr>
            <w:tcW w:w="1134"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套</w:t>
            </w:r>
          </w:p>
        </w:tc>
        <w:tc>
          <w:tcPr>
            <w:tcW w:w="993"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1</w:t>
            </w:r>
          </w:p>
        </w:tc>
        <w:tc>
          <w:tcPr>
            <w:tcW w:w="1184" w:type="dxa"/>
            <w:vAlign w:val="center"/>
          </w:tcPr>
          <w:p>
            <w:pPr>
              <w:widowControl/>
              <w:spacing w:line="360" w:lineRule="auto"/>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59"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2835" w:type="dxa"/>
            <w:vAlign w:val="center"/>
          </w:tcPr>
          <w:p>
            <w:pPr>
              <w:widowControl/>
              <w:jc w:val="center"/>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Adobe Premiere Pro for enterprise</w:t>
            </w:r>
          </w:p>
        </w:tc>
        <w:tc>
          <w:tcPr>
            <w:tcW w:w="1417"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一年</w:t>
            </w:r>
          </w:p>
        </w:tc>
        <w:tc>
          <w:tcPr>
            <w:tcW w:w="1134"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套</w:t>
            </w:r>
          </w:p>
        </w:tc>
        <w:tc>
          <w:tcPr>
            <w:tcW w:w="993"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1184" w:type="dxa"/>
            <w:vAlign w:val="center"/>
          </w:tcPr>
          <w:p>
            <w:pPr>
              <w:widowControl/>
              <w:spacing w:line="360" w:lineRule="auto"/>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59"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2835" w:type="dxa"/>
            <w:vAlign w:val="center"/>
          </w:tcPr>
          <w:p>
            <w:pPr>
              <w:widowControl/>
              <w:jc w:val="center"/>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Adobe Audition for enterprise</w:t>
            </w:r>
          </w:p>
        </w:tc>
        <w:tc>
          <w:tcPr>
            <w:tcW w:w="1417"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一年</w:t>
            </w:r>
          </w:p>
        </w:tc>
        <w:tc>
          <w:tcPr>
            <w:tcW w:w="1134"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套</w:t>
            </w:r>
          </w:p>
        </w:tc>
        <w:tc>
          <w:tcPr>
            <w:tcW w:w="993"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1184" w:type="dxa"/>
            <w:vAlign w:val="center"/>
          </w:tcPr>
          <w:p>
            <w:pPr>
              <w:widowControl/>
              <w:spacing w:line="360" w:lineRule="auto"/>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59"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2835" w:type="dxa"/>
            <w:vAlign w:val="center"/>
          </w:tcPr>
          <w:p>
            <w:pPr>
              <w:widowControl/>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Adobe</w:t>
            </w:r>
            <w:r>
              <w:rPr>
                <w:rFonts w:ascii="方正仿宋_GBK" w:hAnsi="方正仿宋_GBK" w:eastAsia="方正仿宋_GBK" w:cs="方正仿宋_GBK"/>
                <w:color w:val="auto"/>
                <w:sz w:val="28"/>
                <w:szCs w:val="28"/>
              </w:rPr>
              <w:t xml:space="preserve"> Acrobat Pro DC for enterprise</w:t>
            </w:r>
          </w:p>
        </w:tc>
        <w:tc>
          <w:tcPr>
            <w:tcW w:w="1417"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一年</w:t>
            </w:r>
          </w:p>
        </w:tc>
        <w:tc>
          <w:tcPr>
            <w:tcW w:w="1134"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套</w:t>
            </w:r>
          </w:p>
        </w:tc>
        <w:tc>
          <w:tcPr>
            <w:tcW w:w="993" w:type="dxa"/>
            <w:vAlign w:val="center"/>
          </w:tcPr>
          <w:p>
            <w:pPr>
              <w:widowControl/>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w:t>
            </w:r>
            <w:r>
              <w:rPr>
                <w:rFonts w:ascii="方正仿宋_GBK" w:hAnsi="方正仿宋_GBK" w:eastAsia="方正仿宋_GBK" w:cs="方正仿宋_GBK"/>
                <w:color w:val="auto"/>
                <w:sz w:val="28"/>
                <w:szCs w:val="28"/>
              </w:rPr>
              <w:t>2</w:t>
            </w:r>
          </w:p>
        </w:tc>
        <w:tc>
          <w:tcPr>
            <w:tcW w:w="1184" w:type="dxa"/>
            <w:vAlign w:val="center"/>
          </w:tcPr>
          <w:p>
            <w:pPr>
              <w:widowControl/>
              <w:spacing w:line="360" w:lineRule="auto"/>
              <w:jc w:val="center"/>
              <w:rPr>
                <w:rFonts w:ascii="方正仿宋_GBK" w:hAnsi="方正仿宋_GBK" w:eastAsia="方正仿宋_GBK" w:cs="方正仿宋_GBK"/>
                <w:color w:val="auto"/>
                <w:sz w:val="28"/>
                <w:szCs w:val="28"/>
              </w:rPr>
            </w:pPr>
          </w:p>
        </w:tc>
      </w:tr>
    </w:tbl>
    <w:p>
      <w:pPr>
        <w:widowControl/>
        <w:spacing w:line="360" w:lineRule="auto"/>
        <w:ind w:firstLine="560" w:firstLineChars="200"/>
        <w:jc w:val="left"/>
        <w:rPr>
          <w:rFonts w:ascii="方正仿宋_GBK" w:hAnsi="方正仿宋_GBK" w:eastAsia="方正仿宋_GBK" w:cs="方正仿宋_GBK"/>
          <w:color w:val="auto"/>
          <w:sz w:val="28"/>
          <w:szCs w:val="28"/>
        </w:rPr>
      </w:pP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1.5 </w:t>
      </w:r>
      <w:r>
        <w:rPr>
          <w:rFonts w:hint="eastAsia" w:ascii="方正仿宋_GBK" w:hAnsi="方正仿宋_GBK" w:eastAsia="方正仿宋_GBK" w:cs="方正仿宋_GBK"/>
          <w:color w:val="auto"/>
          <w:sz w:val="28"/>
          <w:szCs w:val="28"/>
        </w:rPr>
        <w:t>工期：合同签订之日起</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0个日历天。</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质保期：一年。</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二、竞争性采购响应人资格要求</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2.</w:t>
      </w:r>
      <w:r>
        <w:rPr>
          <w:rFonts w:hint="eastAsia" w:ascii="方正仿宋_GBK" w:hAnsi="方正仿宋_GBK" w:eastAsia="方正仿宋_GBK" w:cs="方正仿宋_GBK"/>
          <w:b/>
          <w:color w:val="auto"/>
          <w:sz w:val="28"/>
          <w:szCs w:val="28"/>
        </w:rPr>
        <w:t>1</w:t>
      </w:r>
      <w:r>
        <w:rPr>
          <w:rFonts w:ascii="方正仿宋_GBK" w:hAnsi="方正仿宋_GBK" w:eastAsia="方正仿宋_GBK" w:cs="方正仿宋_GBK"/>
          <w:b/>
          <w:color w:val="auto"/>
          <w:sz w:val="28"/>
          <w:szCs w:val="28"/>
        </w:rPr>
        <w:t xml:space="preserve"> </w:t>
      </w:r>
      <w:r>
        <w:rPr>
          <w:rFonts w:hint="eastAsia" w:ascii="方正仿宋_GBK" w:hAnsi="方正仿宋_GBK" w:eastAsia="方正仿宋_GBK" w:cs="方正仿宋_GBK"/>
          <w:b/>
          <w:color w:val="auto"/>
          <w:sz w:val="28"/>
          <w:szCs w:val="28"/>
        </w:rPr>
        <w:t>资格要求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.1.1 在中华人民共和国依法注册，具有独立法人资格，具有有效营业执照（提供营业执照复印件加盖响应单位公章）。</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.1.2 Adobe授权的经销商，</w:t>
      </w:r>
      <w:r>
        <w:rPr>
          <w:rFonts w:ascii="方正仿宋_GBK" w:hAnsi="方正仿宋_GBK" w:eastAsia="方正仿宋_GBK" w:cs="方正仿宋_GBK"/>
          <w:color w:val="auto"/>
          <w:sz w:val="28"/>
          <w:szCs w:val="28"/>
        </w:rPr>
        <w:t>提供</w:t>
      </w:r>
      <w:r>
        <w:rPr>
          <w:rFonts w:hint="eastAsia" w:ascii="方正仿宋_GBK" w:hAnsi="方正仿宋_GBK" w:eastAsia="方正仿宋_GBK" w:cs="方正仿宋_GBK"/>
          <w:color w:val="auto"/>
          <w:sz w:val="28"/>
          <w:szCs w:val="28"/>
        </w:rPr>
        <w:t>证书复印件并加盖响应单位</w:t>
      </w:r>
      <w:r>
        <w:rPr>
          <w:rFonts w:ascii="方正仿宋_GBK" w:hAnsi="方正仿宋_GBK" w:eastAsia="方正仿宋_GBK" w:cs="方正仿宋_GBK"/>
          <w:color w:val="auto"/>
          <w:sz w:val="28"/>
          <w:szCs w:val="28"/>
        </w:rPr>
        <w:t>公</w:t>
      </w:r>
      <w:r>
        <w:rPr>
          <w:rFonts w:hint="eastAsia" w:ascii="方正仿宋_GBK" w:hAnsi="方正仿宋_GBK" w:eastAsia="方正仿宋_GBK" w:cs="方正仿宋_GBK"/>
          <w:color w:val="auto"/>
          <w:sz w:val="28"/>
          <w:szCs w:val="28"/>
        </w:rPr>
        <w:t>章。</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.1.3 经销商具有所投产品的厂商授权书，提供复印件并加盖响应单位公章。</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2.1.4 </w:t>
      </w:r>
      <w:r>
        <w:rPr>
          <w:rFonts w:hint="eastAsia" w:ascii="方正仿宋_GBK" w:hAnsi="方正仿宋_GBK" w:eastAsia="方正仿宋_GBK" w:cs="方正仿宋_GBK"/>
          <w:color w:val="auto"/>
          <w:sz w:val="28"/>
          <w:szCs w:val="28"/>
        </w:rPr>
        <w:t>Adobe公司出具的本次项目授权书并加盖响应单位公章。</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 xml:space="preserve">2.2 </w:t>
      </w:r>
      <w:r>
        <w:rPr>
          <w:rFonts w:hint="eastAsia" w:ascii="方正仿宋_GBK" w:hAnsi="方正仿宋_GBK" w:eastAsia="方正仿宋_GBK" w:cs="方正仿宋_GBK"/>
          <w:b/>
          <w:color w:val="auto"/>
          <w:sz w:val="28"/>
          <w:szCs w:val="28"/>
        </w:rPr>
        <w:t>其他要求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 本次竞争性采购不接受联合体。</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法定代表人为同一个人的两个及两个以上法人，母公司、全资子公司及其控股公司，以及其他形式有管理关系的投标人，都不得在同一采购项目中同时参与竞争性采购。</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信誉要求：①没有处于被责令停业，参与招标采购资格被取消，财产被接管、冻结，破产状态；②竞争性采购响应人没有进入采购人黑名单库；③具有履行合同所必需的设备和专业技术能力。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三、项目技术要求</w:t>
      </w:r>
    </w:p>
    <w:tbl>
      <w:tblPr>
        <w:tblStyle w:val="16"/>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370" w:type="dxa"/>
            <w:vAlign w:val="center"/>
          </w:tcPr>
          <w:p>
            <w:pPr>
              <w:pStyle w:val="30"/>
              <w:tabs>
                <w:tab w:val="left" w:pos="910"/>
              </w:tabs>
              <w:ind w:firstLine="0" w:firstLineChars="0"/>
              <w:jc w:val="center"/>
              <w:rPr>
                <w:rFonts w:ascii="方正仿宋_GBK" w:hAnsi="方正仿宋_GBK" w:eastAsia="方正仿宋_GBK" w:cs="方正仿宋_GBK"/>
                <w:color w:val="auto"/>
                <w:kern w:val="2"/>
                <w:szCs w:val="28"/>
                <w:lang w:eastAsia="zh-CN"/>
              </w:rPr>
            </w:pPr>
            <w:r>
              <w:rPr>
                <w:rFonts w:hint="eastAsia" w:ascii="方正仿宋_GBK" w:hAnsi="方正仿宋_GBK" w:eastAsia="方正仿宋_GBK" w:cs="方正仿宋_GBK"/>
                <w:color w:val="auto"/>
                <w:kern w:val="2"/>
                <w:szCs w:val="28"/>
                <w:lang w:eastAsia="zh-CN"/>
              </w:rPr>
              <w:t>产品名称</w:t>
            </w:r>
          </w:p>
        </w:tc>
        <w:tc>
          <w:tcPr>
            <w:tcW w:w="6143" w:type="dxa"/>
            <w:vAlign w:val="center"/>
          </w:tcPr>
          <w:p>
            <w:pPr>
              <w:pStyle w:val="30"/>
              <w:tabs>
                <w:tab w:val="left" w:pos="910"/>
              </w:tabs>
              <w:ind w:firstLine="440"/>
              <w:jc w:val="center"/>
              <w:rPr>
                <w:rFonts w:ascii="方正仿宋_GBK" w:hAnsi="方正仿宋_GBK" w:eastAsia="方正仿宋_GBK" w:cs="方正仿宋_GBK"/>
                <w:color w:val="auto"/>
                <w:kern w:val="2"/>
                <w:szCs w:val="28"/>
                <w:lang w:eastAsia="zh-CN"/>
              </w:rPr>
            </w:pPr>
            <w:r>
              <w:rPr>
                <w:rFonts w:hint="eastAsia" w:ascii="方正仿宋_GBK" w:hAnsi="方正仿宋_GBK" w:eastAsia="方正仿宋_GBK" w:cs="方正仿宋_GBK"/>
                <w:color w:val="auto"/>
                <w:kern w:val="2"/>
                <w:szCs w:val="28"/>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0" w:type="dxa"/>
            <w:vAlign w:val="center"/>
          </w:tcPr>
          <w:p>
            <w:pPr>
              <w:widowControl/>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Adobe</w:t>
            </w:r>
            <w:r>
              <w:rPr>
                <w:rFonts w:ascii="方正仿宋_GBK" w:hAnsi="方正仿宋_GBK" w:eastAsia="方正仿宋_GBK" w:cs="方正仿宋_GBK"/>
                <w:color w:val="auto"/>
                <w:sz w:val="28"/>
                <w:szCs w:val="28"/>
              </w:rPr>
              <w:t xml:space="preserve"> Photoshop for enterprise</w:t>
            </w:r>
          </w:p>
        </w:tc>
        <w:tc>
          <w:tcPr>
            <w:tcW w:w="6143" w:type="dxa"/>
            <w:vAlign w:val="center"/>
          </w:tcPr>
          <w:p>
            <w:pPr>
              <w:pStyle w:val="5"/>
              <w:numPr>
                <w:ilvl w:val="0"/>
                <w:numId w:val="1"/>
              </w:numPr>
              <w:snapToGrid w:val="0"/>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支持一键导图、切片，支持其他标注软件（蓝湖、</w:t>
            </w:r>
            <w:r>
              <w:rPr>
                <w:rFonts w:ascii="方正仿宋_GBK" w:hAnsi="方正仿宋_GBK" w:eastAsia="方正仿宋_GBK" w:cs="方正仿宋_GBK"/>
                <w:b w:val="0"/>
                <w:bCs w:val="0"/>
                <w:color w:val="auto"/>
                <w:kern w:val="2"/>
                <w:sz w:val="22"/>
                <w:szCs w:val="22"/>
              </w:rPr>
              <w:t>PX</w:t>
            </w:r>
            <w:r>
              <w:rPr>
                <w:rFonts w:hint="eastAsia" w:ascii="方正仿宋_GBK" w:hAnsi="方正仿宋_GBK" w:eastAsia="方正仿宋_GBK" w:cs="方正仿宋_GBK"/>
                <w:b w:val="0"/>
                <w:bCs w:val="0"/>
                <w:color w:val="auto"/>
                <w:kern w:val="2"/>
                <w:sz w:val="22"/>
                <w:szCs w:val="22"/>
              </w:rPr>
              <w:t>cook等）无缝全保真导出。</w:t>
            </w:r>
          </w:p>
          <w:p>
            <w:pPr>
              <w:pStyle w:val="5"/>
              <w:numPr>
                <w:ilvl w:val="0"/>
                <w:numId w:val="1"/>
              </w:numPr>
              <w:snapToGrid w:val="0"/>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预设改进（</w:t>
            </w:r>
            <w:r>
              <w:rPr>
                <w:color w:val="auto"/>
              </w:rPr>
              <w:fldChar w:fldCharType="begin"/>
            </w:r>
            <w:r>
              <w:rPr>
                <w:color w:val="auto"/>
              </w:rPr>
              <w:instrText xml:space="preserve"> HYPERLINK "https://helpx.adobe.com/cn/photoshop/using/whats-new/2021-2.html" \l "preset-sync" </w:instrText>
            </w:r>
            <w:r>
              <w:rPr>
                <w:color w:val="auto"/>
              </w:rPr>
              <w:fldChar w:fldCharType="separate"/>
            </w:r>
            <w:r>
              <w:rPr>
                <w:rFonts w:ascii="方正仿宋_GBK" w:hAnsi="方正仿宋_GBK" w:eastAsia="方正仿宋_GBK" w:cs="方正仿宋_GBK"/>
                <w:b w:val="0"/>
                <w:bCs w:val="0"/>
                <w:color w:val="auto"/>
                <w:kern w:val="2"/>
                <w:sz w:val="22"/>
                <w:szCs w:val="22"/>
              </w:rPr>
              <w:t>同步预设</w:t>
            </w:r>
            <w:r>
              <w:rPr>
                <w:rFonts w:ascii="方正仿宋_GBK" w:hAnsi="方正仿宋_GBK" w:eastAsia="方正仿宋_GBK" w:cs="方正仿宋_GBK"/>
                <w:b w:val="0"/>
                <w:bCs w:val="0"/>
                <w:color w:val="auto"/>
                <w:kern w:val="2"/>
                <w:sz w:val="22"/>
                <w:szCs w:val="22"/>
              </w:rPr>
              <w:fldChar w:fldCharType="end"/>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设备之间自动同步预设，如画笔、色板、渐变、图案、样式和形状</w:t>
            </w:r>
            <w:r>
              <w:rPr>
                <w:rFonts w:hint="eastAsia" w:ascii="方正仿宋_GBK" w:hAnsi="方正仿宋_GBK" w:eastAsia="方正仿宋_GBK" w:cs="方正仿宋_GBK"/>
                <w:b w:val="0"/>
                <w:bCs w:val="0"/>
                <w:color w:val="auto"/>
                <w:kern w:val="2"/>
                <w:sz w:val="22"/>
                <w:szCs w:val="22"/>
              </w:rPr>
              <w:t>）、自动抠图、转换行为一致、改进的属性面板、智能对象到图层、增强的转换变形。</w:t>
            </w:r>
          </w:p>
          <w:p>
            <w:pPr>
              <w:pStyle w:val="5"/>
              <w:numPr>
                <w:ilvl w:val="0"/>
                <w:numId w:val="1"/>
              </w:numPr>
              <w:snapToGrid w:val="0"/>
              <w:spacing w:line="240" w:lineRule="auto"/>
              <w:jc w:val="both"/>
              <w:rPr>
                <w:rFonts w:ascii="方正仿宋_GBK" w:hAnsi="方正仿宋_GBK" w:eastAsia="方正仿宋_GBK" w:cs="方正仿宋_GBK"/>
                <w:b w:val="0"/>
                <w:bCs w:val="0"/>
                <w:color w:val="auto"/>
                <w:kern w:val="2"/>
                <w:sz w:val="22"/>
                <w:szCs w:val="22"/>
              </w:rPr>
            </w:pPr>
            <w:r>
              <w:rPr>
                <w:rFonts w:ascii="方正仿宋_GBK" w:hAnsi="方正仿宋_GBK" w:eastAsia="方正仿宋_GBK" w:cs="方正仿宋_GBK"/>
                <w:b w:val="0"/>
                <w:bCs w:val="0"/>
                <w:color w:val="auto"/>
                <w:kern w:val="2"/>
                <w:sz w:val="22"/>
                <w:szCs w:val="22"/>
              </w:rPr>
              <w:t>云文档，实现无缝协作</w:t>
            </w:r>
            <w:r>
              <w:rPr>
                <w:rFonts w:hint="eastAsia" w:ascii="方正仿宋_GBK" w:hAnsi="方正仿宋_GBK" w:eastAsia="方正仿宋_GBK" w:cs="方正仿宋_GBK"/>
                <w:b w:val="0"/>
                <w:bCs w:val="0"/>
                <w:color w:val="auto"/>
                <w:kern w:val="2"/>
                <w:sz w:val="22"/>
                <w:szCs w:val="22"/>
              </w:rPr>
              <w:t>、上千种功能强大的画笔。</w:t>
            </w:r>
          </w:p>
          <w:p>
            <w:pPr>
              <w:pStyle w:val="5"/>
              <w:numPr>
                <w:ilvl w:val="0"/>
                <w:numId w:val="1"/>
              </w:numPr>
              <w:snapToGrid w:val="0"/>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支持PSD格式、大型文档格式PSB、BMP、GIF、DICOM、EPS、IFF格式、JPEG、JPEG 2000、JPEG立体（jps）、PCX、P</w:t>
            </w:r>
            <w:r>
              <w:rPr>
                <w:rFonts w:ascii="方正仿宋_GBK" w:hAnsi="方正仿宋_GBK" w:eastAsia="方正仿宋_GBK" w:cs="方正仿宋_GBK"/>
                <w:b w:val="0"/>
                <w:bCs w:val="0"/>
                <w:color w:val="auto"/>
                <w:kern w:val="2"/>
                <w:sz w:val="22"/>
                <w:szCs w:val="22"/>
              </w:rPr>
              <w:t>NG</w:t>
            </w:r>
            <w:r>
              <w:rPr>
                <w:rFonts w:hint="eastAsia" w:ascii="方正仿宋_GBK" w:hAnsi="方正仿宋_GBK" w:eastAsia="方正仿宋_GBK" w:cs="方正仿宋_GBK"/>
                <w:b w:val="0"/>
                <w:bCs w:val="0"/>
                <w:color w:val="auto"/>
                <w:kern w:val="2"/>
                <w:sz w:val="22"/>
                <w:szCs w:val="22"/>
              </w:rPr>
              <w:t>、PDF、RAW、PXR、TGA、TIFF、多图片格式（MPO）等保存、导入导出功能。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0" w:type="dxa"/>
            <w:vAlign w:val="center"/>
          </w:tcPr>
          <w:p>
            <w:pPr>
              <w:widowControl/>
              <w:jc w:val="center"/>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Adobe Premiere Pro for enterprise</w:t>
            </w:r>
          </w:p>
        </w:tc>
        <w:tc>
          <w:tcPr>
            <w:tcW w:w="6143" w:type="dxa"/>
            <w:vAlign w:val="center"/>
          </w:tcPr>
          <w:p>
            <w:pPr>
              <w:pStyle w:val="5"/>
              <w:numPr>
                <w:ilvl w:val="0"/>
                <w:numId w:val="2"/>
              </w:numPr>
              <w:snapToGrid w:val="0"/>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对视频字幕的制作与编辑，场景编辑检测与二次调色，运用自动重构序列来快速的将视频调整到不同的分辨率。</w:t>
            </w:r>
          </w:p>
          <w:p>
            <w:pPr>
              <w:pStyle w:val="5"/>
              <w:numPr>
                <w:ilvl w:val="0"/>
                <w:numId w:val="2"/>
              </w:numPr>
              <w:snapToGrid w:val="0"/>
              <w:spacing w:line="240" w:lineRule="auto"/>
              <w:jc w:val="both"/>
              <w:rPr>
                <w:rFonts w:ascii="方正仿宋_GBK" w:hAnsi="方正仿宋_GBK" w:eastAsia="方正仿宋_GBK" w:cs="方正仿宋_GBK"/>
                <w:b w:val="0"/>
                <w:bCs w:val="0"/>
                <w:color w:val="auto"/>
                <w:kern w:val="2"/>
                <w:sz w:val="22"/>
                <w:szCs w:val="22"/>
              </w:rPr>
            </w:pPr>
            <w:r>
              <w:rPr>
                <w:rFonts w:ascii="Cambria" w:hAnsi="Cambria" w:eastAsia="方正仿宋_GBK" w:cs="Cambria"/>
                <w:b w:val="0"/>
                <w:bCs w:val="0"/>
                <w:color w:val="auto"/>
                <w:kern w:val="2"/>
                <w:sz w:val="22"/>
                <w:szCs w:val="22"/>
              </w:rPr>
              <w:t> </w:t>
            </w:r>
            <w:r>
              <w:rPr>
                <w:rFonts w:hint="eastAsia" w:ascii="方正仿宋_GBK" w:hAnsi="方正仿宋_GBK" w:eastAsia="方正仿宋_GBK" w:cs="方正仿宋_GBK"/>
                <w:b w:val="0"/>
                <w:bCs w:val="0"/>
                <w:color w:val="auto"/>
                <w:kern w:val="2"/>
                <w:sz w:val="22"/>
                <w:szCs w:val="22"/>
              </w:rPr>
              <w:t>支持视频</w:t>
            </w:r>
            <w:r>
              <w:rPr>
                <w:rFonts w:ascii="方正仿宋_GBK" w:hAnsi="方正仿宋_GBK" w:eastAsia="方正仿宋_GBK" w:cs="方正仿宋_GBK"/>
                <w:b w:val="0"/>
                <w:bCs w:val="0"/>
                <w:color w:val="auto"/>
                <w:kern w:val="2"/>
                <w:sz w:val="22"/>
                <w:szCs w:val="22"/>
              </w:rPr>
              <w:t>按序列调整颜色、对比度和光照</w:t>
            </w:r>
            <w:r>
              <w:rPr>
                <w:rFonts w:hint="eastAsia" w:ascii="方正仿宋_GBK" w:hAnsi="方正仿宋_GBK" w:eastAsia="方正仿宋_GBK" w:cs="方正仿宋_GBK"/>
                <w:b w:val="0"/>
                <w:bCs w:val="0"/>
                <w:color w:val="auto"/>
                <w:kern w:val="2"/>
                <w:sz w:val="22"/>
                <w:szCs w:val="22"/>
              </w:rPr>
              <w:t>，对提供的素材进行捕捉或数字化导入，支持视频源剪辑、剪辑实例、子剪辑和重复剪辑；可用的视频调整效果（提取、色阶、光照效果）和视频过度（溶解过渡、划像过渡、滑动过渡、擦除过渡），创建视频中字幕、图形和基础动画。</w:t>
            </w:r>
          </w:p>
          <w:p>
            <w:pPr>
              <w:pStyle w:val="5"/>
              <w:numPr>
                <w:ilvl w:val="0"/>
                <w:numId w:val="2"/>
              </w:numPr>
              <w:snapToGrid w:val="0"/>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支持Apple ProRes、ProRes HDR、ProRes RAW、</w:t>
            </w:r>
            <w:r>
              <w:rPr>
                <w:rFonts w:ascii="方正仿宋_GBK" w:hAnsi="方正仿宋_GBK" w:eastAsia="方正仿宋_GBK" w:cs="方正仿宋_GBK"/>
                <w:b w:val="0"/>
                <w:bCs w:val="0"/>
                <w:color w:val="auto"/>
                <w:kern w:val="2"/>
                <w:sz w:val="22"/>
                <w:szCs w:val="22"/>
              </w:rPr>
              <w:t>H.264</w:t>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AVC</w:t>
            </w:r>
            <w:r>
              <w:rPr>
                <w:rFonts w:hint="eastAsia" w:ascii="方正仿宋_GBK" w:hAnsi="方正仿宋_GBK" w:eastAsia="方正仿宋_GBK" w:cs="方正仿宋_GBK"/>
                <w:b w:val="0"/>
                <w:bCs w:val="0"/>
                <w:color w:val="auto"/>
                <w:kern w:val="2"/>
                <w:sz w:val="22"/>
                <w:szCs w:val="22"/>
              </w:rPr>
              <w:t>等视频文件导入功能，支持图片格式、</w:t>
            </w:r>
            <w:r>
              <w:rPr>
                <w:rFonts w:ascii="Cambria" w:hAnsi="Cambria" w:eastAsia="方正仿宋_GBK" w:cs="Cambria"/>
                <w:b w:val="0"/>
                <w:bCs w:val="0"/>
                <w:color w:val="auto"/>
                <w:kern w:val="2"/>
                <w:sz w:val="22"/>
                <w:szCs w:val="22"/>
              </w:rPr>
              <w:t> </w:t>
            </w:r>
            <w:r>
              <w:rPr>
                <w:rFonts w:ascii="方正仿宋_GBK" w:hAnsi="方正仿宋_GBK" w:eastAsia="方正仿宋_GBK" w:cs="方正仿宋_GBK"/>
                <w:b w:val="0"/>
                <w:bCs w:val="0"/>
                <w:color w:val="auto"/>
                <w:kern w:val="2"/>
                <w:sz w:val="22"/>
                <w:szCs w:val="22"/>
              </w:rPr>
              <w:t>CMX3600</w:t>
            </w:r>
            <w:r>
              <w:rPr>
                <w:rFonts w:ascii="Cambria" w:hAnsi="Cambria" w:eastAsia="方正仿宋_GBK" w:cs="Cambria"/>
                <w:b w:val="0"/>
                <w:bCs w:val="0"/>
                <w:color w:val="auto"/>
                <w:kern w:val="2"/>
                <w:sz w:val="22"/>
                <w:szCs w:val="22"/>
              </w:rPr>
              <w:t> </w:t>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OMF</w:t>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P2</w:t>
            </w:r>
            <w:r>
              <w:rPr>
                <w:rFonts w:ascii="Cambria" w:hAnsi="Cambria" w:eastAsia="方正仿宋_GBK" w:cs="Cambria"/>
                <w:b w:val="0"/>
                <w:bCs w:val="0"/>
                <w:color w:val="auto"/>
                <w:kern w:val="2"/>
                <w:sz w:val="22"/>
                <w:szCs w:val="22"/>
              </w:rPr>
              <w:t> </w:t>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MPEG2</w:t>
            </w:r>
            <w:r>
              <w:rPr>
                <w:rFonts w:hint="eastAsia" w:ascii="方正仿宋_GBK" w:hAnsi="方正仿宋_GBK" w:eastAsia="方正仿宋_GBK" w:cs="方正仿宋_GBK"/>
                <w:b w:val="0"/>
                <w:bCs w:val="0"/>
                <w:color w:val="auto"/>
                <w:kern w:val="2"/>
                <w:sz w:val="22"/>
                <w:szCs w:val="22"/>
              </w:rPr>
              <w:t>和</w:t>
            </w:r>
            <w:r>
              <w:rPr>
                <w:rFonts w:ascii="Cambria" w:hAnsi="Cambria" w:eastAsia="方正仿宋_GBK" w:cs="Cambria"/>
                <w:b w:val="0"/>
                <w:bCs w:val="0"/>
                <w:color w:val="auto"/>
                <w:kern w:val="2"/>
                <w:sz w:val="22"/>
                <w:szCs w:val="22"/>
              </w:rPr>
              <w:t> </w:t>
            </w:r>
            <w:r>
              <w:rPr>
                <w:rFonts w:ascii="方正仿宋_GBK" w:hAnsi="方正仿宋_GBK" w:eastAsia="方正仿宋_GBK" w:cs="方正仿宋_GBK"/>
                <w:b w:val="0"/>
                <w:bCs w:val="0"/>
                <w:color w:val="auto"/>
                <w:kern w:val="2"/>
                <w:sz w:val="22"/>
                <w:szCs w:val="22"/>
              </w:rPr>
              <w:t>H.264</w:t>
            </w:r>
            <w:r>
              <w:rPr>
                <w:rFonts w:hint="eastAsia" w:ascii="方正仿宋_GBK" w:hAnsi="方正仿宋_GBK" w:eastAsia="方正仿宋_GBK" w:cs="方正仿宋_GBK"/>
                <w:b w:val="0"/>
                <w:bCs w:val="0"/>
                <w:color w:val="auto"/>
                <w:kern w:val="2"/>
                <w:sz w:val="22"/>
                <w:szCs w:val="22"/>
              </w:rPr>
              <w:t>格式的导出。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0" w:type="dxa"/>
            <w:vAlign w:val="center"/>
          </w:tcPr>
          <w:p>
            <w:pPr>
              <w:widowControl/>
              <w:jc w:val="center"/>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Adobe Audition for enterprise</w:t>
            </w:r>
          </w:p>
        </w:tc>
        <w:tc>
          <w:tcPr>
            <w:tcW w:w="6143" w:type="dxa"/>
            <w:vAlign w:val="center"/>
          </w:tcPr>
          <w:p>
            <w:pPr>
              <w:pStyle w:val="5"/>
              <w:numPr>
                <w:ilvl w:val="0"/>
                <w:numId w:val="3"/>
              </w:numPr>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支持音频文件导入，支持导入视频文件的音频部分并播放，支持多轨会话，可以和</w:t>
            </w:r>
            <w:r>
              <w:rPr>
                <w:rFonts w:ascii="方正仿宋_GBK" w:hAnsi="方正仿宋_GBK" w:eastAsia="方正仿宋_GBK" w:cs="方正仿宋_GBK"/>
                <w:b w:val="0"/>
                <w:bCs w:val="0"/>
                <w:color w:val="auto"/>
                <w:kern w:val="2"/>
                <w:sz w:val="22"/>
                <w:szCs w:val="22"/>
              </w:rPr>
              <w:t>Adobe Media Encoder</w:t>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Adobe Premiere Pro</w:t>
            </w:r>
            <w:r>
              <w:rPr>
                <w:rFonts w:hint="eastAsia" w:ascii="方正仿宋_GBK" w:hAnsi="方正仿宋_GBK" w:eastAsia="方正仿宋_GBK" w:cs="方正仿宋_GBK"/>
                <w:b w:val="0"/>
                <w:bCs w:val="0"/>
                <w:color w:val="auto"/>
                <w:kern w:val="2"/>
                <w:sz w:val="22"/>
                <w:szCs w:val="22"/>
              </w:rPr>
              <w:t>进行联动编辑</w:t>
            </w:r>
          </w:p>
          <w:p>
            <w:pPr>
              <w:pStyle w:val="5"/>
              <w:numPr>
                <w:ilvl w:val="0"/>
                <w:numId w:val="3"/>
              </w:numPr>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在 Adobe Audition 中创建、打开或导入文件，使用“基本声音”面板编辑、修复和提升，软件具有对音频的振幅和压缩效果、延迟和回声效果、滤波器和均衡器效果、调制效果、降噪/恢复效果、混响效果（包含卷积混响、完全混响和室内混响等），混合多轨会话</w:t>
            </w:r>
          </w:p>
          <w:p>
            <w:pPr>
              <w:pStyle w:val="5"/>
              <w:numPr>
                <w:ilvl w:val="0"/>
                <w:numId w:val="3"/>
              </w:numPr>
              <w:spacing w:line="240" w:lineRule="auto"/>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支持AAC（包括 HE-AAC）AIF、AIFF、AIFC（包括最多具有 32 个声道的文件）音频文件导入功能，支持</w:t>
            </w:r>
            <w:r>
              <w:rPr>
                <w:rFonts w:ascii="方正仿宋_GBK" w:hAnsi="方正仿宋_GBK" w:eastAsia="方正仿宋_GBK" w:cs="方正仿宋_GBK"/>
                <w:b w:val="0"/>
                <w:bCs w:val="0"/>
                <w:color w:val="auto"/>
                <w:kern w:val="2"/>
                <w:sz w:val="22"/>
                <w:szCs w:val="22"/>
              </w:rPr>
              <w:t>OMF</w:t>
            </w:r>
            <w:r>
              <w:rPr>
                <w:rFonts w:hint="eastAsia" w:ascii="方正仿宋_GBK" w:hAnsi="方正仿宋_GBK" w:eastAsia="方正仿宋_GBK" w:cs="方正仿宋_GBK"/>
                <w:b w:val="0"/>
                <w:bCs w:val="0"/>
                <w:color w:val="auto"/>
                <w:kern w:val="2"/>
                <w:sz w:val="22"/>
                <w:szCs w:val="22"/>
              </w:rPr>
              <w:t>、AIFF、WAV</w:t>
            </w:r>
            <w:r>
              <w:rPr>
                <w:rFonts w:ascii="方正仿宋_GBK" w:hAnsi="方正仿宋_GBK" w:eastAsia="方正仿宋_GBK" w:cs="方正仿宋_GBK"/>
                <w:b w:val="0"/>
                <w:bCs w:val="0"/>
                <w:color w:val="auto"/>
                <w:kern w:val="2"/>
                <w:sz w:val="22"/>
                <w:szCs w:val="22"/>
              </w:rPr>
              <w:t xml:space="preserve"> </w:t>
            </w:r>
            <w:r>
              <w:rPr>
                <w:rFonts w:hint="eastAsia" w:ascii="方正仿宋_GBK" w:hAnsi="方正仿宋_GBK" w:eastAsia="方正仿宋_GBK" w:cs="方正仿宋_GBK"/>
                <w:b w:val="0"/>
                <w:bCs w:val="0"/>
                <w:color w:val="auto"/>
                <w:kern w:val="2"/>
                <w:sz w:val="22"/>
                <w:szCs w:val="22"/>
              </w:rPr>
              <w:t>、A</w:t>
            </w:r>
            <w:r>
              <w:rPr>
                <w:rFonts w:ascii="方正仿宋_GBK" w:hAnsi="方正仿宋_GBK" w:eastAsia="方正仿宋_GBK" w:cs="方正仿宋_GBK"/>
                <w:b w:val="0"/>
                <w:bCs w:val="0"/>
                <w:color w:val="auto"/>
                <w:kern w:val="2"/>
                <w:sz w:val="22"/>
                <w:szCs w:val="22"/>
              </w:rPr>
              <w:t>PE</w:t>
            </w:r>
            <w:r>
              <w:rPr>
                <w:rFonts w:hint="eastAsia" w:ascii="方正仿宋_GBK" w:hAnsi="方正仿宋_GBK" w:eastAsia="方正仿宋_GBK" w:cs="方正仿宋_GBK"/>
                <w:b w:val="0"/>
                <w:bCs w:val="0"/>
                <w:color w:val="auto"/>
                <w:kern w:val="2"/>
                <w:sz w:val="22"/>
                <w:szCs w:val="22"/>
              </w:rPr>
              <w:t>、</w:t>
            </w:r>
            <w:r>
              <w:rPr>
                <w:rFonts w:ascii="方正仿宋_GBK" w:hAnsi="方正仿宋_GBK" w:eastAsia="方正仿宋_GBK" w:cs="方正仿宋_GBK"/>
                <w:b w:val="0"/>
                <w:bCs w:val="0"/>
                <w:color w:val="auto"/>
                <w:kern w:val="2"/>
                <w:sz w:val="22"/>
                <w:szCs w:val="22"/>
              </w:rPr>
              <w:t>FLAC</w:t>
            </w:r>
            <w:r>
              <w:rPr>
                <w:rFonts w:hint="eastAsia" w:ascii="方正仿宋_GBK" w:hAnsi="方正仿宋_GBK" w:eastAsia="方正仿宋_GBK" w:cs="方正仿宋_GBK"/>
                <w:b w:val="0"/>
                <w:bCs w:val="0"/>
                <w:color w:val="auto"/>
                <w:kern w:val="2"/>
                <w:sz w:val="22"/>
                <w:szCs w:val="22"/>
              </w:rPr>
              <w:t>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0" w:type="dxa"/>
            <w:vAlign w:val="center"/>
          </w:tcPr>
          <w:p>
            <w:pPr>
              <w:widowControl/>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Adobe</w:t>
            </w:r>
            <w:r>
              <w:rPr>
                <w:rFonts w:ascii="方正仿宋_GBK" w:hAnsi="方正仿宋_GBK" w:eastAsia="方正仿宋_GBK" w:cs="方正仿宋_GBK"/>
                <w:color w:val="auto"/>
                <w:sz w:val="28"/>
                <w:szCs w:val="28"/>
              </w:rPr>
              <w:t xml:space="preserve"> Acrobat Pro DC for enterprise</w:t>
            </w:r>
          </w:p>
        </w:tc>
        <w:tc>
          <w:tcPr>
            <w:tcW w:w="6143" w:type="dxa"/>
            <w:vAlign w:val="center"/>
          </w:tcPr>
          <w:p>
            <w:pPr>
              <w:pStyle w:val="5"/>
              <w:numPr>
                <w:ilvl w:val="0"/>
                <w:numId w:val="4"/>
              </w:numPr>
              <w:spacing w:line="240" w:lineRule="auto"/>
              <w:ind w:left="357" w:hanging="357"/>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支持快速导入导出P</w:t>
            </w:r>
            <w:r>
              <w:rPr>
                <w:rFonts w:ascii="方正仿宋_GBK" w:hAnsi="方正仿宋_GBK" w:eastAsia="方正仿宋_GBK" w:cs="方正仿宋_GBK"/>
                <w:b w:val="0"/>
                <w:bCs w:val="0"/>
                <w:color w:val="auto"/>
                <w:kern w:val="2"/>
                <w:sz w:val="22"/>
                <w:szCs w:val="22"/>
              </w:rPr>
              <w:t>DF</w:t>
            </w:r>
            <w:r>
              <w:rPr>
                <w:rFonts w:hint="eastAsia" w:ascii="方正仿宋_GBK" w:hAnsi="方正仿宋_GBK" w:eastAsia="方正仿宋_GBK" w:cs="方正仿宋_GBK"/>
                <w:b w:val="0"/>
                <w:bCs w:val="0"/>
                <w:color w:val="auto"/>
                <w:kern w:val="2"/>
                <w:sz w:val="22"/>
                <w:szCs w:val="22"/>
              </w:rPr>
              <w:t>文件，支持导出成Word、P</w:t>
            </w:r>
            <w:r>
              <w:rPr>
                <w:rFonts w:ascii="方正仿宋_GBK" w:hAnsi="方正仿宋_GBK" w:eastAsia="方正仿宋_GBK" w:cs="方正仿宋_GBK"/>
                <w:b w:val="0"/>
                <w:bCs w:val="0"/>
                <w:color w:val="auto"/>
                <w:kern w:val="2"/>
                <w:sz w:val="22"/>
                <w:szCs w:val="22"/>
              </w:rPr>
              <w:t>PT</w:t>
            </w:r>
            <w:r>
              <w:rPr>
                <w:rFonts w:hint="eastAsia" w:ascii="方正仿宋_GBK" w:hAnsi="方正仿宋_GBK" w:eastAsia="方正仿宋_GBK" w:cs="方正仿宋_GBK"/>
                <w:b w:val="0"/>
                <w:bCs w:val="0"/>
                <w:color w:val="auto"/>
                <w:kern w:val="2"/>
                <w:sz w:val="22"/>
                <w:szCs w:val="22"/>
              </w:rPr>
              <w:t>等办公文件方便快捷编辑，支持对页面进行提取、调整顺序等功能。</w:t>
            </w:r>
          </w:p>
          <w:p>
            <w:pPr>
              <w:pStyle w:val="5"/>
              <w:numPr>
                <w:ilvl w:val="0"/>
                <w:numId w:val="4"/>
              </w:numPr>
              <w:spacing w:line="240" w:lineRule="auto"/>
              <w:ind w:left="357" w:hanging="357"/>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支持创建 PDF，编辑 PDF 文件，将 PDF 转换或导出为其它文件格式，对 PDF 文档进行电子签名，向 PDF 中添加 3D 模型 (Acrobat Pro DC)，在 PDF 中添加音频、视频和交互对象，使用口令保护 PDF增强安全性，对P</w:t>
            </w:r>
            <w:r>
              <w:rPr>
                <w:rFonts w:ascii="方正仿宋_GBK" w:hAnsi="方正仿宋_GBK" w:eastAsia="方正仿宋_GBK" w:cs="方正仿宋_GBK"/>
                <w:b w:val="0"/>
                <w:bCs w:val="0"/>
                <w:color w:val="auto"/>
                <w:kern w:val="2"/>
                <w:sz w:val="22"/>
                <w:szCs w:val="22"/>
              </w:rPr>
              <w:t>DF</w:t>
            </w:r>
            <w:r>
              <w:rPr>
                <w:rFonts w:hint="eastAsia" w:ascii="方正仿宋_GBK" w:hAnsi="方正仿宋_GBK" w:eastAsia="方正仿宋_GBK" w:cs="方正仿宋_GBK"/>
                <w:b w:val="0"/>
                <w:bCs w:val="0"/>
                <w:color w:val="auto"/>
                <w:kern w:val="2"/>
                <w:sz w:val="22"/>
                <w:szCs w:val="22"/>
              </w:rPr>
              <w:t>文件添加水印，标记密文等功能</w:t>
            </w:r>
          </w:p>
          <w:p>
            <w:pPr>
              <w:pStyle w:val="5"/>
              <w:numPr>
                <w:ilvl w:val="0"/>
                <w:numId w:val="4"/>
              </w:numPr>
              <w:spacing w:line="240" w:lineRule="auto"/>
              <w:ind w:left="357" w:hanging="357"/>
              <w:jc w:val="both"/>
              <w:rPr>
                <w:rFonts w:ascii="方正仿宋_GBK" w:hAnsi="方正仿宋_GBK" w:eastAsia="方正仿宋_GBK" w:cs="方正仿宋_GBK"/>
                <w:b w:val="0"/>
                <w:bCs w:val="0"/>
                <w:color w:val="auto"/>
                <w:kern w:val="2"/>
                <w:sz w:val="22"/>
                <w:szCs w:val="22"/>
              </w:rPr>
            </w:pPr>
            <w:r>
              <w:rPr>
                <w:rFonts w:hint="eastAsia" w:ascii="方正仿宋_GBK" w:hAnsi="方正仿宋_GBK" w:eastAsia="方正仿宋_GBK" w:cs="方正仿宋_GBK"/>
                <w:b w:val="0"/>
                <w:bCs w:val="0"/>
                <w:color w:val="auto"/>
                <w:kern w:val="2"/>
                <w:sz w:val="22"/>
                <w:szCs w:val="22"/>
              </w:rPr>
              <w:t>支持</w:t>
            </w:r>
            <w:r>
              <w:rPr>
                <w:rFonts w:ascii="方正仿宋_GBK" w:hAnsi="方正仿宋_GBK" w:eastAsia="方正仿宋_GBK" w:cs="方正仿宋_GBK"/>
                <w:b w:val="0"/>
                <w:bCs w:val="0"/>
                <w:color w:val="auto"/>
                <w:kern w:val="2"/>
                <w:sz w:val="22"/>
                <w:szCs w:val="22"/>
              </w:rPr>
              <w:t>W</w:t>
            </w:r>
            <w:r>
              <w:rPr>
                <w:rFonts w:hint="eastAsia" w:ascii="方正仿宋_GBK" w:hAnsi="方正仿宋_GBK" w:eastAsia="方正仿宋_GBK" w:cs="方正仿宋_GBK"/>
                <w:b w:val="0"/>
                <w:bCs w:val="0"/>
                <w:color w:val="auto"/>
                <w:kern w:val="2"/>
                <w:sz w:val="22"/>
                <w:szCs w:val="22"/>
              </w:rPr>
              <w:t>ord，Excel，P</w:t>
            </w:r>
            <w:r>
              <w:rPr>
                <w:rFonts w:ascii="方正仿宋_GBK" w:hAnsi="方正仿宋_GBK" w:eastAsia="方正仿宋_GBK" w:cs="方正仿宋_GBK"/>
                <w:b w:val="0"/>
                <w:bCs w:val="0"/>
                <w:color w:val="auto"/>
                <w:kern w:val="2"/>
                <w:sz w:val="22"/>
                <w:szCs w:val="22"/>
              </w:rPr>
              <w:t>PT</w:t>
            </w:r>
            <w:r>
              <w:rPr>
                <w:rFonts w:hint="eastAsia" w:ascii="方正仿宋_GBK" w:hAnsi="方正仿宋_GBK" w:eastAsia="方正仿宋_GBK" w:cs="方正仿宋_GBK"/>
                <w:b w:val="0"/>
                <w:bCs w:val="0"/>
                <w:color w:val="auto"/>
                <w:kern w:val="2"/>
                <w:sz w:val="22"/>
                <w:szCs w:val="22"/>
              </w:rPr>
              <w:t>导出，支持图像J</w:t>
            </w:r>
            <w:r>
              <w:rPr>
                <w:rFonts w:ascii="方正仿宋_GBK" w:hAnsi="方正仿宋_GBK" w:eastAsia="方正仿宋_GBK" w:cs="方正仿宋_GBK"/>
                <w:b w:val="0"/>
                <w:bCs w:val="0"/>
                <w:color w:val="auto"/>
                <w:kern w:val="2"/>
                <w:sz w:val="22"/>
                <w:szCs w:val="22"/>
              </w:rPr>
              <w:t>PG</w:t>
            </w:r>
            <w:r>
              <w:rPr>
                <w:rFonts w:hint="eastAsia" w:ascii="方正仿宋_GBK" w:hAnsi="方正仿宋_GBK" w:eastAsia="方正仿宋_GBK" w:cs="方正仿宋_GBK"/>
                <w:b w:val="0"/>
                <w:bCs w:val="0"/>
                <w:color w:val="auto"/>
                <w:kern w:val="2"/>
                <w:sz w:val="22"/>
                <w:szCs w:val="22"/>
              </w:rPr>
              <w:t>、P</w:t>
            </w:r>
            <w:r>
              <w:rPr>
                <w:rFonts w:ascii="方正仿宋_GBK" w:hAnsi="方正仿宋_GBK" w:eastAsia="方正仿宋_GBK" w:cs="方正仿宋_GBK"/>
                <w:b w:val="0"/>
                <w:bCs w:val="0"/>
                <w:color w:val="auto"/>
                <w:kern w:val="2"/>
                <w:sz w:val="22"/>
                <w:szCs w:val="22"/>
              </w:rPr>
              <w:t>NG</w:t>
            </w:r>
            <w:r>
              <w:rPr>
                <w:rFonts w:hint="eastAsia" w:ascii="方正仿宋_GBK" w:hAnsi="方正仿宋_GBK" w:eastAsia="方正仿宋_GBK" w:cs="方正仿宋_GBK"/>
                <w:b w:val="0"/>
                <w:bCs w:val="0"/>
                <w:color w:val="auto"/>
                <w:kern w:val="2"/>
                <w:sz w:val="22"/>
                <w:szCs w:val="22"/>
              </w:rPr>
              <w:t>和H</w:t>
            </w:r>
            <w:r>
              <w:rPr>
                <w:rFonts w:ascii="方正仿宋_GBK" w:hAnsi="方正仿宋_GBK" w:eastAsia="方正仿宋_GBK" w:cs="方正仿宋_GBK"/>
                <w:b w:val="0"/>
                <w:bCs w:val="0"/>
                <w:color w:val="auto"/>
                <w:kern w:val="2"/>
                <w:sz w:val="22"/>
                <w:szCs w:val="22"/>
              </w:rPr>
              <w:t>TML</w:t>
            </w:r>
            <w:r>
              <w:rPr>
                <w:rFonts w:hint="eastAsia" w:ascii="方正仿宋_GBK" w:hAnsi="方正仿宋_GBK" w:eastAsia="方正仿宋_GBK" w:cs="方正仿宋_GBK"/>
                <w:b w:val="0"/>
                <w:bCs w:val="0"/>
                <w:color w:val="auto"/>
                <w:kern w:val="2"/>
                <w:sz w:val="22"/>
                <w:szCs w:val="22"/>
              </w:rPr>
              <w:t>的网页导出。</w:t>
            </w:r>
          </w:p>
        </w:tc>
      </w:tr>
    </w:tbl>
    <w:p>
      <w:pPr>
        <w:widowControl/>
        <w:spacing w:line="360" w:lineRule="auto"/>
        <w:jc w:val="left"/>
        <w:rPr>
          <w:rFonts w:ascii="方正仿宋_GBK" w:hAnsi="方正仿宋_GBK" w:eastAsia="方正仿宋_GBK" w:cs="方正仿宋_GBK"/>
          <w:color w:val="auto"/>
          <w:sz w:val="28"/>
          <w:szCs w:val="28"/>
        </w:rPr>
      </w:pPr>
    </w:p>
    <w:p>
      <w:pPr>
        <w:widowControl/>
        <w:spacing w:line="360" w:lineRule="auto"/>
        <w:ind w:firstLine="562"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四、竞争性采购响应人报价要求及项目最高限价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本项目含增值税税额的最高限价为人民币</w:t>
      </w:r>
      <w:r>
        <w:rPr>
          <w:rFonts w:hint="eastAsia" w:ascii="方正仿宋_GBK" w:hAnsi="方正仿宋_GBK" w:eastAsia="方正仿宋_GBK" w:cs="方正仿宋_GBK"/>
          <w:color w:val="auto"/>
          <w:sz w:val="28"/>
          <w:szCs w:val="28"/>
          <w:u w:val="single"/>
          <w:lang w:val="en-US" w:eastAsia="zh-CN"/>
        </w:rPr>
        <w:t xml:space="preserve"> </w:t>
      </w:r>
      <w:r>
        <w:rPr>
          <w:rFonts w:ascii="方正仿宋_GBK" w:hAnsi="方正仿宋_GBK" w:eastAsia="方正仿宋_GBK" w:cs="方正仿宋_GBK"/>
          <w:color w:val="auto"/>
          <w:sz w:val="28"/>
          <w:szCs w:val="28"/>
          <w:u w:val="single"/>
        </w:rPr>
        <w:t>260000.00</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元（大写金额：贰拾陆万元整），报价超过最高限价，将取消竞争性采购响应方的竞争性采购资格。</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在修正范围内的以下情形不作为竞争性采购响应文件作废的依据：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（1）竞争性采购响应文件中的大写金额与小写金额不一致的，以大写金额为准；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竞争性采购</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color w:val="auto"/>
          <w:sz w:val="28"/>
          <w:szCs w:val="28"/>
        </w:rPr>
        <w:t>经评审满足条件的最低价</w:t>
      </w:r>
      <w:r>
        <w:rPr>
          <w:rFonts w:hint="eastAsia" w:ascii="方正仿宋_GBK" w:hAnsi="方正仿宋_GBK" w:eastAsia="方正仿宋_GBK" w:cs="方正仿宋_GBK"/>
          <w:bCs/>
          <w:color w:val="auto"/>
          <w:sz w:val="28"/>
          <w:szCs w:val="28"/>
        </w:rPr>
        <w:t>成交，即经采购方按规定组建的评审委员会评审，</w:t>
      </w:r>
      <w:r>
        <w:rPr>
          <w:rFonts w:hint="eastAsia" w:ascii="方正仿宋_GBK" w:hAnsi="方正仿宋_GBK" w:eastAsia="方正仿宋_GBK" w:cs="方正仿宋_GBK"/>
          <w:color w:val="auto"/>
          <w:kern w:val="0"/>
          <w:sz w:val="28"/>
          <w:szCs w:val="28"/>
        </w:rPr>
        <w:t>根据符合采购需求、质量和服务，且报价最低的原则确定成交候选人</w:t>
      </w:r>
      <w:r>
        <w:rPr>
          <w:rFonts w:hint="eastAsia" w:ascii="方正仿宋_GBK" w:hAnsi="方正仿宋_GBK" w:eastAsia="方正仿宋_GBK" w:cs="方正仿宋_GBK"/>
          <w:bCs/>
          <w:color w:val="auto"/>
          <w:sz w:val="28"/>
          <w:szCs w:val="28"/>
        </w:rPr>
        <w:t>。</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竞争性采购规则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采购文件要求，可以二次报价，根据符合采购需求、质量和服务，且报价经评委会、报价方均认可的原则确定成交。</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六、竞争性采购文件的发布方式及时间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发布方式：竞争性采购文件及相关资料由重庆机场集团有限公司采购办公室（建设部）公开发布于重庆机场集团有限公司官方网站（www.cqa.cn）。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15</w:t>
      </w:r>
      <w:r>
        <w:rPr>
          <w:rFonts w:hint="eastAsia" w:ascii="方正仿宋_GBK" w:hAnsi="方正仿宋_GBK" w:eastAsia="方正仿宋_GBK" w:cs="方正仿宋_GBK"/>
          <w:color w:val="auto"/>
          <w:kern w:val="0"/>
          <w:sz w:val="28"/>
          <w:szCs w:val="28"/>
        </w:rPr>
        <w:t>日。</w:t>
      </w:r>
      <w:bookmarkStart w:id="0" w:name="_Toc45632355"/>
    </w:p>
    <w:p>
      <w:pPr>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七、对竞争性采购文件提出问题的截止时间及采购人澄清补遗时间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竞争性采购响应人对竞争性采购文件如有疑问，须于</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16</w:t>
      </w:r>
      <w:r>
        <w:rPr>
          <w:rFonts w:hint="eastAsia" w:ascii="方正仿宋_GBK" w:hAnsi="方正仿宋_GBK" w:eastAsia="方正仿宋_GBK" w:cs="方正仿宋_GBK"/>
          <w:color w:val="auto"/>
          <w:kern w:val="0"/>
          <w:sz w:val="28"/>
          <w:szCs w:val="28"/>
        </w:rPr>
        <w:t>日17：00前将疑问函（加盖单位鲜公章的扫描件）以电子邮件形式发至采购人电子邮箱</w:t>
      </w:r>
      <w:r>
        <w:rPr>
          <w:rFonts w:hint="eastAsia" w:ascii="方正仿宋_GBK" w:hAnsi="方正仿宋_GBK" w:eastAsia="方正仿宋_GBK" w:cs="方正仿宋_GBK"/>
          <w:color w:val="auto"/>
          <w:kern w:val="0"/>
          <w:sz w:val="28"/>
          <w:szCs w:val="28"/>
          <w:lang w:val="en-US" w:eastAsia="zh-CN"/>
        </w:rPr>
        <w:t>50320784</w:t>
      </w:r>
      <w:r>
        <w:rPr>
          <w:rFonts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qq.com</w:t>
      </w:r>
      <w:r>
        <w:rPr>
          <w:rFonts w:hint="eastAsia" w:ascii="方正仿宋_GBK" w:hAnsi="方正仿宋_GBK" w:eastAsia="方正仿宋_GBK" w:cs="方正仿宋_GBK"/>
          <w:color w:val="auto"/>
          <w:kern w:val="0"/>
          <w:sz w:val="28"/>
          <w:szCs w:val="28"/>
        </w:rPr>
        <w:t>，并电话通知采购人，过期不再受理。采购人将在竞争性采购文件提问截止时间后及时组织答疑，答疑内容在重庆机场集团有限公司官方网站（www.cqa.cn）以公告形式发布。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采购人对竞争性采购文件澄清、补遗的内容在</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18</w:t>
      </w:r>
      <w:r>
        <w:rPr>
          <w:rFonts w:hint="eastAsia" w:ascii="方正仿宋_GBK" w:hAnsi="方正仿宋_GBK" w:eastAsia="方正仿宋_GBK" w:cs="方正仿宋_GBK"/>
          <w:color w:val="auto"/>
          <w:kern w:val="0"/>
          <w:sz w:val="28"/>
          <w:szCs w:val="28"/>
        </w:rPr>
        <w:t>日17：00前在重庆机场集团有限公司官方网站（www.cqa.cn）以公告形式发布。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pPr>
        <w:snapToGrid w:val="0"/>
        <w:spacing w:line="360" w:lineRule="auto"/>
        <w:ind w:firstLine="557" w:firstLineChars="198"/>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八、竞争性采购响应保证金及履约保证金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 竞争性采购响应保证金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8</w:t>
      </w:r>
      <w:r>
        <w:rPr>
          <w:rFonts w:ascii="方正仿宋_GBK" w:hAnsi="方正仿宋_GBK" w:eastAsia="方正仿宋_GBK" w:cs="方正仿宋_GBK"/>
          <w:color w:val="auto"/>
          <w:kern w:val="0"/>
          <w:sz w:val="28"/>
          <w:szCs w:val="28"/>
        </w:rPr>
        <w:t xml:space="preserve">.1.1 </w:t>
      </w:r>
      <w:r>
        <w:rPr>
          <w:rFonts w:hint="eastAsia" w:ascii="方正仿宋_GBK" w:hAnsi="方正仿宋_GBK" w:eastAsia="方正仿宋_GBK" w:cs="方正仿宋_GBK"/>
          <w:color w:val="auto"/>
          <w:kern w:val="0"/>
          <w:sz w:val="28"/>
          <w:szCs w:val="28"/>
        </w:rPr>
        <w:t>有意愿参与本项目竞争性采购的单位应按规定缴纳竞争性采购响应保证金（作投标保证金理解），本项目竞争性采购响应保证金金额为人民币</w:t>
      </w:r>
      <w:r>
        <w:rPr>
          <w:rFonts w:hint="eastAsia" w:ascii="方正仿宋_GBK" w:hAnsi="方正仿宋_GBK" w:eastAsia="方正仿宋_GBK" w:cs="方正仿宋_GBK"/>
          <w:color w:val="auto"/>
          <w:kern w:val="0"/>
          <w:sz w:val="28"/>
          <w:szCs w:val="28"/>
          <w:u w:val="single"/>
        </w:rPr>
        <w:t xml:space="preserve">  </w:t>
      </w:r>
      <w:r>
        <w:rPr>
          <w:rFonts w:ascii="方正仿宋_GBK" w:hAnsi="方正仿宋_GBK" w:eastAsia="方正仿宋_GBK" w:cs="方正仿宋_GBK"/>
          <w:color w:val="auto"/>
          <w:kern w:val="0"/>
          <w:sz w:val="28"/>
          <w:szCs w:val="28"/>
          <w:u w:val="single"/>
        </w:rPr>
        <w:t>5000.00</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2</w:t>
      </w:r>
      <w:r>
        <w:rPr>
          <w:rFonts w:hint="eastAsia" w:ascii="方正仿宋_GBK" w:hAnsi="方正仿宋_GBK" w:eastAsia="方正仿宋_GBK" w:cs="方正仿宋_GBK"/>
          <w:color w:val="auto"/>
          <w:kern w:val="0"/>
          <w:sz w:val="28"/>
          <w:szCs w:val="28"/>
        </w:rPr>
        <w:t xml:space="preserve"> 提交时间：竞争性采购开始前</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注意：竞争性采购响应人在竞争性采购开始前递交竞争性采购响应文件时应出示采购人财务部门开具的项目竞争性采购保证金收据，否则，采购人将拒收竞争性采购响应文件。</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4</w:t>
      </w:r>
      <w:r>
        <w:rPr>
          <w:rFonts w:hint="eastAsia" w:ascii="方正仿宋_GBK" w:hAnsi="方正仿宋_GBK" w:eastAsia="方正仿宋_GBK" w:cs="方正仿宋_GBK"/>
          <w:color w:val="auto"/>
          <w:kern w:val="0"/>
          <w:sz w:val="28"/>
          <w:szCs w:val="28"/>
        </w:rPr>
        <w:t xml:space="preserve"> 项目竞争性采购响应保证金的退还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作日内将项目竞争性采购响应保证金以银行转账方式退还至竞争性采购响应人，本项目竞争性采购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成交候选人范围内的单位提交的本项目竞争性采购响应保证金，在本项目合同签订完成后退还，退还手续同上。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rPr>
        <w:t>成交的竞争性采购人缴纳的竞争性采购响应保证金将转为</w:t>
      </w:r>
      <w:r>
        <w:rPr>
          <w:rFonts w:hint="eastAsia" w:ascii="方正仿宋_GBK" w:hAnsi="方正仿宋_GBK" w:eastAsia="方正仿宋_GBK" w:cs="方正仿宋_GBK"/>
          <w:color w:val="auto"/>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竞争性采购保证金退还办理地址：</w:t>
      </w:r>
      <w:r>
        <w:rPr>
          <w:rFonts w:hint="eastAsia" w:ascii="方正仿宋_GBK" w:hAnsi="方正仿宋_GBK" w:eastAsia="方正仿宋_GBK" w:cs="方正仿宋_GBK"/>
          <w:color w:val="auto"/>
          <w:kern w:val="0"/>
          <w:sz w:val="28"/>
          <w:szCs w:val="28"/>
        </w:rPr>
        <w:t>重庆机场集团有限公司建设部6</w:t>
      </w:r>
      <w:r>
        <w:rPr>
          <w:rFonts w:ascii="方正仿宋_GBK" w:hAnsi="方正仿宋_GBK" w:eastAsia="方正仿宋_GBK" w:cs="方正仿宋_GBK"/>
          <w:color w:val="auto"/>
          <w:kern w:val="0"/>
          <w:sz w:val="28"/>
          <w:szCs w:val="28"/>
        </w:rPr>
        <w:t>010</w:t>
      </w:r>
      <w:r>
        <w:rPr>
          <w:rFonts w:hint="eastAsia" w:ascii="方正仿宋_GBK" w:hAnsi="方正仿宋_GBK" w:eastAsia="方正仿宋_GBK" w:cs="方正仿宋_GBK"/>
          <w:color w:val="auto"/>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竞争性采购保证金退还联系电话：0</w:t>
      </w: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7156808</w:t>
      </w:r>
      <w:r>
        <w:rPr>
          <w:rFonts w:hint="eastAsia" w:ascii="方正仿宋_GBK" w:hAnsi="方正仿宋_GBK" w:eastAsia="方正仿宋_GBK" w:cs="方正仿宋_GBK"/>
          <w:color w:val="auto"/>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.2 履约保证金</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履约保证金为合同总价款的5%，在收到成交通知书10日内足额缴纳，于履约结束后，一次性退还（不计利息）。</w:t>
      </w:r>
    </w:p>
    <w:p>
      <w:pPr>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九、竞争性采购响应有效期</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90天（自竞争性采购响应人提交竞争性采购响应文件截止之日起计算）。</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注：竞争性采购响应有效期作投标有效期理解。</w:t>
      </w:r>
    </w:p>
    <w:p>
      <w:pPr>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十、竞争性采购响应文件的编制和提交</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0</w:t>
      </w:r>
      <w:r>
        <w:rPr>
          <w:rFonts w:hint="eastAsia" w:ascii="方正仿宋_GBK" w:hAnsi="方正仿宋_GBK" w:eastAsia="方正仿宋_GBK" w:cs="方正仿宋_GBK"/>
          <w:color w:val="auto"/>
          <w:kern w:val="0"/>
          <w:sz w:val="28"/>
          <w:szCs w:val="28"/>
        </w:rPr>
        <w:t>.1竞争性采购响应方应当按照竞争性采购文件的要求编制竞争性采购响应文件，竞争性采购响应文件应当对竞争性采购文件提出的采购清单、技术要求和条件作出实质性应答。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0</w:t>
      </w:r>
      <w:r>
        <w:rPr>
          <w:rFonts w:hint="eastAsia" w:ascii="方正仿宋_GBK" w:hAnsi="方正仿宋_GBK" w:eastAsia="方正仿宋_GBK" w:cs="方正仿宋_GBK"/>
          <w:color w:val="auto"/>
          <w:kern w:val="0"/>
          <w:sz w:val="28"/>
          <w:szCs w:val="28"/>
        </w:rPr>
        <w:t>.2</w:t>
      </w:r>
      <w:r>
        <w:rPr>
          <w:rFonts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rPr>
        <w:t>竞争性采购响应文件应用A4规格纸编制并装订成册，主要由以下几个部分组成：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0</w:t>
      </w:r>
      <w:r>
        <w:rPr>
          <w:rFonts w:hint="eastAsia" w:ascii="方正仿宋_GBK" w:hAnsi="方正仿宋_GBK" w:eastAsia="方正仿宋_GBK" w:cs="方正仿宋_GBK"/>
          <w:color w:val="auto"/>
          <w:kern w:val="0"/>
          <w:sz w:val="28"/>
          <w:szCs w:val="28"/>
        </w:rPr>
        <w:t>.2.1 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报价部分。竞争性采购响应方应按照</w:t>
      </w:r>
      <w:r>
        <w:rPr>
          <w:rFonts w:hint="eastAsia" w:ascii="方正仿宋_GBK" w:hAnsi="方正仿宋_GBK" w:eastAsia="方正仿宋_GBK" w:cs="方正仿宋_GBK"/>
          <w:color w:val="auto"/>
          <w:sz w:val="28"/>
          <w:szCs w:val="28"/>
        </w:rPr>
        <w:t>竞争性采购</w:t>
      </w:r>
      <w:r>
        <w:rPr>
          <w:rFonts w:hint="eastAsia" w:ascii="方正仿宋_GBK" w:hAnsi="方正仿宋_GBK" w:eastAsia="方正仿宋_GBK" w:cs="方正仿宋_GBK"/>
          <w:color w:val="auto"/>
          <w:sz w:val="28"/>
          <w:szCs w:val="28"/>
          <w:lang w:val="zh-CN"/>
        </w:rPr>
        <w:t>文件要求报出拟提供货物的品牌、规格、产地、单价、总价等详细内容，各项报价应包括拟提供货物的运输、相关税金和服务等全部费用，报价为含增值税税额的报价/不含增值税税额的报价，增值税税率单列。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技术部分。主要包括项目产品技术要求等的详细说明。如果提供的产品与</w:t>
      </w:r>
      <w:r>
        <w:rPr>
          <w:rFonts w:hint="eastAsia" w:ascii="方正仿宋_GBK" w:hAnsi="方正仿宋_GBK" w:eastAsia="方正仿宋_GBK" w:cs="方正仿宋_GBK"/>
          <w:color w:val="auto"/>
          <w:sz w:val="28"/>
          <w:szCs w:val="28"/>
        </w:rPr>
        <w:t>竞争性采购</w:t>
      </w:r>
      <w:r>
        <w:rPr>
          <w:rFonts w:hint="eastAsia" w:ascii="方正仿宋_GBK" w:hAnsi="方正仿宋_GBK" w:eastAsia="方正仿宋_GBK" w:cs="方正仿宋_GBK"/>
          <w:color w:val="auto"/>
          <w:sz w:val="28"/>
          <w:szCs w:val="28"/>
          <w:lang w:val="zh-CN"/>
        </w:rPr>
        <w:t>文件要求有偏差，必须详细说明，</w:t>
      </w:r>
      <w:r>
        <w:rPr>
          <w:rFonts w:hint="eastAsia" w:ascii="方正仿宋_GBK" w:hAnsi="方正仿宋_GBK" w:eastAsia="方正仿宋_GBK" w:cs="方正仿宋_GBK"/>
          <w:color w:val="auto"/>
          <w:sz w:val="28"/>
          <w:szCs w:val="28"/>
        </w:rPr>
        <w:t>须经竞争性采购小组评定和采购人许可，才能作为供应商实质性响应。(表格自制)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商务部分。主要包括三证合一的营业执照（复印件），法人代表委托书（原件）、制造商或代理商授权（或货物销售资格证明）文件以及厂商授权书、其它资格证明（如企业资信证明、质量体系认证等）等。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竞争性采购响应文件可合并装订成册，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ascii="方正仿宋_GBK" w:hAnsi="方正仿宋_GBK" w:eastAsia="方正仿宋_GBK" w:cs="方正仿宋_GBK"/>
          <w:b/>
          <w:bCs/>
          <w:color w:val="auto"/>
          <w:sz w:val="28"/>
          <w:szCs w:val="28"/>
          <w:u w:val="single"/>
          <w:lang w:val="zh-CN"/>
        </w:rPr>
        <w:t>2</w:t>
      </w:r>
      <w:r>
        <w:rPr>
          <w:rFonts w:hint="eastAsia" w:ascii="方正仿宋_GBK" w:hAnsi="方正仿宋_GBK" w:eastAsia="方正仿宋_GBK" w:cs="方正仿宋_GBK"/>
          <w:b/>
          <w:bCs/>
          <w:color w:val="auto"/>
          <w:sz w:val="28"/>
          <w:szCs w:val="28"/>
          <w:u w:val="single"/>
          <w:lang w:val="zh-CN"/>
        </w:rPr>
        <w:t>份，其中正本1份，副本1份；电子竞争性采购响应文件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十一、竞争性采购响应文件作废条款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 未按照规定交纳竞争性采购响应保证金的（若要求缴纳竞争性采购响应保证金）。</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 竞争性采购响应人的报价超过竞争性采购最高限价的。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竞争性采购响应文件</w:t>
      </w:r>
      <w:r>
        <w:rPr>
          <w:rFonts w:hint="eastAsia" w:ascii="方正仿宋_GBK" w:hAnsi="方正仿宋_GBK" w:eastAsia="方正仿宋_GBK" w:cs="方正仿宋_GBK"/>
          <w:color w:val="auto"/>
          <w:sz w:val="28"/>
          <w:szCs w:val="28"/>
        </w:rPr>
        <w:t>未装袋密封的。竞争性采购响应文件封面及密封袋</w:t>
      </w:r>
      <w:r>
        <w:rPr>
          <w:rFonts w:hint="eastAsia" w:ascii="方正仿宋_GBK" w:hAnsi="方正仿宋_GBK" w:eastAsia="方正仿宋_GBK" w:cs="方正仿宋_GBK"/>
          <w:color w:val="auto"/>
          <w:kern w:val="0"/>
          <w:sz w:val="28"/>
          <w:szCs w:val="28"/>
        </w:rPr>
        <w:t>封面上须注明“项目名称”、“项目编号”、“竞争性采购响应单位名称”，并加盖单位公章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 竞争性采购响应文件装订要求不符：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.4.2 竞争性采购响应文件份数不足或未按要求提供电子U盘的；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.4.3 竞争性采购响应文件封面未标注正副本（密封袋封面无需标注正副本）。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.5 竞争性采购响应文件中报价函部分、授权部分无法定代表人签字（签章）或签字人无有效授权书的。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.7 评审委员会审查发现竞争性采购响应文件未能对竞争性采购文件提出的所有实质性要求和条件作出响应的。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.8 有串通竞争性采购、弄虚作假、失信处罚期未满以及有其他违法违规行为的。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十二、响应人违约等行为约束要求</w:t>
      </w:r>
    </w:p>
    <w:p>
      <w:pPr>
        <w:autoSpaceDE w:val="0"/>
        <w:autoSpaceDN w:val="0"/>
        <w:adjustRightInd w:val="0"/>
        <w:spacing w:line="24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竞争性采购资格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并将被列入采购人黑名单；若在合同实施阶段发现承包人在</w:t>
      </w:r>
      <w:r>
        <w:rPr>
          <w:rFonts w:hint="eastAsia" w:ascii="方正仿宋_GBK" w:hAnsi="方正仿宋_GBK" w:eastAsia="方正仿宋_GBK" w:cs="方正仿宋_GBK"/>
          <w:color w:val="auto"/>
          <w:sz w:val="28"/>
          <w:szCs w:val="28"/>
        </w:rPr>
        <w:t>参与竞争性采购</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12.5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与竞争性采购</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响应保证金不予退还，并将被列入采购人黑名单；若在合同实施阶段发现承包人在</w:t>
      </w:r>
      <w:r>
        <w:rPr>
          <w:rFonts w:hint="eastAsia" w:ascii="方正仿宋_GBK" w:hAnsi="方正仿宋_GBK" w:eastAsia="方正仿宋_GBK" w:cs="方正仿宋_GBK"/>
          <w:color w:val="auto"/>
          <w:sz w:val="28"/>
          <w:szCs w:val="28"/>
        </w:rPr>
        <w:t>参与竞争性采购</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竞争性采购</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十三、竞争性采购结果异议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.1 竞争性采购响应人或其他利害关系人认为采购活动不符合法律、行政等规定的，应当在采购结果公示期之内以书面形式向采购人提出异议（以采购人收到书面异议之日为准）。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注：对竞争性采购文件内容的异议应在竞争性采购文件规定的质疑期内提出；对竞争性采购唱价环节的异议应在竞争性采购唱价环节提出。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w:t>
      </w:r>
      <w:r>
        <w:rPr>
          <w:rFonts w:ascii="方正仿宋_GBK" w:hAnsi="方正仿宋_GBK" w:eastAsia="方正仿宋_GBK" w:cs="方正仿宋_GBK"/>
          <w:color w:val="auto"/>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十六、竞争性采购时间、地点及结果通知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竞争性采购响应文件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21</w:t>
      </w:r>
      <w:r>
        <w:rPr>
          <w:rFonts w:hint="eastAsia" w:ascii="方正仿宋_GBK" w:hAnsi="方正仿宋_GBK" w:eastAsia="方正仿宋_GBK" w:cs="方正仿宋_GBK"/>
          <w:color w:val="auto"/>
          <w:kern w:val="0"/>
          <w:sz w:val="28"/>
          <w:szCs w:val="28"/>
        </w:rPr>
        <w:t>日9:00至10:00时送到重庆机场有限公司办公楼</w:t>
      </w:r>
      <w:r>
        <w:rPr>
          <w:rFonts w:hint="eastAsia" w:ascii="方正仿宋_GBK" w:hAnsi="方正仿宋_GBK" w:eastAsia="方正仿宋_GBK" w:cs="方正仿宋_GBK"/>
          <w:color w:val="auto"/>
          <w:sz w:val="28"/>
          <w:szCs w:val="28"/>
        </w:rPr>
        <w:t>（重庆市渝北区机场东二路19号）</w:t>
      </w:r>
      <w:r>
        <w:rPr>
          <w:rFonts w:hint="eastAsia" w:ascii="方正仿宋_GBK" w:hAnsi="方正仿宋_GBK" w:eastAsia="方正仿宋_GBK" w:cs="方正仿宋_GBK"/>
          <w:color w:val="auto"/>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lang w:val="en-US" w:eastAsia="zh-CN"/>
        </w:rPr>
        <w:t>2022</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21</w:t>
      </w:r>
      <w:r>
        <w:rPr>
          <w:rFonts w:hint="eastAsia" w:ascii="方正仿宋_GBK" w:hAnsi="方正仿宋_GBK" w:eastAsia="方正仿宋_GBK" w:cs="方正仿宋_GBK"/>
          <w:color w:val="auto"/>
          <w:sz w:val="28"/>
          <w:szCs w:val="28"/>
        </w:rPr>
        <w:t>日10:00时在重庆机场集团有限公司办公楼对本项目进行竞争性采购，各竞争性采购响应人须参加。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注：竞争性采购开始前，各竞争性采购响应人须在重庆机场集团公司办公楼6010室等候通知具体竞争性采购地点。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竞争性采购响应人若未派法定代表人或委托代理人出席竞争性采购唱价会议，视为该竞争性采购响应人默认竞争性采购唱价结果。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6</w:t>
      </w:r>
      <w:r>
        <w:rPr>
          <w:rFonts w:hint="eastAsia" w:ascii="方正仿宋_GBK" w:hAnsi="方正仿宋_GBK" w:eastAsia="方正仿宋_GBK" w:cs="方正仿宋_GBK"/>
          <w:color w:val="auto"/>
          <w:sz w:val="28"/>
          <w:szCs w:val="28"/>
        </w:rPr>
        <w:t>.4 竞争性采购结果通知：拟成交结果将公示在重庆机场集团有限公司</w:t>
      </w:r>
      <w:r>
        <w:rPr>
          <w:rFonts w:hint="eastAsia" w:ascii="方正仿宋_GBK" w:hAnsi="方正仿宋_GBK" w:eastAsia="方正仿宋_GBK" w:cs="方正仿宋_GBK"/>
          <w:color w:val="auto"/>
          <w:kern w:val="0"/>
          <w:sz w:val="28"/>
          <w:szCs w:val="28"/>
        </w:rPr>
        <w:t>官方网站（www.cqa.cn）</w:t>
      </w:r>
      <w:r>
        <w:rPr>
          <w:rFonts w:hint="eastAsia" w:ascii="方正仿宋_GBK" w:hAnsi="方正仿宋_GBK" w:eastAsia="方正仿宋_GBK" w:cs="方正仿宋_GBK"/>
          <w:color w:val="auto"/>
          <w:sz w:val="28"/>
          <w:szCs w:val="28"/>
        </w:rPr>
        <w:t>，待结果确定后会及时通知，原则上只通知被选中的竞争性采购响应人，对未被选中的竞争性采购响应人不通知、不解释，响应文件不予退还。</w:t>
      </w:r>
    </w:p>
    <w:p>
      <w:pPr>
        <w:snapToGri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十七、采购人联系方式</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采购人：重庆机场集团有限公司</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徐老师</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023-67156808</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pStyle w:val="2"/>
        <w:rPr>
          <w:color w:val="auto"/>
        </w:rPr>
      </w:pPr>
    </w:p>
    <w:p>
      <w:pPr>
        <w:rPr>
          <w:color w:val="auto"/>
        </w:rPr>
      </w:pPr>
    </w:p>
    <w:p>
      <w:pPr>
        <w:pStyle w:val="2"/>
        <w:rPr>
          <w:color w:val="auto"/>
        </w:rPr>
      </w:pPr>
    </w:p>
    <w:p>
      <w:pPr>
        <w:pStyle w:val="2"/>
        <w:jc w:val="both"/>
        <w:rPr>
          <w:color w:val="auto"/>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第二章  合同条款及格式</w:t>
      </w:r>
    </w:p>
    <w:p>
      <w:pPr>
        <w:ind w:firstLine="560" w:firstLineChars="200"/>
        <w:rPr>
          <w:rFonts w:ascii="方正仿宋_GBK" w:hAnsi="方正仿宋_GBK" w:eastAsia="方正仿宋_GBK" w:cs="方正仿宋_GBK"/>
          <w:color w:val="auto"/>
          <w:sz w:val="28"/>
          <w:szCs w:val="28"/>
        </w:rPr>
      </w:pPr>
    </w:p>
    <w:p>
      <w:pPr>
        <w:pStyle w:val="2"/>
        <w:rPr>
          <w:color w:val="auto"/>
        </w:rPr>
      </w:pPr>
    </w:p>
    <w:p>
      <w:pPr>
        <w:rPr>
          <w:color w:val="auto"/>
        </w:rPr>
      </w:pPr>
    </w:p>
    <w:p>
      <w:pPr>
        <w:rPr>
          <w:color w:val="auto"/>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p>
    <w:p>
      <w:pPr>
        <w:pStyle w:val="2"/>
        <w:jc w:val="both"/>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widowControl/>
        <w:jc w:val="left"/>
        <w:rPr>
          <w:rFonts w:ascii="仿宋" w:hAnsi="仿宋" w:eastAsia="仿宋"/>
          <w:b/>
          <w:bCs/>
          <w:color w:val="auto"/>
          <w:sz w:val="28"/>
          <w:szCs w:val="28"/>
        </w:rPr>
      </w:pPr>
      <w:r>
        <w:rPr>
          <w:rFonts w:ascii="仿宋" w:hAnsi="仿宋" w:eastAsia="仿宋"/>
          <w:b/>
          <w:bCs/>
          <w:color w:val="auto"/>
          <w:sz w:val="28"/>
          <w:szCs w:val="28"/>
        </w:rPr>
        <w:br w:type="page"/>
      </w:r>
    </w:p>
    <w:p>
      <w:pPr>
        <w:rPr>
          <w:rFonts w:ascii="方正仿宋_GBK" w:hAnsi="方正仿宋_GBK" w:eastAsia="方正仿宋_GBK" w:cs="方正仿宋_GBK"/>
          <w:color w:val="auto"/>
          <w:sz w:val="28"/>
          <w:szCs w:val="28"/>
        </w:rPr>
      </w:pPr>
    </w:p>
    <w:p>
      <w:pPr>
        <w:pStyle w:val="2"/>
        <w:rPr>
          <w:rFonts w:ascii="方正仿宋_GBK" w:hAnsi="方正仿宋_GBK" w:eastAsia="方正仿宋_GBK" w:cs="方正仿宋_GBK"/>
          <w:color w:val="auto"/>
          <w:sz w:val="28"/>
          <w:szCs w:val="28"/>
        </w:rPr>
      </w:pPr>
    </w:p>
    <w:p>
      <w:pPr>
        <w:rPr>
          <w:color w:val="auto"/>
        </w:rPr>
      </w:pPr>
    </w:p>
    <w:p>
      <w:pPr>
        <w:spacing w:line="360" w:lineRule="auto"/>
        <w:ind w:right="600" w:firstLine="480" w:firstLineChars="200"/>
        <w:jc w:val="right"/>
        <w:rPr>
          <w:rFonts w:ascii="仿宋_GB2312" w:hAnsi="仿宋" w:eastAsia="仿宋_GB2312" w:cs="宋体"/>
          <w:color w:val="auto"/>
          <w:sz w:val="30"/>
          <w:szCs w:val="30"/>
        </w:rPr>
      </w:pPr>
      <w:r>
        <w:rPr>
          <w:rFonts w:hint="eastAsia" w:ascii="黑体" w:hAnsi="黑体" w:eastAsia="黑体" w:cs="宋体"/>
          <w:color w:val="auto"/>
          <w:sz w:val="24"/>
          <w:szCs w:val="30"/>
        </w:rPr>
        <w:t>合同编号：CQA</w:t>
      </w:r>
      <w:r>
        <w:rPr>
          <w:rFonts w:hint="eastAsia" w:ascii="仿宋_GB2312" w:hAnsi="仿宋" w:eastAsia="仿宋_GB2312" w:cs="宋体"/>
          <w:color w:val="auto"/>
          <w:sz w:val="30"/>
          <w:szCs w:val="30"/>
        </w:rPr>
        <w:t xml:space="preserve"> </w:t>
      </w:r>
      <w:r>
        <w:rPr>
          <w:rFonts w:ascii="仿宋_GB2312" w:hAnsi="仿宋" w:eastAsia="仿宋_GB2312" w:cs="宋体"/>
          <w:color w:val="auto"/>
          <w:sz w:val="30"/>
          <w:szCs w:val="30"/>
        </w:rPr>
        <w:t xml:space="preserve">           </w:t>
      </w:r>
    </w:p>
    <w:p>
      <w:pPr>
        <w:snapToGrid w:val="0"/>
        <w:spacing w:line="360" w:lineRule="auto"/>
        <w:rPr>
          <w:rFonts w:ascii="等线" w:hAnsi="等线" w:eastAsia="等线"/>
          <w:color w:val="auto"/>
          <w:sz w:val="44"/>
          <w:szCs w:val="36"/>
        </w:rPr>
      </w:pPr>
    </w:p>
    <w:p>
      <w:pPr>
        <w:jc w:val="center"/>
        <w:rPr>
          <w:b/>
          <w:color w:val="auto"/>
          <w:sz w:val="44"/>
        </w:rPr>
      </w:pPr>
      <w:r>
        <w:rPr>
          <w:b/>
          <w:color w:val="auto"/>
          <w:sz w:val="44"/>
        </w:rPr>
        <w:t>_____________________________</w:t>
      </w:r>
    </w:p>
    <w:p>
      <w:pPr>
        <w:jc w:val="center"/>
        <w:rPr>
          <w:rFonts w:eastAsia="华文中宋"/>
          <w:b/>
          <w:color w:val="auto"/>
          <w:sz w:val="72"/>
          <w:szCs w:val="72"/>
        </w:rPr>
      </w:pPr>
      <w:bookmarkStart w:id="1" w:name="_Hlk18508344"/>
      <w:r>
        <w:rPr>
          <w:rFonts w:hint="eastAsia" w:eastAsia="华文中宋"/>
          <w:b/>
          <w:color w:val="auto"/>
          <w:sz w:val="72"/>
          <w:szCs w:val="72"/>
        </w:rPr>
        <w:t>重庆机场集团有限公司</w:t>
      </w:r>
    </w:p>
    <w:p>
      <w:pPr>
        <w:jc w:val="center"/>
        <w:rPr>
          <w:rFonts w:eastAsia="华文中宋"/>
          <w:b/>
          <w:color w:val="auto"/>
          <w:sz w:val="72"/>
          <w:szCs w:val="72"/>
        </w:rPr>
      </w:pPr>
      <w:r>
        <w:rPr>
          <w:rFonts w:hint="eastAsia" w:eastAsia="华文中宋"/>
          <w:b/>
          <w:color w:val="auto"/>
          <w:sz w:val="72"/>
          <w:szCs w:val="72"/>
        </w:rPr>
        <w:t>2</w:t>
      </w:r>
      <w:r>
        <w:rPr>
          <w:rFonts w:eastAsia="华文中宋"/>
          <w:b/>
          <w:color w:val="auto"/>
          <w:sz w:val="72"/>
          <w:szCs w:val="72"/>
        </w:rPr>
        <w:t>022</w:t>
      </w:r>
      <w:r>
        <w:rPr>
          <w:rFonts w:hint="eastAsia" w:eastAsia="华文中宋"/>
          <w:b/>
          <w:color w:val="auto"/>
          <w:sz w:val="72"/>
          <w:szCs w:val="72"/>
        </w:rPr>
        <w:t>年正版软件采购项目（Adobe部分）</w:t>
      </w:r>
    </w:p>
    <w:p>
      <w:pPr>
        <w:jc w:val="center"/>
        <w:rPr>
          <w:rFonts w:eastAsia="华文中宋"/>
          <w:b/>
          <w:color w:val="auto"/>
          <w:sz w:val="72"/>
          <w:szCs w:val="72"/>
        </w:rPr>
      </w:pPr>
      <w:r>
        <w:rPr>
          <w:rFonts w:hint="eastAsia" w:eastAsia="华文中宋"/>
          <w:b/>
          <w:color w:val="auto"/>
          <w:sz w:val="72"/>
          <w:szCs w:val="72"/>
        </w:rPr>
        <w:t>采购合同</w:t>
      </w:r>
    </w:p>
    <w:bookmarkEnd w:id="1"/>
    <w:p>
      <w:pPr>
        <w:jc w:val="center"/>
        <w:rPr>
          <w:b/>
          <w:color w:val="auto"/>
          <w:sz w:val="44"/>
        </w:rPr>
      </w:pPr>
      <w:r>
        <w:rPr>
          <w:b/>
          <w:color w:val="auto"/>
          <w:sz w:val="44"/>
        </w:rPr>
        <w:t>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snapToGrid w:val="0"/>
        <w:spacing w:line="360" w:lineRule="auto"/>
        <w:jc w:val="center"/>
        <w:rPr>
          <w:rFonts w:ascii="宋体" w:hAnsi="宋体"/>
          <w:b/>
          <w:color w:val="auto"/>
          <w:sz w:val="32"/>
          <w:szCs w:val="32"/>
        </w:rPr>
      </w:pPr>
      <w:bookmarkStart w:id="2" w:name="_Hlk18506346"/>
      <w:r>
        <w:rPr>
          <w:rFonts w:hint="eastAsia" w:ascii="宋体" w:hAnsi="宋体"/>
          <w:b/>
          <w:color w:val="auto"/>
          <w:sz w:val="32"/>
          <w:szCs w:val="32"/>
        </w:rPr>
        <w:t>甲方：重庆机场集团有限公司</w:t>
      </w:r>
    </w:p>
    <w:p>
      <w:pPr>
        <w:snapToGrid w:val="0"/>
        <w:spacing w:line="360" w:lineRule="auto"/>
        <w:rPr>
          <w:rFonts w:ascii="宋体" w:hAnsi="宋体" w:cs="宋体"/>
          <w:b/>
          <w:bCs/>
          <w:color w:val="auto"/>
          <w:sz w:val="32"/>
          <w:szCs w:val="32"/>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乙方：</w:t>
      </w:r>
      <w:r>
        <w:rPr>
          <w:rFonts w:ascii="宋体" w:hAnsi="宋体" w:cs="宋体"/>
          <w:b/>
          <w:bCs/>
          <w:color w:val="auto"/>
          <w:sz w:val="32"/>
          <w:szCs w:val="32"/>
        </w:rPr>
        <w:t xml:space="preserve"> ______________________</w:t>
      </w:r>
    </w:p>
    <w:bookmarkEnd w:id="2"/>
    <w:p>
      <w:pPr>
        <w:ind w:firstLine="422" w:firstLineChars="200"/>
        <w:rPr>
          <w:rFonts w:cs="宋体"/>
          <w:b/>
          <w:bCs/>
          <w:color w:val="auto"/>
        </w:rPr>
        <w:sectPr>
          <w:pgSz w:w="12240" w:h="15840"/>
          <w:pgMar w:top="1440" w:right="1440" w:bottom="1440" w:left="1440" w:header="720" w:footer="720" w:gutter="0"/>
          <w:cols w:space="720" w:num="1"/>
          <w:titlePg/>
        </w:sectPr>
      </w:pPr>
      <w:r>
        <w:rPr>
          <w:rFonts w:cs="宋体"/>
          <w:b/>
          <w:bCs/>
          <w:color w:val="auto"/>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1"/>
          <w:szCs w:val="21"/>
          <w:lang w:val="zh-CN" w:eastAsia="en-US"/>
        </w:rPr>
      </w:sdtEndPr>
      <w:sdtContent>
        <w:p>
          <w:pPr>
            <w:keepNext/>
            <w:keepLines/>
            <w:spacing w:before="240" w:line="259" w:lineRule="auto"/>
            <w:jc w:val="center"/>
            <w:rPr>
              <w:rFonts w:ascii="仿宋_GB2312" w:eastAsia="仿宋_GB2312" w:hAnsiTheme="majorHAnsi" w:cstheme="majorBidi"/>
              <w:color w:val="auto"/>
              <w:kern w:val="0"/>
              <w:szCs w:val="21"/>
            </w:rPr>
          </w:pPr>
          <w:r>
            <w:rPr>
              <w:rFonts w:hint="eastAsia" w:ascii="仿宋_GB2312" w:eastAsia="仿宋_GB2312" w:hAnsiTheme="majorHAnsi" w:cstheme="majorBidi"/>
              <w:color w:val="auto"/>
              <w:kern w:val="0"/>
              <w:szCs w:val="21"/>
              <w:lang w:val="zh-CN"/>
            </w:rPr>
            <w:t>目录</w:t>
          </w:r>
        </w:p>
        <w:p>
          <w:pPr>
            <w:tabs>
              <w:tab w:val="right" w:leader="dot" w:pos="9350"/>
            </w:tabs>
            <w:ind w:left="420" w:leftChars="200"/>
            <w:rPr>
              <w:rFonts w:ascii="仿宋_GB2312" w:eastAsia="仿宋_GB2312"/>
              <w:color w:val="auto"/>
              <w:szCs w:val="21"/>
            </w:rPr>
          </w:pPr>
          <w:r>
            <w:rPr>
              <w:rFonts w:hint="eastAsia" w:ascii="仿宋_GB2312" w:eastAsia="仿宋_GB2312"/>
              <w:color w:val="auto"/>
              <w:szCs w:val="21"/>
            </w:rPr>
            <w:fldChar w:fldCharType="begin"/>
          </w:r>
          <w:r>
            <w:rPr>
              <w:rFonts w:hint="eastAsia" w:ascii="仿宋_GB2312" w:eastAsia="仿宋_GB2312"/>
              <w:color w:val="auto"/>
              <w:szCs w:val="21"/>
            </w:rPr>
            <w:instrText xml:space="preserve"> TOC \o "1-3" \h \z \u </w:instrText>
          </w:r>
          <w:r>
            <w:rPr>
              <w:rFonts w:hint="eastAsia" w:ascii="仿宋_GB2312" w:eastAsia="仿宋_GB2312"/>
              <w:color w:val="auto"/>
              <w:szCs w:val="21"/>
            </w:rPr>
            <w:fldChar w:fldCharType="separate"/>
          </w:r>
          <w:r>
            <w:rPr>
              <w:color w:val="auto"/>
            </w:rPr>
            <w:fldChar w:fldCharType="begin"/>
          </w:r>
          <w:r>
            <w:rPr>
              <w:color w:val="auto"/>
            </w:rPr>
            <w:instrText xml:space="preserve"> HYPERLINK \l "_Toc25588100" </w:instrText>
          </w:r>
          <w:r>
            <w:rPr>
              <w:color w:val="auto"/>
            </w:rPr>
            <w:fldChar w:fldCharType="separate"/>
          </w:r>
          <w:r>
            <w:rPr>
              <w:rFonts w:hint="eastAsia" w:ascii="仿宋_GB2312" w:eastAsia="仿宋_GB2312"/>
              <w:color w:val="auto"/>
              <w:szCs w:val="21"/>
              <w:u w:val="single"/>
            </w:rPr>
            <w:t>第一条 货物名称、数量及规格</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_Toc25588100 \h </w:instrText>
          </w:r>
          <w:r>
            <w:rPr>
              <w:rFonts w:hint="eastAsia" w:ascii="仿宋_GB2312" w:eastAsia="仿宋_GB2312"/>
              <w:color w:val="auto"/>
              <w:szCs w:val="21"/>
            </w:rPr>
            <w:fldChar w:fldCharType="separate"/>
          </w:r>
          <w:r>
            <w:rPr>
              <w:rFonts w:hint="eastAsia" w:ascii="仿宋_GB2312" w:eastAsia="仿宋_GB2312"/>
              <w:color w:val="auto"/>
              <w:szCs w:val="21"/>
            </w:rPr>
            <w:t>21</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"_Toc25588101" </w:instrText>
          </w:r>
          <w:r>
            <w:rPr>
              <w:color w:val="auto"/>
            </w:rPr>
            <w:fldChar w:fldCharType="separate"/>
          </w:r>
          <w:r>
            <w:rPr>
              <w:rFonts w:hint="eastAsia" w:ascii="仿宋_GB2312" w:eastAsia="仿宋_GB2312"/>
              <w:color w:val="auto"/>
              <w:szCs w:val="21"/>
              <w:u w:val="single"/>
            </w:rPr>
            <w:t>第二条 合同价款</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_Toc25588101 \h </w:instrText>
          </w:r>
          <w:r>
            <w:rPr>
              <w:rFonts w:hint="eastAsia" w:ascii="仿宋_GB2312" w:eastAsia="仿宋_GB2312"/>
              <w:color w:val="auto"/>
              <w:szCs w:val="21"/>
            </w:rPr>
            <w:fldChar w:fldCharType="separate"/>
          </w:r>
          <w:r>
            <w:rPr>
              <w:rFonts w:hint="eastAsia" w:ascii="仿宋_GB2312" w:eastAsia="仿宋_GB2312"/>
              <w:color w:val="auto"/>
              <w:szCs w:val="21"/>
            </w:rPr>
            <w:t>21</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"_Toc25588102" </w:instrText>
          </w:r>
          <w:r>
            <w:rPr>
              <w:color w:val="auto"/>
            </w:rPr>
            <w:fldChar w:fldCharType="separate"/>
          </w:r>
          <w:r>
            <w:rPr>
              <w:rFonts w:hint="eastAsia" w:ascii="仿宋_GB2312" w:eastAsia="仿宋_GB2312"/>
              <w:color w:val="auto"/>
              <w:szCs w:val="21"/>
              <w:u w:val="single"/>
            </w:rPr>
            <w:t>第三条 技术标准及要求</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_Toc25588102 \h </w:instrText>
          </w:r>
          <w:r>
            <w:rPr>
              <w:rFonts w:hint="eastAsia" w:ascii="仿宋_GB2312" w:eastAsia="仿宋_GB2312"/>
              <w:color w:val="auto"/>
              <w:szCs w:val="21"/>
            </w:rPr>
            <w:fldChar w:fldCharType="separate"/>
          </w:r>
          <w:r>
            <w:rPr>
              <w:rFonts w:hint="eastAsia" w:ascii="仿宋_GB2312" w:eastAsia="仿宋_GB2312"/>
              <w:color w:val="auto"/>
              <w:szCs w:val="21"/>
            </w:rPr>
            <w:t>22</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"_Toc25588103" </w:instrText>
          </w:r>
          <w:r>
            <w:rPr>
              <w:color w:val="auto"/>
            </w:rPr>
            <w:fldChar w:fldCharType="separate"/>
          </w:r>
          <w:r>
            <w:rPr>
              <w:rFonts w:hint="eastAsia" w:ascii="仿宋_GB2312" w:eastAsia="仿宋_GB2312"/>
              <w:color w:val="auto"/>
              <w:szCs w:val="21"/>
              <w:u w:val="single"/>
            </w:rPr>
            <w:t>第四条 交货日期、方式和地点</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_Toc25588103 \h </w:instrText>
          </w:r>
          <w:r>
            <w:rPr>
              <w:rFonts w:hint="eastAsia" w:ascii="仿宋_GB2312" w:eastAsia="仿宋_GB2312"/>
              <w:color w:val="auto"/>
              <w:szCs w:val="21"/>
            </w:rPr>
            <w:fldChar w:fldCharType="separate"/>
          </w:r>
          <w:r>
            <w:rPr>
              <w:rFonts w:hint="eastAsia" w:ascii="仿宋_GB2312" w:eastAsia="仿宋_GB2312"/>
              <w:color w:val="auto"/>
              <w:szCs w:val="21"/>
            </w:rPr>
            <w:t>22</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"_Toc25588104" </w:instrText>
          </w:r>
          <w:r>
            <w:rPr>
              <w:color w:val="auto"/>
            </w:rPr>
            <w:fldChar w:fldCharType="separate"/>
          </w:r>
          <w:r>
            <w:rPr>
              <w:rFonts w:hint="eastAsia" w:ascii="仿宋_GB2312" w:eastAsia="仿宋_GB2312"/>
              <w:color w:val="auto"/>
              <w:szCs w:val="21"/>
              <w:u w:val="single"/>
            </w:rPr>
            <w:t>第五条 验收办法</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_Toc25588104 \h </w:instrText>
          </w:r>
          <w:r>
            <w:rPr>
              <w:rFonts w:hint="eastAsia" w:ascii="仿宋_GB2312" w:eastAsia="仿宋_GB2312"/>
              <w:color w:val="auto"/>
              <w:szCs w:val="21"/>
            </w:rPr>
            <w:fldChar w:fldCharType="separate"/>
          </w:r>
          <w:r>
            <w:rPr>
              <w:rFonts w:hint="eastAsia" w:ascii="仿宋_GB2312" w:eastAsia="仿宋_GB2312"/>
              <w:color w:val="auto"/>
              <w:szCs w:val="21"/>
            </w:rPr>
            <w:t>22</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"_Toc25588105" </w:instrText>
          </w:r>
          <w:r>
            <w:rPr>
              <w:color w:val="auto"/>
            </w:rPr>
            <w:fldChar w:fldCharType="separate"/>
          </w:r>
          <w:r>
            <w:rPr>
              <w:rFonts w:hint="eastAsia" w:ascii="仿宋_GB2312" w:eastAsia="仿宋_GB2312"/>
              <w:color w:val="auto"/>
              <w:szCs w:val="21"/>
              <w:u w:val="single"/>
            </w:rPr>
            <w:t>第六条 保证金</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_Toc25588105 \h </w:instrText>
          </w:r>
          <w:r>
            <w:rPr>
              <w:rFonts w:hint="eastAsia" w:ascii="仿宋_GB2312" w:eastAsia="仿宋_GB2312"/>
              <w:color w:val="auto"/>
              <w:szCs w:val="21"/>
            </w:rPr>
            <w:fldChar w:fldCharType="separate"/>
          </w:r>
          <w:r>
            <w:rPr>
              <w:rFonts w:hint="eastAsia" w:ascii="仿宋_GB2312" w:eastAsia="仿宋_GB2312"/>
              <w:color w:val="auto"/>
              <w:szCs w:val="21"/>
            </w:rPr>
            <w:t>22</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"_Toc25588106" </w:instrText>
          </w:r>
          <w:r>
            <w:rPr>
              <w:color w:val="auto"/>
            </w:rPr>
            <w:fldChar w:fldCharType="separate"/>
          </w:r>
          <w:r>
            <w:rPr>
              <w:rFonts w:hint="eastAsia" w:ascii="仿宋_GB2312" w:eastAsia="仿宋_GB2312"/>
              <w:color w:val="auto"/>
              <w:szCs w:val="21"/>
              <w:u w:val="single"/>
            </w:rPr>
            <w:t>第七条 付款方式</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_Toc25588106 \h </w:instrText>
          </w:r>
          <w:r>
            <w:rPr>
              <w:rFonts w:hint="eastAsia" w:ascii="仿宋_GB2312" w:eastAsia="仿宋_GB2312"/>
              <w:color w:val="auto"/>
              <w:szCs w:val="21"/>
            </w:rPr>
            <w:fldChar w:fldCharType="separate"/>
          </w:r>
          <w:r>
            <w:rPr>
              <w:rFonts w:hint="eastAsia" w:ascii="仿宋_GB2312" w:eastAsia="仿宋_GB2312"/>
              <w:color w:val="auto"/>
              <w:szCs w:val="21"/>
            </w:rPr>
            <w:t>22</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"_Toc25588107" </w:instrText>
          </w:r>
          <w:r>
            <w:rPr>
              <w:color w:val="auto"/>
            </w:rPr>
            <w:fldChar w:fldCharType="separate"/>
          </w:r>
          <w:r>
            <w:rPr>
              <w:rFonts w:hint="eastAsia" w:ascii="仿宋_GB2312" w:eastAsia="仿宋_GB2312"/>
              <w:color w:val="auto"/>
              <w:szCs w:val="21"/>
              <w:u w:val="single"/>
            </w:rPr>
            <w:t>第八条 违约和索赔</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_Toc25588107 \h </w:instrText>
          </w:r>
          <w:r>
            <w:rPr>
              <w:rFonts w:hint="eastAsia" w:ascii="仿宋_GB2312" w:eastAsia="仿宋_GB2312"/>
              <w:color w:val="auto"/>
              <w:szCs w:val="21"/>
            </w:rPr>
            <w:fldChar w:fldCharType="separate"/>
          </w:r>
          <w:r>
            <w:rPr>
              <w:rFonts w:hint="eastAsia" w:ascii="仿宋_GB2312" w:eastAsia="仿宋_GB2312"/>
              <w:color w:val="auto"/>
              <w:szCs w:val="21"/>
            </w:rPr>
            <w:t>23</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"_Toc25588108" </w:instrText>
          </w:r>
          <w:r>
            <w:rPr>
              <w:color w:val="auto"/>
            </w:rPr>
            <w:fldChar w:fldCharType="separate"/>
          </w:r>
          <w:r>
            <w:rPr>
              <w:rFonts w:hint="eastAsia" w:ascii="仿宋_GB2312" w:eastAsia="仿宋_GB2312"/>
              <w:color w:val="auto"/>
              <w:szCs w:val="21"/>
              <w:u w:val="single"/>
            </w:rPr>
            <w:t>第九条 不可抗力</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_Toc25588108 \h </w:instrText>
          </w:r>
          <w:r>
            <w:rPr>
              <w:rFonts w:hint="eastAsia" w:ascii="仿宋_GB2312" w:eastAsia="仿宋_GB2312"/>
              <w:color w:val="auto"/>
              <w:szCs w:val="21"/>
            </w:rPr>
            <w:fldChar w:fldCharType="separate"/>
          </w:r>
          <w:r>
            <w:rPr>
              <w:rFonts w:hint="eastAsia" w:ascii="仿宋_GB2312" w:eastAsia="仿宋_GB2312"/>
              <w:color w:val="auto"/>
              <w:szCs w:val="21"/>
            </w:rPr>
            <w:t>23</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"_Toc25588109" </w:instrText>
          </w:r>
          <w:r>
            <w:rPr>
              <w:color w:val="auto"/>
            </w:rPr>
            <w:fldChar w:fldCharType="separate"/>
          </w:r>
          <w:r>
            <w:rPr>
              <w:rFonts w:hint="eastAsia" w:ascii="仿宋_GB2312" w:eastAsia="仿宋_GB2312"/>
              <w:color w:val="auto"/>
              <w:szCs w:val="21"/>
              <w:u w:val="single"/>
            </w:rPr>
            <w:t>第十条 通知条款</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_Toc25588109 \h </w:instrText>
          </w:r>
          <w:r>
            <w:rPr>
              <w:rFonts w:hint="eastAsia" w:ascii="仿宋_GB2312" w:eastAsia="仿宋_GB2312"/>
              <w:color w:val="auto"/>
              <w:szCs w:val="21"/>
            </w:rPr>
            <w:fldChar w:fldCharType="separate"/>
          </w:r>
          <w:r>
            <w:rPr>
              <w:rFonts w:hint="eastAsia" w:ascii="仿宋_GB2312" w:eastAsia="仿宋_GB2312"/>
              <w:color w:val="auto"/>
              <w:szCs w:val="21"/>
            </w:rPr>
            <w:t>24</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"_Toc25588110" </w:instrText>
          </w:r>
          <w:r>
            <w:rPr>
              <w:color w:val="auto"/>
            </w:rPr>
            <w:fldChar w:fldCharType="separate"/>
          </w:r>
          <w:r>
            <w:rPr>
              <w:rFonts w:hint="eastAsia" w:ascii="仿宋_GB2312" w:eastAsia="仿宋_GB2312"/>
              <w:color w:val="auto"/>
              <w:szCs w:val="21"/>
              <w:u w:val="single"/>
            </w:rPr>
            <w:t>第十一条 保密条款</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_Toc25588110 \h </w:instrText>
          </w:r>
          <w:r>
            <w:rPr>
              <w:rFonts w:hint="eastAsia" w:ascii="仿宋_GB2312" w:eastAsia="仿宋_GB2312"/>
              <w:color w:val="auto"/>
              <w:szCs w:val="21"/>
            </w:rPr>
            <w:fldChar w:fldCharType="separate"/>
          </w:r>
          <w:r>
            <w:rPr>
              <w:rFonts w:hint="eastAsia" w:ascii="仿宋_GB2312" w:eastAsia="仿宋_GB2312"/>
              <w:color w:val="auto"/>
              <w:szCs w:val="21"/>
            </w:rPr>
            <w:t>25</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"_Toc25588111" </w:instrText>
          </w:r>
          <w:r>
            <w:rPr>
              <w:color w:val="auto"/>
            </w:rPr>
            <w:fldChar w:fldCharType="separate"/>
          </w:r>
          <w:r>
            <w:rPr>
              <w:rFonts w:hint="eastAsia" w:ascii="仿宋_GB2312" w:eastAsia="仿宋_GB2312"/>
              <w:color w:val="auto"/>
              <w:szCs w:val="21"/>
              <w:u w:val="single"/>
            </w:rPr>
            <w:t>第十二条 合同争议的解决方式</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_Toc25588111 \h </w:instrText>
          </w:r>
          <w:r>
            <w:rPr>
              <w:rFonts w:hint="eastAsia" w:ascii="仿宋_GB2312" w:eastAsia="仿宋_GB2312"/>
              <w:color w:val="auto"/>
              <w:szCs w:val="21"/>
            </w:rPr>
            <w:fldChar w:fldCharType="separate"/>
          </w:r>
          <w:r>
            <w:rPr>
              <w:rFonts w:hint="eastAsia" w:ascii="仿宋_GB2312" w:eastAsia="仿宋_GB2312"/>
              <w:color w:val="auto"/>
              <w:szCs w:val="21"/>
            </w:rPr>
            <w:t>25</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"_Toc25588112" </w:instrText>
          </w:r>
          <w:r>
            <w:rPr>
              <w:color w:val="auto"/>
            </w:rPr>
            <w:fldChar w:fldCharType="separate"/>
          </w:r>
          <w:r>
            <w:rPr>
              <w:rFonts w:hint="eastAsia" w:ascii="仿宋_GB2312" w:eastAsia="仿宋_GB2312"/>
              <w:color w:val="auto"/>
              <w:szCs w:val="21"/>
              <w:u w:val="single"/>
            </w:rPr>
            <w:t>第十三条 合同的变更和解除</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_Toc25588112 \h </w:instrText>
          </w:r>
          <w:r>
            <w:rPr>
              <w:rFonts w:hint="eastAsia" w:ascii="仿宋_GB2312" w:eastAsia="仿宋_GB2312"/>
              <w:color w:val="auto"/>
              <w:szCs w:val="21"/>
            </w:rPr>
            <w:fldChar w:fldCharType="separate"/>
          </w:r>
          <w:r>
            <w:rPr>
              <w:rFonts w:hint="eastAsia" w:ascii="仿宋_GB2312" w:eastAsia="仿宋_GB2312"/>
              <w:color w:val="auto"/>
              <w:szCs w:val="21"/>
            </w:rPr>
            <w:t>25</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tabs>
              <w:tab w:val="right" w:leader="dot" w:pos="9350"/>
            </w:tabs>
            <w:ind w:left="420" w:leftChars="200"/>
            <w:rPr>
              <w:rFonts w:ascii="仿宋_GB2312" w:eastAsia="仿宋_GB2312"/>
              <w:color w:val="auto"/>
              <w:szCs w:val="21"/>
            </w:rPr>
          </w:pPr>
          <w:r>
            <w:rPr>
              <w:color w:val="auto"/>
            </w:rPr>
            <w:fldChar w:fldCharType="begin"/>
          </w:r>
          <w:r>
            <w:rPr>
              <w:color w:val="auto"/>
            </w:rPr>
            <w:instrText xml:space="preserve"> HYPERLINK \l "_Toc25588113" </w:instrText>
          </w:r>
          <w:r>
            <w:rPr>
              <w:color w:val="auto"/>
            </w:rPr>
            <w:fldChar w:fldCharType="separate"/>
          </w:r>
          <w:r>
            <w:rPr>
              <w:rFonts w:hint="eastAsia" w:ascii="仿宋_GB2312" w:eastAsia="仿宋_GB2312"/>
              <w:color w:val="auto"/>
              <w:szCs w:val="21"/>
              <w:u w:val="single"/>
            </w:rPr>
            <w:t>第十四条 合同生效及其他</w:t>
          </w:r>
          <w:r>
            <w:rPr>
              <w:rFonts w:hint="eastAsia" w:ascii="仿宋_GB2312" w:eastAsia="仿宋_GB2312"/>
              <w:color w:val="auto"/>
              <w:szCs w:val="21"/>
            </w:rPr>
            <w:tab/>
          </w:r>
          <w:r>
            <w:rPr>
              <w:rFonts w:hint="eastAsia" w:ascii="仿宋_GB2312" w:eastAsia="仿宋_GB2312"/>
              <w:color w:val="auto"/>
              <w:szCs w:val="21"/>
            </w:rPr>
            <w:fldChar w:fldCharType="begin"/>
          </w:r>
          <w:r>
            <w:rPr>
              <w:rFonts w:hint="eastAsia" w:ascii="仿宋_GB2312" w:eastAsia="仿宋_GB2312"/>
              <w:color w:val="auto"/>
              <w:szCs w:val="21"/>
            </w:rPr>
            <w:instrText xml:space="preserve"> PAGEREF _Toc25588113 \h </w:instrText>
          </w:r>
          <w:r>
            <w:rPr>
              <w:rFonts w:hint="eastAsia" w:ascii="仿宋_GB2312" w:eastAsia="仿宋_GB2312"/>
              <w:color w:val="auto"/>
              <w:szCs w:val="21"/>
            </w:rPr>
            <w:fldChar w:fldCharType="separate"/>
          </w:r>
          <w:r>
            <w:rPr>
              <w:rFonts w:hint="eastAsia" w:ascii="仿宋_GB2312" w:eastAsia="仿宋_GB2312"/>
              <w:color w:val="auto"/>
              <w:szCs w:val="21"/>
            </w:rPr>
            <w:t>25</w:t>
          </w:r>
          <w:r>
            <w:rPr>
              <w:rFonts w:hint="eastAsia" w:ascii="仿宋_GB2312" w:eastAsia="仿宋_GB2312"/>
              <w:color w:val="auto"/>
              <w:szCs w:val="21"/>
            </w:rPr>
            <w:fldChar w:fldCharType="end"/>
          </w:r>
          <w:r>
            <w:rPr>
              <w:rFonts w:hint="eastAsia" w:ascii="仿宋_GB2312" w:eastAsia="仿宋_GB2312"/>
              <w:color w:val="auto"/>
              <w:szCs w:val="21"/>
            </w:rPr>
            <w:fldChar w:fldCharType="end"/>
          </w:r>
        </w:p>
        <w:p>
          <w:pPr>
            <w:rPr>
              <w:color w:val="auto"/>
              <w:szCs w:val="21"/>
            </w:rPr>
          </w:pPr>
          <w:r>
            <w:rPr>
              <w:rFonts w:hint="eastAsia" w:ascii="仿宋_GB2312" w:eastAsia="仿宋_GB2312"/>
              <w:b/>
              <w:bCs/>
              <w:color w:val="auto"/>
              <w:szCs w:val="21"/>
              <w:lang w:val="zh-CN"/>
            </w:rPr>
            <w:fldChar w:fldCharType="end"/>
          </w:r>
        </w:p>
      </w:sdtContent>
    </w:sdt>
    <w:p>
      <w:pPr>
        <w:ind w:firstLine="422" w:firstLineChars="200"/>
        <w:rPr>
          <w:rFonts w:cs="宋体"/>
          <w:b/>
          <w:bCs/>
          <w:color w:val="auto"/>
          <w:szCs w:val="21"/>
        </w:rPr>
      </w:pPr>
    </w:p>
    <w:p>
      <w:pPr>
        <w:ind w:firstLine="422" w:firstLineChars="200"/>
        <w:rPr>
          <w:rFonts w:cs="宋体"/>
          <w:b/>
          <w:bCs/>
          <w:color w:val="auto"/>
          <w:szCs w:val="21"/>
        </w:rPr>
        <w:sectPr>
          <w:footerReference r:id="rId3" w:type="default"/>
          <w:pgSz w:w="12240" w:h="15840"/>
          <w:pgMar w:top="1440" w:right="1440" w:bottom="1440" w:left="1440" w:header="720" w:footer="720" w:gutter="0"/>
          <w:cols w:space="720" w:num="1"/>
        </w:sectPr>
      </w:pPr>
    </w:p>
    <w:p>
      <w:pPr>
        <w:ind w:firstLine="422" w:firstLineChars="200"/>
        <w:rPr>
          <w:rFonts w:cs="宋体"/>
          <w:b/>
          <w:bCs/>
          <w:color w:val="auto"/>
          <w:szCs w:val="21"/>
        </w:rPr>
      </w:pP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甲方（买方）：重庆机场集团有限公司</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统一信用代码：91500000756209971P</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送达地址：</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 xml:space="preserve">联系人： </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联系电话：</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邮箱：</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 xml:space="preserve">乙方（卖方）： </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统一信用代码：</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送达地址：</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 xml:space="preserve">联系人： </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联系电话：</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邮箱：</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 xml:space="preserve">签订地点： </w:t>
      </w:r>
    </w:p>
    <w:p>
      <w:pPr>
        <w:spacing w:line="360" w:lineRule="auto"/>
        <w:ind w:firstLine="422" w:firstLineChars="200"/>
        <w:rPr>
          <w:rFonts w:ascii="仿宋_GB2312" w:hAnsi="仿宋" w:eastAsia="仿宋_GB2312" w:cs="宋体"/>
          <w:b/>
          <w:bCs/>
          <w:color w:val="auto"/>
          <w:szCs w:val="21"/>
        </w:rPr>
      </w:pPr>
      <w:r>
        <w:rPr>
          <w:rFonts w:hint="eastAsia" w:ascii="仿宋_GB2312" w:hAnsi="仿宋" w:eastAsia="仿宋_GB2312" w:cs="宋体"/>
          <w:b/>
          <w:bCs/>
          <w:color w:val="auto"/>
          <w:szCs w:val="21"/>
        </w:rPr>
        <w:t>签订时间：</w:t>
      </w:r>
      <w:r>
        <w:rPr>
          <w:rFonts w:hint="eastAsia" w:ascii="仿宋_GB2312" w:hAnsi="仿宋" w:eastAsia="仿宋_GB2312" w:cs="宋体"/>
          <w:b/>
          <w:bCs/>
          <w:color w:val="auto"/>
          <w:szCs w:val="21"/>
          <w:u w:val="single"/>
        </w:rPr>
        <w:t xml:space="preserve">    </w:t>
      </w:r>
      <w:r>
        <w:rPr>
          <w:rFonts w:hint="eastAsia" w:ascii="仿宋_GB2312" w:hAnsi="仿宋" w:eastAsia="仿宋_GB2312" w:cs="宋体"/>
          <w:b/>
          <w:bCs/>
          <w:color w:val="auto"/>
          <w:szCs w:val="21"/>
        </w:rPr>
        <w:t>年</w:t>
      </w:r>
      <w:r>
        <w:rPr>
          <w:rFonts w:hint="eastAsia" w:ascii="仿宋_GB2312" w:hAnsi="仿宋" w:eastAsia="仿宋_GB2312" w:cs="宋体"/>
          <w:b/>
          <w:bCs/>
          <w:color w:val="auto"/>
          <w:szCs w:val="21"/>
          <w:u w:val="single"/>
        </w:rPr>
        <w:t xml:space="preserve">  </w:t>
      </w:r>
      <w:r>
        <w:rPr>
          <w:rFonts w:hint="eastAsia" w:ascii="仿宋_GB2312" w:hAnsi="仿宋" w:eastAsia="仿宋_GB2312" w:cs="宋体"/>
          <w:b/>
          <w:bCs/>
          <w:color w:val="auto"/>
          <w:szCs w:val="21"/>
        </w:rPr>
        <w:t>月</w:t>
      </w:r>
      <w:r>
        <w:rPr>
          <w:rFonts w:hint="eastAsia" w:ascii="仿宋_GB2312" w:hAnsi="仿宋" w:eastAsia="仿宋_GB2312" w:cs="宋体"/>
          <w:b/>
          <w:bCs/>
          <w:color w:val="auto"/>
          <w:szCs w:val="21"/>
          <w:u w:val="single"/>
        </w:rPr>
        <w:t xml:space="preserve">  </w:t>
      </w:r>
      <w:r>
        <w:rPr>
          <w:rFonts w:hint="eastAsia" w:ascii="仿宋_GB2312" w:hAnsi="仿宋" w:eastAsia="仿宋_GB2312" w:cs="宋体"/>
          <w:b/>
          <w:bCs/>
          <w:color w:val="auto"/>
          <w:szCs w:val="21"/>
        </w:rPr>
        <w:t>日</w:t>
      </w:r>
    </w:p>
    <w:p>
      <w:pPr>
        <w:spacing w:line="360" w:lineRule="auto"/>
        <w:ind w:firstLine="420" w:firstLineChars="200"/>
        <w:rPr>
          <w:rFonts w:ascii="仿宋_GB2312" w:hAnsi="仿宋" w:eastAsia="仿宋_GB2312" w:cs="宋体"/>
          <w:color w:val="auto"/>
          <w:szCs w:val="21"/>
        </w:rPr>
      </w:pPr>
    </w:p>
    <w:p>
      <w:pPr>
        <w:spacing w:line="360" w:lineRule="auto"/>
        <w:ind w:firstLine="420" w:firstLineChars="200"/>
        <w:rPr>
          <w:rFonts w:ascii="仿宋_GB2312" w:hAnsi="仿宋_GB2312" w:eastAsia="仿宋_GB2312" w:cs="宋体"/>
          <w:color w:val="auto"/>
          <w:szCs w:val="21"/>
        </w:rPr>
      </w:pPr>
      <w:r>
        <w:rPr>
          <w:rFonts w:hint="eastAsia" w:ascii="仿宋_GB2312" w:hAnsi="仿宋_GB2312" w:eastAsia="仿宋_GB2312" w:cs="宋体"/>
          <w:color w:val="auto"/>
          <w:szCs w:val="21"/>
        </w:rPr>
        <w:t>甲乙双方依照《中华人民共和国民法典》及相关法律、法规规定，本着平等、自愿的原则，经友好协商，现就甲方向乙方购买2</w:t>
      </w:r>
      <w:r>
        <w:rPr>
          <w:rFonts w:ascii="仿宋_GB2312" w:hAnsi="仿宋_GB2312" w:eastAsia="仿宋_GB2312" w:cs="宋体"/>
          <w:color w:val="auto"/>
          <w:szCs w:val="21"/>
        </w:rPr>
        <w:t>022</w:t>
      </w:r>
      <w:r>
        <w:rPr>
          <w:rFonts w:hint="eastAsia" w:ascii="仿宋_GB2312" w:hAnsi="仿宋_GB2312" w:eastAsia="仿宋_GB2312" w:cs="宋体"/>
          <w:color w:val="auto"/>
          <w:szCs w:val="21"/>
        </w:rPr>
        <w:t>年正版软件采购项目（Adobe部分）</w:t>
      </w:r>
      <w:r>
        <w:rPr>
          <w:rFonts w:ascii="仿宋_GB2312" w:hAnsi="仿宋_GB2312" w:eastAsia="仿宋_GB2312" w:cs="宋体"/>
          <w:color w:val="auto"/>
          <w:szCs w:val="21"/>
        </w:rPr>
        <w:t>事宜达成一致，签订本协议。：</w:t>
      </w:r>
    </w:p>
    <w:p>
      <w:pPr>
        <w:spacing w:before="120" w:after="120" w:line="360" w:lineRule="auto"/>
        <w:ind w:firstLine="420" w:firstLineChars="200"/>
        <w:outlineLvl w:val="1"/>
        <w:rPr>
          <w:rFonts w:ascii="仿宋_GB2312" w:hAnsi="仿宋" w:eastAsia="黑体" w:cs="宋体"/>
          <w:color w:val="auto"/>
          <w:szCs w:val="21"/>
        </w:rPr>
      </w:pPr>
      <w:bookmarkStart w:id="3" w:name="_Toc25588100"/>
      <w:r>
        <w:rPr>
          <w:rFonts w:ascii="仿宋_GB2312" w:hAnsi="仿宋" w:eastAsia="黑体" w:cs="宋体"/>
          <w:color w:val="auto"/>
          <w:szCs w:val="21"/>
        </w:rPr>
        <w:t>第</w:t>
      </w:r>
      <w:r>
        <w:rPr>
          <w:rFonts w:hint="eastAsia" w:ascii="仿宋_GB2312" w:hAnsi="仿宋" w:eastAsia="黑体" w:cs="宋体"/>
          <w:color w:val="auto"/>
          <w:szCs w:val="21"/>
        </w:rPr>
        <w:t>一</w:t>
      </w:r>
      <w:r>
        <w:rPr>
          <w:rFonts w:ascii="仿宋_GB2312" w:hAnsi="仿宋" w:eastAsia="黑体" w:cs="宋体"/>
          <w:color w:val="auto"/>
          <w:szCs w:val="21"/>
        </w:rPr>
        <w:t>条 货</w:t>
      </w:r>
      <w:r>
        <w:rPr>
          <w:rFonts w:hint="eastAsia" w:ascii="仿宋_GB2312" w:hAnsi="仿宋" w:eastAsia="黑体" w:cs="宋体"/>
          <w:color w:val="auto"/>
          <w:szCs w:val="21"/>
        </w:rPr>
        <w:t>物</w:t>
      </w:r>
      <w:r>
        <w:rPr>
          <w:rFonts w:ascii="仿宋_GB2312" w:hAnsi="仿宋" w:eastAsia="黑体" w:cs="宋体"/>
          <w:color w:val="auto"/>
          <w:szCs w:val="21"/>
        </w:rPr>
        <w:t>名称、数量及规格</w:t>
      </w:r>
      <w:bookmarkEnd w:id="3"/>
    </w:p>
    <w:p>
      <w:pPr>
        <w:spacing w:line="360" w:lineRule="auto"/>
        <w:ind w:firstLine="420" w:firstLineChars="200"/>
        <w:rPr>
          <w:rFonts w:ascii="仿宋_GB2312" w:hAnsi="仿宋_GB2312" w:eastAsia="仿宋_GB2312" w:cs="宋体"/>
          <w:color w:val="auto"/>
          <w:szCs w:val="21"/>
        </w:rPr>
      </w:pPr>
      <w:r>
        <w:rPr>
          <w:rFonts w:hint="eastAsia" w:ascii="仿宋_GB2312" w:hAnsi="仿宋" w:eastAsia="仿宋_GB2312" w:cs="宋体"/>
          <w:color w:val="auto"/>
          <w:szCs w:val="21"/>
        </w:rPr>
        <w:t>1</w:t>
      </w:r>
      <w:r>
        <w:rPr>
          <w:rFonts w:ascii="仿宋_GB2312" w:hAnsi="仿宋" w:eastAsia="仿宋_GB2312" w:cs="宋体"/>
          <w:color w:val="auto"/>
          <w:szCs w:val="21"/>
        </w:rPr>
        <w:t>.1本合同</w:t>
      </w:r>
      <w:r>
        <w:rPr>
          <w:rFonts w:hint="eastAsia" w:ascii="仿宋_GB2312" w:hAnsi="仿宋" w:eastAsia="仿宋_GB2312" w:cs="宋体"/>
          <w:color w:val="auto"/>
          <w:szCs w:val="21"/>
        </w:rPr>
        <w:t>项下乙方所供</w:t>
      </w:r>
      <w:r>
        <w:rPr>
          <w:rFonts w:ascii="仿宋_GB2312" w:hAnsi="仿宋" w:eastAsia="仿宋_GB2312" w:cs="宋体"/>
          <w:color w:val="auto"/>
          <w:szCs w:val="21"/>
        </w:rPr>
        <w:t>货物</w:t>
      </w:r>
      <w:r>
        <w:rPr>
          <w:rFonts w:hint="eastAsia" w:ascii="仿宋_GB2312" w:hAnsi="仿宋" w:eastAsia="仿宋_GB2312" w:cs="宋体"/>
          <w:color w:val="auto"/>
          <w:szCs w:val="21"/>
        </w:rPr>
        <w:t>情况</w:t>
      </w:r>
      <w:r>
        <w:rPr>
          <w:rFonts w:ascii="仿宋_GB2312" w:hAnsi="仿宋" w:eastAsia="仿宋_GB2312" w:cs="宋体"/>
          <w:color w:val="auto"/>
          <w:szCs w:val="21"/>
        </w:rPr>
        <w:t>如下：</w:t>
      </w:r>
    </w:p>
    <w:tbl>
      <w:tblPr>
        <w:tblStyle w:val="16"/>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名  称</w:t>
            </w:r>
          </w:p>
        </w:tc>
        <w:tc>
          <w:tcPr>
            <w:tcW w:w="943" w:type="dxa"/>
            <w:vAlign w:val="center"/>
          </w:tcPr>
          <w:p>
            <w:pPr>
              <w:spacing w:line="5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品  牌</w:t>
            </w:r>
          </w:p>
        </w:tc>
        <w:tc>
          <w:tcPr>
            <w:tcW w:w="1347" w:type="dxa"/>
            <w:vAlign w:val="center"/>
          </w:tcPr>
          <w:p>
            <w:pPr>
              <w:spacing w:line="5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规格（型号）</w:t>
            </w:r>
          </w:p>
        </w:tc>
        <w:tc>
          <w:tcPr>
            <w:tcW w:w="1132" w:type="dxa"/>
            <w:vAlign w:val="center"/>
          </w:tcPr>
          <w:p>
            <w:pPr>
              <w:spacing w:line="5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数  量</w:t>
            </w:r>
          </w:p>
        </w:tc>
        <w:tc>
          <w:tcPr>
            <w:tcW w:w="1256" w:type="dxa"/>
            <w:vAlign w:val="center"/>
          </w:tcPr>
          <w:p>
            <w:pPr>
              <w:spacing w:line="3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单价</w:t>
            </w:r>
            <w:r>
              <w:rPr>
                <w:rFonts w:hint="eastAsia" w:ascii="仿宋_GB2312" w:hAnsi="仿宋_GB2312" w:eastAsia="仿宋_GB2312" w:cs="宋体"/>
                <w:color w:val="auto"/>
                <w:kern w:val="0"/>
                <w:sz w:val="15"/>
                <w:szCs w:val="15"/>
              </w:rPr>
              <w:t>（含</w:t>
            </w:r>
            <w:r>
              <w:rPr>
                <w:rFonts w:hint="eastAsia" w:ascii="方正仿宋_GBK" w:hAnsi="方正仿宋_GBK" w:eastAsia="方正仿宋_GBK" w:cs="方正仿宋_GBK"/>
                <w:color w:val="auto"/>
                <w:kern w:val="0"/>
                <w:sz w:val="15"/>
                <w:szCs w:val="15"/>
              </w:rPr>
              <w:t>增值税</w:t>
            </w:r>
            <w:r>
              <w:rPr>
                <w:rFonts w:hint="eastAsia" w:ascii="仿宋_GB2312" w:hAnsi="仿宋_GB2312" w:eastAsia="仿宋_GB2312" w:cs="宋体"/>
                <w:color w:val="auto"/>
                <w:kern w:val="0"/>
                <w:sz w:val="15"/>
                <w:szCs w:val="15"/>
              </w:rPr>
              <w:t>）</w:t>
            </w:r>
          </w:p>
        </w:tc>
        <w:tc>
          <w:tcPr>
            <w:tcW w:w="1261" w:type="dxa"/>
            <w:vAlign w:val="center"/>
          </w:tcPr>
          <w:p>
            <w:pPr>
              <w:spacing w:line="3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总价</w:t>
            </w:r>
            <w:r>
              <w:rPr>
                <w:rFonts w:hint="eastAsia" w:ascii="仿宋_GB2312" w:hAnsi="仿宋_GB2312" w:eastAsia="仿宋_GB2312" w:cs="宋体"/>
                <w:color w:val="auto"/>
                <w:kern w:val="0"/>
                <w:sz w:val="15"/>
                <w:szCs w:val="15"/>
              </w:rPr>
              <w:t>（含</w:t>
            </w:r>
            <w:r>
              <w:rPr>
                <w:rFonts w:hint="eastAsia" w:ascii="方正仿宋_GBK" w:hAnsi="方正仿宋_GBK" w:eastAsia="方正仿宋_GBK" w:cs="方正仿宋_GBK"/>
                <w:color w:val="auto"/>
                <w:kern w:val="0"/>
                <w:sz w:val="15"/>
                <w:szCs w:val="15"/>
              </w:rPr>
              <w:t>增值税</w:t>
            </w:r>
            <w:r>
              <w:rPr>
                <w:rFonts w:hint="eastAsia" w:ascii="仿宋_GB2312" w:hAnsi="仿宋_GB2312" w:eastAsia="仿宋_GB2312" w:cs="宋体"/>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color w:val="auto"/>
                <w:kern w:val="0"/>
                <w:sz w:val="20"/>
                <w:szCs w:val="21"/>
              </w:rPr>
            </w:pPr>
          </w:p>
        </w:tc>
        <w:tc>
          <w:tcPr>
            <w:tcW w:w="943" w:type="dxa"/>
            <w:vAlign w:val="center"/>
          </w:tcPr>
          <w:p>
            <w:pPr>
              <w:spacing w:line="560" w:lineRule="exact"/>
              <w:jc w:val="center"/>
              <w:rPr>
                <w:rFonts w:ascii="仿宋_GB2312" w:hAnsi="仿宋_GB2312" w:eastAsia="仿宋_GB2312" w:cs="宋体"/>
                <w:color w:val="auto"/>
                <w:kern w:val="0"/>
                <w:sz w:val="20"/>
                <w:szCs w:val="21"/>
              </w:rPr>
            </w:pPr>
          </w:p>
        </w:tc>
        <w:tc>
          <w:tcPr>
            <w:tcW w:w="1347" w:type="dxa"/>
            <w:vAlign w:val="center"/>
          </w:tcPr>
          <w:p>
            <w:pPr>
              <w:spacing w:line="560" w:lineRule="exact"/>
              <w:jc w:val="center"/>
              <w:rPr>
                <w:rFonts w:ascii="仿宋_GB2312" w:hAnsi="仿宋_GB2312" w:eastAsia="仿宋_GB2312" w:cs="宋体"/>
                <w:color w:val="auto"/>
                <w:kern w:val="0"/>
                <w:sz w:val="20"/>
                <w:szCs w:val="21"/>
              </w:rPr>
            </w:pPr>
          </w:p>
        </w:tc>
        <w:tc>
          <w:tcPr>
            <w:tcW w:w="1132" w:type="dxa"/>
            <w:vAlign w:val="center"/>
          </w:tcPr>
          <w:p>
            <w:pPr>
              <w:spacing w:line="560" w:lineRule="exact"/>
              <w:jc w:val="center"/>
              <w:rPr>
                <w:rFonts w:ascii="仿宋_GB2312" w:hAnsi="仿宋_GB2312" w:eastAsia="仿宋_GB2312" w:cs="宋体"/>
                <w:color w:val="auto"/>
                <w:kern w:val="0"/>
                <w:sz w:val="20"/>
                <w:szCs w:val="21"/>
              </w:rPr>
            </w:pPr>
          </w:p>
        </w:tc>
        <w:tc>
          <w:tcPr>
            <w:tcW w:w="1256" w:type="dxa"/>
            <w:vAlign w:val="center"/>
          </w:tcPr>
          <w:p>
            <w:pPr>
              <w:spacing w:line="560" w:lineRule="exact"/>
              <w:jc w:val="center"/>
              <w:rPr>
                <w:rFonts w:ascii="仿宋_GB2312" w:hAnsi="仿宋_GB2312" w:eastAsia="仿宋_GB2312" w:cs="宋体"/>
                <w:color w:val="auto"/>
                <w:kern w:val="0"/>
                <w:sz w:val="20"/>
                <w:szCs w:val="21"/>
              </w:rPr>
            </w:pPr>
          </w:p>
        </w:tc>
        <w:tc>
          <w:tcPr>
            <w:tcW w:w="1261" w:type="dxa"/>
            <w:vAlign w:val="center"/>
          </w:tcPr>
          <w:p>
            <w:pPr>
              <w:spacing w:line="560" w:lineRule="exact"/>
              <w:jc w:val="center"/>
              <w:rPr>
                <w:rFonts w:ascii="仿宋_GB2312" w:hAnsi="仿宋_GB2312" w:eastAsia="仿宋_GB2312" w:cs="宋体"/>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color w:val="auto"/>
                <w:kern w:val="0"/>
                <w:sz w:val="20"/>
                <w:szCs w:val="21"/>
              </w:rPr>
            </w:pPr>
          </w:p>
        </w:tc>
        <w:tc>
          <w:tcPr>
            <w:tcW w:w="943" w:type="dxa"/>
            <w:vAlign w:val="center"/>
          </w:tcPr>
          <w:p>
            <w:pPr>
              <w:spacing w:line="560" w:lineRule="exact"/>
              <w:jc w:val="center"/>
              <w:rPr>
                <w:rFonts w:ascii="仿宋_GB2312" w:hAnsi="仿宋_GB2312" w:eastAsia="仿宋_GB2312" w:cs="宋体"/>
                <w:color w:val="auto"/>
                <w:kern w:val="0"/>
                <w:sz w:val="20"/>
                <w:szCs w:val="21"/>
              </w:rPr>
            </w:pPr>
          </w:p>
        </w:tc>
        <w:tc>
          <w:tcPr>
            <w:tcW w:w="1347" w:type="dxa"/>
            <w:vAlign w:val="center"/>
          </w:tcPr>
          <w:p>
            <w:pPr>
              <w:spacing w:line="560" w:lineRule="exact"/>
              <w:jc w:val="center"/>
              <w:rPr>
                <w:rFonts w:ascii="仿宋_GB2312" w:hAnsi="仿宋_GB2312" w:eastAsia="仿宋_GB2312" w:cs="宋体"/>
                <w:color w:val="auto"/>
                <w:kern w:val="0"/>
                <w:sz w:val="20"/>
                <w:szCs w:val="21"/>
              </w:rPr>
            </w:pPr>
          </w:p>
        </w:tc>
        <w:tc>
          <w:tcPr>
            <w:tcW w:w="1132" w:type="dxa"/>
            <w:vAlign w:val="center"/>
          </w:tcPr>
          <w:p>
            <w:pPr>
              <w:spacing w:line="560" w:lineRule="exact"/>
              <w:jc w:val="center"/>
              <w:rPr>
                <w:rFonts w:ascii="仿宋_GB2312" w:hAnsi="仿宋_GB2312" w:eastAsia="仿宋_GB2312" w:cs="宋体"/>
                <w:color w:val="auto"/>
                <w:kern w:val="0"/>
                <w:sz w:val="20"/>
                <w:szCs w:val="21"/>
              </w:rPr>
            </w:pPr>
          </w:p>
        </w:tc>
        <w:tc>
          <w:tcPr>
            <w:tcW w:w="1256" w:type="dxa"/>
            <w:vAlign w:val="center"/>
          </w:tcPr>
          <w:p>
            <w:pPr>
              <w:spacing w:line="560" w:lineRule="exact"/>
              <w:jc w:val="center"/>
              <w:rPr>
                <w:rFonts w:ascii="仿宋_GB2312" w:hAnsi="仿宋_GB2312" w:eastAsia="仿宋_GB2312" w:cs="宋体"/>
                <w:color w:val="auto"/>
                <w:kern w:val="0"/>
                <w:sz w:val="20"/>
                <w:szCs w:val="21"/>
              </w:rPr>
            </w:pPr>
          </w:p>
        </w:tc>
        <w:tc>
          <w:tcPr>
            <w:tcW w:w="1261" w:type="dxa"/>
            <w:vAlign w:val="center"/>
          </w:tcPr>
          <w:p>
            <w:pPr>
              <w:spacing w:line="560" w:lineRule="exact"/>
              <w:jc w:val="center"/>
              <w:rPr>
                <w:rFonts w:ascii="仿宋_GB2312" w:hAnsi="仿宋_GB2312" w:eastAsia="仿宋_GB2312" w:cs="宋体"/>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color w:val="auto"/>
                <w:kern w:val="0"/>
                <w:sz w:val="20"/>
                <w:szCs w:val="21"/>
              </w:rPr>
            </w:pPr>
          </w:p>
        </w:tc>
        <w:tc>
          <w:tcPr>
            <w:tcW w:w="943" w:type="dxa"/>
            <w:vAlign w:val="center"/>
          </w:tcPr>
          <w:p>
            <w:pPr>
              <w:spacing w:line="560" w:lineRule="exact"/>
              <w:jc w:val="center"/>
              <w:rPr>
                <w:rFonts w:ascii="仿宋_GB2312" w:hAnsi="仿宋_GB2312" w:eastAsia="仿宋_GB2312" w:cs="宋体"/>
                <w:color w:val="auto"/>
                <w:kern w:val="0"/>
                <w:sz w:val="20"/>
                <w:szCs w:val="21"/>
              </w:rPr>
            </w:pPr>
          </w:p>
        </w:tc>
        <w:tc>
          <w:tcPr>
            <w:tcW w:w="1347" w:type="dxa"/>
            <w:vAlign w:val="center"/>
          </w:tcPr>
          <w:p>
            <w:pPr>
              <w:spacing w:line="560" w:lineRule="exact"/>
              <w:jc w:val="center"/>
              <w:rPr>
                <w:rFonts w:ascii="仿宋_GB2312" w:hAnsi="仿宋_GB2312" w:eastAsia="仿宋_GB2312" w:cs="宋体"/>
                <w:color w:val="auto"/>
                <w:kern w:val="0"/>
                <w:sz w:val="20"/>
                <w:szCs w:val="21"/>
              </w:rPr>
            </w:pPr>
          </w:p>
        </w:tc>
        <w:tc>
          <w:tcPr>
            <w:tcW w:w="1132" w:type="dxa"/>
            <w:vAlign w:val="center"/>
          </w:tcPr>
          <w:p>
            <w:pPr>
              <w:spacing w:line="560" w:lineRule="exact"/>
              <w:jc w:val="center"/>
              <w:rPr>
                <w:rFonts w:ascii="仿宋_GB2312" w:hAnsi="仿宋_GB2312" w:eastAsia="仿宋_GB2312" w:cs="宋体"/>
                <w:color w:val="auto"/>
                <w:kern w:val="0"/>
                <w:sz w:val="20"/>
                <w:szCs w:val="21"/>
              </w:rPr>
            </w:pPr>
          </w:p>
        </w:tc>
        <w:tc>
          <w:tcPr>
            <w:tcW w:w="1256" w:type="dxa"/>
            <w:vAlign w:val="center"/>
          </w:tcPr>
          <w:p>
            <w:pPr>
              <w:spacing w:line="560" w:lineRule="exact"/>
              <w:jc w:val="center"/>
              <w:rPr>
                <w:rFonts w:ascii="仿宋_GB2312" w:hAnsi="仿宋_GB2312" w:eastAsia="仿宋_GB2312" w:cs="宋体"/>
                <w:color w:val="auto"/>
                <w:kern w:val="0"/>
                <w:sz w:val="20"/>
                <w:szCs w:val="21"/>
              </w:rPr>
            </w:pPr>
          </w:p>
        </w:tc>
        <w:tc>
          <w:tcPr>
            <w:tcW w:w="1261" w:type="dxa"/>
            <w:vAlign w:val="center"/>
          </w:tcPr>
          <w:p>
            <w:pPr>
              <w:spacing w:line="560" w:lineRule="exact"/>
              <w:jc w:val="center"/>
              <w:rPr>
                <w:rFonts w:ascii="仿宋_GB2312" w:hAnsi="仿宋_GB2312" w:eastAsia="仿宋_GB2312" w:cs="宋体"/>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3" w:type="dxa"/>
            <w:vAlign w:val="center"/>
          </w:tcPr>
          <w:p>
            <w:pPr>
              <w:spacing w:line="560" w:lineRule="exact"/>
              <w:jc w:val="center"/>
              <w:rPr>
                <w:rFonts w:ascii="仿宋_GB2312" w:hAnsi="仿宋_GB2312" w:eastAsia="仿宋_GB2312" w:cs="宋体"/>
                <w:color w:val="auto"/>
                <w:kern w:val="0"/>
                <w:sz w:val="20"/>
                <w:szCs w:val="21"/>
              </w:rPr>
            </w:pPr>
            <w:r>
              <w:rPr>
                <w:rFonts w:hint="eastAsia" w:ascii="仿宋_GB2312" w:hAnsi="仿宋_GB2312" w:eastAsia="仿宋_GB2312" w:cs="宋体"/>
                <w:color w:val="auto"/>
                <w:kern w:val="0"/>
                <w:sz w:val="20"/>
                <w:szCs w:val="21"/>
              </w:rPr>
              <w:t>总计</w:t>
            </w:r>
          </w:p>
        </w:tc>
        <w:tc>
          <w:tcPr>
            <w:tcW w:w="943" w:type="dxa"/>
            <w:vAlign w:val="center"/>
          </w:tcPr>
          <w:p>
            <w:pPr>
              <w:spacing w:line="560" w:lineRule="exact"/>
              <w:jc w:val="center"/>
              <w:rPr>
                <w:rFonts w:ascii="仿宋_GB2312" w:hAnsi="仿宋_GB2312" w:eastAsia="仿宋_GB2312" w:cs="宋体"/>
                <w:color w:val="auto"/>
                <w:kern w:val="0"/>
                <w:sz w:val="20"/>
                <w:szCs w:val="21"/>
              </w:rPr>
            </w:pPr>
          </w:p>
        </w:tc>
        <w:tc>
          <w:tcPr>
            <w:tcW w:w="1347" w:type="dxa"/>
            <w:vAlign w:val="center"/>
          </w:tcPr>
          <w:p>
            <w:pPr>
              <w:spacing w:line="560" w:lineRule="exact"/>
              <w:jc w:val="center"/>
              <w:rPr>
                <w:rFonts w:ascii="仿宋_GB2312" w:hAnsi="仿宋_GB2312" w:eastAsia="仿宋_GB2312" w:cs="宋体"/>
                <w:color w:val="auto"/>
                <w:kern w:val="0"/>
                <w:sz w:val="20"/>
                <w:szCs w:val="21"/>
              </w:rPr>
            </w:pPr>
          </w:p>
        </w:tc>
        <w:tc>
          <w:tcPr>
            <w:tcW w:w="1132" w:type="dxa"/>
            <w:vAlign w:val="center"/>
          </w:tcPr>
          <w:p>
            <w:pPr>
              <w:spacing w:line="560" w:lineRule="exact"/>
              <w:jc w:val="center"/>
              <w:rPr>
                <w:rFonts w:ascii="仿宋_GB2312" w:hAnsi="仿宋_GB2312" w:eastAsia="仿宋_GB2312" w:cs="宋体"/>
                <w:color w:val="auto"/>
                <w:kern w:val="0"/>
                <w:sz w:val="20"/>
                <w:szCs w:val="21"/>
              </w:rPr>
            </w:pPr>
          </w:p>
        </w:tc>
        <w:tc>
          <w:tcPr>
            <w:tcW w:w="1256" w:type="dxa"/>
            <w:vAlign w:val="center"/>
          </w:tcPr>
          <w:p>
            <w:pPr>
              <w:spacing w:line="560" w:lineRule="exact"/>
              <w:jc w:val="center"/>
              <w:rPr>
                <w:rFonts w:ascii="仿宋_GB2312" w:hAnsi="仿宋_GB2312" w:eastAsia="仿宋_GB2312" w:cs="宋体"/>
                <w:color w:val="auto"/>
                <w:kern w:val="0"/>
                <w:sz w:val="20"/>
                <w:szCs w:val="21"/>
              </w:rPr>
            </w:pPr>
          </w:p>
        </w:tc>
        <w:tc>
          <w:tcPr>
            <w:tcW w:w="1261" w:type="dxa"/>
            <w:vAlign w:val="center"/>
          </w:tcPr>
          <w:p>
            <w:pPr>
              <w:spacing w:line="560" w:lineRule="exact"/>
              <w:jc w:val="center"/>
              <w:rPr>
                <w:rFonts w:ascii="仿宋_GB2312" w:hAnsi="仿宋_GB2312" w:eastAsia="仿宋_GB2312" w:cs="宋体"/>
                <w:color w:val="auto"/>
                <w:kern w:val="0"/>
                <w:sz w:val="20"/>
                <w:szCs w:val="21"/>
              </w:rPr>
            </w:pPr>
          </w:p>
        </w:tc>
      </w:tr>
    </w:tbl>
    <w:p>
      <w:pPr>
        <w:spacing w:before="120" w:after="120" w:line="360" w:lineRule="auto"/>
        <w:ind w:firstLine="420" w:firstLineChars="200"/>
        <w:outlineLvl w:val="1"/>
        <w:rPr>
          <w:rFonts w:ascii="仿宋_GB2312" w:hAnsi="仿宋" w:eastAsia="黑体" w:cs="宋体"/>
          <w:color w:val="auto"/>
          <w:szCs w:val="21"/>
        </w:rPr>
      </w:pPr>
      <w:bookmarkStart w:id="4" w:name="_Toc25588101"/>
      <w:r>
        <w:rPr>
          <w:rFonts w:ascii="仿宋_GB2312" w:hAnsi="仿宋" w:eastAsia="黑体" w:cs="宋体"/>
          <w:color w:val="auto"/>
          <w:szCs w:val="21"/>
        </w:rPr>
        <w:t>第</w:t>
      </w:r>
      <w:r>
        <w:rPr>
          <w:rFonts w:hint="eastAsia" w:ascii="仿宋_GB2312" w:hAnsi="仿宋" w:eastAsia="黑体" w:cs="宋体"/>
          <w:color w:val="auto"/>
          <w:szCs w:val="21"/>
        </w:rPr>
        <w:t>二</w:t>
      </w:r>
      <w:r>
        <w:rPr>
          <w:rFonts w:ascii="仿宋_GB2312" w:hAnsi="仿宋" w:eastAsia="黑体" w:cs="宋体"/>
          <w:color w:val="auto"/>
          <w:szCs w:val="21"/>
        </w:rPr>
        <w:t>条 合同价款</w:t>
      </w:r>
      <w:bookmarkEnd w:id="4"/>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2.1 合同</w:t>
      </w:r>
      <w:r>
        <w:rPr>
          <w:rFonts w:hint="eastAsia" w:ascii="仿宋_GB2312" w:hAnsi="仿宋" w:eastAsia="仿宋_GB2312" w:cs="宋体"/>
          <w:color w:val="auto"/>
          <w:szCs w:val="21"/>
        </w:rPr>
        <w:t>金额</w:t>
      </w:r>
      <w:r>
        <w:rPr>
          <w:rFonts w:hint="eastAsia" w:ascii="仿宋_GB2312" w:hAnsi="仿宋" w:eastAsia="仿宋_GB2312" w:cs="宋体"/>
          <w:b/>
          <w:bCs/>
          <w:color w:val="auto"/>
          <w:szCs w:val="21"/>
          <w:u w:val="single"/>
        </w:rPr>
        <w:t>（含增值税）</w:t>
      </w:r>
      <w:r>
        <w:rPr>
          <w:rFonts w:ascii="仿宋_GB2312" w:hAnsi="仿宋" w:eastAsia="仿宋_GB2312" w:cs="宋体"/>
          <w:color w:val="auto"/>
          <w:szCs w:val="21"/>
        </w:rPr>
        <w:t>为人民币</w:t>
      </w:r>
      <w:r>
        <w:rPr>
          <w:rFonts w:ascii="仿宋_GB2312" w:hAnsi="仿宋" w:eastAsia="仿宋_GB2312" w:cs="宋体"/>
          <w:color w:val="auto"/>
          <w:szCs w:val="21"/>
          <w:u w:val="single"/>
        </w:rPr>
        <w:t xml:space="preserve"> </w:t>
      </w:r>
      <w:r>
        <w:rPr>
          <w:rFonts w:ascii="Calibri" w:hAnsi="Calibri" w:eastAsia="仿宋_GB2312" w:cs="Calibri"/>
          <w:color w:val="auto"/>
          <w:szCs w:val="21"/>
          <w:u w:val="single"/>
        </w:rPr>
        <w:t>   </w:t>
      </w:r>
      <w:r>
        <w:rPr>
          <w:rFonts w:ascii="仿宋_GB2312" w:hAnsi="仿宋" w:eastAsia="仿宋_GB2312" w:cs="Calibri"/>
          <w:color w:val="auto"/>
          <w:szCs w:val="21"/>
          <w:u w:val="single"/>
        </w:rPr>
        <w:t xml:space="preserve">    </w:t>
      </w:r>
      <w:r>
        <w:rPr>
          <w:rFonts w:ascii="仿宋_GB2312" w:hAnsi="仿宋" w:eastAsia="仿宋_GB2312" w:cs="宋体"/>
          <w:color w:val="auto"/>
          <w:szCs w:val="21"/>
          <w:u w:val="single"/>
        </w:rPr>
        <w:t xml:space="preserve"> </w:t>
      </w:r>
      <w:r>
        <w:rPr>
          <w:rFonts w:ascii="Calibri" w:hAnsi="Calibri" w:eastAsia="仿宋_GB2312" w:cs="Calibri"/>
          <w:color w:val="auto"/>
          <w:szCs w:val="21"/>
          <w:u w:val="single"/>
        </w:rPr>
        <w:t>  </w:t>
      </w:r>
      <w:r>
        <w:rPr>
          <w:rFonts w:ascii="仿宋_GB2312" w:hAnsi="仿宋" w:eastAsia="仿宋_GB2312" w:cs="宋体"/>
          <w:color w:val="auto"/>
          <w:szCs w:val="21"/>
        </w:rPr>
        <w:t>元整(大写</w:t>
      </w:r>
      <w:r>
        <w:rPr>
          <w:rFonts w:ascii="仿宋_GB2312" w:hAnsi="仿宋" w:eastAsia="仿宋_GB2312" w:cs="Calibri"/>
          <w:color w:val="auto"/>
          <w:szCs w:val="21"/>
          <w:u w:val="single"/>
        </w:rPr>
        <w:t xml:space="preserve"> </w:t>
      </w:r>
      <w:r>
        <w:rPr>
          <w:rFonts w:hint="eastAsia" w:ascii="仿宋_GB2312" w:hAnsi="仿宋" w:eastAsia="仿宋_GB2312" w:cs="Calibri"/>
          <w:color w:val="auto"/>
          <w:szCs w:val="21"/>
          <w:u w:val="single"/>
        </w:rPr>
        <w:t xml:space="preserve">    </w:t>
      </w:r>
      <w:r>
        <w:rPr>
          <w:rFonts w:ascii="仿宋_GB2312" w:hAnsi="仿宋" w:eastAsia="仿宋_GB2312" w:cs="Calibri"/>
          <w:color w:val="auto"/>
          <w:szCs w:val="21"/>
          <w:u w:val="single"/>
        </w:rPr>
        <w:t xml:space="preserve"> </w:t>
      </w:r>
      <w:r>
        <w:rPr>
          <w:rFonts w:ascii="仿宋_GB2312" w:hAnsi="仿宋" w:eastAsia="仿宋_GB2312" w:cs="宋体"/>
          <w:color w:val="auto"/>
          <w:szCs w:val="21"/>
          <w:u w:val="single"/>
        </w:rPr>
        <w:t xml:space="preserve"> </w:t>
      </w:r>
      <w:r>
        <w:rPr>
          <w:rFonts w:ascii="Calibri" w:hAnsi="Calibri" w:eastAsia="仿宋_GB2312" w:cs="Calibri"/>
          <w:color w:val="auto"/>
          <w:szCs w:val="21"/>
          <w:u w:val="single"/>
        </w:rPr>
        <w:t>  </w:t>
      </w:r>
      <w:r>
        <w:rPr>
          <w:rFonts w:ascii="仿宋_GB2312" w:hAnsi="仿宋" w:eastAsia="仿宋_GB2312" w:cs="宋体"/>
          <w:color w:val="auto"/>
          <w:szCs w:val="21"/>
        </w:rPr>
        <w:t>元）</w:t>
      </w:r>
      <w:r>
        <w:rPr>
          <w:rFonts w:hint="eastAsia" w:ascii="仿宋_GB2312" w:hAnsi="仿宋" w:eastAsia="仿宋_GB2312" w:cs="宋体"/>
          <w:color w:val="auto"/>
          <w:szCs w:val="21"/>
        </w:rPr>
        <w:t>；增值税税率</w:t>
      </w:r>
      <w:r>
        <w:rPr>
          <w:rFonts w:ascii="仿宋_GB2312" w:hAnsi="仿宋" w:eastAsia="仿宋_GB2312" w:cs="宋体"/>
          <w:color w:val="auto"/>
          <w:szCs w:val="21"/>
          <w:u w:val="single"/>
        </w:rPr>
        <w:t xml:space="preserve"> </w:t>
      </w:r>
      <w:r>
        <w:rPr>
          <w:rFonts w:ascii="Calibri" w:hAnsi="Calibri" w:eastAsia="仿宋_GB2312" w:cs="Calibri"/>
          <w:color w:val="auto"/>
          <w:szCs w:val="21"/>
          <w:u w:val="single"/>
        </w:rPr>
        <w:t>   </w:t>
      </w:r>
      <w:r>
        <w:rPr>
          <w:rFonts w:ascii="仿宋_GB2312" w:hAnsi="仿宋" w:eastAsia="仿宋_GB2312" w:cs="Calibri"/>
          <w:color w:val="auto"/>
          <w:szCs w:val="21"/>
          <w:u w:val="single"/>
        </w:rPr>
        <w:t xml:space="preserve">    </w:t>
      </w:r>
      <w:r>
        <w:rPr>
          <w:rFonts w:hint="eastAsia" w:ascii="仿宋_GB2312" w:hAnsi="仿宋" w:eastAsia="仿宋_GB2312" w:cs="宋体"/>
          <w:color w:val="auto"/>
          <w:szCs w:val="21"/>
        </w:rPr>
        <w:t>%；</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2.2 合同价款含</w:t>
      </w:r>
      <w:r>
        <w:rPr>
          <w:rFonts w:hint="eastAsia" w:ascii="仿宋_GB2312" w:hAnsi="仿宋" w:eastAsia="仿宋_GB2312" w:cs="宋体"/>
          <w:color w:val="auto"/>
          <w:szCs w:val="21"/>
        </w:rPr>
        <w:t>此次项目落地的所有费用（制作、辅料、运输、安装、维保、税费等）</w:t>
      </w:r>
      <w:r>
        <w:rPr>
          <w:rFonts w:ascii="仿宋_GB2312" w:hAnsi="仿宋" w:eastAsia="仿宋_GB2312" w:cs="宋体"/>
          <w:color w:val="auto"/>
          <w:szCs w:val="21"/>
        </w:rPr>
        <w:t>。</w:t>
      </w:r>
    </w:p>
    <w:p>
      <w:pPr>
        <w:spacing w:before="120" w:after="120" w:line="360" w:lineRule="auto"/>
        <w:ind w:firstLine="420" w:firstLineChars="200"/>
        <w:outlineLvl w:val="1"/>
        <w:rPr>
          <w:rFonts w:ascii="仿宋_GB2312" w:hAnsi="仿宋" w:eastAsia="黑体" w:cs="宋体"/>
          <w:color w:val="auto"/>
          <w:szCs w:val="21"/>
        </w:rPr>
      </w:pPr>
      <w:bookmarkStart w:id="5" w:name="_Toc25588102"/>
      <w:r>
        <w:rPr>
          <w:rFonts w:ascii="仿宋_GB2312" w:hAnsi="仿宋" w:eastAsia="黑体" w:cs="宋体"/>
          <w:color w:val="auto"/>
          <w:szCs w:val="21"/>
        </w:rPr>
        <w:t>第</w:t>
      </w:r>
      <w:r>
        <w:rPr>
          <w:rFonts w:hint="eastAsia" w:ascii="仿宋_GB2312" w:hAnsi="仿宋" w:eastAsia="黑体" w:cs="宋体"/>
          <w:color w:val="auto"/>
          <w:szCs w:val="21"/>
        </w:rPr>
        <w:t>三</w:t>
      </w:r>
      <w:r>
        <w:rPr>
          <w:rFonts w:ascii="仿宋_GB2312" w:hAnsi="仿宋" w:eastAsia="黑体" w:cs="宋体"/>
          <w:color w:val="auto"/>
          <w:szCs w:val="21"/>
        </w:rPr>
        <w:t>条</w:t>
      </w:r>
      <w:r>
        <w:rPr>
          <w:rFonts w:hint="eastAsia" w:ascii="仿宋_GB2312" w:hAnsi="仿宋" w:eastAsia="黑体" w:cs="宋体"/>
          <w:color w:val="auto"/>
          <w:szCs w:val="21"/>
        </w:rPr>
        <w:t xml:space="preserve"> </w:t>
      </w:r>
      <w:r>
        <w:rPr>
          <w:rFonts w:ascii="仿宋_GB2312" w:hAnsi="仿宋" w:eastAsia="黑体" w:cs="宋体"/>
          <w:color w:val="auto"/>
          <w:szCs w:val="21"/>
        </w:rPr>
        <w:t>技术标准及要求</w:t>
      </w:r>
      <w:bookmarkEnd w:id="5"/>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3.1 乙方应严格按甲方要求，并符合有关国家标准和行业标准进行供货。</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3.2 在质保期内的使用过程中，乙方应负责处理出现的缺陷和服务问题，所需费用由乙方承担，对于甲方操作失误造成的问题，乙方应积极配合，予以解决，费用由甲方承担。</w:t>
      </w:r>
    </w:p>
    <w:p>
      <w:pPr>
        <w:spacing w:line="360" w:lineRule="auto"/>
        <w:ind w:firstLine="420" w:firstLineChars="200"/>
        <w:rPr>
          <w:rFonts w:ascii="仿宋" w:hAnsi="仿宋" w:eastAsia="仿宋" w:cs="宋体"/>
          <w:color w:val="auto"/>
          <w:szCs w:val="21"/>
        </w:rPr>
      </w:pPr>
      <w:r>
        <w:rPr>
          <w:rFonts w:hint="eastAsia" w:ascii="仿宋_GB2312" w:hAnsi="仿宋" w:eastAsia="仿宋_GB2312" w:cs="宋体"/>
          <w:color w:val="auto"/>
          <w:szCs w:val="21"/>
        </w:rPr>
        <w:t>3.3 乙方所供货物的质量保证期为</w:t>
      </w:r>
      <w:r>
        <w:rPr>
          <w:rFonts w:hint="eastAsia" w:ascii="仿宋_GB2312" w:hAnsi="仿宋" w:eastAsia="仿宋_GB2312" w:cs="宋体"/>
          <w:color w:val="auto"/>
          <w:szCs w:val="21"/>
          <w:u w:val="single"/>
        </w:rPr>
        <w:t xml:space="preserve"> 一 </w:t>
      </w:r>
      <w:r>
        <w:rPr>
          <w:rFonts w:hint="eastAsia" w:ascii="仿宋_GB2312" w:hAnsi="仿宋" w:eastAsia="仿宋_GB2312" w:cs="宋体"/>
          <w:color w:val="auto"/>
          <w:szCs w:val="21"/>
        </w:rPr>
        <w:t>年，</w:t>
      </w:r>
      <w:r>
        <w:rPr>
          <w:rFonts w:hint="eastAsia" w:ascii="仿宋" w:hAnsi="仿宋" w:eastAsia="仿宋" w:cs="宋体"/>
          <w:color w:val="auto"/>
          <w:szCs w:val="21"/>
        </w:rPr>
        <w:t>本批次项目货物验收合格之日起算。</w:t>
      </w:r>
    </w:p>
    <w:p>
      <w:pPr>
        <w:spacing w:before="120" w:after="120" w:line="360" w:lineRule="auto"/>
        <w:ind w:firstLine="420" w:firstLineChars="200"/>
        <w:outlineLvl w:val="1"/>
        <w:rPr>
          <w:rFonts w:ascii="仿宋_GB2312" w:hAnsi="仿宋" w:eastAsia="黑体" w:cs="宋体"/>
          <w:color w:val="auto"/>
          <w:szCs w:val="21"/>
        </w:rPr>
      </w:pPr>
      <w:bookmarkStart w:id="6" w:name="_Toc25588103"/>
      <w:r>
        <w:rPr>
          <w:rFonts w:ascii="仿宋_GB2312" w:hAnsi="仿宋" w:eastAsia="黑体" w:cs="宋体"/>
          <w:color w:val="auto"/>
          <w:szCs w:val="21"/>
        </w:rPr>
        <w:t>第</w:t>
      </w:r>
      <w:r>
        <w:rPr>
          <w:rFonts w:hint="eastAsia" w:ascii="仿宋_GB2312" w:hAnsi="仿宋" w:eastAsia="黑体" w:cs="宋体"/>
          <w:color w:val="auto"/>
          <w:szCs w:val="21"/>
        </w:rPr>
        <w:t>四</w:t>
      </w:r>
      <w:r>
        <w:rPr>
          <w:rFonts w:ascii="仿宋_GB2312" w:hAnsi="仿宋" w:eastAsia="黑体" w:cs="宋体"/>
          <w:color w:val="auto"/>
          <w:szCs w:val="21"/>
        </w:rPr>
        <w:t>条 交货日期</w:t>
      </w:r>
      <w:bookmarkEnd w:id="6"/>
    </w:p>
    <w:p>
      <w:pPr>
        <w:spacing w:line="360" w:lineRule="auto"/>
        <w:ind w:firstLine="420" w:firstLineChars="200"/>
        <w:rPr>
          <w:rFonts w:ascii="仿宋_GB2312" w:hAnsi="仿宋" w:eastAsia="仿宋_GB2312" w:cs="宋体"/>
          <w:color w:val="auto"/>
          <w:szCs w:val="21"/>
          <w:u w:val="single"/>
        </w:rPr>
      </w:pPr>
      <w:r>
        <w:rPr>
          <w:rFonts w:ascii="仿宋_GB2312" w:hAnsi="仿宋" w:eastAsia="仿宋_GB2312" w:cs="宋体"/>
          <w:color w:val="auto"/>
          <w:szCs w:val="21"/>
        </w:rPr>
        <w:t>4.1 合同签订后，乙方应及时供货，并于</w:t>
      </w:r>
      <w:r>
        <w:rPr>
          <w:rFonts w:ascii="Calibri" w:hAnsi="Calibri" w:eastAsia="仿宋_GB2312" w:cs="宋体"/>
          <w:color w:val="auto"/>
          <w:szCs w:val="21"/>
          <w:u w:val="single"/>
        </w:rPr>
        <w:t> </w:t>
      </w:r>
      <w:r>
        <w:rPr>
          <w:rFonts w:hint="eastAsia" w:ascii="Calibri" w:hAnsi="Calibri" w:eastAsia="仿宋_GB2312" w:cs="宋体"/>
          <w:color w:val="auto"/>
          <w:szCs w:val="21"/>
          <w:u w:val="single"/>
        </w:rPr>
        <w:t xml:space="preserve">  </w:t>
      </w:r>
      <w:r>
        <w:rPr>
          <w:rFonts w:ascii="仿宋_GB2312" w:hAnsi="仿宋" w:eastAsia="仿宋_GB2312" w:cs="宋体"/>
          <w:color w:val="auto"/>
          <w:szCs w:val="21"/>
          <w:u w:val="single"/>
        </w:rPr>
        <w:t xml:space="preserve"> </w:t>
      </w:r>
      <w:r>
        <w:rPr>
          <w:rFonts w:ascii="Calibri" w:hAnsi="Calibri" w:eastAsia="仿宋_GB2312" w:cs="宋体"/>
          <w:color w:val="auto"/>
          <w:szCs w:val="21"/>
          <w:u w:val="single"/>
        </w:rPr>
        <w:t>  </w:t>
      </w:r>
      <w:r>
        <w:rPr>
          <w:rFonts w:ascii="仿宋_GB2312" w:hAnsi="仿宋" w:eastAsia="仿宋_GB2312" w:cs="宋体"/>
          <w:color w:val="auto"/>
          <w:szCs w:val="21"/>
        </w:rPr>
        <w:t>年</w:t>
      </w:r>
      <w:r>
        <w:rPr>
          <w:rFonts w:ascii="Calibri" w:hAnsi="Calibri" w:eastAsia="仿宋_GB2312" w:cs="宋体"/>
          <w:color w:val="auto"/>
          <w:szCs w:val="21"/>
          <w:u w:val="single"/>
        </w:rPr>
        <w:t> </w:t>
      </w:r>
      <w:r>
        <w:rPr>
          <w:rFonts w:ascii="仿宋_GB2312" w:hAnsi="仿宋" w:eastAsia="仿宋_GB2312" w:cs="宋体"/>
          <w:color w:val="auto"/>
          <w:szCs w:val="21"/>
          <w:u w:val="single"/>
        </w:rPr>
        <w:t xml:space="preserve"> </w:t>
      </w:r>
      <w:r>
        <w:rPr>
          <w:rFonts w:hint="eastAsia" w:ascii="仿宋_GB2312" w:hAnsi="仿宋" w:eastAsia="仿宋_GB2312" w:cs="宋体"/>
          <w:color w:val="auto"/>
          <w:szCs w:val="21"/>
          <w:u w:val="single"/>
        </w:rPr>
        <w:t xml:space="preserve">  </w:t>
      </w:r>
      <w:r>
        <w:rPr>
          <w:rFonts w:ascii="Calibri" w:hAnsi="Calibri" w:eastAsia="仿宋_GB2312" w:cs="宋体"/>
          <w:color w:val="auto"/>
          <w:szCs w:val="21"/>
          <w:u w:val="single"/>
        </w:rPr>
        <w:t>  </w:t>
      </w:r>
      <w:r>
        <w:rPr>
          <w:rFonts w:ascii="仿宋_GB2312" w:hAnsi="仿宋" w:eastAsia="仿宋_GB2312" w:cs="宋体"/>
          <w:color w:val="auto"/>
          <w:szCs w:val="21"/>
        </w:rPr>
        <w:t>月</w:t>
      </w:r>
      <w:r>
        <w:rPr>
          <w:rFonts w:ascii="Calibri" w:hAnsi="Calibri" w:eastAsia="仿宋_GB2312" w:cs="宋体"/>
          <w:color w:val="auto"/>
          <w:szCs w:val="21"/>
          <w:u w:val="single"/>
        </w:rPr>
        <w:t> </w:t>
      </w:r>
      <w:r>
        <w:rPr>
          <w:rFonts w:ascii="仿宋_GB2312" w:hAnsi="仿宋" w:eastAsia="仿宋_GB2312" w:cs="宋体"/>
          <w:color w:val="auto"/>
          <w:szCs w:val="21"/>
          <w:u w:val="single"/>
        </w:rPr>
        <w:t xml:space="preserve"> </w:t>
      </w:r>
      <w:r>
        <w:rPr>
          <w:rFonts w:hint="eastAsia" w:ascii="仿宋_GB2312" w:hAnsi="仿宋" w:eastAsia="仿宋_GB2312" w:cs="宋体"/>
          <w:color w:val="auto"/>
          <w:szCs w:val="21"/>
          <w:u w:val="single"/>
        </w:rPr>
        <w:t xml:space="preserve">  </w:t>
      </w:r>
      <w:r>
        <w:rPr>
          <w:rFonts w:ascii="Calibri" w:hAnsi="Calibri" w:eastAsia="仿宋_GB2312" w:cs="宋体"/>
          <w:color w:val="auto"/>
          <w:szCs w:val="21"/>
          <w:u w:val="single"/>
        </w:rPr>
        <w:t>  </w:t>
      </w:r>
      <w:r>
        <w:rPr>
          <w:rFonts w:ascii="仿宋_GB2312" w:hAnsi="仿宋" w:eastAsia="仿宋_GB2312" w:cs="宋体"/>
          <w:color w:val="auto"/>
          <w:szCs w:val="21"/>
        </w:rPr>
        <w:t>日</w:t>
      </w:r>
      <w:r>
        <w:rPr>
          <w:rFonts w:hint="eastAsia" w:ascii="仿宋_GB2312" w:hAnsi="仿宋" w:eastAsia="仿宋_GB2312" w:cs="宋体"/>
          <w:color w:val="auto"/>
          <w:szCs w:val="21"/>
        </w:rPr>
        <w:t>前完成交货，交货地点：</w:t>
      </w:r>
      <w:r>
        <w:rPr>
          <w:rFonts w:ascii="Calibri" w:hAnsi="Calibri" w:eastAsia="仿宋_GB2312" w:cs="宋体"/>
          <w:color w:val="auto"/>
          <w:szCs w:val="21"/>
          <w:u w:val="single"/>
        </w:rPr>
        <w:t> </w:t>
      </w:r>
      <w:r>
        <w:rPr>
          <w:rFonts w:ascii="仿宋_GB2312" w:hAnsi="仿宋" w:eastAsia="仿宋_GB2312" w:cs="宋体"/>
          <w:color w:val="auto"/>
          <w:szCs w:val="21"/>
          <w:u w:val="single"/>
        </w:rPr>
        <w:t xml:space="preserve"> </w:t>
      </w:r>
      <w:r>
        <w:rPr>
          <w:rFonts w:ascii="Calibri" w:hAnsi="Calibri" w:eastAsia="仿宋_GB2312" w:cs="宋体"/>
          <w:color w:val="auto"/>
          <w:szCs w:val="21"/>
          <w:u w:val="single"/>
        </w:rPr>
        <w:t> </w:t>
      </w:r>
      <w:r>
        <w:rPr>
          <w:rFonts w:hint="eastAsia" w:ascii="仿宋_GB2312" w:hAnsi="仿宋" w:eastAsia="仿宋_GB2312" w:cs="宋体"/>
          <w:color w:val="auto"/>
          <w:szCs w:val="21"/>
          <w:u w:val="single"/>
        </w:rPr>
        <w:t xml:space="preserve">              </w:t>
      </w:r>
      <w:r>
        <w:rPr>
          <w:rFonts w:ascii="Calibri" w:hAnsi="Calibri" w:eastAsia="仿宋_GB2312" w:cs="宋体"/>
          <w:color w:val="auto"/>
          <w:szCs w:val="21"/>
          <w:u w:val="single"/>
        </w:rPr>
        <w:t> </w:t>
      </w:r>
      <w:r>
        <w:rPr>
          <w:rFonts w:hint="eastAsia" w:ascii="仿宋_GB2312" w:hAnsi="仿宋" w:eastAsia="仿宋_GB2312" w:cs="宋体"/>
          <w:color w:val="auto"/>
          <w:szCs w:val="21"/>
        </w:rPr>
        <w:t>。</w:t>
      </w:r>
    </w:p>
    <w:p>
      <w:pPr>
        <w:spacing w:before="120" w:after="120" w:line="360" w:lineRule="auto"/>
        <w:ind w:firstLine="420" w:firstLineChars="200"/>
        <w:outlineLvl w:val="1"/>
        <w:rPr>
          <w:rFonts w:ascii="仿宋_GB2312" w:hAnsi="仿宋" w:eastAsia="黑体" w:cs="宋体"/>
          <w:color w:val="auto"/>
          <w:szCs w:val="21"/>
        </w:rPr>
      </w:pPr>
      <w:bookmarkStart w:id="7" w:name="_Toc25588104"/>
      <w:r>
        <w:rPr>
          <w:rFonts w:ascii="仿宋_GB2312" w:hAnsi="仿宋" w:eastAsia="黑体" w:cs="宋体"/>
          <w:color w:val="auto"/>
          <w:szCs w:val="21"/>
        </w:rPr>
        <w:t>第</w:t>
      </w:r>
      <w:r>
        <w:rPr>
          <w:rFonts w:hint="eastAsia" w:ascii="仿宋_GB2312" w:hAnsi="仿宋" w:eastAsia="黑体" w:cs="宋体"/>
          <w:color w:val="auto"/>
          <w:szCs w:val="21"/>
        </w:rPr>
        <w:t>五</w:t>
      </w:r>
      <w:r>
        <w:rPr>
          <w:rFonts w:ascii="仿宋_GB2312" w:hAnsi="仿宋" w:eastAsia="黑体" w:cs="宋体"/>
          <w:color w:val="auto"/>
          <w:szCs w:val="21"/>
        </w:rPr>
        <w:t>条 验收办法</w:t>
      </w:r>
      <w:bookmarkEnd w:id="7"/>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5.1 乙方所供软件符合合同中所列产品的技术规范，授权数量无误，软件安装正常</w:t>
      </w:r>
      <w:r>
        <w:rPr>
          <w:rFonts w:hint="eastAsia" w:ascii="仿宋_GB2312" w:hAnsi="仿宋" w:eastAsia="仿宋_GB2312" w:cs="宋体"/>
          <w:color w:val="auto"/>
          <w:szCs w:val="21"/>
        </w:rPr>
        <w:t>。</w:t>
      </w:r>
    </w:p>
    <w:p>
      <w:pPr>
        <w:spacing w:before="120" w:after="120" w:line="360" w:lineRule="auto"/>
        <w:ind w:firstLine="420" w:firstLineChars="200"/>
        <w:outlineLvl w:val="1"/>
        <w:rPr>
          <w:rFonts w:ascii="仿宋_GB2312" w:hAnsi="仿宋" w:eastAsia="黑体" w:cs="宋体"/>
          <w:color w:val="auto"/>
          <w:szCs w:val="21"/>
        </w:rPr>
      </w:pPr>
      <w:bookmarkStart w:id="8" w:name="_Toc25588105"/>
      <w:r>
        <w:rPr>
          <w:rFonts w:hint="eastAsia" w:ascii="仿宋_GB2312" w:hAnsi="仿宋" w:eastAsia="黑体" w:cs="宋体"/>
          <w:color w:val="auto"/>
          <w:szCs w:val="21"/>
        </w:rPr>
        <w:t>第六条 保证金</w:t>
      </w:r>
      <w:bookmarkEnd w:id="8"/>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 xml:space="preserve">6.1 乙方应在中标通知书发出后10日内（或本合同签订10日之前）  </w:t>
      </w:r>
      <w:r>
        <w:rPr>
          <w:rFonts w:hint="eastAsia" w:ascii="仿宋_GB2312" w:hAnsi="仿宋" w:eastAsia="仿宋_GB2312" w:cs="宋体"/>
          <w:color w:val="auto"/>
          <w:szCs w:val="21"/>
          <w:u w:val="single"/>
        </w:rPr>
        <w:t xml:space="preserve">       </w:t>
      </w:r>
      <w:r>
        <w:rPr>
          <w:rFonts w:hint="eastAsia" w:ascii="仿宋_GB2312" w:hAnsi="仿宋" w:eastAsia="仿宋_GB2312" w:cs="宋体"/>
          <w:color w:val="auto"/>
          <w:szCs w:val="21"/>
        </w:rPr>
        <w:t>以</w:t>
      </w:r>
      <w:r>
        <w:rPr>
          <w:rFonts w:hint="eastAsia" w:ascii="仿宋_GB2312" w:hAnsi="仿宋" w:eastAsia="仿宋_GB2312" w:cs="宋体"/>
          <w:color w:val="auto"/>
          <w:szCs w:val="21"/>
          <w:u w:val="single"/>
        </w:rPr>
        <w:t xml:space="preserve"> 银行转账 </w:t>
      </w:r>
      <w:r>
        <w:rPr>
          <w:rFonts w:hint="eastAsia" w:ascii="仿宋_GB2312" w:hAnsi="仿宋" w:eastAsia="仿宋_GB2312" w:cs="宋体"/>
          <w:color w:val="auto"/>
          <w:szCs w:val="21"/>
        </w:rPr>
        <w:t>形式向甲方缴纳履约保证金，以作为乙方履行本合同项下相关义务的担保 。履约保证金为合同总价款的5%，人民币</w:t>
      </w:r>
      <w:r>
        <w:rPr>
          <w:rFonts w:hint="eastAsia" w:ascii="仿宋_GB2312" w:hAnsi="仿宋" w:eastAsia="仿宋_GB2312" w:cs="宋体"/>
          <w:color w:val="auto"/>
          <w:szCs w:val="21"/>
          <w:u w:val="single"/>
        </w:rPr>
        <w:t xml:space="preserve">      </w:t>
      </w:r>
      <w:r>
        <w:rPr>
          <w:rFonts w:hint="eastAsia" w:ascii="仿宋_GB2312" w:hAnsi="仿宋" w:eastAsia="仿宋_GB2312" w:cs="宋体"/>
          <w:color w:val="auto"/>
          <w:szCs w:val="21"/>
        </w:rPr>
        <w:t>元，大写人民币</w:t>
      </w:r>
      <w:r>
        <w:rPr>
          <w:rFonts w:hint="eastAsia" w:ascii="仿宋_GB2312" w:hAnsi="仿宋" w:eastAsia="仿宋_GB2312" w:cs="宋体"/>
          <w:color w:val="auto"/>
          <w:szCs w:val="21"/>
          <w:u w:val="single"/>
        </w:rPr>
        <w:t xml:space="preserve">      </w:t>
      </w:r>
      <w:r>
        <w:rPr>
          <w:rFonts w:hint="eastAsia" w:ascii="仿宋_GB2312" w:hAnsi="仿宋" w:eastAsia="仿宋_GB2312" w:cs="宋体"/>
          <w:color w:val="auto"/>
          <w:szCs w:val="21"/>
        </w:rPr>
        <w:t>元。</w:t>
      </w:r>
      <w:r>
        <w:rPr>
          <w:rFonts w:ascii="仿宋_GB2312" w:hAnsi="仿宋" w:eastAsia="仿宋_GB2312" w:cs="宋体"/>
          <w:color w:val="auto"/>
          <w:szCs w:val="21"/>
        </w:rPr>
        <w:t>待乙方所供物货验收合格</w:t>
      </w:r>
      <w:r>
        <w:rPr>
          <w:rFonts w:hint="eastAsia" w:ascii="仿宋_GB2312" w:hAnsi="仿宋" w:eastAsia="仿宋_GB2312" w:cs="宋体"/>
          <w:color w:val="auto"/>
          <w:szCs w:val="21"/>
        </w:rPr>
        <w:t>并提出申请</w:t>
      </w:r>
      <w:r>
        <w:rPr>
          <w:rFonts w:ascii="仿宋_GB2312" w:hAnsi="仿宋" w:eastAsia="仿宋_GB2312" w:cs="宋体"/>
          <w:color w:val="auto"/>
          <w:szCs w:val="21"/>
        </w:rPr>
        <w:t xml:space="preserve">后 </w:t>
      </w:r>
      <w:r>
        <w:rPr>
          <w:rFonts w:hint="eastAsia" w:ascii="仿宋_GB2312" w:hAnsi="仿宋" w:eastAsia="仿宋_GB2312" w:cs="宋体"/>
          <w:color w:val="auto"/>
          <w:szCs w:val="21"/>
        </w:rPr>
        <w:t>20个工作日内无息退还；</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6.2 合同总价的</w:t>
      </w:r>
      <w:r>
        <w:rPr>
          <w:rFonts w:ascii="Calibri" w:hAnsi="Calibri" w:eastAsia="仿宋_GB2312" w:cs="Calibri"/>
          <w:color w:val="auto"/>
          <w:szCs w:val="21"/>
          <w:u w:val="single"/>
        </w:rPr>
        <w:t xml:space="preserve">  </w:t>
      </w:r>
      <w:r>
        <w:rPr>
          <w:rFonts w:hint="eastAsia" w:ascii="Calibri" w:hAnsi="Calibri" w:eastAsia="仿宋_GB2312" w:cs="Calibri"/>
          <w:color w:val="auto"/>
          <w:szCs w:val="21"/>
          <w:u w:val="single"/>
        </w:rPr>
        <w:t>5</w:t>
      </w:r>
      <w:r>
        <w:rPr>
          <w:rFonts w:ascii="Calibri" w:hAnsi="Calibri" w:eastAsia="仿宋_GB2312" w:cs="Calibri"/>
          <w:color w:val="auto"/>
          <w:szCs w:val="21"/>
          <w:u w:val="single"/>
        </w:rPr>
        <w:t xml:space="preserve">  </w:t>
      </w:r>
      <w:r>
        <w:rPr>
          <w:rFonts w:ascii="仿宋_GB2312" w:hAnsi="仿宋" w:eastAsia="仿宋_GB2312" w:cs="宋体"/>
          <w:color w:val="auto"/>
          <w:szCs w:val="21"/>
        </w:rPr>
        <w:t>%</w:t>
      </w:r>
      <w:r>
        <w:rPr>
          <w:rFonts w:hint="eastAsia" w:ascii="仿宋_GB2312" w:hAnsi="仿宋" w:eastAsia="仿宋_GB2312" w:cs="宋体"/>
          <w:color w:val="auto"/>
          <w:szCs w:val="21"/>
        </w:rPr>
        <w:t>为乙方所供货物的质量保证金，质保期满后，无质量问题后，无息退还。</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6.3 履约保证金应由乙方名义开立的账户支付到甲方账户，否则视为未支付，甲方有权追究乙方逾期付款责任。</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6.4 乙方支付履约保证金时，应在“付款备注”中写明“重庆机场集团2</w:t>
      </w:r>
      <w:r>
        <w:rPr>
          <w:rFonts w:ascii="仿宋_GB2312" w:hAnsi="仿宋" w:eastAsia="仿宋_GB2312" w:cs="宋体"/>
          <w:color w:val="auto"/>
          <w:szCs w:val="21"/>
        </w:rPr>
        <w:t>022</w:t>
      </w:r>
      <w:r>
        <w:rPr>
          <w:rFonts w:hint="eastAsia" w:ascii="仿宋_GB2312" w:hAnsi="仿宋" w:eastAsia="仿宋_GB2312" w:cs="宋体"/>
          <w:color w:val="auto"/>
          <w:szCs w:val="21"/>
        </w:rPr>
        <w:t>年正版软件采购项目（Adobe部分）履约保证金”。乙方不得与其他合同、其他缴费项目一起支付履约保证金，若因混合支付造成无法确认为本合同款项到账的，视为逾期未支付。</w:t>
      </w:r>
    </w:p>
    <w:p>
      <w:pPr>
        <w:spacing w:before="120" w:after="120" w:line="360" w:lineRule="auto"/>
        <w:ind w:firstLine="420" w:firstLineChars="200"/>
        <w:outlineLvl w:val="1"/>
        <w:rPr>
          <w:rFonts w:ascii="仿宋_GB2312" w:hAnsi="仿宋" w:eastAsia="黑体" w:cs="宋体"/>
          <w:color w:val="auto"/>
          <w:szCs w:val="21"/>
        </w:rPr>
      </w:pPr>
      <w:bookmarkStart w:id="9" w:name="_Toc25588106"/>
      <w:r>
        <w:rPr>
          <w:rFonts w:ascii="仿宋_GB2312" w:hAnsi="仿宋" w:eastAsia="黑体" w:cs="宋体"/>
          <w:color w:val="auto"/>
          <w:szCs w:val="21"/>
        </w:rPr>
        <w:t>第</w:t>
      </w:r>
      <w:r>
        <w:rPr>
          <w:rFonts w:hint="eastAsia" w:ascii="仿宋_GB2312" w:hAnsi="仿宋" w:eastAsia="黑体" w:cs="宋体"/>
          <w:color w:val="auto"/>
          <w:szCs w:val="21"/>
        </w:rPr>
        <w:t>七</w:t>
      </w:r>
      <w:r>
        <w:rPr>
          <w:rFonts w:ascii="仿宋_GB2312" w:hAnsi="仿宋" w:eastAsia="黑体" w:cs="宋体"/>
          <w:color w:val="auto"/>
          <w:szCs w:val="21"/>
        </w:rPr>
        <w:t>条 付款方式</w:t>
      </w:r>
      <w:bookmarkEnd w:id="9"/>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7.1</w:t>
      </w:r>
      <w:r>
        <w:rPr>
          <w:rFonts w:ascii="仿宋_GB2312" w:hAnsi="仿宋" w:eastAsia="仿宋_GB2312" w:cs="宋体"/>
          <w:color w:val="auto"/>
          <w:szCs w:val="21"/>
        </w:rPr>
        <w:t>全部软件产品获得授权，安装、调试完毕，验收合格后，乙方提供合同总额 100%的增值税发票，15 个工作日内，甲方向乙方支付合同总额的 95%</w:t>
      </w:r>
      <w:r>
        <w:rPr>
          <w:rFonts w:hint="eastAsia" w:ascii="仿宋_GB2312" w:hAnsi="仿宋" w:eastAsia="仿宋_GB2312" w:cs="宋体"/>
          <w:color w:val="auto"/>
          <w:szCs w:val="21"/>
        </w:rPr>
        <w:t>；</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7.2</w:t>
      </w:r>
      <w:r>
        <w:rPr>
          <w:rFonts w:ascii="仿宋_GB2312" w:hAnsi="仿宋" w:eastAsia="仿宋_GB2312" w:cs="宋体"/>
          <w:color w:val="auto"/>
          <w:szCs w:val="21"/>
        </w:rPr>
        <w:t>合同总额 5%作为质保金，在验收合格后 12 个月，产品无质量问题、服务优质高效，乙方提交付款申请 15 个工作日内，甲方向乙方支付合同总额的 5%</w:t>
      </w:r>
      <w:r>
        <w:rPr>
          <w:rFonts w:hint="eastAsia" w:ascii="仿宋_GB2312" w:hAnsi="仿宋" w:eastAsia="仿宋_GB2312" w:cs="宋体"/>
          <w:color w:val="auto"/>
          <w:szCs w:val="21"/>
        </w:rPr>
        <w:t>。</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7.3乙方需向甲方提供正规增值税发票。如果乙方提供增值税普通发票，甲方支付金额为不含增值税金额；如果乙方提供增值税专用发票，甲方支付金额</w:t>
      </w:r>
      <w:r>
        <w:rPr>
          <w:rFonts w:ascii="仿宋_GB2312" w:hAnsi="仿宋" w:eastAsia="仿宋_GB2312" w:cs="宋体"/>
          <w:color w:val="auto"/>
          <w:szCs w:val="21"/>
        </w:rPr>
        <w:t>=不含增值税金额+增值税税额。</w:t>
      </w:r>
    </w:p>
    <w:p>
      <w:pPr>
        <w:spacing w:before="120" w:after="120" w:line="360" w:lineRule="auto"/>
        <w:ind w:firstLine="420" w:firstLineChars="200"/>
        <w:outlineLvl w:val="1"/>
        <w:rPr>
          <w:rFonts w:ascii="仿宋_GB2312" w:hAnsi="仿宋" w:eastAsia="黑体" w:cs="宋体"/>
          <w:color w:val="auto"/>
          <w:szCs w:val="21"/>
        </w:rPr>
      </w:pPr>
      <w:bookmarkStart w:id="10" w:name="_Toc25588107"/>
      <w:r>
        <w:rPr>
          <w:rFonts w:ascii="仿宋_GB2312" w:hAnsi="仿宋" w:eastAsia="黑体" w:cs="宋体"/>
          <w:color w:val="auto"/>
          <w:szCs w:val="21"/>
        </w:rPr>
        <w:t>第</w:t>
      </w:r>
      <w:r>
        <w:rPr>
          <w:rFonts w:hint="eastAsia" w:ascii="仿宋_GB2312" w:hAnsi="仿宋" w:eastAsia="黑体" w:cs="宋体"/>
          <w:color w:val="auto"/>
          <w:szCs w:val="21"/>
        </w:rPr>
        <w:t>八</w:t>
      </w:r>
      <w:r>
        <w:rPr>
          <w:rFonts w:ascii="仿宋_GB2312" w:hAnsi="仿宋" w:eastAsia="黑体" w:cs="宋体"/>
          <w:color w:val="auto"/>
          <w:szCs w:val="21"/>
        </w:rPr>
        <w:t>条 违约和索赔</w:t>
      </w:r>
      <w:bookmarkEnd w:id="10"/>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8</w:t>
      </w:r>
      <w:r>
        <w:rPr>
          <w:rFonts w:ascii="仿宋_GB2312" w:hAnsi="仿宋" w:eastAsia="仿宋_GB2312" w:cs="宋体"/>
          <w:color w:val="auto"/>
          <w:szCs w:val="21"/>
        </w:rPr>
        <w:t>. 1乙方逾期交</w:t>
      </w:r>
      <w:r>
        <w:rPr>
          <w:rFonts w:hint="eastAsia" w:ascii="仿宋_GB2312" w:hAnsi="仿宋" w:eastAsia="仿宋_GB2312" w:cs="宋体"/>
          <w:color w:val="auto"/>
          <w:szCs w:val="21"/>
        </w:rPr>
        <w:t>货</w:t>
      </w:r>
      <w:r>
        <w:rPr>
          <w:rFonts w:ascii="仿宋_GB2312" w:hAnsi="仿宋" w:eastAsia="仿宋_GB2312" w:cs="宋体"/>
          <w:color w:val="auto"/>
          <w:szCs w:val="21"/>
        </w:rPr>
        <w:t>，乙方应向甲方偿付逾期交付违约金。逾期违约金按</w:t>
      </w:r>
      <w:r>
        <w:rPr>
          <w:rFonts w:hint="eastAsia" w:ascii="仿宋_GB2312" w:hAnsi="仿宋" w:eastAsia="仿宋_GB2312" w:cs="宋体"/>
          <w:color w:val="auto"/>
          <w:szCs w:val="21"/>
        </w:rPr>
        <w:t>照合同总价款每日万分之三计算。</w:t>
      </w:r>
      <w:r>
        <w:rPr>
          <w:rFonts w:ascii="仿宋_GB2312" w:hAnsi="仿宋" w:eastAsia="仿宋_GB2312" w:cs="宋体"/>
          <w:color w:val="auto"/>
          <w:szCs w:val="21"/>
        </w:rPr>
        <w:t>甲方可在</w:t>
      </w:r>
      <w:r>
        <w:rPr>
          <w:rFonts w:hint="eastAsia" w:ascii="仿宋_GB2312" w:hAnsi="仿宋" w:eastAsia="仿宋_GB2312" w:cs="宋体"/>
          <w:color w:val="auto"/>
          <w:szCs w:val="21"/>
        </w:rPr>
        <w:t>货物</w:t>
      </w:r>
      <w:r>
        <w:rPr>
          <w:rFonts w:ascii="仿宋_GB2312" w:hAnsi="仿宋" w:eastAsia="仿宋_GB2312" w:cs="宋体"/>
          <w:color w:val="auto"/>
          <w:szCs w:val="21"/>
        </w:rPr>
        <w:t>结算款中扣除。违约金尚不能补偿对方损失时，有权向对方追索实际损失的赔偿金。</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8</w:t>
      </w:r>
      <w:r>
        <w:rPr>
          <w:rFonts w:ascii="仿宋_GB2312" w:hAnsi="仿宋" w:eastAsia="仿宋_GB2312" w:cs="宋体"/>
          <w:color w:val="auto"/>
          <w:szCs w:val="21"/>
        </w:rPr>
        <w:t>.2 乙方</w:t>
      </w:r>
      <w:r>
        <w:rPr>
          <w:rFonts w:hint="eastAsia" w:ascii="仿宋_GB2312" w:hAnsi="仿宋" w:eastAsia="仿宋_GB2312" w:cs="宋体"/>
          <w:color w:val="auto"/>
          <w:szCs w:val="21"/>
        </w:rPr>
        <w:t>逾期交货，</w:t>
      </w:r>
      <w:r>
        <w:rPr>
          <w:rFonts w:ascii="仿宋_GB2312" w:hAnsi="仿宋" w:eastAsia="仿宋_GB2312" w:cs="宋体"/>
          <w:color w:val="auto"/>
          <w:szCs w:val="21"/>
        </w:rPr>
        <w:t>或不履行售后服务，</w:t>
      </w:r>
      <w:r>
        <w:rPr>
          <w:rFonts w:hint="eastAsia" w:ascii="仿宋_GB2312" w:hAnsi="仿宋" w:eastAsia="仿宋_GB2312" w:cs="宋体"/>
          <w:color w:val="auto"/>
          <w:szCs w:val="21"/>
        </w:rPr>
        <w:t>经甲方催告后仍不能履行的，</w:t>
      </w:r>
      <w:r>
        <w:rPr>
          <w:rFonts w:ascii="仿宋_GB2312" w:hAnsi="仿宋" w:eastAsia="仿宋_GB2312" w:cs="宋体"/>
          <w:color w:val="auto"/>
          <w:szCs w:val="21"/>
        </w:rPr>
        <w:t>甲方有权</w:t>
      </w:r>
      <w:r>
        <w:rPr>
          <w:rFonts w:hint="eastAsia" w:ascii="仿宋_GB2312" w:hAnsi="仿宋" w:eastAsia="仿宋_GB2312" w:cs="宋体"/>
          <w:color w:val="auto"/>
          <w:szCs w:val="21"/>
        </w:rPr>
        <w:t>解除合同，保证金作为违约金不予退还。保证金不足以弥补甲方损失的，甲方有权追偿。</w:t>
      </w:r>
    </w:p>
    <w:p>
      <w:pPr>
        <w:spacing w:line="360" w:lineRule="auto"/>
        <w:ind w:firstLine="420" w:firstLineChars="200"/>
        <w:rPr>
          <w:rFonts w:ascii="仿宋_GB2312" w:hAnsi="仿宋" w:eastAsia="仿宋_GB2312" w:cs="宋体"/>
          <w:bCs/>
          <w:color w:val="auto"/>
          <w:szCs w:val="21"/>
        </w:rPr>
      </w:pPr>
      <w:r>
        <w:rPr>
          <w:rFonts w:hint="eastAsia" w:ascii="仿宋_GB2312" w:hAnsi="仿宋" w:eastAsia="仿宋_GB2312" w:cs="宋体"/>
          <w:color w:val="auto"/>
          <w:szCs w:val="21"/>
        </w:rPr>
        <w:t>8</w:t>
      </w:r>
      <w:r>
        <w:rPr>
          <w:rFonts w:ascii="仿宋_GB2312" w:hAnsi="仿宋" w:eastAsia="仿宋_GB2312" w:cs="宋体"/>
          <w:color w:val="auto"/>
          <w:szCs w:val="21"/>
        </w:rPr>
        <w:t xml:space="preserve">.3 </w:t>
      </w:r>
      <w:r>
        <w:rPr>
          <w:rFonts w:hint="eastAsia" w:ascii="仿宋_GB2312" w:hAnsi="仿宋" w:eastAsia="仿宋_GB2312" w:cs="宋体"/>
          <w:bCs/>
          <w:color w:val="auto"/>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420" w:firstLineChars="200"/>
        <w:rPr>
          <w:rFonts w:ascii="仿宋_GB2312" w:hAnsi="仿宋" w:eastAsia="仿宋_GB2312" w:cs="宋体"/>
          <w:bCs/>
          <w:color w:val="auto"/>
          <w:szCs w:val="21"/>
        </w:rPr>
      </w:pPr>
      <w:r>
        <w:rPr>
          <w:rFonts w:hint="eastAsia" w:ascii="仿宋_GB2312" w:hAnsi="仿宋" w:eastAsia="仿宋_GB2312" w:cs="宋体"/>
          <w:bCs/>
          <w:color w:val="auto"/>
          <w:szCs w:val="21"/>
        </w:rPr>
        <w:t>8.4因产品质量瑕疵或缺陷导致甲方或第三人损害的，甲方有权向乙方索赔。</w:t>
      </w:r>
    </w:p>
    <w:p>
      <w:pPr>
        <w:spacing w:before="120" w:after="120" w:line="360" w:lineRule="auto"/>
        <w:ind w:firstLine="420" w:firstLineChars="200"/>
        <w:outlineLvl w:val="1"/>
        <w:rPr>
          <w:rFonts w:ascii="仿宋_GB2312" w:hAnsi="仿宋" w:eastAsia="黑体" w:cs="宋体"/>
          <w:color w:val="auto"/>
          <w:szCs w:val="21"/>
        </w:rPr>
      </w:pPr>
      <w:bookmarkStart w:id="11" w:name="_Toc25588108"/>
      <w:r>
        <w:rPr>
          <w:rFonts w:ascii="仿宋_GB2312" w:hAnsi="仿宋" w:eastAsia="黑体" w:cs="宋体"/>
          <w:color w:val="auto"/>
          <w:szCs w:val="21"/>
        </w:rPr>
        <w:t>第</w:t>
      </w:r>
      <w:r>
        <w:rPr>
          <w:rFonts w:hint="eastAsia" w:ascii="仿宋_GB2312" w:hAnsi="仿宋" w:eastAsia="黑体" w:cs="宋体"/>
          <w:color w:val="auto"/>
          <w:szCs w:val="21"/>
        </w:rPr>
        <w:t>九</w:t>
      </w:r>
      <w:r>
        <w:rPr>
          <w:rFonts w:ascii="仿宋_GB2312" w:hAnsi="仿宋" w:eastAsia="黑体" w:cs="宋体"/>
          <w:color w:val="auto"/>
          <w:szCs w:val="21"/>
        </w:rPr>
        <w:t>条 不可抗力</w:t>
      </w:r>
      <w:bookmarkEnd w:id="11"/>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9</w:t>
      </w:r>
      <w:r>
        <w:rPr>
          <w:rFonts w:ascii="仿宋_GB2312" w:hAnsi="仿宋" w:eastAsia="仿宋_GB2312" w:cs="宋体"/>
          <w:color w:val="auto"/>
          <w:szCs w:val="21"/>
        </w:rPr>
        <w:t xml:space="preserve">.1 </w:t>
      </w:r>
      <w:r>
        <w:rPr>
          <w:rFonts w:hint="eastAsia" w:ascii="仿宋_GB2312" w:hAnsi="仿宋" w:eastAsia="仿宋_GB2312" w:cs="宋体"/>
          <w:color w:val="auto"/>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9</w:t>
      </w:r>
      <w:r>
        <w:rPr>
          <w:rFonts w:ascii="仿宋_GB2312" w:hAnsi="仿宋" w:eastAsia="仿宋_GB2312" w:cs="宋体"/>
          <w:color w:val="auto"/>
          <w:szCs w:val="21"/>
        </w:rPr>
        <w:t xml:space="preserve">.2 </w:t>
      </w:r>
      <w:r>
        <w:rPr>
          <w:rFonts w:hint="eastAsia" w:ascii="仿宋_GB2312" w:hAnsi="仿宋" w:eastAsia="仿宋_GB2312" w:cs="宋体"/>
          <w:color w:val="auto"/>
          <w:szCs w:val="21"/>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auto"/>
          <w:szCs w:val="21"/>
        </w:rPr>
        <w:t>30个工作日内据实结算完毕。迟</w:t>
      </w:r>
      <w:r>
        <w:rPr>
          <w:rFonts w:hint="eastAsia" w:ascii="仿宋_GB2312" w:hAnsi="仿宋" w:eastAsia="仿宋_GB2312" w:cs="宋体"/>
          <w:color w:val="auto"/>
          <w:szCs w:val="21"/>
        </w:rPr>
        <w:t>延履行后发生不可抗力的，不能免除违约责任。</w:t>
      </w:r>
      <w:r>
        <w:rPr>
          <w:rFonts w:ascii="仿宋_GB2312" w:hAnsi="仿宋" w:eastAsia="仿宋_GB2312" w:cs="宋体"/>
          <w:color w:val="auto"/>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420" w:firstLineChars="200"/>
        <w:outlineLvl w:val="1"/>
        <w:rPr>
          <w:rFonts w:ascii="仿宋_GB2312" w:hAnsi="仿宋" w:eastAsia="黑体" w:cs="宋体"/>
          <w:color w:val="auto"/>
          <w:szCs w:val="21"/>
        </w:rPr>
      </w:pPr>
      <w:bookmarkStart w:id="12" w:name="_Toc25588109"/>
      <w:r>
        <w:rPr>
          <w:rFonts w:hint="eastAsia" w:ascii="仿宋_GB2312" w:hAnsi="仿宋" w:eastAsia="黑体" w:cs="宋体"/>
          <w:color w:val="auto"/>
          <w:szCs w:val="21"/>
        </w:rPr>
        <w:t>第十条 通知条款</w:t>
      </w:r>
      <w:bookmarkEnd w:id="12"/>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甲方指定的联系方式：</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联系人：</w:t>
      </w:r>
      <w:r>
        <w:rPr>
          <w:rFonts w:eastAsia="仿宋_GB2312"/>
          <w:color w:val="auto"/>
          <w:szCs w:val="21"/>
        </w:rPr>
        <w:t>_____________________________</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联系电话：</w:t>
      </w:r>
      <w:r>
        <w:rPr>
          <w:rFonts w:eastAsia="仿宋_GB2312"/>
          <w:color w:val="auto"/>
          <w:szCs w:val="21"/>
        </w:rPr>
        <w:t>___________________________</w:t>
      </w:r>
    </w:p>
    <w:p>
      <w:pPr>
        <w:spacing w:line="360" w:lineRule="auto"/>
        <w:ind w:firstLine="420" w:firstLineChars="200"/>
        <w:rPr>
          <w:rFonts w:eastAsia="仿宋_GB2312"/>
          <w:color w:val="auto"/>
          <w:szCs w:val="21"/>
        </w:rPr>
      </w:pPr>
      <w:r>
        <w:rPr>
          <w:rFonts w:hint="eastAsia" w:ascii="仿宋_GB2312" w:hAnsi="仿宋" w:eastAsia="仿宋_GB2312" w:cs="宋体"/>
          <w:color w:val="auto"/>
          <w:szCs w:val="21"/>
        </w:rPr>
        <w:t>通讯地址：</w:t>
      </w:r>
      <w:r>
        <w:rPr>
          <w:rFonts w:eastAsia="仿宋_GB2312"/>
          <w:color w:val="auto"/>
          <w:szCs w:val="21"/>
        </w:rPr>
        <w:t>___________________________</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电子邮件：</w:t>
      </w:r>
      <w:r>
        <w:rPr>
          <w:rFonts w:eastAsia="仿宋_GB2312"/>
          <w:color w:val="auto"/>
          <w:szCs w:val="21"/>
        </w:rPr>
        <w:t>___________________________</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乙方指定的联系方式：</w:t>
      </w:r>
    </w:p>
    <w:p>
      <w:pPr>
        <w:spacing w:line="360" w:lineRule="auto"/>
        <w:ind w:firstLine="420" w:firstLineChars="200"/>
        <w:rPr>
          <w:rFonts w:eastAsia="仿宋_GB2312"/>
          <w:color w:val="auto"/>
          <w:szCs w:val="21"/>
        </w:rPr>
      </w:pPr>
      <w:r>
        <w:rPr>
          <w:rFonts w:hint="eastAsia" w:ascii="仿宋_GB2312" w:hAnsi="仿宋" w:eastAsia="仿宋_GB2312" w:cs="宋体"/>
          <w:color w:val="auto"/>
          <w:szCs w:val="21"/>
        </w:rPr>
        <w:t>联系人：</w:t>
      </w:r>
      <w:r>
        <w:rPr>
          <w:rFonts w:eastAsia="仿宋_GB2312"/>
          <w:color w:val="auto"/>
          <w:szCs w:val="21"/>
        </w:rPr>
        <w:t>_____________________________</w:t>
      </w:r>
    </w:p>
    <w:p>
      <w:pPr>
        <w:spacing w:line="360" w:lineRule="auto"/>
        <w:ind w:firstLine="420" w:firstLineChars="200"/>
        <w:rPr>
          <w:rFonts w:eastAsia="仿宋_GB2312"/>
          <w:color w:val="auto"/>
          <w:szCs w:val="21"/>
        </w:rPr>
      </w:pPr>
      <w:r>
        <w:rPr>
          <w:rFonts w:hint="eastAsia" w:ascii="仿宋_GB2312" w:hAnsi="仿宋" w:eastAsia="仿宋_GB2312" w:cs="宋体"/>
          <w:color w:val="auto"/>
          <w:szCs w:val="21"/>
        </w:rPr>
        <w:t>联系电话：</w:t>
      </w:r>
      <w:r>
        <w:rPr>
          <w:rFonts w:eastAsia="仿宋_GB2312"/>
          <w:color w:val="auto"/>
          <w:szCs w:val="21"/>
        </w:rPr>
        <w:t>___________________________</w:t>
      </w:r>
    </w:p>
    <w:p>
      <w:pPr>
        <w:spacing w:line="360" w:lineRule="auto"/>
        <w:ind w:firstLine="420" w:firstLineChars="200"/>
        <w:rPr>
          <w:rFonts w:eastAsia="仿宋_GB2312"/>
          <w:color w:val="auto"/>
          <w:szCs w:val="21"/>
        </w:rPr>
      </w:pPr>
      <w:r>
        <w:rPr>
          <w:rFonts w:hint="eastAsia" w:ascii="仿宋_GB2312" w:hAnsi="仿宋" w:eastAsia="仿宋_GB2312" w:cs="宋体"/>
          <w:color w:val="auto"/>
          <w:szCs w:val="21"/>
        </w:rPr>
        <w:t>通讯地址：</w:t>
      </w:r>
      <w:r>
        <w:rPr>
          <w:rFonts w:eastAsia="仿宋_GB2312"/>
          <w:color w:val="auto"/>
          <w:szCs w:val="21"/>
        </w:rPr>
        <w:t>___________________________</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电子邮件：</w:t>
      </w:r>
      <w:r>
        <w:rPr>
          <w:rFonts w:eastAsia="仿宋_GB2312"/>
          <w:color w:val="auto"/>
          <w:szCs w:val="21"/>
        </w:rPr>
        <w:t>___________________________</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.1采用当面签收的，应由合同中指定的联系人或双方授权的代表签收，签收日期即为送达时间。</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10</w:t>
      </w:r>
      <w:r>
        <w:rPr>
          <w:rFonts w:ascii="仿宋_GB2312" w:hAnsi="仿宋" w:eastAsia="仿宋_GB2312" w:cs="宋体"/>
          <w:color w:val="auto"/>
          <w:szCs w:val="21"/>
        </w:rPr>
        <w:t>.7本合同约定的联系方式与送达方式同时可作为法律文书的联系方式与送达方式。</w:t>
      </w:r>
    </w:p>
    <w:p>
      <w:pPr>
        <w:spacing w:before="120" w:after="120" w:line="360" w:lineRule="auto"/>
        <w:ind w:firstLine="420" w:firstLineChars="200"/>
        <w:outlineLvl w:val="1"/>
        <w:rPr>
          <w:rFonts w:ascii="仿宋_GB2312" w:hAnsi="仿宋" w:eastAsia="黑体" w:cs="宋体"/>
          <w:color w:val="auto"/>
          <w:szCs w:val="21"/>
        </w:rPr>
      </w:pPr>
      <w:bookmarkStart w:id="13" w:name="_Toc25588110"/>
      <w:r>
        <w:rPr>
          <w:rFonts w:ascii="仿宋_GB2312" w:hAnsi="仿宋" w:eastAsia="黑体" w:cs="宋体"/>
          <w:color w:val="auto"/>
          <w:szCs w:val="21"/>
        </w:rPr>
        <w:t>第</w:t>
      </w:r>
      <w:r>
        <w:rPr>
          <w:rFonts w:hint="eastAsia" w:ascii="仿宋_GB2312" w:hAnsi="仿宋" w:eastAsia="黑体" w:cs="宋体"/>
          <w:color w:val="auto"/>
          <w:szCs w:val="21"/>
        </w:rPr>
        <w:t>十一</w:t>
      </w:r>
      <w:r>
        <w:rPr>
          <w:rFonts w:ascii="仿宋_GB2312" w:hAnsi="仿宋" w:eastAsia="黑体" w:cs="宋体"/>
          <w:color w:val="auto"/>
          <w:szCs w:val="21"/>
        </w:rPr>
        <w:t xml:space="preserve">条 </w:t>
      </w:r>
      <w:r>
        <w:rPr>
          <w:rFonts w:hint="eastAsia" w:ascii="仿宋_GB2312" w:hAnsi="仿宋" w:eastAsia="黑体" w:cs="宋体"/>
          <w:color w:val="auto"/>
          <w:szCs w:val="21"/>
        </w:rPr>
        <w:t>保密条款</w:t>
      </w:r>
      <w:bookmarkEnd w:id="13"/>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auto"/>
          <w:szCs w:val="21"/>
        </w:rPr>
        <w:t>。</w:t>
      </w:r>
    </w:p>
    <w:p>
      <w:pPr>
        <w:spacing w:before="120" w:after="120" w:line="360" w:lineRule="auto"/>
        <w:ind w:firstLine="420" w:firstLineChars="200"/>
        <w:outlineLvl w:val="1"/>
        <w:rPr>
          <w:rFonts w:ascii="仿宋_GB2312" w:hAnsi="仿宋" w:eastAsia="黑体" w:cs="宋体"/>
          <w:color w:val="auto"/>
          <w:szCs w:val="21"/>
        </w:rPr>
      </w:pPr>
      <w:bookmarkStart w:id="14" w:name="_Toc25588111"/>
      <w:r>
        <w:rPr>
          <w:rFonts w:ascii="仿宋_GB2312" w:hAnsi="仿宋" w:eastAsia="黑体" w:cs="宋体"/>
          <w:color w:val="auto"/>
          <w:szCs w:val="21"/>
        </w:rPr>
        <w:t>第</w:t>
      </w:r>
      <w:r>
        <w:rPr>
          <w:rFonts w:hint="eastAsia" w:ascii="仿宋_GB2312" w:hAnsi="仿宋" w:eastAsia="黑体" w:cs="宋体"/>
          <w:color w:val="auto"/>
          <w:szCs w:val="21"/>
        </w:rPr>
        <w:t>十二</w:t>
      </w:r>
      <w:r>
        <w:rPr>
          <w:rFonts w:ascii="仿宋_GB2312" w:hAnsi="仿宋" w:eastAsia="黑体" w:cs="宋体"/>
          <w:color w:val="auto"/>
          <w:szCs w:val="21"/>
        </w:rPr>
        <w:t xml:space="preserve">条 </w:t>
      </w:r>
      <w:r>
        <w:rPr>
          <w:rFonts w:hint="eastAsia" w:ascii="仿宋_GB2312" w:hAnsi="仿宋" w:eastAsia="黑体" w:cs="宋体"/>
          <w:color w:val="auto"/>
          <w:szCs w:val="21"/>
        </w:rPr>
        <w:t>合同争议的解决方式</w:t>
      </w:r>
      <w:bookmarkEnd w:id="14"/>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1</w:t>
      </w:r>
      <w:r>
        <w:rPr>
          <w:rFonts w:hint="eastAsia" w:ascii="仿宋_GB2312" w:hAnsi="仿宋" w:eastAsia="仿宋_GB2312" w:cs="宋体"/>
          <w:color w:val="auto"/>
          <w:szCs w:val="21"/>
        </w:rPr>
        <w:t>2</w:t>
      </w:r>
      <w:r>
        <w:rPr>
          <w:rFonts w:ascii="仿宋_GB2312" w:hAnsi="仿宋" w:eastAsia="仿宋_GB2312" w:cs="宋体"/>
          <w:color w:val="auto"/>
          <w:szCs w:val="21"/>
        </w:rPr>
        <w:t xml:space="preserve">.1 </w:t>
      </w:r>
      <w:r>
        <w:rPr>
          <w:rFonts w:hint="eastAsia" w:ascii="仿宋_GB2312" w:hAnsi="仿宋" w:eastAsia="仿宋_GB2312" w:cs="宋体"/>
          <w:color w:val="auto"/>
          <w:szCs w:val="21"/>
        </w:rPr>
        <w:t>若在合同履行过程中发生争议，甲乙双方应当友好协商解决，协商不成，按以下第（二</w:t>
      </w:r>
      <w:r>
        <w:rPr>
          <w:rFonts w:ascii="仿宋_GB2312" w:hAnsi="仿宋" w:eastAsia="仿宋_GB2312" w:cs="宋体"/>
          <w:color w:val="auto"/>
          <w:szCs w:val="21"/>
        </w:rPr>
        <w:t xml:space="preserve"> ） 种方式解决：</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（一）提交重庆仲裁委员会，按照申请仲裁时该会现行有效的仲裁规则进行仲裁。</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（二）向</w:t>
      </w:r>
      <w:r>
        <w:rPr>
          <w:rFonts w:ascii="仿宋_GB2312" w:hAnsi="仿宋" w:eastAsia="仿宋_GB2312" w:cs="宋体"/>
          <w:color w:val="auto"/>
          <w:szCs w:val="21"/>
        </w:rPr>
        <w:t>甲方所在地人民法院起诉。</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1</w:t>
      </w:r>
      <w:r>
        <w:rPr>
          <w:rFonts w:hint="eastAsia" w:ascii="仿宋_GB2312" w:hAnsi="仿宋" w:eastAsia="仿宋_GB2312" w:cs="宋体"/>
          <w:color w:val="auto"/>
          <w:szCs w:val="21"/>
        </w:rPr>
        <w:t>2</w:t>
      </w:r>
      <w:r>
        <w:rPr>
          <w:rFonts w:ascii="仿宋_GB2312" w:hAnsi="仿宋" w:eastAsia="仿宋_GB2312" w:cs="宋体"/>
          <w:color w:val="auto"/>
          <w:szCs w:val="21"/>
        </w:rPr>
        <w:t>.2在诉讼期间，除正在进行诉讼的部分外，合同其它部分继续执行。</w:t>
      </w:r>
    </w:p>
    <w:p>
      <w:pPr>
        <w:spacing w:before="120" w:after="120" w:line="360" w:lineRule="auto"/>
        <w:ind w:firstLine="420" w:firstLineChars="200"/>
        <w:outlineLvl w:val="1"/>
        <w:rPr>
          <w:rFonts w:ascii="仿宋_GB2312" w:hAnsi="仿宋" w:eastAsia="黑体" w:cs="宋体"/>
          <w:color w:val="auto"/>
          <w:szCs w:val="21"/>
        </w:rPr>
      </w:pPr>
      <w:bookmarkStart w:id="15" w:name="_Toc25588112"/>
      <w:r>
        <w:rPr>
          <w:rFonts w:hint="eastAsia" w:ascii="仿宋_GB2312" w:hAnsi="仿宋" w:eastAsia="黑体" w:cs="宋体"/>
          <w:color w:val="auto"/>
          <w:szCs w:val="21"/>
        </w:rPr>
        <w:t xml:space="preserve">第十三条 </w:t>
      </w:r>
      <w:r>
        <w:rPr>
          <w:rFonts w:ascii="仿宋_GB2312" w:hAnsi="仿宋" w:eastAsia="黑体" w:cs="宋体"/>
          <w:color w:val="auto"/>
          <w:szCs w:val="21"/>
        </w:rPr>
        <w:t>合同的变更和解除</w:t>
      </w:r>
      <w:bookmarkEnd w:id="15"/>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1</w:t>
      </w:r>
      <w:r>
        <w:rPr>
          <w:rFonts w:hint="eastAsia" w:ascii="仿宋_GB2312" w:hAnsi="仿宋" w:eastAsia="仿宋_GB2312" w:cs="宋体"/>
          <w:color w:val="auto"/>
          <w:szCs w:val="21"/>
        </w:rPr>
        <w:t>3</w:t>
      </w:r>
      <w:r>
        <w:rPr>
          <w:rFonts w:ascii="仿宋_GB2312" w:hAnsi="仿宋" w:eastAsia="仿宋_GB2312" w:cs="宋体"/>
          <w:color w:val="auto"/>
          <w:szCs w:val="21"/>
        </w:rPr>
        <w:t>.1 本合同履行过程中，如果合同履行条件发生变化</w:t>
      </w:r>
      <w:r>
        <w:rPr>
          <w:rFonts w:hint="eastAsia" w:ascii="仿宋_GB2312" w:hAnsi="仿宋" w:eastAsia="仿宋_GB2312" w:cs="宋体"/>
          <w:color w:val="auto"/>
          <w:szCs w:val="21"/>
        </w:rPr>
        <w:t>，</w:t>
      </w:r>
      <w:r>
        <w:rPr>
          <w:rFonts w:ascii="仿宋_GB2312" w:hAnsi="仿宋" w:eastAsia="仿宋_GB2312" w:cs="宋体"/>
          <w:color w:val="auto"/>
          <w:szCs w:val="21"/>
        </w:rPr>
        <w:t>由双方进行协商，并以签订补充合同的方式加以确认，补充合同与本合同具有同等效力。若补充协议内容与本合同内容矛盾的，以时间在后的内容为准。</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1</w:t>
      </w:r>
      <w:r>
        <w:rPr>
          <w:rFonts w:hint="eastAsia" w:ascii="仿宋_GB2312" w:hAnsi="仿宋" w:eastAsia="仿宋_GB2312" w:cs="宋体"/>
          <w:color w:val="auto"/>
          <w:szCs w:val="21"/>
        </w:rPr>
        <w:t>3</w:t>
      </w:r>
      <w:r>
        <w:rPr>
          <w:rFonts w:ascii="仿宋_GB2312" w:hAnsi="仿宋" w:eastAsia="仿宋_GB2312" w:cs="宋体"/>
          <w:color w:val="auto"/>
          <w:szCs w:val="21"/>
        </w:rPr>
        <w:t>.2 经双方协商一致，并达成书面合同后，本合同可以解除</w:t>
      </w:r>
      <w:r>
        <w:rPr>
          <w:rFonts w:hint="eastAsia" w:ascii="仿宋_GB2312" w:hAnsi="仿宋" w:eastAsia="仿宋_GB2312" w:cs="宋体"/>
          <w:color w:val="auto"/>
          <w:szCs w:val="21"/>
        </w:rPr>
        <w:t>，</w:t>
      </w:r>
      <w:r>
        <w:rPr>
          <w:rFonts w:ascii="仿宋_GB2312" w:hAnsi="仿宋" w:eastAsia="仿宋_GB2312" w:cs="宋体"/>
          <w:color w:val="auto"/>
          <w:szCs w:val="21"/>
        </w:rPr>
        <w:t>双方应就合同解除的后果在解约合同中一并做出约定。</w:t>
      </w:r>
      <w:r>
        <w:rPr>
          <w:rFonts w:hint="eastAsia" w:ascii="仿宋_GB2312" w:hAnsi="仿宋" w:eastAsia="仿宋_GB2312" w:cs="宋体"/>
          <w:color w:val="auto"/>
          <w:szCs w:val="21"/>
        </w:rPr>
        <w:t>一方也可根据合同约定单方行使合同解除权</w:t>
      </w:r>
      <w:r>
        <w:rPr>
          <w:rFonts w:ascii="仿宋_GB2312" w:hAnsi="仿宋" w:eastAsia="仿宋_GB2312" w:cs="宋体"/>
          <w:color w:val="auto"/>
          <w:szCs w:val="21"/>
        </w:rPr>
        <w:t>。</w:t>
      </w:r>
    </w:p>
    <w:p>
      <w:pPr>
        <w:spacing w:before="120" w:after="120" w:line="360" w:lineRule="auto"/>
        <w:ind w:firstLine="420" w:firstLineChars="200"/>
        <w:outlineLvl w:val="1"/>
        <w:rPr>
          <w:rFonts w:ascii="仿宋_GB2312" w:hAnsi="仿宋" w:eastAsia="黑体" w:cs="宋体"/>
          <w:color w:val="auto"/>
          <w:szCs w:val="21"/>
        </w:rPr>
      </w:pPr>
      <w:bookmarkStart w:id="16" w:name="_Toc25588113"/>
      <w:r>
        <w:rPr>
          <w:rFonts w:ascii="仿宋_GB2312" w:hAnsi="仿宋" w:eastAsia="黑体" w:cs="宋体"/>
          <w:color w:val="auto"/>
          <w:szCs w:val="21"/>
        </w:rPr>
        <w:t>第</w:t>
      </w:r>
      <w:r>
        <w:rPr>
          <w:rFonts w:hint="eastAsia" w:ascii="仿宋_GB2312" w:hAnsi="仿宋" w:eastAsia="黑体" w:cs="宋体"/>
          <w:color w:val="auto"/>
          <w:szCs w:val="21"/>
        </w:rPr>
        <w:t>十四</w:t>
      </w:r>
      <w:r>
        <w:rPr>
          <w:rFonts w:ascii="仿宋_GB2312" w:hAnsi="仿宋" w:eastAsia="黑体" w:cs="宋体"/>
          <w:color w:val="auto"/>
          <w:szCs w:val="21"/>
        </w:rPr>
        <w:t>条 合同生效及其他</w:t>
      </w:r>
      <w:bookmarkEnd w:id="16"/>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1</w:t>
      </w:r>
      <w:r>
        <w:rPr>
          <w:rFonts w:hint="eastAsia" w:ascii="仿宋_GB2312" w:hAnsi="仿宋" w:eastAsia="仿宋_GB2312" w:cs="宋体"/>
          <w:color w:val="auto"/>
          <w:szCs w:val="21"/>
        </w:rPr>
        <w:t>4</w:t>
      </w:r>
      <w:r>
        <w:rPr>
          <w:rFonts w:ascii="仿宋_GB2312" w:hAnsi="仿宋" w:eastAsia="仿宋_GB2312" w:cs="宋体"/>
          <w:color w:val="auto"/>
          <w:szCs w:val="21"/>
        </w:rPr>
        <w:t xml:space="preserve">.1 </w:t>
      </w:r>
      <w:r>
        <w:rPr>
          <w:rFonts w:hint="eastAsia" w:ascii="仿宋_GB2312" w:hAnsi="仿宋" w:eastAsia="仿宋_GB2312" w:cs="宋体"/>
          <w:color w:val="auto"/>
          <w:szCs w:val="21"/>
        </w:rPr>
        <w:t>乙方和甲方约定合同内容双方签字或盖章后生效，生效后不得以其他原因单方取消约定</w:t>
      </w:r>
      <w:r>
        <w:rPr>
          <w:rFonts w:ascii="仿宋_GB2312" w:hAnsi="仿宋" w:eastAsia="仿宋_GB2312" w:cs="宋体"/>
          <w:color w:val="auto"/>
          <w:szCs w:val="21"/>
        </w:rPr>
        <w:t>。</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1</w:t>
      </w:r>
      <w:r>
        <w:rPr>
          <w:rFonts w:hint="eastAsia" w:ascii="仿宋_GB2312" w:hAnsi="仿宋" w:eastAsia="仿宋_GB2312" w:cs="宋体"/>
          <w:color w:val="auto"/>
          <w:szCs w:val="21"/>
        </w:rPr>
        <w:t>4</w:t>
      </w:r>
      <w:r>
        <w:rPr>
          <w:rFonts w:ascii="仿宋_GB2312" w:hAnsi="仿宋" w:eastAsia="仿宋_GB2312" w:cs="宋体"/>
          <w:color w:val="auto"/>
          <w:szCs w:val="21"/>
        </w:rPr>
        <w:t>.</w:t>
      </w:r>
      <w:r>
        <w:rPr>
          <w:rFonts w:hint="eastAsia" w:ascii="仿宋_GB2312" w:hAnsi="仿宋" w:eastAsia="仿宋_GB2312" w:cs="宋体"/>
          <w:color w:val="auto"/>
          <w:szCs w:val="21"/>
        </w:rPr>
        <w:t>2</w:t>
      </w:r>
      <w:r>
        <w:rPr>
          <w:rFonts w:ascii="仿宋_GB2312" w:hAnsi="仿宋" w:eastAsia="仿宋_GB2312" w:cs="宋体"/>
          <w:color w:val="auto"/>
          <w:szCs w:val="21"/>
        </w:rPr>
        <w:t xml:space="preserve"> 本合同一式</w:t>
      </w:r>
      <w:r>
        <w:rPr>
          <w:rFonts w:hint="eastAsia" w:ascii="仿宋_GB2312" w:hAnsi="仿宋" w:eastAsia="仿宋_GB2312" w:cs="宋体"/>
          <w:color w:val="auto"/>
          <w:szCs w:val="21"/>
        </w:rPr>
        <w:t>【柒】</w:t>
      </w:r>
      <w:r>
        <w:rPr>
          <w:rFonts w:ascii="仿宋_GB2312" w:hAnsi="仿宋" w:eastAsia="仿宋_GB2312" w:cs="宋体"/>
          <w:color w:val="auto"/>
          <w:szCs w:val="21"/>
        </w:rPr>
        <w:t>份，甲方执</w:t>
      </w:r>
      <w:r>
        <w:rPr>
          <w:rFonts w:hint="eastAsia" w:ascii="仿宋_GB2312" w:hAnsi="仿宋" w:eastAsia="仿宋_GB2312" w:cs="宋体"/>
          <w:color w:val="auto"/>
          <w:szCs w:val="21"/>
        </w:rPr>
        <w:t>【伍】</w:t>
      </w:r>
      <w:r>
        <w:rPr>
          <w:rFonts w:ascii="仿宋_GB2312" w:hAnsi="仿宋" w:eastAsia="仿宋_GB2312" w:cs="宋体"/>
          <w:color w:val="auto"/>
          <w:szCs w:val="21"/>
        </w:rPr>
        <w:t>份，乙方执</w:t>
      </w:r>
      <w:r>
        <w:rPr>
          <w:rFonts w:hint="eastAsia" w:ascii="仿宋_GB2312" w:hAnsi="仿宋" w:eastAsia="仿宋_GB2312" w:cs="宋体"/>
          <w:color w:val="auto"/>
          <w:szCs w:val="21"/>
        </w:rPr>
        <w:t>【贰】</w:t>
      </w:r>
      <w:r>
        <w:rPr>
          <w:rFonts w:ascii="仿宋_GB2312" w:hAnsi="仿宋" w:eastAsia="仿宋_GB2312" w:cs="宋体"/>
          <w:color w:val="auto"/>
          <w:szCs w:val="21"/>
        </w:rPr>
        <w:t>份</w:t>
      </w:r>
      <w:r>
        <w:rPr>
          <w:rFonts w:hint="eastAsia" w:ascii="仿宋_GB2312" w:hAnsi="仿宋" w:eastAsia="仿宋_GB2312" w:cs="宋体"/>
          <w:color w:val="auto"/>
          <w:szCs w:val="21"/>
        </w:rPr>
        <w:t>，具有同等法律效力</w:t>
      </w:r>
      <w:r>
        <w:rPr>
          <w:rFonts w:ascii="仿宋_GB2312" w:hAnsi="仿宋" w:eastAsia="仿宋_GB2312" w:cs="宋体"/>
          <w:color w:val="auto"/>
          <w:szCs w:val="21"/>
        </w:rPr>
        <w:t>。</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br w:type="textWrapping"/>
      </w:r>
      <w:r>
        <w:rPr>
          <w:rFonts w:ascii="仿宋_GB2312" w:hAnsi="仿宋" w:eastAsia="仿宋_GB2312" w:cs="宋体"/>
          <w:b/>
          <w:bCs/>
          <w:color w:val="auto"/>
          <w:szCs w:val="21"/>
        </w:rPr>
        <w:t>甲方（盖章）：</w:t>
      </w: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t>法定代表人或授权代表（签字）：</w:t>
      </w:r>
    </w:p>
    <w:p>
      <w:pPr>
        <w:spacing w:line="360" w:lineRule="auto"/>
        <w:ind w:firstLine="420" w:firstLineChars="200"/>
        <w:rPr>
          <w:rFonts w:ascii="仿宋_GB2312" w:hAnsi="仿宋" w:eastAsia="仿宋_GB2312" w:cs="宋体"/>
          <w:color w:val="auto"/>
          <w:szCs w:val="21"/>
        </w:rPr>
      </w:pPr>
    </w:p>
    <w:p>
      <w:pPr>
        <w:spacing w:line="360" w:lineRule="auto"/>
        <w:ind w:firstLine="420" w:firstLineChars="200"/>
        <w:rPr>
          <w:rFonts w:ascii="仿宋_GB2312" w:hAnsi="仿宋" w:eastAsia="仿宋_GB2312" w:cs="宋体"/>
          <w:color w:val="auto"/>
          <w:szCs w:val="21"/>
        </w:rPr>
      </w:pPr>
      <w:r>
        <w:rPr>
          <w:rFonts w:ascii="仿宋_GB2312" w:hAnsi="仿宋" w:eastAsia="仿宋_GB2312" w:cs="宋体"/>
          <w:color w:val="auto"/>
          <w:szCs w:val="21"/>
        </w:rPr>
        <w:br w:type="textWrapping"/>
      </w:r>
      <w:r>
        <w:rPr>
          <w:rFonts w:ascii="仿宋_GB2312" w:hAnsi="仿宋" w:eastAsia="仿宋_GB2312" w:cs="宋体"/>
          <w:b/>
          <w:bCs/>
          <w:color w:val="auto"/>
          <w:szCs w:val="21"/>
        </w:rPr>
        <w:t>乙方（盖章）：</w:t>
      </w:r>
    </w:p>
    <w:p>
      <w:pPr>
        <w:spacing w:line="360" w:lineRule="auto"/>
        <w:ind w:firstLine="420" w:firstLineChars="200"/>
        <w:rPr>
          <w:rFonts w:ascii="等线" w:hAnsi="等线" w:eastAsia="等线" w:cs="宋体"/>
          <w:color w:val="auto"/>
          <w:szCs w:val="21"/>
        </w:rPr>
      </w:pPr>
      <w:r>
        <w:rPr>
          <w:rFonts w:ascii="仿宋_GB2312" w:hAnsi="仿宋" w:eastAsia="仿宋_GB2312" w:cs="宋体"/>
          <w:color w:val="auto"/>
          <w:szCs w:val="21"/>
        </w:rPr>
        <w:t>法定代表人或授权代表（签字）：</w:t>
      </w:r>
    </w:p>
    <w:p>
      <w:pPr>
        <w:snapToGrid w:val="0"/>
        <w:spacing w:line="360" w:lineRule="auto"/>
        <w:rPr>
          <w:rFonts w:ascii="仿宋" w:hAnsi="仿宋" w:eastAsia="仿宋"/>
          <w:color w:val="auto"/>
          <w:sz w:val="28"/>
          <w:szCs w:val="28"/>
        </w:rPr>
      </w:pPr>
    </w:p>
    <w:p>
      <w:pPr>
        <w:widowControl/>
        <w:jc w:val="left"/>
        <w:rPr>
          <w:rFonts w:ascii="仿宋" w:hAnsi="仿宋" w:eastAsia="仿宋"/>
          <w:b/>
          <w:bCs/>
          <w:color w:val="auto"/>
          <w:sz w:val="28"/>
          <w:szCs w:val="28"/>
        </w:rPr>
      </w:pPr>
      <w:r>
        <w:rPr>
          <w:rFonts w:ascii="仿宋" w:hAnsi="仿宋" w:eastAsia="仿宋"/>
          <w:b/>
          <w:bCs/>
          <w:color w:val="auto"/>
          <w:sz w:val="28"/>
          <w:szCs w:val="28"/>
        </w:rPr>
        <w:br w:type="page"/>
      </w:r>
    </w:p>
    <w:p>
      <w:pPr>
        <w:snapToGrid w:val="0"/>
        <w:spacing w:line="360" w:lineRule="auto"/>
        <w:rPr>
          <w:rFonts w:ascii="仿宋" w:hAnsi="仿宋" w:eastAsia="仿宋"/>
          <w:b/>
          <w:bCs/>
          <w:color w:val="auto"/>
          <w:sz w:val="28"/>
          <w:szCs w:val="28"/>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竞争性采购附件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项目竞争性采购文件的全部内容，愿意以人民币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含增值税税额</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．我方承诺在竞争性采购有效期内不修改、撤销竞争性采购响应文件。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．我方在此声明，所递交的竞争性采购响应文件及有关资料内容完整、真实和准确。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．除非达到另外协议并生效，你方的成交通知书和本竞争性采购响应文件将成为约束双方的合同文件组成部分。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竞争性采购响应人：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2</w:t>
      </w:r>
      <w:r>
        <w:rPr>
          <w:rFonts w:hint="eastAsia" w:ascii="仿宋" w:hAnsi="仿宋" w:eastAsia="仿宋"/>
          <w:b/>
          <w:bCs/>
          <w:color w:val="auto"/>
          <w:sz w:val="28"/>
          <w:szCs w:val="28"/>
        </w:rPr>
        <w:t>：</w:t>
      </w:r>
    </w:p>
    <w:p>
      <w:pPr>
        <w:pStyle w:val="2"/>
        <w:rPr>
          <w:color w:val="auto"/>
        </w:rPr>
      </w:pPr>
      <w:r>
        <w:rPr>
          <w:rFonts w:hint="eastAsia"/>
          <w:color w:val="auto"/>
        </w:rPr>
        <w:t>供应货物清单</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r>
              <w:rPr>
                <w:rFonts w:hint="eastAsia"/>
                <w:b/>
                <w:color w:val="auto"/>
                <w:sz w:val="24"/>
              </w:rPr>
              <w:t>序号</w:t>
            </w:r>
          </w:p>
        </w:tc>
        <w:tc>
          <w:tcPr>
            <w:tcW w:w="1313" w:type="dxa"/>
            <w:vAlign w:val="center"/>
          </w:tcPr>
          <w:p>
            <w:pPr>
              <w:jc w:val="center"/>
              <w:rPr>
                <w:b/>
                <w:color w:val="auto"/>
                <w:sz w:val="24"/>
              </w:rPr>
            </w:pPr>
            <w:r>
              <w:rPr>
                <w:rFonts w:hint="eastAsia"/>
                <w:b/>
                <w:color w:val="auto"/>
                <w:sz w:val="24"/>
              </w:rPr>
              <w:t>品名</w:t>
            </w:r>
          </w:p>
        </w:tc>
        <w:tc>
          <w:tcPr>
            <w:tcW w:w="1380" w:type="dxa"/>
            <w:vAlign w:val="center"/>
          </w:tcPr>
          <w:p>
            <w:pPr>
              <w:jc w:val="center"/>
              <w:rPr>
                <w:b/>
                <w:color w:val="auto"/>
                <w:sz w:val="24"/>
              </w:rPr>
            </w:pPr>
            <w:r>
              <w:rPr>
                <w:rFonts w:hint="eastAsia"/>
                <w:b/>
                <w:color w:val="auto"/>
                <w:sz w:val="24"/>
              </w:rPr>
              <w:t>型号规格</w:t>
            </w:r>
          </w:p>
        </w:tc>
        <w:tc>
          <w:tcPr>
            <w:tcW w:w="851" w:type="dxa"/>
            <w:vAlign w:val="center"/>
          </w:tcPr>
          <w:p>
            <w:pPr>
              <w:jc w:val="center"/>
              <w:rPr>
                <w:b/>
                <w:color w:val="auto"/>
                <w:sz w:val="24"/>
              </w:rPr>
            </w:pPr>
            <w:r>
              <w:rPr>
                <w:rFonts w:hint="eastAsia"/>
                <w:b/>
                <w:color w:val="auto"/>
                <w:sz w:val="24"/>
              </w:rPr>
              <w:t>数量</w:t>
            </w:r>
          </w:p>
        </w:tc>
        <w:tc>
          <w:tcPr>
            <w:tcW w:w="964" w:type="dxa"/>
            <w:vAlign w:val="center"/>
          </w:tcPr>
          <w:p>
            <w:pPr>
              <w:jc w:val="center"/>
              <w:rPr>
                <w:b/>
                <w:color w:val="auto"/>
                <w:sz w:val="24"/>
              </w:rPr>
            </w:pPr>
            <w:r>
              <w:rPr>
                <w:rFonts w:hint="eastAsia"/>
                <w:b/>
                <w:color w:val="auto"/>
                <w:sz w:val="24"/>
              </w:rPr>
              <w:t>单位</w:t>
            </w:r>
          </w:p>
        </w:tc>
        <w:tc>
          <w:tcPr>
            <w:tcW w:w="1065" w:type="dxa"/>
            <w:vAlign w:val="center"/>
          </w:tcPr>
          <w:p>
            <w:pPr>
              <w:rPr>
                <w:b/>
                <w:color w:val="auto"/>
                <w:sz w:val="24"/>
              </w:rPr>
            </w:pPr>
            <w:r>
              <w:rPr>
                <w:rFonts w:hint="eastAsia"/>
                <w:b/>
                <w:color w:val="auto"/>
                <w:sz w:val="24"/>
              </w:rPr>
              <w:t>单价（元）</w:t>
            </w:r>
          </w:p>
        </w:tc>
        <w:tc>
          <w:tcPr>
            <w:tcW w:w="1066" w:type="dxa"/>
            <w:vAlign w:val="center"/>
          </w:tcPr>
          <w:p>
            <w:pPr>
              <w:rPr>
                <w:b/>
                <w:color w:val="auto"/>
                <w:sz w:val="24"/>
              </w:rPr>
            </w:pPr>
            <w:r>
              <w:rPr>
                <w:rFonts w:hint="eastAsia"/>
                <w:b/>
                <w:color w:val="auto"/>
                <w:sz w:val="24"/>
              </w:rPr>
              <w:t>总价（元）</w:t>
            </w:r>
          </w:p>
        </w:tc>
        <w:tc>
          <w:tcPr>
            <w:tcW w:w="1066" w:type="dxa"/>
            <w:vAlign w:val="center"/>
          </w:tcPr>
          <w:p>
            <w:pPr>
              <w:jc w:val="center"/>
              <w:rPr>
                <w:b/>
                <w:color w:val="auto"/>
                <w:sz w:val="24"/>
              </w:rPr>
            </w:pPr>
            <w:r>
              <w:rPr>
                <w:rFonts w:hint="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vAlign w:val="center"/>
          </w:tcPr>
          <w:p>
            <w:pPr>
              <w:rPr>
                <w:b/>
                <w:color w:val="auto"/>
                <w:sz w:val="24"/>
              </w:rPr>
            </w:pPr>
          </w:p>
        </w:tc>
        <w:tc>
          <w:tcPr>
            <w:tcW w:w="1066" w:type="dxa"/>
            <w:vAlign w:val="center"/>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rPr>
            </w:pPr>
          </w:p>
        </w:tc>
        <w:tc>
          <w:tcPr>
            <w:tcW w:w="1313" w:type="dxa"/>
            <w:vAlign w:val="center"/>
          </w:tcPr>
          <w:p>
            <w:pPr>
              <w:jc w:val="center"/>
              <w:rPr>
                <w:b/>
                <w:color w:val="auto"/>
                <w:sz w:val="24"/>
              </w:rPr>
            </w:pPr>
          </w:p>
        </w:tc>
        <w:tc>
          <w:tcPr>
            <w:tcW w:w="1380" w:type="dxa"/>
            <w:vAlign w:val="center"/>
          </w:tcPr>
          <w:p>
            <w:pPr>
              <w:jc w:val="center"/>
              <w:rPr>
                <w:b/>
                <w:color w:val="auto"/>
                <w:sz w:val="24"/>
              </w:rPr>
            </w:pPr>
          </w:p>
        </w:tc>
        <w:tc>
          <w:tcPr>
            <w:tcW w:w="851" w:type="dxa"/>
            <w:vAlign w:val="center"/>
          </w:tcPr>
          <w:p>
            <w:pPr>
              <w:jc w:val="center"/>
              <w:rPr>
                <w:b/>
                <w:color w:val="auto"/>
                <w:sz w:val="24"/>
              </w:rPr>
            </w:pPr>
          </w:p>
        </w:tc>
        <w:tc>
          <w:tcPr>
            <w:tcW w:w="964" w:type="dxa"/>
            <w:vAlign w:val="center"/>
          </w:tcPr>
          <w:p>
            <w:pPr>
              <w:jc w:val="center"/>
              <w:rPr>
                <w:b/>
                <w:color w:val="auto"/>
                <w:sz w:val="24"/>
              </w:rPr>
            </w:pPr>
          </w:p>
        </w:tc>
        <w:tc>
          <w:tcPr>
            <w:tcW w:w="1065" w:type="dxa"/>
          </w:tcPr>
          <w:p>
            <w:pPr>
              <w:rPr>
                <w:b/>
                <w:color w:val="auto"/>
                <w:sz w:val="24"/>
              </w:rPr>
            </w:pPr>
          </w:p>
        </w:tc>
        <w:tc>
          <w:tcPr>
            <w:tcW w:w="1066" w:type="dxa"/>
          </w:tcPr>
          <w:p>
            <w:pPr>
              <w:rPr>
                <w:b/>
                <w:color w:val="auto"/>
                <w:sz w:val="24"/>
              </w:rPr>
            </w:pPr>
          </w:p>
        </w:tc>
        <w:tc>
          <w:tcPr>
            <w:tcW w:w="1066" w:type="dxa"/>
            <w:vAlign w:val="center"/>
          </w:tcPr>
          <w:p>
            <w:pPr>
              <w:jc w:val="center"/>
              <w:rPr>
                <w:b/>
                <w:color w:val="auto"/>
                <w:sz w:val="24"/>
              </w:rPr>
            </w:pPr>
          </w:p>
        </w:tc>
      </w:tr>
    </w:tbl>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rFonts w:ascii="Calibri" w:hAnsi="Calibri"/>
          <w:b/>
          <w:bCs/>
          <w:color w:val="auto"/>
          <w:sz w:val="32"/>
          <w:szCs w:val="32"/>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3</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竞争性采购响应人名称：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单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位 </w:t>
      </w:r>
      <w:r>
        <w:rPr>
          <w:rFonts w:ascii="仿宋" w:hAnsi="仿宋" w:eastAsia="仿宋"/>
          <w:color w:val="auto"/>
          <w:kern w:val="0"/>
          <w:sz w:val="28"/>
          <w:szCs w:val="28"/>
        </w:rPr>
        <w:t xml:space="preserve"> </w:t>
      </w:r>
      <w:r>
        <w:rPr>
          <w:rFonts w:hint="eastAsia" w:ascii="仿宋" w:hAnsi="仿宋" w:eastAsia="仿宋"/>
          <w:color w:val="auto"/>
          <w:kern w:val="0"/>
          <w:sz w:val="28"/>
          <w:szCs w:val="28"/>
        </w:rPr>
        <w:t>性  质：</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地 </w:t>
      </w:r>
      <w:r>
        <w:rPr>
          <w:rFonts w:ascii="仿宋" w:hAnsi="仿宋" w:eastAsia="仿宋"/>
          <w:color w:val="auto"/>
          <w:kern w:val="0"/>
          <w:sz w:val="28"/>
          <w:szCs w:val="28"/>
        </w:rPr>
        <w:t xml:space="preserve">         </w:t>
      </w:r>
      <w:r>
        <w:rPr>
          <w:rFonts w:hint="eastAsia" w:ascii="仿宋" w:hAnsi="仿宋" w:eastAsia="仿宋"/>
          <w:color w:val="auto"/>
          <w:kern w:val="0"/>
          <w:sz w:val="28"/>
          <w:szCs w:val="28"/>
        </w:rPr>
        <w:t>址：</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成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立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时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间：</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经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营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期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限：</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（竞争性采购响应人名称）</w:t>
      </w:r>
      <w:r>
        <w:rPr>
          <w:rFonts w:hint="eastAsia" w:ascii="仿宋" w:hAnsi="仿宋" w:eastAsia="仿宋"/>
          <w:color w:val="auto"/>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竞争性采购响应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4</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的竞争性采购活动中，以我单位的名义签署竞争性采购响应文件，与业主协商、签定合同协议书以及执行一切与此有关的事务。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竞争性采购响应单位：</w:t>
      </w:r>
      <w:r>
        <w:rPr>
          <w:rFonts w:ascii="仿宋" w:hAnsi="仿宋" w:eastAsia="仿宋"/>
          <w:color w:val="auto"/>
          <w:sz w:val="28"/>
          <w:szCs w:val="28"/>
        </w:rPr>
        <w:t>________</w:t>
      </w:r>
      <w:r>
        <w:rPr>
          <w:rFonts w:ascii="仿宋" w:hAnsi="仿宋" w:eastAsia="仿宋"/>
          <w:color w:val="auto"/>
          <w:sz w:val="28"/>
          <w:szCs w:val="28"/>
          <w:u w:val="single"/>
        </w:rPr>
        <w:t xml:space="preserve">           </w:t>
      </w:r>
      <w:r>
        <w:rPr>
          <w:rFonts w:ascii="仿宋" w:hAnsi="仿宋" w:eastAsia="仿宋"/>
          <w:color w:val="auto"/>
          <w:sz w:val="28"/>
          <w:szCs w:val="28"/>
        </w:rPr>
        <w:t>____</w:t>
      </w:r>
      <w:r>
        <w:rPr>
          <w:rFonts w:hint="eastAsia" w:ascii="仿宋" w:hAnsi="仿宋" w:eastAsia="仿宋"/>
          <w:color w:val="auto"/>
          <w:sz w:val="28"/>
          <w:szCs w:val="28"/>
        </w:rPr>
        <w:t>（盖单位公章）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授 </w:t>
      </w:r>
      <w:r>
        <w:rPr>
          <w:rFonts w:ascii="仿宋" w:hAnsi="仿宋" w:eastAsia="仿宋"/>
          <w:color w:val="auto"/>
          <w:sz w:val="28"/>
          <w:szCs w:val="28"/>
        </w:rPr>
        <w:t xml:space="preserve">  </w:t>
      </w:r>
      <w:r>
        <w:rPr>
          <w:rFonts w:hint="eastAsia" w:ascii="仿宋" w:hAnsi="仿宋" w:eastAsia="仿宋"/>
          <w:color w:val="auto"/>
          <w:sz w:val="28"/>
          <w:szCs w:val="28"/>
        </w:rPr>
        <w:t xml:space="preserve">权 </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ascii="仿宋" w:hAnsi="仿宋" w:eastAsia="仿宋"/>
          <w:color w:val="auto"/>
          <w:sz w:val="28"/>
          <w:szCs w:val="28"/>
        </w:rPr>
        <w:t>___</w:t>
      </w:r>
      <w:r>
        <w:rPr>
          <w:rFonts w:ascii="仿宋" w:hAnsi="仿宋" w:eastAsia="仿宋"/>
          <w:color w:val="auto"/>
          <w:sz w:val="28"/>
          <w:szCs w:val="28"/>
          <w:u w:val="single"/>
        </w:rPr>
        <w:t xml:space="preserve">           </w:t>
      </w:r>
      <w:r>
        <w:rPr>
          <w:rFonts w:ascii="仿宋" w:hAnsi="仿宋" w:eastAsia="仿宋"/>
          <w:color w:val="auto"/>
          <w:sz w:val="28"/>
          <w:szCs w:val="28"/>
        </w:rPr>
        <w:t>_________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w:t>
      </w:r>
      <w:r>
        <w:rPr>
          <w:rFonts w:ascii="仿宋" w:hAnsi="仿宋" w:eastAsia="仿宋"/>
          <w:color w:val="auto"/>
          <w:sz w:val="28"/>
          <w:szCs w:val="28"/>
          <w:u w:val="single"/>
        </w:rPr>
        <w:t xml:space="preserve">         </w:t>
      </w:r>
      <w:r>
        <w:rPr>
          <w:rFonts w:ascii="仿宋" w:hAnsi="仿宋" w:eastAsia="仿宋"/>
          <w:color w:val="auto"/>
          <w:sz w:val="28"/>
          <w:szCs w:val="28"/>
        </w:rPr>
        <w:t>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color w:val="auto"/>
          <w:sz w:val="32"/>
          <w:szCs w:val="32"/>
        </w:rPr>
      </w:pPr>
      <w:r>
        <w:rPr>
          <w:rFonts w:hint="eastAsia" w:ascii="仿宋" w:hAnsi="仿宋" w:eastAsia="仿宋"/>
          <w:b/>
          <w:bCs/>
          <w:color w:val="auto"/>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97472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8"/>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8240;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rD40gAAAAQBAAAPAAAA&#10;AAAAAAEAIAAAACIAAABkcnMvZG93bnJldi54bWxQSwECFAAUAAAACACHTuJAgSdVURsCAAATBAAA&#10;DgAAAAAAAAABACAAAAAhAQAAZHJzL2Uyb0RvYy54bWxQSwUGAAAAAAYABgBZAQAArgUAAAAA&#10;">
              <v:fill on="f" focussize="0,0"/>
              <v:stroke on="f" weight="0.5pt"/>
              <v:imagedata o:title=""/>
              <o:lock v:ext="edit" aspectratio="f"/>
              <v:textbox inset="0mm,0mm,0mm,0mm" style="mso-fit-shape-to-text:t;">
                <w:txbxContent>
                  <w:p>
                    <w:pPr>
                      <w:pStyle w:val="8"/>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5F0F"/>
    <w:multiLevelType w:val="multilevel"/>
    <w:tmpl w:val="5B045F0F"/>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254627"/>
    <w:multiLevelType w:val="multilevel"/>
    <w:tmpl w:val="5C2546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9C410D"/>
    <w:multiLevelType w:val="multilevel"/>
    <w:tmpl w:val="789C410D"/>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322CF1"/>
    <w:multiLevelType w:val="multilevel"/>
    <w:tmpl w:val="7A322CF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4D69"/>
    <w:rsid w:val="00005333"/>
    <w:rsid w:val="000058B0"/>
    <w:rsid w:val="00006788"/>
    <w:rsid w:val="00017CC8"/>
    <w:rsid w:val="00022079"/>
    <w:rsid w:val="0002289E"/>
    <w:rsid w:val="00023008"/>
    <w:rsid w:val="0002304D"/>
    <w:rsid w:val="00023DAE"/>
    <w:rsid w:val="00025AEC"/>
    <w:rsid w:val="000265C7"/>
    <w:rsid w:val="0002763C"/>
    <w:rsid w:val="00030C19"/>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9623E"/>
    <w:rsid w:val="000A2BDE"/>
    <w:rsid w:val="000A3B23"/>
    <w:rsid w:val="000B2FE6"/>
    <w:rsid w:val="000B4109"/>
    <w:rsid w:val="000B671B"/>
    <w:rsid w:val="000B753E"/>
    <w:rsid w:val="000B7659"/>
    <w:rsid w:val="000C02DD"/>
    <w:rsid w:val="000D521A"/>
    <w:rsid w:val="000E2F2F"/>
    <w:rsid w:val="000E5E1E"/>
    <w:rsid w:val="000F3310"/>
    <w:rsid w:val="000F4E07"/>
    <w:rsid w:val="00103882"/>
    <w:rsid w:val="00106E21"/>
    <w:rsid w:val="00126337"/>
    <w:rsid w:val="0013184B"/>
    <w:rsid w:val="001372C0"/>
    <w:rsid w:val="00140784"/>
    <w:rsid w:val="00146445"/>
    <w:rsid w:val="001471DE"/>
    <w:rsid w:val="001505AE"/>
    <w:rsid w:val="00150869"/>
    <w:rsid w:val="00150BEC"/>
    <w:rsid w:val="001559E7"/>
    <w:rsid w:val="00155C1B"/>
    <w:rsid w:val="00163E7C"/>
    <w:rsid w:val="00176EF2"/>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35C4"/>
    <w:rsid w:val="001F52E9"/>
    <w:rsid w:val="00201A32"/>
    <w:rsid w:val="00202EEA"/>
    <w:rsid w:val="002111D0"/>
    <w:rsid w:val="00213AC0"/>
    <w:rsid w:val="002146E5"/>
    <w:rsid w:val="002170C0"/>
    <w:rsid w:val="00223328"/>
    <w:rsid w:val="00224DEB"/>
    <w:rsid w:val="00230435"/>
    <w:rsid w:val="002334E4"/>
    <w:rsid w:val="002362BD"/>
    <w:rsid w:val="002369A5"/>
    <w:rsid w:val="00243E97"/>
    <w:rsid w:val="002441FE"/>
    <w:rsid w:val="0025671C"/>
    <w:rsid w:val="00261CE0"/>
    <w:rsid w:val="00264544"/>
    <w:rsid w:val="002656F0"/>
    <w:rsid w:val="00266533"/>
    <w:rsid w:val="0028006E"/>
    <w:rsid w:val="002834F6"/>
    <w:rsid w:val="00286536"/>
    <w:rsid w:val="00287E0A"/>
    <w:rsid w:val="00293D5B"/>
    <w:rsid w:val="002B2F73"/>
    <w:rsid w:val="002B3D29"/>
    <w:rsid w:val="002B75E8"/>
    <w:rsid w:val="002C46DA"/>
    <w:rsid w:val="002C52F9"/>
    <w:rsid w:val="002D6F8E"/>
    <w:rsid w:val="002D739B"/>
    <w:rsid w:val="002E5FDE"/>
    <w:rsid w:val="002F5A5B"/>
    <w:rsid w:val="002F6E00"/>
    <w:rsid w:val="002F7CA1"/>
    <w:rsid w:val="002F7F31"/>
    <w:rsid w:val="00300C2A"/>
    <w:rsid w:val="003059AF"/>
    <w:rsid w:val="00306DDC"/>
    <w:rsid w:val="00311324"/>
    <w:rsid w:val="00317034"/>
    <w:rsid w:val="003230D4"/>
    <w:rsid w:val="003308C4"/>
    <w:rsid w:val="00332BF8"/>
    <w:rsid w:val="00333793"/>
    <w:rsid w:val="00333BD0"/>
    <w:rsid w:val="00334D9E"/>
    <w:rsid w:val="00340E6F"/>
    <w:rsid w:val="0034710B"/>
    <w:rsid w:val="00347BDE"/>
    <w:rsid w:val="00351066"/>
    <w:rsid w:val="003534A4"/>
    <w:rsid w:val="00357C50"/>
    <w:rsid w:val="00370602"/>
    <w:rsid w:val="003723A5"/>
    <w:rsid w:val="00374978"/>
    <w:rsid w:val="00381031"/>
    <w:rsid w:val="003840CF"/>
    <w:rsid w:val="0038438E"/>
    <w:rsid w:val="00391B61"/>
    <w:rsid w:val="00392422"/>
    <w:rsid w:val="0039415B"/>
    <w:rsid w:val="00396376"/>
    <w:rsid w:val="003A2048"/>
    <w:rsid w:val="003A228A"/>
    <w:rsid w:val="003A2974"/>
    <w:rsid w:val="003A4373"/>
    <w:rsid w:val="003A7AD7"/>
    <w:rsid w:val="003B3EA4"/>
    <w:rsid w:val="003B7133"/>
    <w:rsid w:val="003B79B9"/>
    <w:rsid w:val="003C7185"/>
    <w:rsid w:val="003D54D2"/>
    <w:rsid w:val="003D6803"/>
    <w:rsid w:val="003E074E"/>
    <w:rsid w:val="003E7FB7"/>
    <w:rsid w:val="003F0A60"/>
    <w:rsid w:val="003F167C"/>
    <w:rsid w:val="003F78CE"/>
    <w:rsid w:val="003F7F3D"/>
    <w:rsid w:val="00413220"/>
    <w:rsid w:val="00413E38"/>
    <w:rsid w:val="00420115"/>
    <w:rsid w:val="00422256"/>
    <w:rsid w:val="00422C70"/>
    <w:rsid w:val="00424AC5"/>
    <w:rsid w:val="00425623"/>
    <w:rsid w:val="00425B77"/>
    <w:rsid w:val="0042735B"/>
    <w:rsid w:val="004343B1"/>
    <w:rsid w:val="004377A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4075"/>
    <w:rsid w:val="004A743B"/>
    <w:rsid w:val="004B146A"/>
    <w:rsid w:val="004B3DF7"/>
    <w:rsid w:val="004B6860"/>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254D"/>
    <w:rsid w:val="005A4F6F"/>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0929"/>
    <w:rsid w:val="006078C9"/>
    <w:rsid w:val="00610FBA"/>
    <w:rsid w:val="00622C32"/>
    <w:rsid w:val="00626931"/>
    <w:rsid w:val="006300EF"/>
    <w:rsid w:val="0063143A"/>
    <w:rsid w:val="006331B5"/>
    <w:rsid w:val="006448B9"/>
    <w:rsid w:val="00646279"/>
    <w:rsid w:val="0064646F"/>
    <w:rsid w:val="0064740A"/>
    <w:rsid w:val="00653540"/>
    <w:rsid w:val="0065623A"/>
    <w:rsid w:val="006603E9"/>
    <w:rsid w:val="0066423D"/>
    <w:rsid w:val="0066539F"/>
    <w:rsid w:val="00665E26"/>
    <w:rsid w:val="0066710E"/>
    <w:rsid w:val="0066722C"/>
    <w:rsid w:val="006700E0"/>
    <w:rsid w:val="0067214B"/>
    <w:rsid w:val="00677C64"/>
    <w:rsid w:val="00693C5F"/>
    <w:rsid w:val="00694CA2"/>
    <w:rsid w:val="00694E61"/>
    <w:rsid w:val="006964FC"/>
    <w:rsid w:val="006A191D"/>
    <w:rsid w:val="006A6D85"/>
    <w:rsid w:val="006B17FE"/>
    <w:rsid w:val="006B78A8"/>
    <w:rsid w:val="006C49D1"/>
    <w:rsid w:val="006C7FE2"/>
    <w:rsid w:val="006D17D4"/>
    <w:rsid w:val="006D7AC4"/>
    <w:rsid w:val="006E0BFC"/>
    <w:rsid w:val="006E55F4"/>
    <w:rsid w:val="006E7700"/>
    <w:rsid w:val="006E7EC8"/>
    <w:rsid w:val="006F0D23"/>
    <w:rsid w:val="00701961"/>
    <w:rsid w:val="0070395B"/>
    <w:rsid w:val="007118BA"/>
    <w:rsid w:val="00713546"/>
    <w:rsid w:val="00722EF1"/>
    <w:rsid w:val="00736352"/>
    <w:rsid w:val="00741B15"/>
    <w:rsid w:val="00751FE3"/>
    <w:rsid w:val="007540E5"/>
    <w:rsid w:val="007544BD"/>
    <w:rsid w:val="00760A24"/>
    <w:rsid w:val="0076301C"/>
    <w:rsid w:val="00766B00"/>
    <w:rsid w:val="0077011C"/>
    <w:rsid w:val="0078149A"/>
    <w:rsid w:val="00783017"/>
    <w:rsid w:val="00783450"/>
    <w:rsid w:val="00784D6B"/>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40CBE"/>
    <w:rsid w:val="00857579"/>
    <w:rsid w:val="008602A9"/>
    <w:rsid w:val="00860574"/>
    <w:rsid w:val="008760AC"/>
    <w:rsid w:val="008800A8"/>
    <w:rsid w:val="00883BBC"/>
    <w:rsid w:val="00883E00"/>
    <w:rsid w:val="00883F8F"/>
    <w:rsid w:val="008903C7"/>
    <w:rsid w:val="008913B8"/>
    <w:rsid w:val="00892446"/>
    <w:rsid w:val="00895C1D"/>
    <w:rsid w:val="008A0078"/>
    <w:rsid w:val="008A3A6F"/>
    <w:rsid w:val="008B073C"/>
    <w:rsid w:val="008B5D37"/>
    <w:rsid w:val="008C5EA9"/>
    <w:rsid w:val="008C74BC"/>
    <w:rsid w:val="008E2C9F"/>
    <w:rsid w:val="008E3FB5"/>
    <w:rsid w:val="008F5C58"/>
    <w:rsid w:val="009139B5"/>
    <w:rsid w:val="009153BB"/>
    <w:rsid w:val="009325DE"/>
    <w:rsid w:val="00941604"/>
    <w:rsid w:val="00942CCC"/>
    <w:rsid w:val="00956D31"/>
    <w:rsid w:val="0096299D"/>
    <w:rsid w:val="0096421C"/>
    <w:rsid w:val="00973679"/>
    <w:rsid w:val="00973BDE"/>
    <w:rsid w:val="00976E3E"/>
    <w:rsid w:val="0098379E"/>
    <w:rsid w:val="009865AA"/>
    <w:rsid w:val="00987A60"/>
    <w:rsid w:val="00990CE0"/>
    <w:rsid w:val="009B30A2"/>
    <w:rsid w:val="009B4B99"/>
    <w:rsid w:val="009C1103"/>
    <w:rsid w:val="009C6458"/>
    <w:rsid w:val="009D00D9"/>
    <w:rsid w:val="009D1F92"/>
    <w:rsid w:val="009D5971"/>
    <w:rsid w:val="009E193A"/>
    <w:rsid w:val="009F1A57"/>
    <w:rsid w:val="00A06661"/>
    <w:rsid w:val="00A079DB"/>
    <w:rsid w:val="00A12488"/>
    <w:rsid w:val="00A178BA"/>
    <w:rsid w:val="00A2327E"/>
    <w:rsid w:val="00A279E1"/>
    <w:rsid w:val="00A307C5"/>
    <w:rsid w:val="00A410C8"/>
    <w:rsid w:val="00A51639"/>
    <w:rsid w:val="00A64B28"/>
    <w:rsid w:val="00A650D4"/>
    <w:rsid w:val="00A666ED"/>
    <w:rsid w:val="00A6743C"/>
    <w:rsid w:val="00A70F36"/>
    <w:rsid w:val="00A73150"/>
    <w:rsid w:val="00A73E6F"/>
    <w:rsid w:val="00A74F64"/>
    <w:rsid w:val="00A809A4"/>
    <w:rsid w:val="00A9211E"/>
    <w:rsid w:val="00AA3DFD"/>
    <w:rsid w:val="00AA73D7"/>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031"/>
    <w:rsid w:val="00B44196"/>
    <w:rsid w:val="00B50E54"/>
    <w:rsid w:val="00B578C9"/>
    <w:rsid w:val="00B67116"/>
    <w:rsid w:val="00B7070E"/>
    <w:rsid w:val="00B719CE"/>
    <w:rsid w:val="00B73FE8"/>
    <w:rsid w:val="00B81C3E"/>
    <w:rsid w:val="00B83591"/>
    <w:rsid w:val="00B86CAC"/>
    <w:rsid w:val="00B9314D"/>
    <w:rsid w:val="00B93310"/>
    <w:rsid w:val="00B935D3"/>
    <w:rsid w:val="00BA0571"/>
    <w:rsid w:val="00BA1401"/>
    <w:rsid w:val="00BA1D26"/>
    <w:rsid w:val="00BA3661"/>
    <w:rsid w:val="00BA7A8A"/>
    <w:rsid w:val="00BB07FB"/>
    <w:rsid w:val="00BB0CC3"/>
    <w:rsid w:val="00BC0647"/>
    <w:rsid w:val="00BC14D2"/>
    <w:rsid w:val="00BC4195"/>
    <w:rsid w:val="00BC78CF"/>
    <w:rsid w:val="00BD434B"/>
    <w:rsid w:val="00BD6F11"/>
    <w:rsid w:val="00BE72AF"/>
    <w:rsid w:val="00BF544F"/>
    <w:rsid w:val="00C03881"/>
    <w:rsid w:val="00C062CB"/>
    <w:rsid w:val="00C075FD"/>
    <w:rsid w:val="00C11EB7"/>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3ED9"/>
    <w:rsid w:val="00CF5BF8"/>
    <w:rsid w:val="00CF7A22"/>
    <w:rsid w:val="00D04EAD"/>
    <w:rsid w:val="00D125EB"/>
    <w:rsid w:val="00D149F1"/>
    <w:rsid w:val="00D1756C"/>
    <w:rsid w:val="00D27787"/>
    <w:rsid w:val="00D32A5B"/>
    <w:rsid w:val="00D4318A"/>
    <w:rsid w:val="00D45135"/>
    <w:rsid w:val="00D47F13"/>
    <w:rsid w:val="00D5789B"/>
    <w:rsid w:val="00D63B4A"/>
    <w:rsid w:val="00D64587"/>
    <w:rsid w:val="00D66438"/>
    <w:rsid w:val="00D75600"/>
    <w:rsid w:val="00D80CA9"/>
    <w:rsid w:val="00D81DC5"/>
    <w:rsid w:val="00D83800"/>
    <w:rsid w:val="00DA1CBE"/>
    <w:rsid w:val="00DB5F27"/>
    <w:rsid w:val="00DB63FC"/>
    <w:rsid w:val="00DB73DB"/>
    <w:rsid w:val="00DC02A9"/>
    <w:rsid w:val="00DC100F"/>
    <w:rsid w:val="00DC71F0"/>
    <w:rsid w:val="00DD501E"/>
    <w:rsid w:val="00DD6002"/>
    <w:rsid w:val="00DD7966"/>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4553F"/>
    <w:rsid w:val="00E50CBA"/>
    <w:rsid w:val="00E54D02"/>
    <w:rsid w:val="00E55FD9"/>
    <w:rsid w:val="00E6373A"/>
    <w:rsid w:val="00E6663A"/>
    <w:rsid w:val="00E7086E"/>
    <w:rsid w:val="00E76761"/>
    <w:rsid w:val="00E77B0B"/>
    <w:rsid w:val="00E8758A"/>
    <w:rsid w:val="00E90678"/>
    <w:rsid w:val="00E91556"/>
    <w:rsid w:val="00E94D9E"/>
    <w:rsid w:val="00E96BE1"/>
    <w:rsid w:val="00EA4005"/>
    <w:rsid w:val="00EB0F23"/>
    <w:rsid w:val="00EB444A"/>
    <w:rsid w:val="00EC448C"/>
    <w:rsid w:val="00EC4E18"/>
    <w:rsid w:val="00EE0544"/>
    <w:rsid w:val="00EE616E"/>
    <w:rsid w:val="00F02E67"/>
    <w:rsid w:val="00F1365F"/>
    <w:rsid w:val="00F15C8E"/>
    <w:rsid w:val="00F172DB"/>
    <w:rsid w:val="00F21BD3"/>
    <w:rsid w:val="00F2216D"/>
    <w:rsid w:val="00F23D92"/>
    <w:rsid w:val="00F25E04"/>
    <w:rsid w:val="00F2773C"/>
    <w:rsid w:val="00F3207E"/>
    <w:rsid w:val="00F33397"/>
    <w:rsid w:val="00F33FB2"/>
    <w:rsid w:val="00F40190"/>
    <w:rsid w:val="00F479F7"/>
    <w:rsid w:val="00F50101"/>
    <w:rsid w:val="00F5221B"/>
    <w:rsid w:val="00F534C5"/>
    <w:rsid w:val="00F60794"/>
    <w:rsid w:val="00F62AC2"/>
    <w:rsid w:val="00F62E33"/>
    <w:rsid w:val="00F70CF8"/>
    <w:rsid w:val="00F740CF"/>
    <w:rsid w:val="00F74A15"/>
    <w:rsid w:val="00F77D17"/>
    <w:rsid w:val="00F8042D"/>
    <w:rsid w:val="00F85181"/>
    <w:rsid w:val="00F9412A"/>
    <w:rsid w:val="00F972F6"/>
    <w:rsid w:val="00FA17E2"/>
    <w:rsid w:val="00FA6503"/>
    <w:rsid w:val="00FB3E03"/>
    <w:rsid w:val="00FB4220"/>
    <w:rsid w:val="00FC7961"/>
    <w:rsid w:val="00FD2800"/>
    <w:rsid w:val="00FD5A31"/>
    <w:rsid w:val="00FE7DA0"/>
    <w:rsid w:val="00FF1C7D"/>
    <w:rsid w:val="00FF5E49"/>
    <w:rsid w:val="018E717F"/>
    <w:rsid w:val="06926D13"/>
    <w:rsid w:val="06B0704C"/>
    <w:rsid w:val="07672918"/>
    <w:rsid w:val="0B071EE2"/>
    <w:rsid w:val="101B284F"/>
    <w:rsid w:val="12A53375"/>
    <w:rsid w:val="13A51C33"/>
    <w:rsid w:val="15925856"/>
    <w:rsid w:val="16301051"/>
    <w:rsid w:val="1AE76FFF"/>
    <w:rsid w:val="1C2D30C9"/>
    <w:rsid w:val="1F35392A"/>
    <w:rsid w:val="212D69FF"/>
    <w:rsid w:val="26DF36D3"/>
    <w:rsid w:val="2B3542A3"/>
    <w:rsid w:val="2BD72CF4"/>
    <w:rsid w:val="38333537"/>
    <w:rsid w:val="38BA4CF1"/>
    <w:rsid w:val="38FA1B4F"/>
    <w:rsid w:val="3A175922"/>
    <w:rsid w:val="3A9C6630"/>
    <w:rsid w:val="3EC95C23"/>
    <w:rsid w:val="476A02AE"/>
    <w:rsid w:val="482F185E"/>
    <w:rsid w:val="4C0842E9"/>
    <w:rsid w:val="4E1B2914"/>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C5E286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locked/>
    <w:uiPriority w:val="1"/>
    <w:pPr>
      <w:spacing w:before="120" w:after="120"/>
      <w:outlineLvl w:val="1"/>
    </w:pPr>
    <w:rPr>
      <w:rFonts w:eastAsia="黑体"/>
      <w:sz w:val="32"/>
    </w:rPr>
  </w:style>
  <w:style w:type="character" w:default="1" w:styleId="13">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6"/>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link w:val="35"/>
    <w:qFormat/>
    <w:uiPriority w:val="0"/>
    <w:pPr>
      <w:jc w:val="center"/>
    </w:pPr>
    <w:rPr>
      <w:rFonts w:ascii="幼圆" w:eastAsia="幼圆"/>
      <w:b/>
      <w:sz w:val="44"/>
    </w:rPr>
  </w:style>
  <w:style w:type="paragraph" w:styleId="7">
    <w:name w:val="Balloon Text"/>
    <w:basedOn w:val="1"/>
    <w:link w:val="17"/>
    <w:qFormat/>
    <w:uiPriority w:val="99"/>
    <w:rPr>
      <w:sz w:val="18"/>
      <w:szCs w:val="18"/>
    </w:rPr>
  </w:style>
  <w:style w:type="paragraph" w:styleId="8">
    <w:name w:val="footer"/>
    <w:basedOn w:val="1"/>
    <w:link w:val="18"/>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uiPriority w:val="99"/>
    <w:rPr>
      <w:color w:val="0000FF" w:themeColor="hyperlink"/>
      <w:u w:val="single"/>
      <w14:textFill>
        <w14:solidFill>
          <w14:schemeClr w14:val="hlink"/>
        </w14:solidFill>
      </w14:textFill>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3"/>
    <w:link w:val="7"/>
    <w:semiHidden/>
    <w:qFormat/>
    <w:locked/>
    <w:uiPriority w:val="99"/>
    <w:rPr>
      <w:rFonts w:ascii="Times New Roman" w:hAnsi="Times New Roman"/>
      <w:kern w:val="2"/>
      <w:sz w:val="18"/>
    </w:rPr>
  </w:style>
  <w:style w:type="character" w:customStyle="1" w:styleId="18">
    <w:name w:val="页脚 字符"/>
    <w:basedOn w:val="13"/>
    <w:link w:val="8"/>
    <w:qFormat/>
    <w:locked/>
    <w:uiPriority w:val="99"/>
    <w:rPr>
      <w:sz w:val="18"/>
    </w:rPr>
  </w:style>
  <w:style w:type="character" w:customStyle="1" w:styleId="19">
    <w:name w:val="页眉 字符"/>
    <w:basedOn w:val="13"/>
    <w:link w:val="9"/>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character" w:customStyle="1" w:styleId="25">
    <w:name w:val="标题 2 字符"/>
    <w:basedOn w:val="13"/>
    <w:link w:val="4"/>
    <w:uiPriority w:val="1"/>
    <w:rPr>
      <w:rFonts w:eastAsia="黑体"/>
      <w:kern w:val="2"/>
      <w:sz w:val="32"/>
      <w:szCs w:val="24"/>
    </w:rPr>
  </w:style>
  <w:style w:type="paragraph" w:customStyle="1" w:styleId="26">
    <w:name w:val="zjb正文"/>
    <w:basedOn w:val="1"/>
    <w:link w:val="29"/>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zjb標題1"/>
    <w:basedOn w:val="1"/>
    <w:link w:val="28"/>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8">
    <w:name w:val="zjb標題1 字符"/>
    <w:basedOn w:val="13"/>
    <w:link w:val="27"/>
    <w:qFormat/>
    <w:uiPriority w:val="0"/>
    <w:rPr>
      <w:rFonts w:eastAsia="华文中宋"/>
      <w:b/>
      <w:color w:val="000000"/>
      <w:sz w:val="72"/>
      <w:szCs w:val="72"/>
      <w:lang w:eastAsia="en-US"/>
    </w:rPr>
  </w:style>
  <w:style w:type="character" w:customStyle="1" w:styleId="29">
    <w:name w:val="zjb正文 字符"/>
    <w:basedOn w:val="13"/>
    <w:link w:val="26"/>
    <w:qFormat/>
    <w:uiPriority w:val="0"/>
    <w:rPr>
      <w:rFonts w:ascii="仿宋_GB2312" w:hAnsi="仿宋" w:eastAsia="仿宋_GB2312" w:cs="宋体"/>
      <w:color w:val="000000"/>
      <w:sz w:val="30"/>
      <w:szCs w:val="30"/>
      <w:lang w:eastAsia="en-US"/>
    </w:rPr>
  </w:style>
  <w:style w:type="paragraph" w:styleId="30">
    <w:name w:val="List Paragraph"/>
    <w:basedOn w:val="1"/>
    <w:qFormat/>
    <w:uiPriority w:val="1"/>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2">
    <w:name w:val="Body text (2)_"/>
    <w:link w:val="33"/>
    <w:qFormat/>
    <w:uiPriority w:val="99"/>
    <w:rPr>
      <w:rFonts w:ascii="MingLiU" w:hAnsi="Calibri" w:eastAsia="MingLiU" w:cs="MingLiU"/>
      <w:sz w:val="30"/>
      <w:szCs w:val="30"/>
      <w:shd w:val="clear" w:color="auto" w:fill="FFFFFF"/>
    </w:rPr>
  </w:style>
  <w:style w:type="paragraph" w:customStyle="1" w:styleId="33">
    <w:name w:val="Body text (2)1"/>
    <w:basedOn w:val="1"/>
    <w:link w:val="32"/>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4">
    <w:name w:val="标题 1 字符"/>
    <w:basedOn w:val="13"/>
    <w:link w:val="3"/>
    <w:uiPriority w:val="0"/>
    <w:rPr>
      <w:b/>
      <w:bCs/>
      <w:kern w:val="44"/>
      <w:sz w:val="44"/>
      <w:szCs w:val="44"/>
    </w:rPr>
  </w:style>
  <w:style w:type="character" w:customStyle="1" w:styleId="35">
    <w:name w:val="正文文本 字符"/>
    <w:basedOn w:val="13"/>
    <w:link w:val="6"/>
    <w:qFormat/>
    <w:uiPriority w:val="0"/>
    <w:rPr>
      <w:rFonts w:ascii="幼圆" w:eastAsia="幼圆"/>
      <w:b/>
      <w:kern w:val="2"/>
      <w:sz w:val="44"/>
      <w:szCs w:val="24"/>
    </w:rPr>
  </w:style>
  <w:style w:type="character" w:customStyle="1" w:styleId="36">
    <w:name w:val="标题 字符"/>
    <w:basedOn w:val="13"/>
    <w:link w:val="2"/>
    <w:qFormat/>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F41E3-45C4-4353-8506-5392B760C20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2266</Words>
  <Characters>12918</Characters>
  <Lines>107</Lines>
  <Paragraphs>30</Paragraphs>
  <TotalTime>3</TotalTime>
  <ScaleCrop>false</ScaleCrop>
  <LinksUpToDate>false</LinksUpToDate>
  <CharactersWithSpaces>15154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xqs</dc:creator>
  <cp:lastModifiedBy>重庆管理员</cp:lastModifiedBy>
  <cp:lastPrinted>2022-02-15T01:27:19Z</cp:lastPrinted>
  <dcterms:modified xsi:type="dcterms:W3CDTF">2022-02-15T01:30:14Z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