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重庆空港贵宾服务有限公司</w:t>
      </w:r>
    </w:p>
    <w:p>
      <w:pPr>
        <w:pStyle w:val="2"/>
        <w:rPr>
          <w:rFonts w:ascii="方正小标宋_GBK" w:eastAsia="方正小标宋_GBK"/>
          <w:color w:val="000000" w:themeColor="text1"/>
          <w:sz w:val="52"/>
          <w:szCs w:val="52"/>
          <w14:textFill>
            <w14:solidFill>
              <w14:schemeClr w14:val="tx1"/>
            </w14:solidFill>
          </w14:textFill>
        </w:rPr>
      </w:pPr>
    </w:p>
    <w:p>
      <w:pPr>
        <w:rPr>
          <w:rFonts w:ascii="方正小标宋_GBK" w:eastAsia="方正小标宋_GBK"/>
          <w:color w:val="000000" w:themeColor="text1"/>
          <w:sz w:val="52"/>
          <w:szCs w:val="52"/>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厅房维修项目比选文件</w:t>
      </w:r>
    </w:p>
    <w:p>
      <w:pPr>
        <w:rPr>
          <w:rFonts w:ascii="仿宋" w:hAnsi="仿宋" w:eastAsia="仿宋"/>
          <w:b/>
          <w:color w:val="000000" w:themeColor="text1"/>
          <w:sz w:val="3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pStyle w:val="2"/>
        <w:jc w:val="both"/>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重庆空港贵宾服务有限公司</w:t>
      </w:r>
    </w:p>
    <w:p>
      <w:pPr>
        <w:ind w:firstLine="2867" w:firstLineChars="896"/>
        <w:jc w:val="both"/>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二〇二二年</w:t>
      </w:r>
      <w:r>
        <w:rPr>
          <w:rFonts w:hint="eastAsia" w:ascii="方正小标宋简体" w:eastAsia="方正小标宋简体"/>
          <w:color w:val="000000" w:themeColor="text1"/>
          <w:sz w:val="32"/>
          <w:szCs w:val="32"/>
          <w:lang w:eastAsia="zh-CN"/>
          <w14:textFill>
            <w14:solidFill>
              <w14:schemeClr w14:val="tx1"/>
            </w14:solidFill>
          </w14:textFill>
        </w:rPr>
        <w:t>二</w:t>
      </w:r>
      <w:r>
        <w:rPr>
          <w:rFonts w:hint="eastAsia" w:ascii="方正小标宋简体" w:eastAsia="方正小标宋简体"/>
          <w:color w:val="000000" w:themeColor="text1"/>
          <w:sz w:val="32"/>
          <w:szCs w:val="32"/>
          <w14:textFill>
            <w14:solidFill>
              <w14:schemeClr w14:val="tx1"/>
            </w14:solidFill>
          </w14:textFill>
        </w:rPr>
        <w:t>月</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厅房维修项目比选文件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bookmarkStart w:id="0" w:name="_Hlk86135515"/>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重庆空港贵宾服务有限公司对维修要客服务T</w:t>
      </w:r>
      <w:r>
        <w:rPr>
          <w:rFonts w:ascii="方正仿宋_GBK" w:hAnsi="方正仿宋_GBK" w:eastAsia="方正仿宋_GBK" w:cs="方正仿宋_GBK"/>
          <w:color w:val="000000" w:themeColor="text1"/>
          <w:sz w:val="28"/>
          <w:szCs w:val="28"/>
          <w14:textFill>
            <w14:solidFill>
              <w14:schemeClr w14:val="tx1"/>
            </w14:solidFill>
          </w14:textFill>
        </w:rPr>
        <w:t>3B</w:t>
      </w:r>
      <w:r>
        <w:rPr>
          <w:rFonts w:hint="eastAsia" w:ascii="方正仿宋_GBK" w:hAnsi="方正仿宋_GBK" w:eastAsia="方正仿宋_GBK" w:cs="方正仿宋_GBK"/>
          <w:color w:val="000000" w:themeColor="text1"/>
          <w:sz w:val="28"/>
          <w:szCs w:val="28"/>
          <w14:textFill>
            <w14:solidFill>
              <w14:schemeClr w14:val="tx1"/>
            </w14:solidFill>
          </w14:textFill>
        </w:rPr>
        <w:t>区</w:t>
      </w:r>
      <w:bookmarkStart w:id="1" w:name="_Hlk89688549"/>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号厅吊顶、木饰面装饰、木门等</w:t>
      </w:r>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项目邀请符合相应条件的供应商就本项目进行比选。</w:t>
      </w:r>
      <w:bookmarkEnd w:id="0"/>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一、项目实施内容及要求</w:t>
      </w:r>
    </w:p>
    <w:p>
      <w:pPr>
        <w:widowControl/>
        <w:spacing w:line="360" w:lineRule="auto"/>
        <w:ind w:firstLine="562" w:firstLineChars="200"/>
        <w:jc w:val="left"/>
        <w:rPr>
          <w:rFonts w:ascii="方正仿宋_GBK" w:hAnsi="仿宋" w:eastAsia="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比选响应人应满足下列资格条件：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本次比选实行资格后审，比选响应人须满足下列资格业绩要求：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（1）在中华人民共和国依法注册、具有独立法人资格，具有有效营业执照（注明须提供营业执照复印件加盖鲜章）。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（2）资质要求：</w:t>
      </w:r>
      <w:bookmarkStart w:id="2" w:name="_Hlk89687714"/>
      <w:r>
        <w:rPr>
          <w:rFonts w:hint="eastAsia" w:ascii="方正仿宋_GBK" w:hAnsi="方正仿宋_GBK" w:eastAsia="方正仿宋_GBK" w:cs="方正仿宋_GBK"/>
          <w:color w:val="000000" w:themeColor="text1"/>
          <w:sz w:val="28"/>
          <w:szCs w:val="28"/>
          <w14:textFill>
            <w14:solidFill>
              <w14:schemeClr w14:val="tx1"/>
            </w14:solidFill>
          </w14:textFill>
        </w:rPr>
        <w:t>具有建筑工程施工总承包叁级或建筑装修装饰工程专业承包贰级资质</w:t>
      </w:r>
      <w:bookmarkEnd w:id="2"/>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（3）信誉要求：没有处于被责令停业，财产被接管、冻结，破产状态；投标人没有进入重庆贵宾服务有限公司供应商黑名单；提供信誉声明并加盖比选响应人公章。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（4）比选响应人如提供虚假材料，比选采购人有权取消其投标资格或中标资格，并没收比选响应保证金。</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1.1.2未被“信用中国”网站（www.creditchina.gov.cn）列为失信被执行人，提供相关查询截图并加盖响应单位法人鲜章。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1.1.3</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法定代表人为同一个人的两个及两个以上法人，母公司、全资子公司及其控股公司，以及其他形式有管理关系的比选响应人，都不得在同一比选项目中同时投标。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1.1.4</w:t>
      </w:r>
      <w:r>
        <w:rPr>
          <w:rFonts w:hint="eastAsia" w:ascii="方正仿宋_GBK" w:hAnsi="方正仿宋_GBK" w:eastAsia="方正仿宋_GBK" w:cs="方正仿宋_GBK"/>
          <w:color w:val="000000" w:themeColor="text1"/>
          <w:sz w:val="28"/>
          <w:szCs w:val="28"/>
          <w14:textFill>
            <w14:solidFill>
              <w14:schemeClr w14:val="tx1"/>
            </w14:solidFill>
          </w14:textFill>
        </w:rPr>
        <w:t>本次比选不允许联合体投标，不得转包、分包，需提供承诺函。</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被授权人身份证复印件（原件备查）和被授权人近一个月社保证明。</w:t>
      </w:r>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1.2项目要求及报价要求</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1.2.1项目简介：维修重庆江北机场T</w:t>
      </w:r>
      <w:r>
        <w:rPr>
          <w:rFonts w:ascii="方正仿宋_GBK" w:hAnsi="方正仿宋_GBK" w:eastAsia="方正仿宋_GBK" w:cs="方正仿宋_GBK"/>
          <w:color w:val="000000" w:themeColor="text1"/>
          <w:sz w:val="28"/>
          <w:szCs w:val="28"/>
          <w14:textFill>
            <w14:solidFill>
              <w14:schemeClr w14:val="tx1"/>
            </w14:solidFill>
          </w14:textFill>
        </w:rPr>
        <w:t>3A</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航站楼要客服务T</w:t>
      </w:r>
      <w:r>
        <w:rPr>
          <w:rFonts w:ascii="方正仿宋_GBK" w:hAnsi="方正仿宋_GBK" w:eastAsia="方正仿宋_GBK" w:cs="方正仿宋_GBK"/>
          <w:color w:val="000000" w:themeColor="text1"/>
          <w:sz w:val="28"/>
          <w:szCs w:val="28"/>
          <w14:textFill>
            <w14:solidFill>
              <w14:schemeClr w14:val="tx1"/>
            </w14:solidFill>
          </w14:textFill>
        </w:rPr>
        <w:t>3B</w:t>
      </w:r>
      <w:r>
        <w:rPr>
          <w:rFonts w:hint="eastAsia" w:ascii="方正仿宋_GBK" w:hAnsi="方正仿宋_GBK" w:eastAsia="方正仿宋_GBK" w:cs="方正仿宋_GBK"/>
          <w:color w:val="000000" w:themeColor="text1"/>
          <w:sz w:val="28"/>
          <w:szCs w:val="28"/>
          <w14:textFill>
            <w14:solidFill>
              <w14:schemeClr w14:val="tx1"/>
            </w14:solidFill>
          </w14:textFill>
        </w:rPr>
        <w:t>区2</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27</w:t>
      </w:r>
      <w:r>
        <w:rPr>
          <w:rFonts w:hint="eastAsia" w:ascii="方正仿宋_GBK" w:hAnsi="方正仿宋_GBK" w:eastAsia="方正仿宋_GBK" w:cs="方正仿宋_GBK"/>
          <w:color w:val="000000" w:themeColor="text1"/>
          <w:sz w:val="28"/>
          <w:szCs w:val="28"/>
          <w14:textFill>
            <w14:solidFill>
              <w14:schemeClr w14:val="tx1"/>
            </w14:solidFill>
          </w14:textFill>
        </w:rPr>
        <w:t>号厅内吊顶、木饰面装饰、厅房门等项目，提供包含运输、维修材料采购、人工等所需的费用。</w:t>
      </w:r>
    </w:p>
    <w:p>
      <w:pPr>
        <w:widowControl/>
        <w:spacing w:line="4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1.2.2本项目的产品需求及技术要求：</w:t>
      </w:r>
    </w:p>
    <w:p>
      <w:pPr>
        <w:widowControl/>
        <w:spacing w:line="4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tbl>
      <w:tblPr>
        <w:tblStyle w:val="22"/>
        <w:tblW w:w="10848" w:type="dxa"/>
        <w:jc w:val="center"/>
        <w:tblInd w:w="0" w:type="dxa"/>
        <w:tblLayout w:type="fixed"/>
        <w:tblCellMar>
          <w:top w:w="0" w:type="dxa"/>
          <w:left w:w="108" w:type="dxa"/>
          <w:bottom w:w="0" w:type="dxa"/>
          <w:right w:w="108" w:type="dxa"/>
        </w:tblCellMar>
      </w:tblPr>
      <w:tblGrid>
        <w:gridCol w:w="633"/>
        <w:gridCol w:w="2946"/>
        <w:gridCol w:w="775"/>
        <w:gridCol w:w="1206"/>
        <w:gridCol w:w="3933"/>
        <w:gridCol w:w="703"/>
        <w:gridCol w:w="652"/>
      </w:tblGrid>
      <w:tr>
        <w:tblPrEx>
          <w:tblLayout w:type="fixed"/>
          <w:tblCellMar>
            <w:top w:w="0" w:type="dxa"/>
            <w:left w:w="108" w:type="dxa"/>
            <w:bottom w:w="0" w:type="dxa"/>
            <w:right w:w="108" w:type="dxa"/>
          </w:tblCellMar>
        </w:tblPrEx>
        <w:trPr>
          <w:trHeight w:val="46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类别</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材质</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尺寸（mm）</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参数</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单位</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数量</w:t>
            </w:r>
          </w:p>
        </w:tc>
      </w:tr>
      <w:tr>
        <w:tblPrEx>
          <w:tblLayout w:type="fixed"/>
          <w:tblCellMar>
            <w:top w:w="0" w:type="dxa"/>
            <w:left w:w="108" w:type="dxa"/>
            <w:bottom w:w="0" w:type="dxa"/>
            <w:right w:w="108" w:type="dxa"/>
          </w:tblCellMar>
        </w:tblPrEx>
        <w:trPr>
          <w:trHeight w:val="98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尺寸实际量为准</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★1、面材：表面采用优质E0级多层实木贴花梨木皮饰面,木皮纹路对纹，经烘干、防虫、防腐处理经久耐用，不开裂，采用机械化贴面，表面平整耐久；符合GB/T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w:t>
            </w: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1072" behindDoc="0" locked="0" layoutInCell="1" allowOverlap="1">
                  <wp:simplePos x="0" y="0"/>
                  <wp:positionH relativeFrom="column">
                    <wp:posOffset>-2967355</wp:posOffset>
                  </wp:positionH>
                  <wp:positionV relativeFrom="paragraph">
                    <wp:posOffset>1757680</wp:posOffset>
                  </wp:positionV>
                  <wp:extent cx="1323975" cy="781050"/>
                  <wp:effectExtent l="0" t="0" r="9525"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23975" cy="781050"/>
                          </a:xfrm>
                          <a:prstGeom prst="rect">
                            <a:avLst/>
                          </a:prstGeom>
                          <a:noFill/>
                          <a:ln>
                            <a:noFill/>
                          </a:ln>
                        </pic:spPr>
                      </pic:pic>
                    </a:graphicData>
                  </a:graphic>
                </wp:anchor>
              </w:drawing>
            </w:r>
            <w:r>
              <w:rPr>
                <w:rFonts w:hint="eastAsia" w:ascii="宋体" w:hAnsi="宋体" w:cs="宋体"/>
                <w:color w:val="000000" w:themeColor="text1"/>
                <w:kern w:val="0"/>
                <w:sz w:val="22"/>
                <w:szCs w:val="22"/>
                <w14:textFill>
                  <w14:solidFill>
                    <w14:schemeClr w14:val="tx1"/>
                  </w14:solidFill>
                </w14:textFill>
              </w:rPr>
              <w:t>内装饰装修材料  人造板及其制品中甲醛释放限量》标准；要求木材含水率≤6.3%，吸水厚度膨胀率≤4.9%,密度达到0.69g/cm³, 静曲强度≥23.3MPa, 甲醛释放量≤0.032mg/m³(47h);提供2019</w:t>
            </w: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2096" behindDoc="0" locked="0" layoutInCell="1" allowOverlap="1">
                  <wp:simplePos x="0" y="0"/>
                  <wp:positionH relativeFrom="column">
                    <wp:posOffset>-2903855</wp:posOffset>
                  </wp:positionH>
                  <wp:positionV relativeFrom="paragraph">
                    <wp:posOffset>2772410</wp:posOffset>
                  </wp:positionV>
                  <wp:extent cx="1343025" cy="1143000"/>
                  <wp:effectExtent l="0" t="0" r="9525" b="0"/>
                  <wp:wrapNone/>
                  <wp:docPr id="10" name="图片 10" descr="de321a627161f0d6f3ecc60889c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e321a627161f0d6f3ecc60889c05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43025" cy="1143000"/>
                          </a:xfrm>
                          <a:prstGeom prst="rect">
                            <a:avLst/>
                          </a:prstGeom>
                          <a:noFill/>
                          <a:ln>
                            <a:noFill/>
                          </a:ln>
                        </pic:spPr>
                      </pic:pic>
                    </a:graphicData>
                  </a:graphic>
                </wp:anchor>
              </w:drawing>
            </w:r>
            <w:r>
              <w:rPr>
                <w:rFonts w:hint="eastAsia" w:ascii="宋体" w:hAnsi="宋体" w:cs="宋体"/>
                <w:color w:val="000000" w:themeColor="text1"/>
                <w:kern w:val="0"/>
                <w:sz w:val="22"/>
                <w:szCs w:val="22"/>
                <w14:textFill>
                  <w14:solidFill>
                    <w14:schemeClr w14:val="tx1"/>
                  </w14:solidFill>
                </w14:textFill>
              </w:rPr>
              <w:t xml:space="preserve">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r>
              <w:rPr>
                <w:rFonts w:ascii="宋体" w:hAnsi="宋体" w:cs="宋体"/>
                <w:color w:val="000000" w:themeColor="text1"/>
                <w:kern w:val="0"/>
                <w:sz w:val="22"/>
                <w:szCs w:val="22"/>
                <w14:textFill>
                  <w14:solidFill>
                    <w14:schemeClr w14:val="tx1"/>
                  </w14:solidFill>
                </w14:textFill>
              </w:rPr>
              <w:t>0</w:t>
            </w:r>
          </w:p>
        </w:tc>
      </w:tr>
      <w:tr>
        <w:tblPrEx>
          <w:tblLayout w:type="fixed"/>
          <w:tblCellMar>
            <w:top w:w="0" w:type="dxa"/>
            <w:left w:w="108" w:type="dxa"/>
            <w:bottom w:w="0" w:type="dxa"/>
            <w:right w:w="108" w:type="dxa"/>
          </w:tblCellMar>
        </w:tblPrEx>
        <w:trPr>
          <w:trHeight w:val="699"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drawing>
                <wp:inline distT="0" distB="0" distL="0" distR="0">
                  <wp:extent cx="1097280" cy="23164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97280" cy="2316480"/>
                          </a:xfrm>
                          <a:prstGeom prst="rect">
                            <a:avLst/>
                          </a:prstGeom>
                          <a:noFill/>
                        </pic:spPr>
                      </pic:pic>
                    </a:graphicData>
                  </a:graphic>
                </wp:inline>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尺寸实际量为准</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★1、面材：表面采用优质E0级多层实木贴花梨木皮饰面,木皮纹路对纹，经烘干、防虫、防腐处理经久耐用，不开裂，采用机械化贴面，表面平整耐久；符合GB/T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扇</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r>
      <w:tr>
        <w:tblPrEx>
          <w:tblLayout w:type="fixed"/>
          <w:tblCellMar>
            <w:top w:w="0" w:type="dxa"/>
            <w:left w:w="108" w:type="dxa"/>
            <w:bottom w:w="0" w:type="dxa"/>
            <w:right w:w="108" w:type="dxa"/>
          </w:tblCellMar>
        </w:tblPrEx>
        <w:trPr>
          <w:trHeight w:val="240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drawing>
                <wp:inline distT="0" distB="0" distL="0" distR="0">
                  <wp:extent cx="1731645" cy="1371600"/>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31645" cy="1371600"/>
                          </a:xfrm>
                          <a:prstGeom prst="rect">
                            <a:avLst/>
                          </a:prstGeom>
                          <a:noFill/>
                        </pic:spPr>
                      </pic:pic>
                    </a:graphicData>
                  </a:graphic>
                </wp:inline>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如图（加门套）</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r>
              <w:rPr>
                <w:rFonts w:ascii="宋体" w:hAnsi="宋体" w:cs="宋体"/>
                <w:color w:val="000000" w:themeColor="text1"/>
                <w:kern w:val="0"/>
                <w:sz w:val="22"/>
                <w:szCs w:val="22"/>
                <w14:textFill>
                  <w14:solidFill>
                    <w14:schemeClr w14:val="tx1"/>
                  </w14:solidFill>
                </w14:textFill>
              </w:rPr>
              <w:t>280*840</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  </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扇</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tblPrEx>
          <w:tblLayout w:type="fixed"/>
          <w:tblCellMar>
            <w:top w:w="0" w:type="dxa"/>
            <w:left w:w="108" w:type="dxa"/>
            <w:bottom w:w="0" w:type="dxa"/>
            <w:right w:w="108" w:type="dxa"/>
          </w:tblCellMar>
        </w:tblPrEx>
        <w:trPr>
          <w:trHeight w:val="393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7216" behindDoc="0" locked="0" layoutInCell="1" allowOverlap="1">
                  <wp:simplePos x="0" y="0"/>
                  <wp:positionH relativeFrom="column">
                    <wp:posOffset>154305</wp:posOffset>
                  </wp:positionH>
                  <wp:positionV relativeFrom="paragraph">
                    <wp:posOffset>-135255</wp:posOffset>
                  </wp:positionV>
                  <wp:extent cx="1200150" cy="1609725"/>
                  <wp:effectExtent l="0" t="0" r="0" b="9525"/>
                  <wp:wrapNone/>
                  <wp:docPr id="7" name="图片 7" descr="58f363de9df6a8dde2b4502188968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8f363de9df6a8dde2b4502188968b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609725"/>
                          </a:xfrm>
                          <a:prstGeom prst="rect">
                            <a:avLst/>
                          </a:prstGeom>
                          <a:noFill/>
                          <a:ln>
                            <a:noFill/>
                          </a:ln>
                        </pic:spPr>
                      </pic:pic>
                    </a:graphicData>
                  </a:graphic>
                </wp:anchor>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2280*1680（双开门）</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r>
      <w:tr>
        <w:tblPrEx>
          <w:tblLayout w:type="fixed"/>
          <w:tblCellMar>
            <w:top w:w="0" w:type="dxa"/>
            <w:left w:w="108" w:type="dxa"/>
            <w:bottom w:w="0" w:type="dxa"/>
            <w:right w:w="108" w:type="dxa"/>
          </w:tblCellMar>
        </w:tblPrEx>
        <w:trPr>
          <w:trHeight w:val="393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drawing>
                <wp:inline distT="0" distB="0" distL="0" distR="0">
                  <wp:extent cx="1609725" cy="2152015"/>
                  <wp:effectExtent l="0" t="0" r="952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09725" cy="2152015"/>
                          </a:xfrm>
                          <a:prstGeom prst="rect">
                            <a:avLst/>
                          </a:prstGeom>
                          <a:noFill/>
                        </pic:spPr>
                      </pic:pic>
                    </a:graphicData>
                  </a:graphic>
                </wp:inline>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定制</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r>
      <w:tr>
        <w:tblPrEx>
          <w:tblLayout w:type="fixed"/>
          <w:tblCellMar>
            <w:top w:w="0" w:type="dxa"/>
            <w:left w:w="108" w:type="dxa"/>
            <w:bottom w:w="0" w:type="dxa"/>
            <w:right w:w="108" w:type="dxa"/>
          </w:tblCellMar>
        </w:tblPrEx>
        <w:trPr>
          <w:trHeight w:val="3676"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color w:val="000000" w:themeColor="text1"/>
                <w14:textFill>
                  <w14:solidFill>
                    <w14:schemeClr w14:val="tx1"/>
                  </w14:solidFill>
                </w14:textFill>
              </w:rPr>
              <w:drawing>
                <wp:inline distT="0" distB="0" distL="0" distR="0">
                  <wp:extent cx="1009650" cy="1228725"/>
                  <wp:effectExtent l="0" t="0" r="0" b="9525"/>
                  <wp:docPr id="1642" name="图片 1" descr="LTICRW6$}GG416UF]G9EH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图片 1" descr="LTICRW6$}GG416UF]G9EH0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09650" cy="1228725"/>
                          </a:xfrm>
                          <a:prstGeom prst="rect">
                            <a:avLst/>
                          </a:prstGeom>
                          <a:noFill/>
                          <a:ln>
                            <a:noFill/>
                          </a:ln>
                        </pic:spPr>
                      </pic:pic>
                    </a:graphicData>
                  </a:graphic>
                </wp:inline>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尺寸实际量为准</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w:t>
            </w:r>
          </w:p>
        </w:tc>
      </w:tr>
      <w:tr>
        <w:tblPrEx>
          <w:tblLayout w:type="fixed"/>
          <w:tblCellMar>
            <w:top w:w="0" w:type="dxa"/>
            <w:left w:w="108" w:type="dxa"/>
            <w:bottom w:w="0" w:type="dxa"/>
            <w:right w:w="108" w:type="dxa"/>
          </w:tblCellMar>
        </w:tblPrEx>
        <w:trPr>
          <w:trHeight w:val="459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8240" behindDoc="0" locked="0" layoutInCell="1" allowOverlap="1">
                  <wp:simplePos x="0" y="0"/>
                  <wp:positionH relativeFrom="column">
                    <wp:posOffset>191135</wp:posOffset>
                  </wp:positionH>
                  <wp:positionV relativeFrom="paragraph">
                    <wp:posOffset>8255</wp:posOffset>
                  </wp:positionV>
                  <wp:extent cx="990600" cy="1019175"/>
                  <wp:effectExtent l="0" t="0" r="0" b="9525"/>
                  <wp:wrapNone/>
                  <wp:docPr id="5" name="图片 5" descr="5c30fa6df48cbdd681362da231868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c30fa6df48cbdd681362da2318685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90600" cy="1019175"/>
                          </a:xfrm>
                          <a:prstGeom prst="rect">
                            <a:avLst/>
                          </a:prstGeom>
                          <a:noFill/>
                          <a:ln>
                            <a:noFill/>
                          </a:ln>
                        </pic:spPr>
                      </pic:pic>
                    </a:graphicData>
                  </a:graphic>
                </wp:anchor>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顶墙刷白</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尺寸实际量为准</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w:t>
            </w:r>
          </w:p>
        </w:tc>
      </w:tr>
      <w:tr>
        <w:tblPrEx>
          <w:tblLayout w:type="fixed"/>
          <w:tblCellMar>
            <w:top w:w="0" w:type="dxa"/>
            <w:left w:w="108" w:type="dxa"/>
            <w:bottom w:w="0" w:type="dxa"/>
            <w:right w:w="108" w:type="dxa"/>
          </w:tblCellMar>
        </w:tblPrEx>
        <w:trPr>
          <w:trHeight w:val="3825"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5168" behindDoc="0" locked="0" layoutInCell="1" allowOverlap="1">
                  <wp:simplePos x="0" y="0"/>
                  <wp:positionH relativeFrom="column">
                    <wp:posOffset>28575</wp:posOffset>
                  </wp:positionH>
                  <wp:positionV relativeFrom="paragraph">
                    <wp:posOffset>-286385</wp:posOffset>
                  </wp:positionV>
                  <wp:extent cx="1152525" cy="819150"/>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52525" cy="819150"/>
                          </a:xfrm>
                          <a:prstGeom prst="rect">
                            <a:avLst/>
                          </a:prstGeom>
                          <a:noFill/>
                          <a:ln>
                            <a:noFill/>
                          </a:ln>
                        </pic:spPr>
                      </pic:pic>
                    </a:graphicData>
                  </a:graphic>
                </wp:anchor>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同上</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r>
      <w:tr>
        <w:tblPrEx>
          <w:tblLayout w:type="fixed"/>
          <w:tblCellMar>
            <w:top w:w="0" w:type="dxa"/>
            <w:left w:w="108" w:type="dxa"/>
            <w:bottom w:w="0" w:type="dxa"/>
            <w:right w:w="108" w:type="dxa"/>
          </w:tblCellMar>
        </w:tblPrEx>
        <w:trPr>
          <w:trHeight w:val="29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6192" behindDoc="0" locked="0" layoutInCell="1" allowOverlap="1">
                  <wp:simplePos x="0" y="0"/>
                  <wp:positionH relativeFrom="column">
                    <wp:posOffset>41910</wp:posOffset>
                  </wp:positionH>
                  <wp:positionV relativeFrom="paragraph">
                    <wp:posOffset>-224790</wp:posOffset>
                  </wp:positionV>
                  <wp:extent cx="1390650" cy="1066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90650" cy="1066800"/>
                          </a:xfrm>
                          <a:prstGeom prst="rect">
                            <a:avLst/>
                          </a:prstGeom>
                          <a:noFill/>
                          <a:ln>
                            <a:noFill/>
                          </a:ln>
                        </pic:spPr>
                      </pic:pic>
                    </a:graphicData>
                  </a:graphic>
                </wp:anchor>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同上</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r>
      <w:tr>
        <w:tblPrEx>
          <w:tblLayout w:type="fixed"/>
          <w:tblCellMar>
            <w:top w:w="0" w:type="dxa"/>
            <w:left w:w="108" w:type="dxa"/>
            <w:bottom w:w="0" w:type="dxa"/>
            <w:right w:w="108" w:type="dxa"/>
          </w:tblCellMar>
        </w:tblPrEx>
        <w:trPr>
          <w:trHeight w:val="1408"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0</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精密拆装</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★1.现场施工防护灰尘及精密装修情况进行精密低尘拆装和出渣。</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r>
              <w:rPr>
                <w:rFonts w:ascii="宋体" w:hAnsi="宋体" w:cs="宋体"/>
                <w:color w:val="000000" w:themeColor="text1"/>
                <w:kern w:val="0"/>
                <w:sz w:val="22"/>
                <w:szCs w:val="22"/>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精密拆装，人工费用（含拆装.出渣.运输.安装税收13%）</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r>
              <w:rPr>
                <w:rFonts w:ascii="宋体" w:hAnsi="宋体" w:cs="宋体"/>
                <w:color w:val="000000" w:themeColor="text1"/>
                <w:kern w:val="0"/>
                <w:sz w:val="22"/>
                <w:szCs w:val="22"/>
                <w14:textFill>
                  <w14:solidFill>
                    <w14:schemeClr w14:val="tx1"/>
                  </w14:solidFill>
                </w14:textFill>
              </w:rPr>
              <w:t>5</w:t>
            </w:r>
          </w:p>
        </w:tc>
      </w:tr>
      <w:tr>
        <w:tblPrEx>
          <w:tblLayout w:type="fixed"/>
          <w:tblCellMar>
            <w:top w:w="0" w:type="dxa"/>
            <w:left w:w="108" w:type="dxa"/>
            <w:bottom w:w="0" w:type="dxa"/>
            <w:right w:w="108" w:type="dxa"/>
          </w:tblCellMar>
        </w:tblPrEx>
        <w:trPr>
          <w:trHeight w:val="1408"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基层修复</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★1.现场泡水基层及护墙板。（具体根据现场情况来定）</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2.用专用的工具检测墙体中的湿度大小是否符合标准，在进行墙体的酸碱度检测。如果墙体的碱性过高，则可将墙体养护1个月后，在进行墙体的其他工序处理。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若墙体的表面有空鼓、裂缝等缺陷，则要将墙体表面的空鼓铲除掉，并用腻子或水泥砂浆将墙体表面的裂缝、不平整之外修补平整，以确保墙体的图层的平整性，以确保墙体的图层的平整性，保证涂料的涂刷能够均匀美观。</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 墙体表面若有浮砂或灰砂，则可用铲刀或刮刀将其表面的浮砂或灰砂铲掉，也可以用钢丝刷或硬毛竹扫帚将其表面上的浮砂及灰砂清理干净。</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 如果墙体表面上有砂眼或基面抹灰的痕迹，则可用水泥砂浆将其掩盖，然后用打磨机将墙体表面打磨平整。如果墙体的表面有钉头，则要对钉头惊醒防锈处理，然后进行墙面的涂刷工作.</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6.用高压水清洗粉尘，并用中性清洗剂清洗严重污染部位。用弱酸溶液处理铁锈和碱，再用高压水冲洗。</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7.涂料粉治疗：先用水枪清洗，检查第二天是否有产品，应从开始冲刷，干燥后涂上浸渍式封闭底漆。</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r>
              <w:rPr>
                <w:rFonts w:ascii="宋体" w:hAnsi="宋体" w:cs="宋体"/>
                <w:color w:val="000000" w:themeColor="text1"/>
                <w:kern w:val="0"/>
                <w:sz w:val="22"/>
                <w:szCs w:val="22"/>
                <w14:textFill>
                  <w14:solidFill>
                    <w14:schemeClr w14:val="tx1"/>
                  </w14:solidFill>
                </w14:textFill>
              </w:rPr>
              <w:t>5</w:t>
            </w:r>
          </w:p>
        </w:tc>
      </w:tr>
    </w:tbl>
    <w:p>
      <w:pPr>
        <w:spacing w:line="400" w:lineRule="exact"/>
        <w:ind w:firstLine="420"/>
        <w:jc w:val="left"/>
        <w:rPr>
          <w:rFonts w:ascii="方正仿宋_GBK" w:hAnsi="方正仿宋_GBK" w:eastAsia="方正仿宋_GBK" w:cs="方正仿宋_GBK"/>
          <w:color w:val="000000" w:themeColor="text1"/>
          <w:sz w:val="28"/>
          <w:szCs w:val="28"/>
          <w14:textFill>
            <w14:solidFill>
              <w14:schemeClr w14:val="tx1"/>
            </w14:solidFill>
          </w14:textFill>
        </w:rPr>
      </w:pP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本项目的报价应包括：本项目采用维修清单计价。各响应人对比选范围内的所有维修内容进行报价。比选报价应包括完成比选范围内明示或暗示的维修项目费包括直接费、间接费、利润、措施费（含易撒漏物质密闭运输的费用）、建筑垃圾外运费、渣场处置费、大型机械进出场费、运输费、管理费、检验试验费、规费、税金、合同执行期间风险费、二次或多次转运费及与土建施工单位的配合费。比选人除此以外不支付其他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1.2.3.1</w:t>
      </w:r>
      <w:r>
        <w:rPr>
          <w:rFonts w:hint="eastAsia" w:ascii="方正仿宋_GBK" w:hAnsi="方正仿宋_GBK" w:eastAsia="方正仿宋_GBK" w:cs="方正仿宋_GBK"/>
          <w:color w:val="000000" w:themeColor="text1"/>
          <w:sz w:val="28"/>
          <w:szCs w:val="28"/>
          <w14:textFill>
            <w14:solidFill>
              <w14:schemeClr w14:val="tx1"/>
            </w14:solidFill>
          </w14:textFill>
        </w:rPr>
        <w:t>费用分为可竞争费用和不可竞争费用。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（1）可竞争费用包括：人工费、材料费、机械费、措施费、企业管理费、利润。</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（2）不可竞争费用包括：规费、税金、安全文明施工费。</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可竞争费用严格执行重庆市建设行政主管部门发布的有关费用标准规定，不得降低标准进行报价。可竞争费用根据市场和企业情况自主报价，但是不得低于维修项目建设成本，更不得高于最高限价，否则其比选报价将被视为无效报价，其商务部分不予评审。</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.2.3.2</w:t>
      </w:r>
      <w:r>
        <w:rPr>
          <w:rFonts w:hint="eastAsia" w:ascii="方正仿宋_GBK" w:hAnsi="方正仿宋_GBK" w:eastAsia="方正仿宋_GBK" w:cs="方正仿宋_GBK"/>
          <w:color w:val="000000" w:themeColor="text1"/>
          <w:sz w:val="28"/>
          <w:szCs w:val="28"/>
          <w14:textFill>
            <w14:solidFill>
              <w14:schemeClr w14:val="tx1"/>
            </w14:solidFill>
          </w14:textFill>
        </w:rPr>
        <w:t>厅房维修项目最高限价（不含税）为人民币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117824.21</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元（大写金额：拾壹万柒仟捌佰贰拾肆元贰角壹分），超过最高限价，将取消比选响应方的比选资格。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比选响应单位必须具备：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2.1响应人须为中华人民共和国依法注册的企业法人，具备有效的营业执照，</w:t>
      </w:r>
      <w:r>
        <w:rPr>
          <w:rFonts w:hint="eastAsia" w:ascii="方正仿宋_GBK" w:hAnsi="仿宋" w:eastAsia="方正仿宋_GBK" w:cs="仿宋"/>
          <w:color w:val="000000" w:themeColor="text1"/>
          <w:sz w:val="28"/>
          <w:szCs w:val="28"/>
          <w14:textFill>
            <w14:solidFill>
              <w14:schemeClr w14:val="tx1"/>
            </w14:solidFill>
          </w14:textFill>
        </w:rPr>
        <w:t>具有建设行政主管部门颁发的建筑工程施工总承包叁级或建筑装修装饰工程专业承包贰级资质</w:t>
      </w:r>
      <w:r>
        <w:rPr>
          <w:rFonts w:hint="eastAsia" w:ascii="方正仿宋_GBK" w:hAnsi="方正仿宋_GBK" w:eastAsia="方正仿宋_GBK" w:cs="方正仿宋_GBK"/>
          <w:color w:val="000000" w:themeColor="text1"/>
          <w:sz w:val="28"/>
          <w:szCs w:val="28"/>
          <w14:textFill>
            <w14:solidFill>
              <w14:schemeClr w14:val="tx1"/>
            </w14:solidFill>
          </w14:textFill>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成交标准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bCs/>
          <w:color w:val="000000" w:themeColor="text1"/>
          <w:sz w:val="28"/>
          <w:szCs w:val="28"/>
          <w14:textFill>
            <w14:solidFill>
              <w14:schemeClr w14:val="tx1"/>
            </w14:solidFill>
          </w14:textFill>
        </w:rPr>
        <w:t>综合评估法得分最高者</w:t>
      </w:r>
      <w:r>
        <w:rPr>
          <w:rFonts w:hint="eastAsia" w:ascii="方正仿宋_GBK" w:hAnsi="方正仿宋_GBK" w:eastAsia="方正仿宋_GBK" w:cs="方正仿宋_GBK"/>
          <w:color w:val="000000" w:themeColor="text1"/>
          <w:sz w:val="28"/>
          <w:szCs w:val="28"/>
          <w14:textFill>
            <w14:solidFill>
              <w14:schemeClr w14:val="tx1"/>
            </w14:solidFill>
          </w14:textFill>
        </w:rPr>
        <w:t>成交：</w:t>
      </w:r>
    </w:p>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具体</w:t>
      </w:r>
      <w:r>
        <w:rPr>
          <w:rFonts w:hint="eastAsia" w:ascii="方正仿宋_GBK" w:hAnsi="方正仿宋_GBK" w:eastAsia="方正仿宋_GBK" w:cs="方正仿宋_GBK"/>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3.3项目重新比选时，经评审有有效比选响应人的，应当按规定程序，</w:t>
      </w:r>
      <w:r>
        <w:rPr>
          <w:rFonts w:hint="eastAsia" w:ascii="方正仿宋_GBK" w:hAnsi="方正仿宋_GBK" w:eastAsia="方正仿宋_GBK" w:cs="方正仿宋_GBK"/>
          <w:bCs/>
          <w:color w:val="000000" w:themeColor="text1"/>
          <w:sz w:val="28"/>
          <w:szCs w:val="28"/>
          <w14:textFill>
            <w14:solidFill>
              <w14:schemeClr w14:val="tx1"/>
            </w14:solidFill>
          </w14:textFill>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w:t>
      </w:r>
      <w:r>
        <w:rPr>
          <w:rFonts w:ascii="方正仿宋_GBK" w:hAnsi="方正仿宋_GBK" w:eastAsia="方正仿宋_GBK" w:cs="方正仿宋_GBK"/>
          <w:bCs/>
          <w:color w:val="000000" w:themeColor="text1"/>
          <w:sz w:val="28"/>
          <w:szCs w:val="28"/>
          <w14:textFill>
            <w14:solidFill>
              <w14:schemeClr w14:val="tx1"/>
            </w14:solidFill>
          </w14:textFill>
        </w:rPr>
        <w:t>5</w:t>
      </w:r>
      <w:r>
        <w:rPr>
          <w:rFonts w:hint="eastAsia" w:ascii="方正仿宋_GBK" w:hAnsi="方正仿宋_GBK" w:eastAsia="方正仿宋_GBK" w:cs="方正仿宋_GBK"/>
          <w:bCs/>
          <w:color w:val="000000" w:themeColor="text1"/>
          <w:sz w:val="28"/>
          <w:szCs w:val="28"/>
          <w14:textFill>
            <w14:solidFill>
              <w14:schemeClr w14:val="tx1"/>
            </w14:solidFill>
          </w14:textFill>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70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资质（1</w:t>
            </w:r>
            <w:r>
              <w:rPr>
                <w:rFonts w:ascii="方正仿宋_GBK" w:hAnsi="宋体" w:eastAsia="方正仿宋_GBK"/>
                <w:color w:val="000000" w:themeColor="text1"/>
                <w:sz w:val="24"/>
                <w14:textFill>
                  <w14:solidFill>
                    <w14:schemeClr w14:val="tx1"/>
                  </w14:solidFill>
                </w14:textFill>
              </w:rPr>
              <w:t>0</w:t>
            </w:r>
            <w:r>
              <w:rPr>
                <w:rFonts w:hint="eastAsia" w:ascii="方正仿宋_GBK" w:hAnsi="宋体" w:eastAsia="方正仿宋_GBK"/>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满足1.1.1得5分，满足1.1.2得5分，没有的记0分，满分10分。（查看资料）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技术部分评分（</w:t>
            </w:r>
            <w:r>
              <w:rPr>
                <w:rFonts w:ascii="方正仿宋_GBK" w:hAnsi="仿宋" w:eastAsia="方正仿宋_GBK" w:cs="仿宋"/>
                <w:color w:val="000000" w:themeColor="text1"/>
                <w:sz w:val="24"/>
                <w14:textFill>
                  <w14:solidFill>
                    <w14:schemeClr w14:val="tx1"/>
                  </w14:solidFill>
                </w14:textFill>
              </w:rPr>
              <w:t>B</w:t>
            </w:r>
            <w:r>
              <w:rPr>
                <w:rFonts w:hint="eastAsia" w:ascii="方正仿宋_GBK" w:hAnsi="仿宋" w:eastAsia="方正仿宋_GBK" w:cs="仿宋"/>
                <w:color w:val="000000" w:themeColor="text1"/>
                <w:sz w:val="24"/>
                <w14:textFill>
                  <w14:solidFill>
                    <w14:schemeClr w14:val="tx1"/>
                  </w14:solidFill>
                </w14:textFill>
              </w:rPr>
              <w:t>）</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维修方案</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adjustRightInd w:val="0"/>
              <w:snapToGrid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维修方案编制详细、完整、科学；维修方案符合项目实际；维修方案符合询价方维修技术和项目质量要求；维修方案中包含完善的质量控制体系措施和内容；维系方案中的质量控制措施完整，具备可操作性。</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每项得分1分，没有的记0分，满分5分。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2455" w:type="dxa"/>
            <w:gridSpan w:val="2"/>
            <w:vMerge w:val="continue"/>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配套资源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维修项目班子成员技术水平高，具备相应的从业资质；维修项目班子成员经验经历，具有超过5年的从业经历；维修项目班子成员数量配备充足，能够满足维修项目需要；维修项目所用设备配备齐全，性能符合维修项目需要；维修项目班子成员配备合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每项得分1分，没有的记0分，满分5分。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2455" w:type="dxa"/>
            <w:gridSpan w:val="2"/>
            <w:vMerge w:val="continue"/>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安全保障</w:t>
            </w:r>
          </w:p>
          <w:p>
            <w:pPr>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维修方充分了解施工对于机场空防安全、内保安全、消防安全和反恐防暴安全产生的风险；维修方指定了切实有效的风险防范措施；维修方安排现场值班人员，确保对施工现场施行24小时不间断的安全监管；维修方具备必要的劳动防护措施和器材；维修人员接受相关专业技能培训，具备行业必要资质，能够安全操作设施设备和施工；维修方能够保证施工现场安全，维修组有序；维修方车辆性能稳定，按询价方规定进出、行驶和停放；维修方能够按询价方规定时间施工；维修方在施工期间能够做好施工区的清洁卫生，不遗留施工设备、工具、材料等；维修方专职安全员定期的检查、巡视；</w:t>
            </w:r>
          </w:p>
          <w:p>
            <w:pPr>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每项得分1分，没有的记0分，满分10分。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报价部分评分(</w:t>
            </w:r>
            <w:r>
              <w:rPr>
                <w:rFonts w:ascii="方正仿宋_GBK" w:hAnsi="仿宋" w:eastAsia="方正仿宋_GBK" w:cs="仿宋"/>
                <w:color w:val="000000" w:themeColor="text1"/>
                <w:sz w:val="24"/>
                <w14:textFill>
                  <w14:solidFill>
                    <w14:schemeClr w14:val="tx1"/>
                  </w14:solidFill>
                </w14:textFill>
              </w:rPr>
              <w:t>C</w:t>
            </w:r>
            <w:r>
              <w:rPr>
                <w:rFonts w:hint="eastAsia" w:ascii="方正仿宋_GBK" w:hAnsi="仿宋" w:eastAsia="方正仿宋_GBK" w:cs="仿宋"/>
                <w:color w:val="000000" w:themeColor="text1"/>
                <w:sz w:val="24"/>
                <w14:textFill>
                  <w14:solidFill>
                    <w14:schemeClr w14:val="tx1"/>
                  </w14:solidFill>
                </w14:textFill>
              </w:rPr>
              <w:t>)</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70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投标报价与评标基准价</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w:t>
            </w:r>
            <w:r>
              <w:rPr>
                <w:rFonts w:ascii="方正仿宋_GBK" w:hAnsi="仿宋" w:eastAsia="方正仿宋_GBK" w:cs="仿宋"/>
                <w:color w:val="000000" w:themeColor="text1"/>
                <w:sz w:val="24"/>
                <w14:textFill>
                  <w14:solidFill>
                    <w14:schemeClr w14:val="tx1"/>
                  </w14:solidFill>
                </w14:textFill>
              </w:rPr>
              <w:t>70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 xml:space="preserve">等于评标基准价（ </w:t>
            </w:r>
            <w:r>
              <w:rPr>
                <w:rFonts w:ascii="方正仿宋_GBK" w:hAnsi="仿宋" w:eastAsia="方正仿宋_GBK" w:cs="仿宋"/>
                <w:color w:val="000000" w:themeColor="text1"/>
                <w:sz w:val="24"/>
                <w14:textFill>
                  <w14:solidFill>
                    <w14:schemeClr w14:val="tx1"/>
                  </w14:solidFill>
                </w14:textFill>
              </w:rPr>
              <w:t>70</w:t>
            </w:r>
            <w:r>
              <w:rPr>
                <w:rFonts w:hint="eastAsia" w:ascii="方正仿宋_GBK" w:hAnsi="仿宋" w:eastAsia="方正仿宋_GBK" w:cs="仿宋"/>
                <w:color w:val="000000" w:themeColor="text1"/>
                <w:sz w:val="24"/>
                <w14:textFill>
                  <w14:solidFill>
                    <w14:schemeClr w14:val="tx1"/>
                  </w14:solidFill>
                </w14:textFill>
              </w:rPr>
              <w:t xml:space="preserve"> ）分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每高于评标基准价1%扣0.5分，偏离不足1%的，按照四舍五入计算得分。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每低于评标基准价1%扣0.3分，偏离不足1%的，按照四舍五入计算得分。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p>
        </w:tc>
      </w:tr>
    </w:tbl>
    <w:p>
      <w:pPr>
        <w:adjustRightInd w:val="0"/>
        <w:snapToGrid w:val="0"/>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202</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14:textFill>
            <w14:solidFill>
              <w14:schemeClr w14:val="tx1"/>
            </w14:solidFill>
          </w14:textFill>
        </w:rPr>
        <w:t>在重庆机场集团有限公司官网发布。</w:t>
      </w:r>
    </w:p>
    <w:p>
      <w:pPr>
        <w:snapToGrid w:val="0"/>
        <w:spacing w:line="360" w:lineRule="auto"/>
        <w:ind w:firstLine="557"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5.1</w:t>
      </w:r>
      <w:bookmarkStart w:id="3" w:name="_Hlk83556547"/>
      <w:r>
        <w:rPr>
          <w:rFonts w:hint="eastAsia" w:ascii="方正仿宋_GBK" w:hAnsi="仿宋" w:eastAsia="方正仿宋_GBK" w:cs="仿宋"/>
          <w:color w:val="000000" w:themeColor="text1"/>
          <w:kern w:val="0"/>
          <w:sz w:val="28"/>
          <w:szCs w:val="28"/>
          <w14:textFill>
            <w14:solidFill>
              <w14:schemeClr w14:val="tx1"/>
            </w14:solidFill>
          </w14:textFill>
        </w:rPr>
        <w:t>项目比选响应保证金：项目比选响应保证金收取</w:t>
      </w:r>
      <w:r>
        <w:rPr>
          <w:rFonts w:ascii="方正仿宋_GBK" w:hAnsi="仿宋" w:eastAsia="方正仿宋_GBK" w:cs="仿宋"/>
          <w:color w:val="000000" w:themeColor="text1"/>
          <w:kern w:val="0"/>
          <w:sz w:val="28"/>
          <w:szCs w:val="28"/>
          <w14:textFill>
            <w14:solidFill>
              <w14:schemeClr w14:val="tx1"/>
            </w14:solidFill>
          </w14:textFill>
        </w:rPr>
        <w:t>5000</w:t>
      </w:r>
      <w:r>
        <w:rPr>
          <w:rFonts w:hint="eastAsia" w:ascii="方正仿宋_GBK" w:hAnsi="仿宋" w:eastAsia="方正仿宋_GBK" w:cs="仿宋"/>
          <w:color w:val="000000" w:themeColor="text1"/>
          <w:kern w:val="0"/>
          <w:sz w:val="28"/>
          <w:szCs w:val="28"/>
          <w14:textFill>
            <w14:solidFill>
              <w14:schemeClr w14:val="tx1"/>
            </w14:solidFill>
          </w14:textFill>
        </w:rPr>
        <w:t>元，</w:t>
      </w:r>
      <w:bookmarkEnd w:id="3"/>
      <w:r>
        <w:rPr>
          <w:rFonts w:hint="eastAsia" w:ascii="方正仿宋_GBK" w:hAnsi="仿宋" w:eastAsia="方正仿宋_GBK" w:cs="仿宋"/>
          <w:color w:val="000000" w:themeColor="text1"/>
          <w:kern w:val="0"/>
          <w:sz w:val="28"/>
          <w:szCs w:val="28"/>
          <w14:textFill>
            <w14:solidFill>
              <w14:schemeClr w14:val="tx1"/>
            </w14:solidFill>
          </w14:textFill>
        </w:rPr>
        <w:t>约为合同不含税总结款的</w:t>
      </w:r>
      <w:r>
        <w:rPr>
          <w:rFonts w:ascii="方正仿宋_GBK" w:hAnsi="仿宋" w:eastAsia="方正仿宋_GBK" w:cs="仿宋"/>
          <w:color w:val="000000" w:themeColor="text1"/>
          <w:kern w:val="0"/>
          <w:sz w:val="28"/>
          <w:szCs w:val="28"/>
          <w14:textFill>
            <w14:solidFill>
              <w14:schemeClr w14:val="tx1"/>
            </w14:solidFill>
          </w14:textFill>
        </w:rPr>
        <w:t>5</w:t>
      </w:r>
      <w:r>
        <w:rPr>
          <w:rFonts w:hint="eastAsia" w:ascii="方正仿宋_GBK" w:hAnsi="仿宋" w:eastAsia="方正仿宋_GBK" w:cs="仿宋"/>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开户账号：5000 1083 8000 5000 0397</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5</w:t>
      </w:r>
      <w:r>
        <w:rPr>
          <w:rFonts w:ascii="方正仿宋_GBK" w:hAnsi="仿宋" w:eastAsia="方正仿宋_GBK" w:cs="仿宋"/>
          <w:color w:val="000000" w:themeColor="text1"/>
          <w:sz w:val="28"/>
          <w:szCs w:val="28"/>
          <w14:textFill>
            <w14:solidFill>
              <w14:schemeClr w14:val="tx1"/>
            </w14:solidFill>
          </w14:textFill>
        </w:rPr>
        <w:t>.1.1</w:t>
      </w:r>
      <w:r>
        <w:rPr>
          <w:rFonts w:hint="eastAsia" w:ascii="方正仿宋_GBK" w:hAnsi="仿宋" w:eastAsia="方正仿宋_GBK" w:cs="仿宋"/>
          <w:color w:val="000000" w:themeColor="text1"/>
          <w:sz w:val="28"/>
          <w:szCs w:val="28"/>
          <w14:textFill>
            <w14:solidFill>
              <w14:schemeClr w14:val="tx1"/>
            </w14:solidFill>
          </w14:textFill>
        </w:rPr>
        <w:t>招标人应当在法定时间内确定中标人。招标人应当在比选通知书发出后15个工作日内，向除中选人以外的比选响应人，退还项目比选保证金。</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5.2履约保证金：履约保证金收取</w:t>
      </w:r>
      <w:r>
        <w:rPr>
          <w:rFonts w:ascii="方正仿宋_GBK" w:hAnsi="仿宋" w:eastAsia="方正仿宋_GBK" w:cs="仿宋"/>
          <w:color w:val="000000" w:themeColor="text1"/>
          <w:sz w:val="28"/>
          <w:szCs w:val="28"/>
          <w14:textFill>
            <w14:solidFill>
              <w14:schemeClr w14:val="tx1"/>
            </w14:solidFill>
          </w14:textFill>
        </w:rPr>
        <w:t>10000</w:t>
      </w:r>
      <w:r>
        <w:rPr>
          <w:rFonts w:hint="eastAsia" w:ascii="方正仿宋_GBK" w:hAnsi="仿宋" w:eastAsia="方正仿宋_GBK" w:cs="仿宋"/>
          <w:color w:val="000000" w:themeColor="text1"/>
          <w:sz w:val="28"/>
          <w:szCs w:val="28"/>
          <w14:textFill>
            <w14:solidFill>
              <w14:schemeClr w14:val="tx1"/>
            </w14:solidFill>
          </w14:textFill>
        </w:rPr>
        <w:t>元，履约保证金为合同不含税总价款的</w:t>
      </w:r>
      <w:r>
        <w:rPr>
          <w:rFonts w:ascii="方正仿宋_GBK" w:hAnsi="仿宋" w:eastAsia="方正仿宋_GBK" w:cs="仿宋"/>
          <w:color w:val="000000" w:themeColor="text1"/>
          <w:sz w:val="28"/>
          <w:szCs w:val="28"/>
          <w14:textFill>
            <w14:solidFill>
              <w14:schemeClr w14:val="tx1"/>
            </w14:solidFill>
          </w14:textFill>
        </w:rPr>
        <w:t>10</w:t>
      </w:r>
      <w:r>
        <w:rPr>
          <w:rFonts w:hint="eastAsia" w:ascii="方正仿宋_GBK" w:hAnsi="仿宋" w:eastAsia="方正仿宋_GBK" w:cs="仿宋"/>
          <w:color w:val="000000" w:themeColor="text1"/>
          <w:sz w:val="28"/>
          <w:szCs w:val="28"/>
          <w14:textFill>
            <w14:solidFill>
              <w14:schemeClr w14:val="tx1"/>
            </w14:solidFill>
          </w14:textFill>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w:t>
      </w:r>
      <w:r>
        <w:rPr>
          <w:rFonts w:hint="eastAsia" w:ascii="方正仿宋_GBK" w:hAnsi="方正仿宋_GBK" w:eastAsia="方正仿宋_GBK" w:cs="方正仿宋_GBK"/>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6.1</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6</w:t>
      </w:r>
      <w:r>
        <w:rPr>
          <w:rFonts w:ascii="仿宋" w:hAnsi="仿宋" w:eastAsia="仿宋" w:cs="方正仿宋_GBK"/>
          <w:color w:val="000000" w:themeColor="text1"/>
          <w:sz w:val="28"/>
          <w:szCs w:val="28"/>
          <w14:textFill>
            <w14:solidFill>
              <w14:schemeClr w14:val="tx1"/>
            </w14:solidFill>
          </w14:textFill>
        </w:rPr>
        <w:t>.2</w:t>
      </w:r>
      <w:r>
        <w:rPr>
          <w:rFonts w:hint="eastAsia" w:ascii="仿宋" w:hAnsi="仿宋" w:eastAsia="仿宋" w:cs="方正仿宋_GBK"/>
          <w:color w:val="000000" w:themeColor="text1"/>
          <w:sz w:val="28"/>
          <w:szCs w:val="28"/>
          <w14:textFill>
            <w14:solidFill>
              <w14:schemeClr w14:val="tx1"/>
            </w14:solidFill>
          </w14:textFill>
        </w:rPr>
        <w:t>本项目不付预付款。安装完成验收合格，且甲方收到乙方提供的增值税发票后，甲方20个工作日内支付97%项目款。质保期结束后无质量问题后支付剩下3%的项目款。乙方开具增值税专用发票，则甲方支付不含增值税合同金额和税额的总金额。</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6.3.1</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6.3.2</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6.3.3</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6.4</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w:t>
      </w:r>
      <w:r>
        <w:rPr>
          <w:rFonts w:ascii="方正仿宋_GBK" w:hAnsi="方正仿宋_GBK" w:eastAsia="方正仿宋_GBK" w:cs="方正仿宋_GBK"/>
          <w:color w:val="000000" w:themeColor="text1"/>
          <w:sz w:val="28"/>
          <w:szCs w:val="28"/>
          <w14:textFill>
            <w14:solidFill>
              <w14:schemeClr w14:val="tx1"/>
            </w14:solidFill>
          </w14:textFill>
        </w:rPr>
        <w:t>45</w:t>
      </w:r>
      <w:r>
        <w:rPr>
          <w:rFonts w:hint="eastAsia" w:ascii="方正仿宋_GBK" w:hAnsi="方正仿宋_GBK" w:eastAsia="方正仿宋_GBK" w:cs="方正仿宋_GBK"/>
          <w:color w:val="000000" w:themeColor="text1"/>
          <w:sz w:val="28"/>
          <w:szCs w:val="28"/>
          <w14:textFill>
            <w14:solidFill>
              <w14:schemeClr w14:val="tx1"/>
            </w14:solidFill>
          </w14:textFill>
        </w:rPr>
        <w:t>天内完成维修工作。本项目质保期2年，自竣工验收合格之日起。</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九、比选响应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比选响应方</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.2.1封面。</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2.2加盖公章的报价函及声明（格式按附件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人应按照比选采购文件要求（响应文件格式五：项目采购需求表/明细表）报出拟提供供货物材质、规格型号、综合单价、总价等详细内容，各项报价应包括拟提供货物的设计、样品、运输、人工费、保险费、税费、工具材料费等完成本项目所需的全部费用，报价为不含税报价，增值税税率单列。（格式按附件2）</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详细的施工作业方案、施工工艺流程及安全文明施工防护措施。如果提供的材料和服务与比选采购文件要求有偏差，必须详细说明，须经比选小组评定和采购人许可，才能作为供应商实质性响应。如果提供的材料和服务与比选采购文件要求有偏差，必须详细说明，须经比选小组评定和采购人许可，才能作为供应商实质性响应。（格式自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商务部分。主要包括三证合一的营业执照（复印件）、法人代表委托书（原件）、信誉要求证明、其它资格证明（如企业资信证明、质量体系认证等）以及服务承诺等。（格式自拟）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.2.6</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比选响应文件一式2份，其中正本1份，副本1份；电子比选响应文件（盖章后的扫描件）须在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ascii="方正仿宋_GBK" w:hAnsi="方正仿宋_GBK" w:eastAsia="方正仿宋_GBK" w:cs="方正仿宋_GBK"/>
          <w:color w:val="000000" w:themeColor="text1"/>
          <w:sz w:val="28"/>
          <w:szCs w:val="28"/>
          <w:u w:val="single"/>
          <w14:textFill>
            <w14:solidFill>
              <w14:schemeClr w14:val="tx1"/>
            </w14:solidFill>
          </w14:textFill>
        </w:rPr>
        <w:t>202</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 xml:space="preserve"> 2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 xml:space="preserve"> 25</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比选</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十二、监督部门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25</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u w:val="single"/>
          <w:lang w:eastAsia="zh-CN"/>
          <w14:textFill>
            <w14:solidFill>
              <w14:schemeClr w14:val="tx1"/>
            </w14:solidFill>
          </w14:textFill>
        </w:rPr>
        <w:t>下午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14:30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到重庆空港贵宾服务有限公司（</w:t>
      </w:r>
      <w:r>
        <w:rPr>
          <w:rFonts w:hint="eastAsia" w:ascii="方正仿宋_GBK" w:hAnsi="方正仿宋_GBK" w:eastAsia="方正仿宋_GBK" w:cs="方正仿宋_GBK"/>
          <w:color w:val="000000" w:themeColor="text1"/>
          <w:sz w:val="28"/>
          <w:szCs w:val="28"/>
          <w14:textFill>
            <w14:solidFill>
              <w14:schemeClr w14:val="tx1"/>
            </w14:solidFill>
          </w14:textFill>
        </w:rPr>
        <w:t>护宾</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楼</w:t>
      </w:r>
      <w:r>
        <w:rPr>
          <w:rFonts w:hint="eastAsia" w:ascii="方正仿宋_GBK" w:hAnsi="方正仿宋_GBK" w:eastAsia="方正仿宋_GBK" w:cs="方正仿宋_GBK"/>
          <w:color w:val="000000" w:themeColor="text1"/>
          <w:sz w:val="28"/>
          <w:szCs w:val="28"/>
          <w14:textFill>
            <w14:solidFill>
              <w14:schemeClr w14:val="tx1"/>
            </w14:solidFill>
          </w14:textFill>
        </w:rPr>
        <w:t>305</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室），过</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13.2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25</w:t>
      </w:r>
      <w:bookmarkStart w:id="4" w:name="_GoBack"/>
      <w:bookmarkEnd w:id="4"/>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lang w:eastAsia="zh-CN"/>
          <w14:textFill>
            <w14:solidFill>
              <w14:schemeClr w14:val="tx1"/>
            </w14:solidFill>
          </w14:textFill>
        </w:rPr>
        <w:t>下午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305</w:t>
      </w:r>
      <w:r>
        <w:rPr>
          <w:rFonts w:hint="eastAsia" w:ascii="方正仿宋_GBK" w:hAnsi="方正仿宋_GBK" w:eastAsia="方正仿宋_GBK" w:cs="方正仿宋_GBK"/>
          <w:color w:val="000000" w:themeColor="text1"/>
          <w:sz w:val="28"/>
          <w:szCs w:val="28"/>
          <w14:textFill>
            <w14:solidFill>
              <w14:schemeClr w14:val="tx1"/>
            </w14:solidFill>
          </w14:textFill>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13.4 比选结果通知：待结果确定后会及时通知，原则上只通知被选中的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不通知、不解释。</w:t>
      </w:r>
    </w:p>
    <w:p>
      <w:pPr>
        <w:snapToGrid w:val="0"/>
        <w:spacing w:line="360" w:lineRule="auto"/>
        <w:ind w:firstLine="551"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十四、联系方式</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ind w:firstLine="539"/>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邮编：401120</w:t>
      </w: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1804"/>
        <w:rPr>
          <w:color w:val="000000" w:themeColor="text1"/>
          <w14:textFill>
            <w14:solidFill>
              <w14:schemeClr w14:val="tx1"/>
            </w14:solidFill>
          </w14:textFill>
        </w:rPr>
      </w:pPr>
    </w:p>
    <w:p>
      <w:pPr>
        <w:spacing w:after="156" w:afterLines="50"/>
        <w:ind w:right="1804"/>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firstLine="422"/>
        <w:jc w:val="center"/>
        <w:rPr>
          <w:rFonts w:hint="default" w:ascii="仿宋" w:eastAsia="仿宋"/>
          <w:b/>
          <w:color w:val="000000" w:themeColor="text1"/>
          <w:lang w:val="en-US" w:eastAsia="zh-CN"/>
          <w14:textFill>
            <w14:solidFill>
              <w14:schemeClr w14:val="tx1"/>
            </w14:solidFill>
          </w14:textFill>
        </w:rPr>
      </w:pPr>
      <w:r>
        <w:rPr>
          <w:rFonts w:hint="eastAsia" w:ascii="黑体" w:hAnsi="黑体" w:eastAsia="黑体"/>
          <w:color w:val="000000" w:themeColor="text1"/>
          <w:sz w:val="24"/>
          <w:lang w:val="en-US" w:eastAsia="zh-CN"/>
          <w14:textFill>
            <w14:solidFill>
              <w14:schemeClr w14:val="tx1"/>
            </w14:solidFill>
          </w14:textFill>
        </w:rPr>
        <w:t xml:space="preserve">                                               CQGB采购：</w:t>
      </w: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mc:AlternateContent>
          <mc:Choice Requires="wps">
            <w:drawing>
              <wp:anchor distT="0" distB="0" distL="114300" distR="114300" simplePos="0" relativeHeight="251653120"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312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1840" w:firstLineChars="354"/>
        <w:rPr>
          <w:rFonts w:ascii="黑体" w:hAnsi="黑体" w:eastAsia="黑体" w:cstheme="minorBidi"/>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厅房维修项目承包合同</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Theme="minorHAnsi" w:hAnsiTheme="minorHAnsi" w:eastAsiaTheme="minorEastAsia"/>
          <w:color w:val="000000" w:themeColor="text1"/>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5414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lang w:eastAsia="zh-CN"/>
          <w14:textFill>
            <w14:solidFill>
              <w14:schemeClr w14:val="tx1"/>
            </w14:solidFill>
          </w14:textFill>
        </w:rPr>
        <w:t>甲</w:t>
      </w:r>
      <w:r>
        <w:rPr>
          <w:rFonts w:hint="eastAsia" w:ascii="黑体" w:eastAsia="黑体"/>
          <w:color w:val="000000" w:themeColor="text1"/>
          <w:sz w:val="36"/>
          <w:szCs w:val="36"/>
          <w14:textFill>
            <w14:solidFill>
              <w14:schemeClr w14:val="tx1"/>
            </w14:solidFill>
          </w14:textFill>
        </w:rPr>
        <w:t>方：</w:t>
      </w:r>
      <w:r>
        <w:rPr>
          <w:rFonts w:hint="eastAsia" w:ascii="黑体" w:eastAsia="黑体"/>
          <w:color w:val="000000" w:themeColor="text1"/>
          <w:sz w:val="36"/>
          <w:szCs w:val="36"/>
          <w:u w:val="single"/>
          <w14:textFill>
            <w14:solidFill>
              <w14:schemeClr w14:val="tx1"/>
            </w14:solidFill>
          </w14:textFill>
        </w:rPr>
        <w:t>重庆空港贵宾服务有限公司</w: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ind w:firstLine="1440" w:firstLineChars="400"/>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lang w:eastAsia="zh-CN"/>
          <w14:textFill>
            <w14:solidFill>
              <w14:schemeClr w14:val="tx1"/>
            </w14:solidFill>
          </w14:textFill>
        </w:rPr>
        <w:t>乙</w:t>
      </w:r>
      <w:r>
        <w:rPr>
          <w:rFonts w:hint="eastAsia" w:ascii="黑体" w:eastAsia="黑体"/>
          <w:color w:val="000000" w:themeColor="text1"/>
          <w:sz w:val="36"/>
          <w:szCs w:val="36"/>
          <w14:textFill>
            <w14:solidFill>
              <w14:schemeClr w14:val="tx1"/>
            </w14:solidFill>
          </w14:textFill>
        </w:rPr>
        <w:t>方：</w:t>
      </w:r>
      <w:r>
        <w:rPr>
          <w:rFonts w:hint="eastAsia" w:ascii="黑体" w:eastAsia="黑体"/>
          <w:color w:val="000000" w:themeColor="text1"/>
          <w:sz w:val="36"/>
          <w:szCs w:val="36"/>
          <w:u w:val="single"/>
          <w14:textFill>
            <w14:solidFill>
              <w14:schemeClr w14:val="tx1"/>
            </w14:solidFill>
          </w14:textFill>
        </w:rPr>
        <w:t xml:space="preserve">       </w:t>
      </w:r>
      <w:r>
        <w:rPr>
          <w:rFonts w:ascii="黑体" w:eastAsia="黑体"/>
          <w:color w:val="000000" w:themeColor="text1"/>
          <w:sz w:val="36"/>
          <w:szCs w:val="36"/>
          <w:u w:val="single"/>
          <w14:textFill>
            <w14:solidFill>
              <w14:schemeClr w14:val="tx1"/>
            </w14:solidFill>
          </w14:textFill>
        </w:rPr>
        <w:t xml:space="preserve">  </w:t>
      </w:r>
      <w:r>
        <w:rPr>
          <w:rFonts w:hint="eastAsia" w:ascii="黑体" w:eastAsia="黑体"/>
          <w:color w:val="000000" w:themeColor="text1"/>
          <w:sz w:val="36"/>
          <w:szCs w:val="36"/>
          <w:u w:val="single"/>
          <w14:textFill>
            <w14:solidFill>
              <w14:schemeClr w14:val="tx1"/>
            </w14:solidFill>
          </w14:textFill>
        </w:rPr>
        <w:t xml:space="preserve">    </w:t>
      </w:r>
      <w:r>
        <w:rPr>
          <w:rFonts w:ascii="黑体" w:eastAsia="黑体"/>
          <w:color w:val="000000" w:themeColor="text1"/>
          <w:sz w:val="36"/>
          <w:szCs w:val="36"/>
          <w:u w:val="single"/>
          <w14:textFill>
            <w14:solidFill>
              <w14:schemeClr w14:val="tx1"/>
            </w14:solidFill>
          </w14:textFill>
        </w:rPr>
        <w:t xml:space="preserve">  </w:t>
      </w:r>
      <w:r>
        <w:rPr>
          <w:rFonts w:hint="eastAsia" w:ascii="黑体" w:eastAsia="黑体"/>
          <w:color w:val="000000" w:themeColor="text1"/>
          <w:sz w:val="36"/>
          <w:szCs w:val="36"/>
          <w:u w:val="single"/>
          <w14:textFill>
            <w14:solidFill>
              <w14:schemeClr w14:val="tx1"/>
            </w14:solidFill>
          </w14:textFill>
        </w:rPr>
        <w:t xml:space="preserve">         </w:t>
      </w:r>
    </w:p>
    <w:p>
      <w:pPr>
        <w:widowControl/>
        <w:ind w:firstLine="643"/>
        <w:jc w:val="left"/>
        <w:rPr>
          <w:rFonts w:ascii="黑体" w:hAnsi="黑体" w:eastAsia="黑体"/>
          <w:b/>
          <w:bCs/>
          <w:color w:val="000000" w:themeColor="text1"/>
          <w:sz w:val="32"/>
          <w:szCs w:val="32"/>
          <w14:textFill>
            <w14:solidFill>
              <w14:schemeClr w14:val="tx1"/>
            </w14:solidFill>
          </w14:textFill>
        </w:rPr>
      </w:pPr>
    </w:p>
    <w:p>
      <w:pPr>
        <w:ind w:firstLine="600"/>
        <w:rPr>
          <w:color w:val="000000" w:themeColor="text1"/>
          <w14:textFill>
            <w14:solidFill>
              <w14:schemeClr w14:val="tx1"/>
            </w14:solidFill>
          </w14:textFill>
        </w:rPr>
      </w:pPr>
    </w:p>
    <w:p>
      <w:pPr>
        <w:tabs>
          <w:tab w:val="right" w:pos="7700"/>
        </w:tabs>
        <w:jc w:val="left"/>
        <w:rPr>
          <w:rFonts w:ascii="宋体" w:hAnsi="宋体"/>
          <w:bCs/>
          <w:color w:val="000000" w:themeColor="text1"/>
          <w:sz w:val="28"/>
          <w:szCs w:val="28"/>
          <w14:textFill>
            <w14:solidFill>
              <w14:schemeClr w14:val="tx1"/>
            </w14:solidFill>
          </w14:textFill>
        </w:rPr>
      </w:pPr>
    </w:p>
    <w:p>
      <w:pPr>
        <w:rPr>
          <w:rFonts w:hint="eastAsia" w:ascii="宋体" w:hAnsi="宋体"/>
          <w:bCs/>
          <w:color w:val="000000" w:themeColor="text1"/>
          <w:sz w:val="28"/>
          <w:szCs w:val="28"/>
          <w14:textFill>
            <w14:solidFill>
              <w14:schemeClr w14:val="tx1"/>
            </w14:solidFill>
          </w14:textFill>
        </w:rPr>
      </w:pPr>
    </w:p>
    <w:p>
      <w:pPr>
        <w:rPr>
          <w:rFonts w:hint="eastAsia"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甲方:重庆空港贵宾服务有限公司</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统一社会信用代码：</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通讯地址：</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法定代表人或委托代理人：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邮政编码：                        </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联系电话：</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邮箱地址：</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开户银行：</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开户名称：</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账号：</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乙方：</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统一社会信用代码：</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通讯地址：</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法定代表人或委托代理人：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邮政编码：</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联系电话：</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邮箱地址：</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依照《中华人民共和国民法典》等有关法律、法规，就乙方承包T3A航站楼要客服务T</w:t>
      </w:r>
      <w:r>
        <w:rPr>
          <w:rFonts w:ascii="宋体" w:hAnsi="宋体"/>
          <w:bCs/>
          <w:color w:val="000000" w:themeColor="text1"/>
          <w:sz w:val="28"/>
          <w:szCs w:val="28"/>
          <w14:textFill>
            <w14:solidFill>
              <w14:schemeClr w14:val="tx1"/>
            </w14:solidFill>
          </w14:textFill>
        </w:rPr>
        <w:t>3</w:t>
      </w:r>
      <w:r>
        <w:rPr>
          <w:rFonts w:hint="eastAsia" w:ascii="宋体" w:hAnsi="宋体"/>
          <w:bCs/>
          <w:color w:val="000000" w:themeColor="text1"/>
          <w:sz w:val="28"/>
          <w:szCs w:val="28"/>
          <w14:textFill>
            <w14:solidFill>
              <w14:schemeClr w14:val="tx1"/>
            </w14:solidFill>
          </w14:textFill>
        </w:rPr>
        <w:t>B区26、27号厅吊顶、木饰面装饰、木门等事宜（以下称项目），双方经充分平等协商，达成本协议。</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第一条 项目名称</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维修T</w:t>
      </w:r>
      <w:r>
        <w:rPr>
          <w:rFonts w:ascii="宋体" w:hAnsi="宋体"/>
          <w:bCs/>
          <w:color w:val="000000" w:themeColor="text1"/>
          <w:sz w:val="28"/>
          <w:szCs w:val="28"/>
          <w14:textFill>
            <w14:solidFill>
              <w14:schemeClr w14:val="tx1"/>
            </w14:solidFill>
          </w14:textFill>
        </w:rPr>
        <w:t>3A</w:t>
      </w:r>
      <w:r>
        <w:rPr>
          <w:rFonts w:hint="eastAsia" w:ascii="宋体" w:hAnsi="宋体"/>
          <w:bCs/>
          <w:color w:val="000000" w:themeColor="text1"/>
          <w:sz w:val="28"/>
          <w:szCs w:val="28"/>
          <w14:textFill>
            <w14:solidFill>
              <w14:schemeClr w14:val="tx1"/>
            </w14:solidFill>
          </w14:textFill>
        </w:rPr>
        <w:t>航站楼要客服务T</w:t>
      </w:r>
      <w:r>
        <w:rPr>
          <w:rFonts w:ascii="宋体" w:hAnsi="宋体"/>
          <w:bCs/>
          <w:color w:val="000000" w:themeColor="text1"/>
          <w:sz w:val="28"/>
          <w:szCs w:val="28"/>
          <w14:textFill>
            <w14:solidFill>
              <w14:schemeClr w14:val="tx1"/>
            </w14:solidFill>
          </w14:textFill>
        </w:rPr>
        <w:t>3B</w:t>
      </w:r>
      <w:r>
        <w:rPr>
          <w:rFonts w:hint="eastAsia" w:ascii="宋体" w:hAnsi="宋体"/>
          <w:bCs/>
          <w:color w:val="000000" w:themeColor="text1"/>
          <w:sz w:val="28"/>
          <w:szCs w:val="28"/>
          <w14:textFill>
            <w14:solidFill>
              <w14:schemeClr w14:val="tx1"/>
            </w14:solidFill>
          </w14:textFill>
        </w:rPr>
        <w:t>区2</w:t>
      </w:r>
      <w:r>
        <w:rPr>
          <w:rFonts w:ascii="宋体" w:hAnsi="宋体"/>
          <w:bCs/>
          <w:color w:val="000000" w:themeColor="text1"/>
          <w:sz w:val="28"/>
          <w:szCs w:val="28"/>
          <w14:textFill>
            <w14:solidFill>
              <w14:schemeClr w14:val="tx1"/>
            </w14:solidFill>
          </w14:textFill>
        </w:rPr>
        <w:t>6</w:t>
      </w:r>
      <w:r>
        <w:rPr>
          <w:rFonts w:hint="eastAsia" w:ascii="宋体" w:hAnsi="宋体"/>
          <w:bCs/>
          <w:color w:val="000000" w:themeColor="text1"/>
          <w:sz w:val="28"/>
          <w:szCs w:val="28"/>
          <w14:textFill>
            <w14:solidFill>
              <w14:schemeClr w14:val="tx1"/>
            </w14:solidFill>
          </w14:textFill>
        </w:rPr>
        <w:t>、</w:t>
      </w:r>
      <w:r>
        <w:rPr>
          <w:rFonts w:ascii="宋体" w:hAnsi="宋体"/>
          <w:bCs/>
          <w:color w:val="000000" w:themeColor="text1"/>
          <w:sz w:val="28"/>
          <w:szCs w:val="28"/>
          <w14:textFill>
            <w14:solidFill>
              <w14:schemeClr w14:val="tx1"/>
            </w14:solidFill>
          </w14:textFill>
        </w:rPr>
        <w:t>27</w:t>
      </w:r>
      <w:r>
        <w:rPr>
          <w:rFonts w:hint="eastAsia" w:ascii="宋体" w:hAnsi="宋体"/>
          <w:bCs/>
          <w:color w:val="000000" w:themeColor="text1"/>
          <w:sz w:val="28"/>
          <w:szCs w:val="28"/>
          <w14:textFill>
            <w14:solidFill>
              <w14:schemeClr w14:val="tx1"/>
            </w14:solidFill>
          </w14:textFill>
        </w:rPr>
        <w:t>号厅吊顶、木饰面装饰、木门等项目。</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第二条 项目地点</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重庆江北国际机场T3A航站楼内。</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第三条 项目内容和范围</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3.1项目概况</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T3A航站楼B要客区对原花梨木饰面板发霉、破损约85平方米进行更换，2樘花梨木双开门发霉、破损进行更换。</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（1）材质质量要求：更换新的花梨木饰面板和花梨木双开门必须与现在已有的花梨木饰面板和花梨木双开门的材质、规格、颜色、花纹一致。</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（2）安装施工质量要求：符合国家和重庆市现行的有关施工质量验收规范要求，并达到合格标准。</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（3）其他要求：</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（A）乙方应为作业场地及其周边现有的设施和建筑物提供足够的临时保护措施，确保作业过程中这些设施和建筑物不会受到污染和破坏。</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B）乙方完成所安装施工作业验收并合格后，应立即按以下要求对作业场地进行清理：从作业场地清除所有杂物和垃圾等；从作业场地现场拆除所有的临时项目和临时设施并恢复原状；撤离所有作业设备和剩余材料。</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C）施工的时间为每晚航班结束后至第二天航班开始的时间段，当晚施工完成后，必须把施工产生的垃圾清理干净，并做好施工区域的清洁卫生，不能影响第二天的正常营业。施工区域不能堆放任何材料和机具。</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第四条 项目工期</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4.1本项目工期为：签订合同后 30 个日历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第五条 质量保证</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5.1项目质量保证期为： 2 年，自项目验收合格之日起算，质保期内出现与本项目有关或本项目引起的故障或异常，在接到甲方通知后，乙方需派专业技术人员在 6 小时内赶到现场处理，若未及时响应，每次扣尾款的 5 %,扣完为止。</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第六条 合同价款</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合同金额（不含增值税）：   元（大写：                      ）；含税金额：   元（大写：               ）,增值税税率为  %。本合同价格为 “总价包干”，包括但不限于材料购买、人工、运输、保险、风险措施费用等一切与项目内容相关的费用。</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第七条 付款方式</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7.1项目完工验收合格后，乙方向甲方开具合同金额的正规增值税发票。甲方在收到增值税发票后30个工作日内，向乙方支付合同价款的97％，剩余3％的余款在质量保证期届满且无问题后30个工作日内无息支付。</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7.2 乙方需向甲方提供正规增值税发票，如果乙方提供增值税普通发票，甲方支付金额为不含增值税金额；如果乙方提供增值税专用发票，甲方支付金额=不含增值税金额+增值税税额。如税率发生国家法规调整，折算为不含税价后以新使用税率结算。</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7.3 支付方式：银行转账或开具银行承兑汇票。</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7.4 乙方帐户信息：</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开户行：</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账号：</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户名：</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第八条 承包要求</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8.1乙方工作时间的要求：本项目作业安排为航站楼航班结束后施工，每日具体施工时间因根据甲方不停航要求确定。若遇应急情况，无条件服从甲方安排暂停施工，并协助甲方做好临时场地恢复，确保生产正常运行。因甲方原因造成的停工，工期顺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8.2项目所需材料的提供和使用由乙方负责。</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8.3未经甲方书面同意，乙方不得擅自改变合同约定材料，也不得转包、分包。</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第九条 合同文件的优先顺序</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组成合同的各项文件应互相解释，互为说明。除合同条款另有约定外，解释合同文件的优先顺序如下：</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（1）本合同协议书及附件；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（2）成交通知书；</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（3）投标人提交的比选响应文件及澄清答疑文件；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（4）采购人发布的比选文件及澄清答疑文件；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（5）技术标准和要求；</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（6）已标价维修量清单；</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（7）其他合同文件。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上述各项合同文件包括合同当事人就该项合同文件所作出的补充和修改，属于同一类内容的文件，应以最新签署的为准。</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在合同订立及履行过程中形成的与合同有关的文件均构成合同文件组成部分，并根据其性质确定优先解释顺序。</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第十条  双方的权利与义务</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10.1甲方权责：</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10.1.1甲方负责按照约定的付款方式向乙方支付承揽费用。</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10.1.2对乙方实施监督，并有权对乙方提出意见和建议。</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10.1.3 对乙方的承揽工作提供必要的、合理的协助。</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10.1.4甲方有权从未付费用中抵扣相当于违约金和滞纳金数额的款项。</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10.2乙方权责：</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10.2.1服从甲方监督，遵守重庆江北国际机场空防安全的有关制度及重庆江北国际机场的相关规定。</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10.2.2负责组织该项目的实施，并负责项目实施中的一切施工安全、第三方安全、人身安全和消防安全。</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10.2.3遵守有关安全规则，负责现场人员安全，排除现场危险隐患，提供安全防护。</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10.2.4按期完工，提出验收申请，并参与成果验收工作。</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10.2.5在履行本合同的过程中乙方若造成乙方工作人员、甲方或第三方人身、财产损害的，乙方应承担全部责任。</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10.2.6严格执行施工规范、安全操作规程，防火、安全、环境保护规定。做好施工现场管理，施工现场应有安全负责人。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10.2.7保证施工现场的清洁，做好施工现场垃圾处理工作，做到日产日清，工完场清。采取有效环境保护措施，防止运输途中建渣遗洒，所产生的建筑垃圾必须按规定路线清运。</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10.2.8项目竣工未移交甲方之前负责对现场的一切设施和项目成品保护。</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10.2.9负责进场施工的一切证件办理，如施工许可证、人员通行证、动火证等。</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10.2.10保证作业人员必须持相应合格有效的操作证件。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10.2.11根据航站楼运行特点，组织人员作业，一般航班密集时不允许作业。</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第十一条 成果验收标准和方法</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项目完工后，由乙方向甲方提出验收申请，比选文件、比选响应文件以及本合同相关约定进行验收。</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第十二条 知识产权</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第十三条 违约责任</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13.1甲方未按本合同履约导致施工无法进行的，工期相应顺延。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13.2.项目验收不合格，乙方应负责无偿修理或返工。因修理或返工而造成的逾期验收的，按12.3条约定处理。</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13.3乙方不能按合同规定的工期完工，每逾期1天，应偿付给甲方按合同总额的万分之五的逾期违约金。逾期超过30天，甲方有权解除合同。</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13.4 乙方擅自改变材料或擅自转、分包的，甲方有权要求改正，并处合同总价款10%的违约金，乙方不能改正的，甲方有权解除合同。</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第十四条 争议解决方式</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若在合同履行过程中发生争议，甲乙双方应当友好协商解决，协商不成，按以下第（二）种方式解决：</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（一）提交重庆仲裁委员会，按照申请仲裁时该会现行有效的仲裁规则进行仲裁。</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（二）向甲方所在地有管辖权的人民法院起诉。</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第十五条 通知与送达</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15.1任何一方均应本着诚实信用原则来对待另一方在履行合同时的通知、告知事项，如因重大事项须履行通知义务的，均应当以当面签收或特快专递、电子邮件方式送达相对人。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15.2采用特快专递形式的，应按照双方在合同中确定的通讯地址以特快专递的形式通知相对人，一旦特快专递送达上述地址且经相对方签收的，即视为有效送达收件人。相对方签收的时间，即为送达时间。</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15.4任何一方的地址或电子邮件地址有变更时，须以书面形式通知对方，否则因地址或电子邮件地址变更发生而客观上不能送达或退件的情形亦视为送达收件人。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15.5收件一方若认为邮件封面标题与邮件中实际文件内容不符的，应在收到邮件后三日内通知相对人，逾期视为邮件封面标题与邮件中实际文件内容一致，并视为有效送达收件人。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15.7本合同约定的联系方式与送达方式同时可作为法律文书的联系方式与送达方式。</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第十六条 不可抗力</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第十七条 补充协议</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本合同履行过程中，如果合同履行条件发生变化，由双方进行协商，并以签订补充合同的方式加以确认，补充合同与本合同具有同等效力。</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如果补充协议条款与本合同条款产生冲突，以补充协议的条款为准。</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第十八条 保密条款</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第十九条 其他</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20.1本合同自双方法定代表人或委托代理人签字并加盖公司公章或合同专用章后生效。</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20.2本合同一式六份，正本二份，由甲乙双方各执一份，副本四份，由甲方执三份，乙方执一份，正副本均具同等法律效力。</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（以下无正文）</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甲方（盖章）：</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法定代表人或授权代表（签字）：</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签订日期：     年   月   日</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乙方（盖章）：</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法定代表人或授权代表（签字）：</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签订日期：     年   月   日</w:t>
      </w:r>
    </w:p>
    <w:p>
      <w:pPr>
        <w:rPr>
          <w:rFonts w:ascii="宋体" w:hAnsi="宋体"/>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签订地点：</w:t>
      </w: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的总报价、</w:t>
      </w:r>
      <w:r>
        <w:rPr>
          <w:rFonts w:hint="eastAsia" w:ascii="仿宋" w:hAnsi="仿宋" w:eastAsia="仿宋"/>
          <w:color w:val="000000" w:themeColor="text1"/>
          <w:sz w:val="28"/>
          <w:szCs w:val="28"/>
          <w:u w:val="single"/>
          <w14:textFill>
            <w14:solidFill>
              <w14:schemeClr w14:val="tx1"/>
            </w14:solidFill>
          </w14:textFill>
        </w:rPr>
        <w:t xml:space="preserve"> （大写）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的总报价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维修量清单计价（格式自理）</w:t>
      </w:r>
    </w:p>
    <w:p>
      <w:pPr>
        <w:widowControl/>
        <w:spacing w:line="360" w:lineRule="auto"/>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请充分考虑各项费用因素，包括所供设备费、不规则剪裁、安装费、售后服务费、税金等所有费用。报价一经报出，不得更改。</w:t>
      </w:r>
    </w:p>
    <w:p>
      <w:pPr>
        <w:widowControl/>
        <w:spacing w:line="360" w:lineRule="auto"/>
        <w:jc w:val="left"/>
        <w:rPr>
          <w:rFonts w:ascii="仿宋" w:hAnsi="仿宋" w:eastAsia="仿宋"/>
          <w:b/>
          <w:bCs/>
          <w:color w:val="000000" w:themeColor="text1"/>
          <w:sz w:val="28"/>
          <w:szCs w:val="28"/>
          <w14:textFill>
            <w14:solidFill>
              <w14:schemeClr w14:val="tx1"/>
            </w14:solidFill>
          </w14:textFill>
        </w:rPr>
      </w:pPr>
    </w:p>
    <w:p>
      <w:pPr>
        <w:widowControl/>
        <w:spacing w:line="360" w:lineRule="auto"/>
        <w:jc w:val="left"/>
        <w:rPr>
          <w:rFonts w:ascii="仿宋" w:hAnsi="仿宋" w:eastAsia="仿宋"/>
          <w:b/>
          <w:bCs/>
          <w:color w:val="000000" w:themeColor="text1"/>
          <w:sz w:val="28"/>
          <w:szCs w:val="28"/>
          <w14:textFill>
            <w14:solidFill>
              <w14:schemeClr w14:val="tx1"/>
            </w14:solidFill>
          </w14:textFill>
        </w:rPr>
      </w:pPr>
    </w:p>
    <w:p>
      <w:pPr>
        <w:widowControl/>
        <w:spacing w:line="360" w:lineRule="auto"/>
        <w:jc w:val="left"/>
        <w:rPr>
          <w:rFonts w:ascii="仿宋" w:hAnsi="仿宋" w:eastAsia="仿宋"/>
          <w:b/>
          <w:bCs/>
          <w:color w:val="000000" w:themeColor="text1"/>
          <w:sz w:val="28"/>
          <w:szCs w:val="28"/>
          <w14:textFill>
            <w14:solidFill>
              <w14:schemeClr w14:val="tx1"/>
            </w14:solidFill>
          </w14:textFill>
        </w:rPr>
      </w:pPr>
    </w:p>
    <w:p>
      <w:pPr>
        <w:widowControl/>
        <w:spacing w:line="360" w:lineRule="auto"/>
        <w:jc w:val="left"/>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078CC"/>
    <w:rsid w:val="00007CDD"/>
    <w:rsid w:val="00016964"/>
    <w:rsid w:val="000173C2"/>
    <w:rsid w:val="00017CC8"/>
    <w:rsid w:val="0002289E"/>
    <w:rsid w:val="00023008"/>
    <w:rsid w:val="00025AEC"/>
    <w:rsid w:val="000265C7"/>
    <w:rsid w:val="00031BB8"/>
    <w:rsid w:val="00032715"/>
    <w:rsid w:val="00035345"/>
    <w:rsid w:val="000371A2"/>
    <w:rsid w:val="0004258A"/>
    <w:rsid w:val="00043802"/>
    <w:rsid w:val="00044BB6"/>
    <w:rsid w:val="000461C4"/>
    <w:rsid w:val="00050D62"/>
    <w:rsid w:val="0005249A"/>
    <w:rsid w:val="00052866"/>
    <w:rsid w:val="0005588C"/>
    <w:rsid w:val="00056869"/>
    <w:rsid w:val="00060736"/>
    <w:rsid w:val="000611DA"/>
    <w:rsid w:val="000631F6"/>
    <w:rsid w:val="00063B34"/>
    <w:rsid w:val="00063CCA"/>
    <w:rsid w:val="0006769D"/>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333B"/>
    <w:rsid w:val="000C50F3"/>
    <w:rsid w:val="000D521A"/>
    <w:rsid w:val="000D5562"/>
    <w:rsid w:val="000E2F2F"/>
    <w:rsid w:val="000E5E1E"/>
    <w:rsid w:val="000F2CE5"/>
    <w:rsid w:val="000F3310"/>
    <w:rsid w:val="000F4A60"/>
    <w:rsid w:val="000F4E07"/>
    <w:rsid w:val="00103882"/>
    <w:rsid w:val="00106E21"/>
    <w:rsid w:val="001213C1"/>
    <w:rsid w:val="00126337"/>
    <w:rsid w:val="00126A08"/>
    <w:rsid w:val="00127577"/>
    <w:rsid w:val="00127708"/>
    <w:rsid w:val="0013184B"/>
    <w:rsid w:val="00136086"/>
    <w:rsid w:val="00140784"/>
    <w:rsid w:val="001421B8"/>
    <w:rsid w:val="001429B7"/>
    <w:rsid w:val="00146445"/>
    <w:rsid w:val="001505AE"/>
    <w:rsid w:val="00150869"/>
    <w:rsid w:val="00154FE5"/>
    <w:rsid w:val="001559E7"/>
    <w:rsid w:val="001563FB"/>
    <w:rsid w:val="0015736A"/>
    <w:rsid w:val="00163E7C"/>
    <w:rsid w:val="00180D31"/>
    <w:rsid w:val="00181249"/>
    <w:rsid w:val="00182F1E"/>
    <w:rsid w:val="001849E2"/>
    <w:rsid w:val="0018716E"/>
    <w:rsid w:val="0018776C"/>
    <w:rsid w:val="0019019A"/>
    <w:rsid w:val="00192AF6"/>
    <w:rsid w:val="0019568D"/>
    <w:rsid w:val="00196FD2"/>
    <w:rsid w:val="001A4615"/>
    <w:rsid w:val="001A69DC"/>
    <w:rsid w:val="001B5D9D"/>
    <w:rsid w:val="001B6BC7"/>
    <w:rsid w:val="001C1B58"/>
    <w:rsid w:val="001C452E"/>
    <w:rsid w:val="001D0060"/>
    <w:rsid w:val="001D6E8A"/>
    <w:rsid w:val="001E04F7"/>
    <w:rsid w:val="001E0DD3"/>
    <w:rsid w:val="001E7299"/>
    <w:rsid w:val="001F0559"/>
    <w:rsid w:val="001F2E0C"/>
    <w:rsid w:val="001F52E9"/>
    <w:rsid w:val="001F7E2E"/>
    <w:rsid w:val="00202EEA"/>
    <w:rsid w:val="002111D0"/>
    <w:rsid w:val="002146E5"/>
    <w:rsid w:val="002170C0"/>
    <w:rsid w:val="00221854"/>
    <w:rsid w:val="00223328"/>
    <w:rsid w:val="00224DEB"/>
    <w:rsid w:val="00230435"/>
    <w:rsid w:val="00231CCA"/>
    <w:rsid w:val="002334E4"/>
    <w:rsid w:val="002362BD"/>
    <w:rsid w:val="002369A5"/>
    <w:rsid w:val="00243A39"/>
    <w:rsid w:val="00255AAC"/>
    <w:rsid w:val="00264544"/>
    <w:rsid w:val="002655F7"/>
    <w:rsid w:val="00266533"/>
    <w:rsid w:val="0028006E"/>
    <w:rsid w:val="002834F6"/>
    <w:rsid w:val="00286275"/>
    <w:rsid w:val="00286536"/>
    <w:rsid w:val="00287E0A"/>
    <w:rsid w:val="002B3C2F"/>
    <w:rsid w:val="002B75E8"/>
    <w:rsid w:val="002C46DA"/>
    <w:rsid w:val="002C52F9"/>
    <w:rsid w:val="002D6F8E"/>
    <w:rsid w:val="002D7F2B"/>
    <w:rsid w:val="002E1E4B"/>
    <w:rsid w:val="002E3A24"/>
    <w:rsid w:val="002E5A0F"/>
    <w:rsid w:val="002E5FDE"/>
    <w:rsid w:val="002E6BE8"/>
    <w:rsid w:val="002E716F"/>
    <w:rsid w:val="002F5A5B"/>
    <w:rsid w:val="002F6E00"/>
    <w:rsid w:val="002F7CA1"/>
    <w:rsid w:val="002F7F31"/>
    <w:rsid w:val="00300C2A"/>
    <w:rsid w:val="0030127B"/>
    <w:rsid w:val="00306DDC"/>
    <w:rsid w:val="00311324"/>
    <w:rsid w:val="00317034"/>
    <w:rsid w:val="00317AD1"/>
    <w:rsid w:val="00321F95"/>
    <w:rsid w:val="00332769"/>
    <w:rsid w:val="00332BF8"/>
    <w:rsid w:val="00333793"/>
    <w:rsid w:val="00333BD0"/>
    <w:rsid w:val="00340E6F"/>
    <w:rsid w:val="0034710B"/>
    <w:rsid w:val="00347BDE"/>
    <w:rsid w:val="00351066"/>
    <w:rsid w:val="003534A4"/>
    <w:rsid w:val="0035797B"/>
    <w:rsid w:val="00357C50"/>
    <w:rsid w:val="00366333"/>
    <w:rsid w:val="00370602"/>
    <w:rsid w:val="003723A5"/>
    <w:rsid w:val="00374E67"/>
    <w:rsid w:val="003762C4"/>
    <w:rsid w:val="003840CF"/>
    <w:rsid w:val="00391B61"/>
    <w:rsid w:val="00391DBF"/>
    <w:rsid w:val="00392422"/>
    <w:rsid w:val="0039415B"/>
    <w:rsid w:val="00396376"/>
    <w:rsid w:val="003A2048"/>
    <w:rsid w:val="003A228A"/>
    <w:rsid w:val="003A2974"/>
    <w:rsid w:val="003A4373"/>
    <w:rsid w:val="003B0685"/>
    <w:rsid w:val="003B3EA4"/>
    <w:rsid w:val="003B7133"/>
    <w:rsid w:val="003B73E1"/>
    <w:rsid w:val="003B79B9"/>
    <w:rsid w:val="003C5AF2"/>
    <w:rsid w:val="003C7185"/>
    <w:rsid w:val="003C7AB6"/>
    <w:rsid w:val="003D6803"/>
    <w:rsid w:val="003E074E"/>
    <w:rsid w:val="003F167C"/>
    <w:rsid w:val="003F78CE"/>
    <w:rsid w:val="004019B2"/>
    <w:rsid w:val="00403BCB"/>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C85"/>
    <w:rsid w:val="004A743B"/>
    <w:rsid w:val="004B08AC"/>
    <w:rsid w:val="004B146A"/>
    <w:rsid w:val="004B3DF7"/>
    <w:rsid w:val="004B7D2E"/>
    <w:rsid w:val="004C0973"/>
    <w:rsid w:val="004D050B"/>
    <w:rsid w:val="004D79C1"/>
    <w:rsid w:val="004E45E3"/>
    <w:rsid w:val="004E5FA6"/>
    <w:rsid w:val="004F2FAB"/>
    <w:rsid w:val="004F303F"/>
    <w:rsid w:val="004F307F"/>
    <w:rsid w:val="004F3384"/>
    <w:rsid w:val="004F3F16"/>
    <w:rsid w:val="004F6B0B"/>
    <w:rsid w:val="00500A5C"/>
    <w:rsid w:val="00500BE2"/>
    <w:rsid w:val="00503E67"/>
    <w:rsid w:val="0051423E"/>
    <w:rsid w:val="0051620C"/>
    <w:rsid w:val="00520DBA"/>
    <w:rsid w:val="0052266E"/>
    <w:rsid w:val="00522678"/>
    <w:rsid w:val="00534EB0"/>
    <w:rsid w:val="00536394"/>
    <w:rsid w:val="00546661"/>
    <w:rsid w:val="00550189"/>
    <w:rsid w:val="00550BF1"/>
    <w:rsid w:val="00566ECB"/>
    <w:rsid w:val="0057122D"/>
    <w:rsid w:val="005766B4"/>
    <w:rsid w:val="0058393D"/>
    <w:rsid w:val="005863EB"/>
    <w:rsid w:val="00591811"/>
    <w:rsid w:val="0059795A"/>
    <w:rsid w:val="005B2C03"/>
    <w:rsid w:val="005B5E40"/>
    <w:rsid w:val="005B623B"/>
    <w:rsid w:val="005B6DF6"/>
    <w:rsid w:val="005B72F8"/>
    <w:rsid w:val="005C4CBA"/>
    <w:rsid w:val="005C7814"/>
    <w:rsid w:val="005C79AE"/>
    <w:rsid w:val="005E42CE"/>
    <w:rsid w:val="005E467A"/>
    <w:rsid w:val="005F4938"/>
    <w:rsid w:val="005F4A5B"/>
    <w:rsid w:val="006019BF"/>
    <w:rsid w:val="0060271B"/>
    <w:rsid w:val="006078C9"/>
    <w:rsid w:val="00610FB7"/>
    <w:rsid w:val="00610FBA"/>
    <w:rsid w:val="00614554"/>
    <w:rsid w:val="00622C32"/>
    <w:rsid w:val="00626931"/>
    <w:rsid w:val="00627460"/>
    <w:rsid w:val="006331B5"/>
    <w:rsid w:val="00643353"/>
    <w:rsid w:val="00644082"/>
    <w:rsid w:val="006448B9"/>
    <w:rsid w:val="00645A99"/>
    <w:rsid w:val="00646279"/>
    <w:rsid w:val="0064646F"/>
    <w:rsid w:val="0064740A"/>
    <w:rsid w:val="00653540"/>
    <w:rsid w:val="00657423"/>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2E45"/>
    <w:rsid w:val="006E55F4"/>
    <w:rsid w:val="006E67A6"/>
    <w:rsid w:val="006E6D83"/>
    <w:rsid w:val="006E7700"/>
    <w:rsid w:val="006E7EC8"/>
    <w:rsid w:val="006F0D23"/>
    <w:rsid w:val="006F573C"/>
    <w:rsid w:val="00701961"/>
    <w:rsid w:val="0070395B"/>
    <w:rsid w:val="007118BA"/>
    <w:rsid w:val="007208D7"/>
    <w:rsid w:val="00722EF1"/>
    <w:rsid w:val="00724BC0"/>
    <w:rsid w:val="007352C8"/>
    <w:rsid w:val="00736352"/>
    <w:rsid w:val="00740E5F"/>
    <w:rsid w:val="007540E5"/>
    <w:rsid w:val="0075447E"/>
    <w:rsid w:val="007544BD"/>
    <w:rsid w:val="00755CAB"/>
    <w:rsid w:val="00760A24"/>
    <w:rsid w:val="0076301C"/>
    <w:rsid w:val="00766B00"/>
    <w:rsid w:val="0077011C"/>
    <w:rsid w:val="0078149A"/>
    <w:rsid w:val="00783017"/>
    <w:rsid w:val="00783450"/>
    <w:rsid w:val="007872F8"/>
    <w:rsid w:val="00787C42"/>
    <w:rsid w:val="00790155"/>
    <w:rsid w:val="007950D5"/>
    <w:rsid w:val="00796ECC"/>
    <w:rsid w:val="007A23F4"/>
    <w:rsid w:val="007A25BA"/>
    <w:rsid w:val="007A6E87"/>
    <w:rsid w:val="007B21E1"/>
    <w:rsid w:val="007C1F70"/>
    <w:rsid w:val="007C2F5A"/>
    <w:rsid w:val="007C3C7E"/>
    <w:rsid w:val="007D271A"/>
    <w:rsid w:val="007D5127"/>
    <w:rsid w:val="007E0D23"/>
    <w:rsid w:val="007E1736"/>
    <w:rsid w:val="007E19FA"/>
    <w:rsid w:val="007E2E6A"/>
    <w:rsid w:val="007E4029"/>
    <w:rsid w:val="007F0083"/>
    <w:rsid w:val="007F559E"/>
    <w:rsid w:val="008137A3"/>
    <w:rsid w:val="0081544B"/>
    <w:rsid w:val="00833172"/>
    <w:rsid w:val="008346C4"/>
    <w:rsid w:val="00835B1F"/>
    <w:rsid w:val="0083710D"/>
    <w:rsid w:val="00847DD9"/>
    <w:rsid w:val="00852D9B"/>
    <w:rsid w:val="008602A9"/>
    <w:rsid w:val="0086260E"/>
    <w:rsid w:val="00871532"/>
    <w:rsid w:val="008760AC"/>
    <w:rsid w:val="008800A8"/>
    <w:rsid w:val="00883BBC"/>
    <w:rsid w:val="00883E00"/>
    <w:rsid w:val="008903C7"/>
    <w:rsid w:val="008913B8"/>
    <w:rsid w:val="00895684"/>
    <w:rsid w:val="008A0078"/>
    <w:rsid w:val="008A12BD"/>
    <w:rsid w:val="008A50A1"/>
    <w:rsid w:val="008B073C"/>
    <w:rsid w:val="008B5022"/>
    <w:rsid w:val="008B5D37"/>
    <w:rsid w:val="008B6902"/>
    <w:rsid w:val="008C5EA9"/>
    <w:rsid w:val="008C74BC"/>
    <w:rsid w:val="008E189A"/>
    <w:rsid w:val="008E2C9F"/>
    <w:rsid w:val="008E7178"/>
    <w:rsid w:val="008E7FF1"/>
    <w:rsid w:val="008F3657"/>
    <w:rsid w:val="00904FC0"/>
    <w:rsid w:val="00926100"/>
    <w:rsid w:val="009325DE"/>
    <w:rsid w:val="00941604"/>
    <w:rsid w:val="00941BE2"/>
    <w:rsid w:val="00942835"/>
    <w:rsid w:val="00942CCC"/>
    <w:rsid w:val="00945917"/>
    <w:rsid w:val="009522CA"/>
    <w:rsid w:val="009565F2"/>
    <w:rsid w:val="0096421C"/>
    <w:rsid w:val="00973BDE"/>
    <w:rsid w:val="00975E0C"/>
    <w:rsid w:val="0098025F"/>
    <w:rsid w:val="0098379E"/>
    <w:rsid w:val="00983A42"/>
    <w:rsid w:val="009865AA"/>
    <w:rsid w:val="00990CE0"/>
    <w:rsid w:val="00997CF9"/>
    <w:rsid w:val="009B30A2"/>
    <w:rsid w:val="009B4B99"/>
    <w:rsid w:val="009C045C"/>
    <w:rsid w:val="009C1103"/>
    <w:rsid w:val="009C58AE"/>
    <w:rsid w:val="009C6598"/>
    <w:rsid w:val="009D00D9"/>
    <w:rsid w:val="009D1F92"/>
    <w:rsid w:val="009D5971"/>
    <w:rsid w:val="009D717E"/>
    <w:rsid w:val="009E02E8"/>
    <w:rsid w:val="009E193A"/>
    <w:rsid w:val="009E3719"/>
    <w:rsid w:val="009F1A57"/>
    <w:rsid w:val="009F6F06"/>
    <w:rsid w:val="00A03D34"/>
    <w:rsid w:val="00A079DB"/>
    <w:rsid w:val="00A12488"/>
    <w:rsid w:val="00A21D81"/>
    <w:rsid w:val="00A279E1"/>
    <w:rsid w:val="00A307C5"/>
    <w:rsid w:val="00A321D3"/>
    <w:rsid w:val="00A51639"/>
    <w:rsid w:val="00A52B8D"/>
    <w:rsid w:val="00A544F6"/>
    <w:rsid w:val="00A6310E"/>
    <w:rsid w:val="00A64B28"/>
    <w:rsid w:val="00A6743C"/>
    <w:rsid w:val="00A70F36"/>
    <w:rsid w:val="00A73E6F"/>
    <w:rsid w:val="00A74F64"/>
    <w:rsid w:val="00A76A01"/>
    <w:rsid w:val="00A81671"/>
    <w:rsid w:val="00A9211E"/>
    <w:rsid w:val="00AA3DFD"/>
    <w:rsid w:val="00AA4C4C"/>
    <w:rsid w:val="00AA7541"/>
    <w:rsid w:val="00AB18AB"/>
    <w:rsid w:val="00AB2664"/>
    <w:rsid w:val="00AB44BE"/>
    <w:rsid w:val="00AB61CA"/>
    <w:rsid w:val="00AB7E3F"/>
    <w:rsid w:val="00AC18BC"/>
    <w:rsid w:val="00AC2841"/>
    <w:rsid w:val="00AD0062"/>
    <w:rsid w:val="00AD04F5"/>
    <w:rsid w:val="00AD1B3B"/>
    <w:rsid w:val="00AD3C9F"/>
    <w:rsid w:val="00AD460B"/>
    <w:rsid w:val="00AD5218"/>
    <w:rsid w:val="00AE1E61"/>
    <w:rsid w:val="00AE450D"/>
    <w:rsid w:val="00AF1739"/>
    <w:rsid w:val="00AF6F3E"/>
    <w:rsid w:val="00B0251F"/>
    <w:rsid w:val="00B07E47"/>
    <w:rsid w:val="00B229A3"/>
    <w:rsid w:val="00B22AD5"/>
    <w:rsid w:val="00B23001"/>
    <w:rsid w:val="00B27562"/>
    <w:rsid w:val="00B31151"/>
    <w:rsid w:val="00B3115C"/>
    <w:rsid w:val="00B41C81"/>
    <w:rsid w:val="00B44196"/>
    <w:rsid w:val="00B44D04"/>
    <w:rsid w:val="00B719CE"/>
    <w:rsid w:val="00B73FE8"/>
    <w:rsid w:val="00B81C3E"/>
    <w:rsid w:val="00B82268"/>
    <w:rsid w:val="00B82FCA"/>
    <w:rsid w:val="00B83591"/>
    <w:rsid w:val="00BA0571"/>
    <w:rsid w:val="00BA1401"/>
    <w:rsid w:val="00BA1D26"/>
    <w:rsid w:val="00BB07FB"/>
    <w:rsid w:val="00BB0CC3"/>
    <w:rsid w:val="00BC4195"/>
    <w:rsid w:val="00BC7DE8"/>
    <w:rsid w:val="00BD0642"/>
    <w:rsid w:val="00BE1EB9"/>
    <w:rsid w:val="00BE4204"/>
    <w:rsid w:val="00BE72AF"/>
    <w:rsid w:val="00BF2254"/>
    <w:rsid w:val="00BF544F"/>
    <w:rsid w:val="00C03881"/>
    <w:rsid w:val="00C062CB"/>
    <w:rsid w:val="00C101AC"/>
    <w:rsid w:val="00C11B70"/>
    <w:rsid w:val="00C21949"/>
    <w:rsid w:val="00C22EDB"/>
    <w:rsid w:val="00C24EF6"/>
    <w:rsid w:val="00C25DD0"/>
    <w:rsid w:val="00C33B30"/>
    <w:rsid w:val="00C36C02"/>
    <w:rsid w:val="00C3798E"/>
    <w:rsid w:val="00C426C6"/>
    <w:rsid w:val="00C4369F"/>
    <w:rsid w:val="00C43B58"/>
    <w:rsid w:val="00C43FDF"/>
    <w:rsid w:val="00C44CC8"/>
    <w:rsid w:val="00C47A07"/>
    <w:rsid w:val="00C525AC"/>
    <w:rsid w:val="00C545E3"/>
    <w:rsid w:val="00C56533"/>
    <w:rsid w:val="00C60180"/>
    <w:rsid w:val="00C636E6"/>
    <w:rsid w:val="00C643C9"/>
    <w:rsid w:val="00C6512E"/>
    <w:rsid w:val="00C72A47"/>
    <w:rsid w:val="00C73EF0"/>
    <w:rsid w:val="00C745A1"/>
    <w:rsid w:val="00C7596B"/>
    <w:rsid w:val="00C80539"/>
    <w:rsid w:val="00C80ABF"/>
    <w:rsid w:val="00C826C9"/>
    <w:rsid w:val="00C83A45"/>
    <w:rsid w:val="00C85B62"/>
    <w:rsid w:val="00C9189F"/>
    <w:rsid w:val="00C93570"/>
    <w:rsid w:val="00C957C6"/>
    <w:rsid w:val="00C96B92"/>
    <w:rsid w:val="00CA119E"/>
    <w:rsid w:val="00CA22C7"/>
    <w:rsid w:val="00CA693B"/>
    <w:rsid w:val="00CB1686"/>
    <w:rsid w:val="00CB6FDC"/>
    <w:rsid w:val="00CC2123"/>
    <w:rsid w:val="00CC2C5D"/>
    <w:rsid w:val="00CC4219"/>
    <w:rsid w:val="00CC6DA7"/>
    <w:rsid w:val="00CF5BF8"/>
    <w:rsid w:val="00CF7A22"/>
    <w:rsid w:val="00D125EB"/>
    <w:rsid w:val="00D1313B"/>
    <w:rsid w:val="00D13BAD"/>
    <w:rsid w:val="00D149F1"/>
    <w:rsid w:val="00D16BAA"/>
    <w:rsid w:val="00D238F2"/>
    <w:rsid w:val="00D2591A"/>
    <w:rsid w:val="00D30A6C"/>
    <w:rsid w:val="00D30CB9"/>
    <w:rsid w:val="00D35AF8"/>
    <w:rsid w:val="00D45135"/>
    <w:rsid w:val="00D47F13"/>
    <w:rsid w:val="00D53F71"/>
    <w:rsid w:val="00D56D28"/>
    <w:rsid w:val="00D621D4"/>
    <w:rsid w:val="00D62FB4"/>
    <w:rsid w:val="00D63B4A"/>
    <w:rsid w:val="00D64587"/>
    <w:rsid w:val="00D66438"/>
    <w:rsid w:val="00D6776C"/>
    <w:rsid w:val="00D73B2C"/>
    <w:rsid w:val="00D73F9F"/>
    <w:rsid w:val="00D75600"/>
    <w:rsid w:val="00D75A6A"/>
    <w:rsid w:val="00D80CA9"/>
    <w:rsid w:val="00D81DC5"/>
    <w:rsid w:val="00D83800"/>
    <w:rsid w:val="00D94DD4"/>
    <w:rsid w:val="00D95B98"/>
    <w:rsid w:val="00DA1CBE"/>
    <w:rsid w:val="00DA28AC"/>
    <w:rsid w:val="00DB06FB"/>
    <w:rsid w:val="00DB73DB"/>
    <w:rsid w:val="00DC3909"/>
    <w:rsid w:val="00DC6F2B"/>
    <w:rsid w:val="00DD4FFC"/>
    <w:rsid w:val="00DD6002"/>
    <w:rsid w:val="00DF0117"/>
    <w:rsid w:val="00DF0835"/>
    <w:rsid w:val="00DF18B6"/>
    <w:rsid w:val="00DF642B"/>
    <w:rsid w:val="00E039E8"/>
    <w:rsid w:val="00E053CA"/>
    <w:rsid w:val="00E05893"/>
    <w:rsid w:val="00E06F96"/>
    <w:rsid w:val="00E07520"/>
    <w:rsid w:val="00E14889"/>
    <w:rsid w:val="00E16198"/>
    <w:rsid w:val="00E20738"/>
    <w:rsid w:val="00E22D77"/>
    <w:rsid w:val="00E259EA"/>
    <w:rsid w:val="00E27397"/>
    <w:rsid w:val="00E3282B"/>
    <w:rsid w:val="00E35970"/>
    <w:rsid w:val="00E372BC"/>
    <w:rsid w:val="00E4025B"/>
    <w:rsid w:val="00E45276"/>
    <w:rsid w:val="00E453E2"/>
    <w:rsid w:val="00E507A3"/>
    <w:rsid w:val="00E50CBA"/>
    <w:rsid w:val="00E54D02"/>
    <w:rsid w:val="00E55FD9"/>
    <w:rsid w:val="00E6373A"/>
    <w:rsid w:val="00E7086E"/>
    <w:rsid w:val="00E76544"/>
    <w:rsid w:val="00E76761"/>
    <w:rsid w:val="00E77B0B"/>
    <w:rsid w:val="00E85137"/>
    <w:rsid w:val="00E8758A"/>
    <w:rsid w:val="00E87B64"/>
    <w:rsid w:val="00E90678"/>
    <w:rsid w:val="00E91556"/>
    <w:rsid w:val="00E926DF"/>
    <w:rsid w:val="00E94D9E"/>
    <w:rsid w:val="00E96BE1"/>
    <w:rsid w:val="00EB0F23"/>
    <w:rsid w:val="00EB2356"/>
    <w:rsid w:val="00EC10A4"/>
    <w:rsid w:val="00EC4E18"/>
    <w:rsid w:val="00ED086E"/>
    <w:rsid w:val="00ED4BBC"/>
    <w:rsid w:val="00EE5391"/>
    <w:rsid w:val="00EE616E"/>
    <w:rsid w:val="00EF37E9"/>
    <w:rsid w:val="00F02E67"/>
    <w:rsid w:val="00F064F7"/>
    <w:rsid w:val="00F1365F"/>
    <w:rsid w:val="00F172DB"/>
    <w:rsid w:val="00F23D92"/>
    <w:rsid w:val="00F25E04"/>
    <w:rsid w:val="00F2773C"/>
    <w:rsid w:val="00F3207E"/>
    <w:rsid w:val="00F33397"/>
    <w:rsid w:val="00F33FB2"/>
    <w:rsid w:val="00F40190"/>
    <w:rsid w:val="00F41F38"/>
    <w:rsid w:val="00F44585"/>
    <w:rsid w:val="00F479F7"/>
    <w:rsid w:val="00F50101"/>
    <w:rsid w:val="00F5221B"/>
    <w:rsid w:val="00F534C5"/>
    <w:rsid w:val="00F543B5"/>
    <w:rsid w:val="00F557C5"/>
    <w:rsid w:val="00F56658"/>
    <w:rsid w:val="00F62AC2"/>
    <w:rsid w:val="00F62E33"/>
    <w:rsid w:val="00F70CF8"/>
    <w:rsid w:val="00F7325A"/>
    <w:rsid w:val="00F74A15"/>
    <w:rsid w:val="00F76AF7"/>
    <w:rsid w:val="00F8042D"/>
    <w:rsid w:val="00F8077F"/>
    <w:rsid w:val="00F8309E"/>
    <w:rsid w:val="00F85181"/>
    <w:rsid w:val="00FA17E2"/>
    <w:rsid w:val="00FA6503"/>
    <w:rsid w:val="00FB1831"/>
    <w:rsid w:val="00FB24BC"/>
    <w:rsid w:val="00FB4220"/>
    <w:rsid w:val="00FD270A"/>
    <w:rsid w:val="00FD5A31"/>
    <w:rsid w:val="00FE01A4"/>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2051B6"/>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32785D"/>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0D276EE"/>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C97D25"/>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unhideWhenUsed/>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uiPriority w:val="99"/>
    <w:rPr>
      <w:kern w:val="2"/>
      <w:sz w:val="21"/>
      <w:szCs w:val="24"/>
    </w:rPr>
  </w:style>
  <w:style w:type="character" w:customStyle="1" w:styleId="41">
    <w:name w:val="标题 3 Char"/>
    <w:basedOn w:val="24"/>
    <w:semiHidden/>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uiPriority w:val="99"/>
    <w:rPr>
      <w:kern w:val="2"/>
      <w:sz w:val="21"/>
      <w:szCs w:val="24"/>
    </w:rPr>
  </w:style>
  <w:style w:type="character" w:customStyle="1" w:styleId="45">
    <w:name w:val="纯文本 字符"/>
    <w:basedOn w:val="24"/>
    <w:link w:val="11"/>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3562</Words>
  <Characters>20306</Characters>
  <Lines>169</Lines>
  <Paragraphs>47</Paragraphs>
  <TotalTime>1980</TotalTime>
  <ScaleCrop>false</ScaleCrop>
  <LinksUpToDate>false</LinksUpToDate>
  <CharactersWithSpaces>23821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2022-01-10T08:25:00Z</cp:lastPrinted>
  <dcterms:modified xsi:type="dcterms:W3CDTF">2022-02-14T06:44:20Z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