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Times New Roman" w:hAnsi="Times New Roman" w:eastAsia="仿宋_GB2312" w:cs="Times New Roman"/>
          <w:b/>
          <w:color w:val="000000" w:themeColor="text1"/>
          <w:sz w:val="28"/>
          <w:szCs w:val="28"/>
          <w:lang w:val="en-US" w:eastAsia="zh-CN"/>
          <w14:textFill>
            <w14:solidFill>
              <w14:schemeClr w14:val="tx1"/>
            </w14:solidFill>
          </w14:textFill>
        </w:rPr>
      </w:pPr>
      <w:r>
        <w:rPr>
          <w:rFonts w:hint="eastAsia" w:eastAsia="仿宋_GB2312" w:cs="Times New Roman"/>
          <w:b/>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20英尺集装托架</w:t>
      </w:r>
      <w:r>
        <w:rPr>
          <w:rFonts w:hint="eastAsia" w:eastAsia="方正小标宋_GBK" w:cs="Times New Roman"/>
          <w:color w:val="000000" w:themeColor="text1"/>
          <w:sz w:val="44"/>
          <w:szCs w:val="44"/>
          <w:lang w:val="en-US" w:eastAsia="zh-CN"/>
          <w14:textFill>
            <w14:solidFill>
              <w14:schemeClr w14:val="tx1"/>
            </w14:solidFill>
          </w14:textFill>
        </w:rPr>
        <w:t>购置项目（第二次）</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比选</w:t>
      </w:r>
      <w:r>
        <w:rPr>
          <w:rFonts w:hint="eastAsia" w:eastAsia="方正小标宋_GBK" w:cs="Times New Roman"/>
          <w:color w:val="000000" w:themeColor="text1"/>
          <w:sz w:val="44"/>
          <w:szCs w:val="44"/>
          <w:lang w:eastAsia="zh-CN"/>
          <w14:textFill>
            <w14:solidFill>
              <w14:schemeClr w14:val="tx1"/>
            </w14:solidFill>
          </w14:textFill>
        </w:rPr>
        <w:t>采购</w:t>
      </w:r>
      <w:r>
        <w:rPr>
          <w:rFonts w:hint="default" w:ascii="Times New Roman" w:hAnsi="Times New Roman" w:eastAsia="方正小标宋_GBK" w:cs="Times New Roman"/>
          <w:color w:val="000000" w:themeColor="text1"/>
          <w:sz w:val="44"/>
          <w:szCs w:val="44"/>
          <w14:textFill>
            <w14:solidFill>
              <w14:schemeClr w14:val="tx1"/>
            </w14:solidFill>
          </w14:textFill>
        </w:rPr>
        <w:t>文件</w:t>
      </w: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编号：</w:t>
      </w:r>
      <w:r>
        <w:rPr>
          <w:rFonts w:hint="eastAsia" w:eastAsia="方正仿宋_GBK" w:cs="Times New Roman"/>
          <w:color w:val="000000" w:themeColor="text1"/>
          <w:sz w:val="32"/>
          <w:szCs w:val="32"/>
          <w:lang w:val="en-US" w:eastAsia="zh-CN"/>
          <w14:textFill>
            <w14:solidFill>
              <w14:schemeClr w14:val="tx1"/>
            </w14:solidFill>
          </w14:textFill>
        </w:rPr>
        <w:t>GZ21003</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重庆空港航空地面服务</w:t>
      </w:r>
      <w:r>
        <w:rPr>
          <w:rFonts w:hint="default" w:ascii="Times New Roman" w:hAnsi="Times New Roman" w:eastAsia="方正仿宋_GBK" w:cs="Times New Roman"/>
          <w:color w:val="000000" w:themeColor="text1"/>
          <w:sz w:val="32"/>
          <w:szCs w:val="32"/>
          <w14:textFill>
            <w14:solidFill>
              <w14:schemeClr w14:val="tx1"/>
            </w14:solidFill>
          </w14:textFill>
        </w:rPr>
        <w:t>有限公司</w:t>
      </w:r>
    </w:p>
    <w:p>
      <w:pPr>
        <w:keepNext w:val="0"/>
        <w:keepLines w:val="0"/>
        <w:pageBreakBefore w:val="0"/>
        <w:kinsoku/>
        <w:wordWrap/>
        <w:overflowPunct/>
        <w:topLinePunct w:val="0"/>
        <w:bidi w:val="0"/>
        <w:spacing w:line="560" w:lineRule="exact"/>
        <w:ind w:firstLine="3200" w:firstLineChars="10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p>
    <w:p>
      <w:pPr>
        <w:keepNext w:val="0"/>
        <w:keepLines w:val="0"/>
        <w:pageBreakBefore w:val="0"/>
        <w:kinsoku/>
        <w:wordWrap/>
        <w:overflowPunct/>
        <w:topLinePunct w:val="0"/>
        <w:bidi w:val="0"/>
        <w:spacing w:line="560" w:lineRule="exact"/>
        <w:jc w:val="both"/>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16"/>
        <w:rPr>
          <w:rFonts w:hint="eastAsia"/>
        </w:rPr>
      </w:pP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56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20英尺集装托架</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购置项目</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比选</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采购</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文件</w:t>
      </w:r>
    </w:p>
    <w:p>
      <w:pPr>
        <w:keepNext w:val="0"/>
        <w:keepLines w:val="0"/>
        <w:pageBreakBefore w:val="0"/>
        <w:widowControl/>
        <w:kinsoku/>
        <w:wordWrap/>
        <w:overflowPunct/>
        <w:topLinePunct w:val="0"/>
        <w:bidi w:val="0"/>
        <w:spacing w:line="560" w:lineRule="exact"/>
        <w:ind w:firstLine="600" w:firstLineChars="200"/>
        <w:jc w:val="left"/>
        <w:textAlignment w:val="auto"/>
        <w:outlineLvl w:val="9"/>
        <w:rPr>
          <w:rFonts w:hint="eastAsia" w:ascii="方正小标宋_GBK" w:hAnsi="方正小标宋_GBK" w:eastAsia="方正小标宋_GBK" w:cs="方正小标宋_GBK"/>
          <w:color w:val="000000" w:themeColor="text1"/>
          <w:sz w:val="30"/>
          <w:szCs w:val="30"/>
          <w14:textFill>
            <w14:solidFill>
              <w14:schemeClr w14:val="tx1"/>
            </w14:solidFill>
          </w14:textFill>
        </w:rPr>
      </w:pP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重庆空港航空地面服务有限公司拟</w:t>
      </w:r>
      <w:r>
        <w:rPr>
          <w:rFonts w:hint="eastAsia" w:ascii="仿宋_GB2312" w:hAnsi="仿宋_GB2312" w:eastAsia="仿宋_GB2312" w:cs="仿宋_GB2312"/>
          <w:color w:val="000000" w:themeColor="text1"/>
          <w:sz w:val="28"/>
          <w:szCs w:val="28"/>
          <w14:textFill>
            <w14:solidFill>
              <w14:schemeClr w14:val="tx1"/>
            </w14:solidFill>
          </w14:textFill>
        </w:rPr>
        <w:t>决定于近期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实施20英尺集装托架购置项目，现邀请符合相应条件的单位参与本次项目的比选。</w:t>
      </w:r>
    </w:p>
    <w:p>
      <w:pPr>
        <w:keepNext w:val="0"/>
        <w:keepLines w:val="0"/>
        <w:pageBreakBefore w:val="0"/>
        <w:widowControl/>
        <w:numPr>
          <w:ilvl w:val="0"/>
          <w:numId w:val="0"/>
        </w:numPr>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lang w:val="en-US" w:eastAsia="zh-CN"/>
          <w14:textFill>
            <w14:solidFill>
              <w14:schemeClr w14:val="tx1"/>
            </w14:solidFill>
          </w14:textFill>
        </w:rPr>
        <w:t>一、</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kinsoku/>
        <w:wordWrap/>
        <w:overflowPunct/>
        <w:topLinePunct w:val="0"/>
        <w:bidi w:val="0"/>
        <w:snapToGrid w:val="0"/>
        <w:spacing w:line="560" w:lineRule="exact"/>
        <w:ind w:firstLine="562" w:firstLineChars="200"/>
        <w:textAlignment w:val="auto"/>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1.1 比选响应人资格要求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1.1.1 </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具备有效三证合一营业执照的独立法人生产商或代理商；如比选响应人为代理商，需提供生产商的唯一授权证明；（提供营业执照复印件并加盖公章、授权证明（如有））</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1.1.2 </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2018年1月1日，</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具备</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至少1个为国内大型机场提供集装托架类（各类PMC、AKE）的供货业绩</w:t>
      </w:r>
      <w:r>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t>。</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（机场名单详见附件2，提供合同复印件加盖公章）；</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1.1.3 本项目不接受联合体，不得转包、分包。</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  项目</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概况及要求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1.2.1</w:t>
      </w: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项目概况</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随着国际货机航班的逐步增多，货机保障设备出现缺口，我司决定购置20英尺集装托架5辆。</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w:t>
      </w: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（1）外形尺寸参考值（mm）：长（7953）×宽（2725）×高（612）；</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（2）工作台尺寸参考值（mm）：长（6700）×宽（2725）×高（518）；</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（3）本设备主要用于宽体等大型货机货物装卸运输，要求载重量≥18000kg，自重≥3455kg，转向角≥25，最小转弯半径≤9000mm，最大时速≤25km/h，轴距（前 986mm、后 3240mm），轮距（前 1975mm、后 1975mm）；</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（4）滚筒：工作面采用自锁式螺丝滚筒三排组合，共63根，滚筒直径采用89mm</w:t>
      </w:r>
      <w:r>
        <w:rPr>
          <w:rStyle w:val="26"/>
          <w:rFonts w:hint="default" w:ascii="仿宋_GB2312" w:hAnsi="仿宋_GB2312" w:eastAsia="仿宋_GB2312" w:cs="仿宋_GB2312"/>
          <w:color w:val="000000" w:themeColor="text1"/>
          <w:sz w:val="28"/>
          <w:szCs w:val="28"/>
          <w:lang w:val="en-US" w:eastAsia="zh-CN"/>
          <w14:textFill>
            <w14:solidFill>
              <w14:schemeClr w14:val="tx1"/>
            </w14:solidFill>
          </w14:textFill>
        </w:rPr>
        <w:t>×</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4mm优质钢管整体镀锌；</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（5）拖把：拖把与车架间装有1套缓冲装置，提拉轻巧，操作安全方便，拖把一般调节到拖把头离地高度约200mm；</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6）前轮总成：前轮分为两排，为万向总成自动调节式组合，区分左右各2组，可以上下升降；万向轮采用钢芯实心轮胎，每组为2个轮胎（直径≥266mm、宽≥160mm），可360°旋转，建议每个前轮与工作平台用4个M20的六角螺栓连接，前轮转向的中心轴采用￠60mm的40Cr铬圆钢，经调质加工而成，确保前轮轴不会断裂；轴承建议采用（瓦房牌）GB7212轴承，耐磨且强度可靠；</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（7）后轮总成：后轮为单排组合，左右各1组定向轮，每组为4个轮胎（直径≥400mm、宽≥133mm），建议采用钢芯实心轮胎；</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（8）表面涂层的基本防锈工艺要求：平板整体外观采用镀锌漆面。</w:t>
      </w:r>
    </w:p>
    <w:p>
      <w:pPr>
        <w:pStyle w:val="2"/>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1.2.3 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所涉及到的费用为人民币报价，报价包括完成项目要求的全部成本费用、劳务费用、运输费用、安装调试费用、税金（除增值税外）等的全部费用。因比选响应人自身原因造成漏报、少报皆由其自行承担责任，比选采购人不再补偿。</w:t>
      </w:r>
    </w:p>
    <w:p>
      <w:pPr>
        <w:keepNext w:val="0"/>
        <w:keepLines w:val="0"/>
        <w:pageBreakBefore w:val="0"/>
        <w:widowControl/>
        <w:kinsoku/>
        <w:wordWrap/>
        <w:overflowPunct/>
        <w:topLinePunct w:val="0"/>
        <w:bidi w:val="0"/>
        <w:spacing w:line="560" w:lineRule="exact"/>
        <w:ind w:firstLine="551" w:firstLineChars="196"/>
        <w:jc w:val="left"/>
        <w:textAlignment w:val="auto"/>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本项目最高总限价（不含增值税）为人民币：</w:t>
      </w:r>
      <w:r>
        <w:rPr>
          <w:rStyle w:val="26"/>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¥ 275000.00</w:t>
      </w: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，报价超过最高限价，将取消比选响应人的比选资格</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bookmarkEnd w:id="0"/>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二</w:t>
      </w:r>
      <w:r>
        <w:rPr>
          <w:rFonts w:hint="eastAsia" w:ascii="黑体" w:hAnsi="黑体" w:eastAsia="黑体" w:cs="黑体"/>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val="0"/>
          <w:color w:val="000000" w:themeColor="text1"/>
          <w:sz w:val="28"/>
          <w:szCs w:val="28"/>
          <w14:textFill>
            <w14:solidFill>
              <w14:schemeClr w14:val="tx1"/>
            </w14:solidFill>
          </w14:textFill>
        </w:rPr>
        <w:t>成交人采用综合评分法，</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按综合得分从高到低的原则确定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3名成交候选人，综合得分第1名的成为推荐成交人。</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 w:val="0"/>
          <w:bCs/>
          <w:color w:val="000000" w:themeColor="text1"/>
          <w:sz w:val="28"/>
          <w:szCs w:val="28"/>
          <w14:textFill>
            <w14:solidFill>
              <w14:schemeClr w14:val="tx1"/>
            </w14:solidFill>
          </w14:textFill>
        </w:rPr>
        <w:t>比选规则</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如下：</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.1 递交比选响应文件截止时，比选响应文件少于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个单位的，可以继续进行比选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经评审，</w:t>
      </w:r>
      <w:r>
        <w:rPr>
          <w:rFonts w:hint="eastAsia" w:ascii="仿宋_GB2312" w:hAnsi="仿宋_GB2312" w:eastAsia="仿宋_GB2312" w:cs="仿宋_GB2312"/>
          <w:color w:val="000000" w:themeColor="text1"/>
          <w:kern w:val="0"/>
          <w:sz w:val="28"/>
          <w:szCs w:val="28"/>
          <w14:textFill>
            <w14:solidFill>
              <w14:schemeClr w14:val="tx1"/>
            </w14:solidFill>
          </w14:textFill>
        </w:rPr>
        <w:t>有效比选响应人不足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个的，评审委员会应当否决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该项目的</w:t>
      </w:r>
      <w:r>
        <w:rPr>
          <w:rFonts w:hint="eastAsia" w:ascii="仿宋_GB2312" w:hAnsi="仿宋_GB2312" w:eastAsia="仿宋_GB2312" w:cs="仿宋_GB2312"/>
          <w:color w:val="000000" w:themeColor="text1"/>
          <w:kern w:val="0"/>
          <w:sz w:val="28"/>
          <w:szCs w:val="28"/>
          <w14:textFill>
            <w14:solidFill>
              <w14:schemeClr w14:val="tx1"/>
            </w14:solidFill>
          </w14:textFill>
        </w:rPr>
        <w:t>比选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但是有效比选响应人的经济、技术等指标仍然具有市场竞争力，能够满足比选文件要求的，评审委员会可以继续评审，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按照</w:t>
      </w:r>
      <w:r>
        <w:rPr>
          <w:rFonts w:hint="eastAsia" w:ascii="仿宋_GB2312" w:hAnsi="仿宋_GB2312" w:eastAsia="仿宋_GB2312" w:cs="仿宋_GB2312"/>
          <w:color w:val="000000" w:themeColor="text1"/>
          <w:kern w:val="0"/>
          <w:sz w:val="28"/>
          <w:szCs w:val="28"/>
          <w14:textFill>
            <w14:solidFill>
              <w14:schemeClr w14:val="tx1"/>
            </w14:solidFill>
          </w14:textFill>
        </w:rPr>
        <w:t>综合评分高的原则确定成交候选人。</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三</w:t>
      </w:r>
      <w:r>
        <w:rPr>
          <w:rFonts w:hint="eastAsia" w:ascii="黑体" w:hAnsi="黑体" w:eastAsia="黑体" w:cs="黑体"/>
          <w:b w:val="0"/>
          <w:bCs/>
          <w:color w:val="000000" w:themeColor="text1"/>
          <w:sz w:val="28"/>
          <w:szCs w:val="28"/>
          <w14:textFill>
            <w14:solidFill>
              <w14:schemeClr w14:val="tx1"/>
            </w14:solidFill>
          </w14:textFill>
        </w:rPr>
        <w:t>、比选</w:t>
      </w:r>
      <w:r>
        <w:rPr>
          <w:rFonts w:hint="eastAsia" w:ascii="黑体" w:hAnsi="黑体" w:eastAsia="黑体" w:cs="黑体"/>
          <w:b w:val="0"/>
          <w:bCs/>
          <w:color w:val="000000" w:themeColor="text1"/>
          <w:sz w:val="28"/>
          <w:szCs w:val="28"/>
          <w:lang w:eastAsia="zh-CN"/>
          <w14:textFill>
            <w14:solidFill>
              <w14:schemeClr w14:val="tx1"/>
            </w14:solidFill>
          </w14:textFill>
        </w:rPr>
        <w:t>采购</w:t>
      </w:r>
      <w:r>
        <w:rPr>
          <w:rFonts w:hint="eastAsia" w:ascii="黑体" w:hAnsi="黑体" w:eastAsia="黑体" w:cs="黑体"/>
          <w:b w:val="0"/>
          <w:bCs/>
          <w:color w:val="000000" w:themeColor="text1"/>
          <w:sz w:val="28"/>
          <w:szCs w:val="28"/>
          <w14:textFill>
            <w14:solidFill>
              <w14:schemeClr w14:val="tx1"/>
            </w14:solidFill>
          </w14:textFill>
        </w:rPr>
        <w:t>文件发放的</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采购</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文件及相关资料于2021年</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12</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23</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起在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黑体" w:hAnsi="黑体" w:eastAsia="黑体" w:cs="黑体"/>
          <w:b w:val="0"/>
          <w:bCs/>
          <w:color w:val="000000" w:themeColor="text1"/>
          <w:kern w:val="2"/>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四、比选响应</w:t>
      </w:r>
      <w:r>
        <w:rPr>
          <w:rFonts w:hint="eastAsia" w:ascii="黑体" w:hAnsi="黑体" w:eastAsia="黑体" w:cs="黑体"/>
          <w:b w:val="0"/>
          <w:bCs/>
          <w:color w:val="000000" w:themeColor="text1"/>
          <w:kern w:val="2"/>
          <w:sz w:val="28"/>
          <w:szCs w:val="28"/>
          <w14:textFill>
            <w14:solidFill>
              <w14:schemeClr w14:val="tx1"/>
            </w14:solidFill>
          </w14:textFill>
        </w:rPr>
        <w:t>保证金及履约保证金</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保证金：无</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履约保证金：贰万柒仟伍佰元整。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在收到成交通知书后7天内，以银行转账的方式向以下甲方账户提交履约保证金</w:t>
      </w: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(大写）贰万柒仟伍佰元整 （小写：¥ 27500.00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。货物到货且验收合格后，由成交人提出申请，甲方于180天后一次性退还，不计利息。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甲方账户信息：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户名：重庆空港航空地面服务有限公司</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税号：91500112666441363D</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地址：重庆市渝北区双凤桥街道渝航路1幢1/2-0</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电话号码：023-67153596</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开户银行：建行渝北机场支行</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账户账号：5000 1083 8000 5020 0711</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五、到货期</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自合同生效之日起40日历天内。</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六、</w:t>
      </w:r>
      <w:r>
        <w:rPr>
          <w:rFonts w:hint="eastAsia" w:ascii="黑体" w:hAnsi="黑体" w:eastAsia="黑体" w:cs="黑体"/>
          <w:b w:val="0"/>
          <w:bCs w:val="0"/>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七</w:t>
      </w:r>
      <w:r>
        <w:rPr>
          <w:rFonts w:hint="eastAsia" w:ascii="黑体" w:hAnsi="黑体" w:eastAsia="黑体" w:cs="黑体"/>
          <w:b w:val="0"/>
          <w:bCs w:val="0"/>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比选响应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采购文件的要求编制比选响应文件，比选响应文件应当对</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比选响应</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人应按比选采购文件要求编制响应</w:t>
      </w:r>
      <w:r>
        <w:rPr>
          <w:rFonts w:hint="eastAsia" w:ascii="仿宋_GB2312" w:hAnsi="仿宋_GB2312" w:eastAsia="仿宋_GB2312" w:cs="仿宋_GB2312"/>
          <w:b/>
          <w:bCs/>
          <w:color w:val="000000" w:themeColor="text1"/>
          <w:sz w:val="28"/>
          <w:szCs w:val="28"/>
          <w:lang w:val="zh-CN"/>
          <w14:textFill>
            <w14:solidFill>
              <w14:schemeClr w14:val="tx1"/>
            </w14:solidFill>
          </w14:textFill>
        </w:rPr>
        <w:t>文件</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响应文件并</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封面（响应文件应密封，在封面注明项目名称）。</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.2.2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报价函</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bidi w:val="0"/>
        <w:spacing w:line="560" w:lineRule="exact"/>
        <w:ind w:left="0" w:leftChars="0" w:firstLine="638" w:firstLineChars="228"/>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.2.</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 xml:space="preserve"> 技术部分。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根据设备参数要求具体描述拟供货设备的各项参数是否符合要求、按技术评分标准准备相关的证明材料等。</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比选人响应人授权委托书（原件）、比选响应人资格要求证明文件、按商务评分标准准备相关证明材料以及</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服务承诺等。</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比选响应文件各部分合并装订成一册，纸质文件一式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val="zh-CN"/>
          <w14:textFill>
            <w14:solidFill>
              <w14:schemeClr w14:val="tx1"/>
            </w14:solidFill>
          </w14:textFill>
        </w:rPr>
        <w:t>份，其中正本1份，副本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7.2.6比选响应文件一经递交，比选响应人不得查阅、取回。</w:t>
      </w:r>
    </w:p>
    <w:p>
      <w:pPr>
        <w:keepNext w:val="0"/>
        <w:keepLines w:val="0"/>
        <w:pageBreakBefore w:val="0"/>
        <w:kinsoku/>
        <w:wordWrap/>
        <w:overflowPunct/>
        <w:topLinePunct w:val="0"/>
        <w:autoSpaceDE w:val="0"/>
        <w:autoSpaceDN w:val="0"/>
        <w:bidi w:val="0"/>
        <w:adjustRightInd w:val="0"/>
        <w:spacing w:line="560" w:lineRule="exact"/>
        <w:ind w:firstLine="548" w:firstLineChars="196"/>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lang w:val="zh-CN"/>
          <w14:textFill>
            <w14:solidFill>
              <w14:schemeClr w14:val="tx1"/>
            </w14:solidFill>
          </w14:textFill>
        </w:rPr>
        <w:t>、比选响应文件作废条款</w:t>
      </w:r>
    </w:p>
    <w:p>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.1.1比选响应文件必须在</w:t>
      </w:r>
      <w:r>
        <w:rPr>
          <w:rFonts w:hint="eastAsia" w:ascii="仿宋_GB2312" w:hAnsi="仿宋_GB2312" w:eastAsia="仿宋_GB2312" w:cs="仿宋_GB2312"/>
          <w:color w:val="000000" w:themeColor="text1"/>
          <w:sz w:val="28"/>
          <w:szCs w:val="28"/>
          <w:u w:val="none"/>
          <w14:textFill>
            <w14:solidFill>
              <w14:schemeClr w14:val="tx1"/>
            </w14:solidFill>
          </w14:textFill>
        </w:rPr>
        <w:t>202</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u w:val="none"/>
          <w14:textFill>
            <w14:solidFill>
              <w14:schemeClr w14:val="tx1"/>
            </w14:solidFill>
          </w14:textFill>
        </w:rPr>
        <w:t>年</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u w:val="none"/>
          <w14:textFill>
            <w14:solidFill>
              <w14:schemeClr w14:val="tx1"/>
            </w14:solidFill>
          </w14:textFill>
        </w:rPr>
        <w:t>日</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14:00-14:30</w:t>
      </w:r>
      <w:r>
        <w:rPr>
          <w:rFonts w:hint="eastAsia" w:ascii="仿宋_GB2312" w:hAnsi="仿宋_GB2312" w:eastAsia="仿宋_GB2312" w:cs="仿宋_GB2312"/>
          <w:color w:val="000000" w:themeColor="text1"/>
          <w:sz w:val="28"/>
          <w:szCs w:val="28"/>
          <w:u w:val="none"/>
          <w14:textFill>
            <w14:solidFill>
              <w14:schemeClr w14:val="tx1"/>
            </w14:solidFill>
          </w14:textFill>
        </w:rPr>
        <w:t>时</w:t>
      </w:r>
      <w:r>
        <w:rPr>
          <w:rFonts w:hint="eastAsia" w:ascii="仿宋_GB2312" w:hAnsi="仿宋_GB2312" w:eastAsia="仿宋_GB2312" w:cs="仿宋_GB2312"/>
          <w:color w:val="000000" w:themeColor="text1"/>
          <w:sz w:val="28"/>
          <w:szCs w:val="28"/>
          <w14:textFill>
            <w14:solidFill>
              <w14:schemeClr w14:val="tx1"/>
            </w14:solidFill>
          </w14:textFill>
        </w:rPr>
        <w:t>前送到重庆</w:t>
      </w:r>
      <w:r>
        <w:rPr>
          <w:rFonts w:hint="eastAsia" w:ascii="仿宋_GB2312" w:hAnsi="仿宋_GB2312" w:eastAsia="仿宋_GB2312" w:cs="仿宋_GB2312"/>
          <w:color w:val="000000" w:themeColor="text1"/>
          <w:sz w:val="28"/>
          <w:szCs w:val="28"/>
          <w:lang w:eastAsia="zh-CN"/>
          <w14:textFill>
            <w14:solidFill>
              <w14:schemeClr w14:val="tx1"/>
            </w14:solidFill>
          </w14:textFill>
        </w:rPr>
        <w:t>空港航空地面服务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有限公司110房间</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14:textFill>
            <w14:solidFill>
              <w14:schemeClr w14:val="tx1"/>
            </w14:solidFill>
          </w14:textFill>
        </w:rPr>
        <w:t>清单</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未按</w:t>
      </w:r>
      <w:r>
        <w:rPr>
          <w:rFonts w:hint="eastAsia" w:ascii="仿宋_GB2312" w:hAnsi="仿宋_GB2312" w:eastAsia="仿宋_GB2312" w:cs="仿宋_GB2312"/>
          <w:color w:val="000000" w:themeColor="text1"/>
          <w:kern w:val="0"/>
          <w:sz w:val="28"/>
          <w:szCs w:val="28"/>
          <w14:textFill>
            <w14:solidFill>
              <w14:schemeClr w14:val="tx1"/>
            </w14:solidFill>
          </w14:textFill>
        </w:rPr>
        <w:t>要求盖章或签字及</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8"/>
          <w:sz w:val="28"/>
          <w:szCs w:val="28"/>
          <w14:textFill>
            <w14:solidFill>
              <w14:schemeClr w14:val="tx1"/>
            </w14:solidFill>
          </w14:textFill>
        </w:rPr>
        <w:t>加盖比选响应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pacing w:val="-8"/>
          <w:sz w:val="28"/>
          <w:szCs w:val="28"/>
          <w14:textFill>
            <w14:solidFill>
              <w14:schemeClr w14:val="tx1"/>
            </w14:solidFill>
          </w14:textFill>
        </w:rPr>
        <w:t>公章。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.2比选响应文件散装或者活页装订的；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.3资质不符合比选文件要求的；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.4有串通比选或弄虚作假或有其他违法行为的；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.5比选响应文件无有效授权书的；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.6比选有效期不足的；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.7未按规定的格式填写，内容不全或关键字迹模糊、无法辨认</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.8评审委员会审查发现比选响应文件未能对比选文件提出的所有实质性要求和条件作出响应的。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九</w:t>
      </w:r>
      <w:r>
        <w:rPr>
          <w:rFonts w:hint="eastAsia" w:ascii="黑体" w:hAnsi="黑体" w:eastAsia="黑体" w:cs="黑体"/>
          <w:b w:val="0"/>
          <w:bCs w:val="0"/>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异议书应同时提交至</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304</w:t>
      </w:r>
      <w:r>
        <w:rPr>
          <w:rFonts w:hint="eastAsia" w:ascii="仿宋_GB2312" w:hAnsi="仿宋_GB2312" w:eastAsia="仿宋_GB2312" w:cs="仿宋_GB2312"/>
          <w:color w:val="000000" w:themeColor="text1"/>
          <w:sz w:val="28"/>
          <w:szCs w:val="28"/>
          <w:lang w:eastAsia="zh-CN"/>
          <w14:textFill>
            <w14:solidFill>
              <w14:schemeClr w14:val="tx1"/>
            </w14:solidFill>
          </w14:textFill>
        </w:rPr>
        <w:t>办公室（地址：重庆空港航空地面服务有限公司办公楼；电话：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023-67153808）和</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110</w:t>
      </w:r>
      <w:r>
        <w:rPr>
          <w:rFonts w:hint="eastAsia" w:ascii="仿宋_GB2312" w:hAnsi="仿宋_GB2312" w:eastAsia="仿宋_GB2312" w:cs="仿宋_GB2312"/>
          <w:color w:val="000000" w:themeColor="text1"/>
          <w:sz w:val="28"/>
          <w:szCs w:val="28"/>
          <w:lang w:eastAsia="zh-CN"/>
          <w14:textFill>
            <w14:solidFill>
              <w14:schemeClr w14:val="tx1"/>
            </w14:solidFill>
          </w14:textFill>
        </w:rPr>
        <w:t>资产设备部（地址：重庆空港航空地面服务有限公司办公楼；电话：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023-67156351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w:t>
      </w:r>
      <w:r>
        <w:rPr>
          <w:rFonts w:hint="eastAsia" w:ascii="黑体" w:hAnsi="黑体" w:eastAsia="黑体" w:cs="黑体"/>
          <w:b w:val="0"/>
          <w:bCs w:val="0"/>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重庆空港航空地面服务有限公司党群工作部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十</w:t>
      </w:r>
      <w:r>
        <w:rPr>
          <w:rFonts w:hint="eastAsia" w:ascii="黑体" w:hAnsi="黑体" w:eastAsia="黑体" w:cs="黑体"/>
          <w:b w:val="0"/>
          <w:bCs w:val="0"/>
          <w:color w:val="000000" w:themeColor="text1"/>
          <w:sz w:val="28"/>
          <w:szCs w:val="28"/>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lang w:eastAsia="zh-CN"/>
          <w14:textFill>
            <w14:solidFill>
              <w14:schemeClr w14:val="tx1"/>
            </w14:solidFill>
          </w14:textFill>
        </w:rPr>
        <w:t>、比选时间、地点、结果通知</w:t>
      </w:r>
      <w:r>
        <w:rPr>
          <w:rFonts w:hint="eastAsia" w:ascii="黑体" w:hAnsi="黑体" w:eastAsia="黑体" w:cs="黑体"/>
          <w:b w:val="0"/>
          <w:bCs w:val="0"/>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14:00至14:30</w:t>
      </w:r>
      <w:r>
        <w:rPr>
          <w:rFonts w:hint="eastAsia" w:ascii="仿宋_GB2312" w:hAnsi="仿宋_GB2312" w:eastAsia="仿宋_GB2312" w:cs="仿宋_GB2312"/>
          <w:color w:val="000000" w:themeColor="text1"/>
          <w:sz w:val="28"/>
          <w:szCs w:val="28"/>
          <w14:textFill>
            <w14:solidFill>
              <w14:schemeClr w14:val="tx1"/>
            </w14:solidFill>
          </w14:textFill>
        </w:rPr>
        <w:t>时送到</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重庆空港航空地面服务有限公司110房间</w:t>
      </w:r>
      <w:r>
        <w:rPr>
          <w:rFonts w:hint="eastAsia" w:ascii="仿宋_GB2312" w:hAnsi="仿宋_GB2312" w:eastAsia="仿宋_GB2312" w:cs="仿宋_GB2312"/>
          <w:color w:val="000000" w:themeColor="text1"/>
          <w:sz w:val="28"/>
          <w:szCs w:val="28"/>
          <w:u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11.2 2021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14:30</w:t>
      </w:r>
      <w:r>
        <w:rPr>
          <w:rFonts w:hint="eastAsia" w:ascii="仿宋_GB2312" w:hAnsi="仿宋_GB2312" w:eastAsia="仿宋_GB2312" w:cs="仿宋_GB2312"/>
          <w:color w:val="000000" w:themeColor="text1"/>
          <w:sz w:val="28"/>
          <w:szCs w:val="28"/>
          <w14:textFill>
            <w14:solidFill>
              <w14:schemeClr w14:val="tx1"/>
            </w14:solidFill>
          </w14:textFill>
        </w:rPr>
        <w:t>时在</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重庆空港航空地面服务有限公司209会议</w:t>
      </w:r>
      <w:r>
        <w:rPr>
          <w:rFonts w:hint="eastAsia" w:ascii="仿宋_GB2312" w:hAnsi="仿宋_GB2312" w:eastAsia="仿宋_GB2312" w:cs="仿宋_GB2312"/>
          <w:color w:val="000000" w:themeColor="text1"/>
          <w:sz w:val="28"/>
          <w:szCs w:val="28"/>
          <w:u w:val="none"/>
          <w14:textFill>
            <w14:solidFill>
              <w14:schemeClr w14:val="tx1"/>
            </w14:solidFill>
          </w14:textFill>
        </w:rPr>
        <w:t>室对本项目进</w:t>
      </w:r>
      <w:r>
        <w:rPr>
          <w:rFonts w:hint="eastAsia" w:ascii="仿宋_GB2312" w:hAnsi="仿宋_GB2312" w:eastAsia="仿宋_GB2312" w:cs="仿宋_GB2312"/>
          <w:color w:val="000000" w:themeColor="text1"/>
          <w:sz w:val="28"/>
          <w:szCs w:val="28"/>
          <w14:textFill>
            <w14:solidFill>
              <w14:schemeClr w14:val="tx1"/>
            </w14:solidFill>
          </w14:textFill>
        </w:rPr>
        <w:t>行比选，各比选响应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.3 各潜在比选响应人如有疑问，请将加盖公章的书面质疑函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WORD版、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PDF版</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至少于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2021年12月28</w:t>
      </w:r>
      <w:bookmarkStart w:id="2" w:name="_GoBack"/>
      <w:bookmarkEnd w:id="2"/>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日前</w:t>
      </w:r>
      <w:r>
        <w:rPr>
          <w:rFonts w:hint="eastAsia" w:ascii="仿宋_GB2312" w:hAnsi="仿宋_GB2312" w:eastAsia="仿宋_GB2312" w:cs="仿宋_GB2312"/>
          <w:color w:val="000000" w:themeColor="text1"/>
          <w:sz w:val="28"/>
          <w:szCs w:val="28"/>
          <w:highlight w:val="none"/>
          <w14:textFill>
            <w14:solidFill>
              <w14:schemeClr w14:val="tx1"/>
            </w14:solidFill>
          </w14:textFill>
        </w:rPr>
        <w:t>通过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邮件</w:t>
      </w:r>
      <w:r>
        <w:rPr>
          <w:rFonts w:hint="eastAsia" w:ascii="仿宋_GB2312" w:hAnsi="仿宋_GB2312" w:eastAsia="仿宋_GB2312" w:cs="仿宋_GB2312"/>
          <w:color w:val="000000" w:themeColor="text1"/>
          <w:sz w:val="28"/>
          <w:szCs w:val="28"/>
          <w:highlight w:val="none"/>
          <w14:textFill>
            <w14:solidFill>
              <w14:schemeClr w14:val="tx1"/>
            </w14:solidFill>
          </w14:textFill>
        </w:rPr>
        <w:t>的形式发送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至以下邮箱：zhengyu@cqa.cn</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11.4  参加比选唱价会议的比选响应人的被授权人应当随身携带本人身份证（原件）和授权委托书（原件），以备核验其合法身份。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比选响应人若未派被授权人出席比选唱价会议，视为该比选响应人默认比选唱价结果。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比选响应人一经递交比选响应文件，不得查阅、取回递交的响应文件。</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比选结果</w:t>
      </w:r>
      <w:r>
        <w:rPr>
          <w:rFonts w:hint="eastAsia" w:ascii="仿宋_GB2312" w:hAnsi="仿宋_GB2312" w:eastAsia="仿宋_GB2312" w:cs="仿宋_GB2312"/>
          <w:color w:val="000000" w:themeColor="text1"/>
          <w:sz w:val="28"/>
          <w:szCs w:val="28"/>
          <w:lang w:eastAsia="zh-CN"/>
          <w14:textFill>
            <w14:solidFill>
              <w14:schemeClr w14:val="tx1"/>
            </w14:solidFill>
          </w14:textFill>
        </w:rPr>
        <w:t>通知</w:t>
      </w:r>
      <w:r>
        <w:rPr>
          <w:rFonts w:hint="eastAsia" w:ascii="仿宋_GB2312" w:hAnsi="仿宋_GB2312" w:eastAsia="仿宋_GB2312" w:cs="仿宋_GB2312"/>
          <w:color w:val="000000" w:themeColor="text1"/>
          <w:sz w:val="28"/>
          <w:szCs w:val="28"/>
          <w14:textFill>
            <w14:solidFill>
              <w14:schemeClr w14:val="tx1"/>
            </w14:solidFill>
          </w14:textFill>
        </w:rPr>
        <w:t>：待结果确定后</w:t>
      </w:r>
      <w:r>
        <w:rPr>
          <w:rFonts w:hint="eastAsia" w:ascii="仿宋_GB2312" w:hAnsi="仿宋_GB2312" w:eastAsia="仿宋_GB2312" w:cs="仿宋_GB2312"/>
          <w:color w:val="000000" w:themeColor="text1"/>
          <w:sz w:val="28"/>
          <w:szCs w:val="28"/>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拟成交结果公示。</w:t>
      </w:r>
      <w:r>
        <w:rPr>
          <w:rFonts w:hint="eastAsia" w:ascii="仿宋_GB2312" w:hAnsi="仿宋_GB2312" w:eastAsia="仿宋_GB2312" w:cs="仿宋_GB2312"/>
          <w:color w:val="000000" w:themeColor="text1"/>
          <w:sz w:val="28"/>
          <w:szCs w:val="28"/>
          <w:highlight w:val="none"/>
          <w14:textFill>
            <w14:solidFill>
              <w14:schemeClr w14:val="tx1"/>
            </w14:solidFill>
          </w14:textFill>
        </w:rPr>
        <w:t>待结果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经比选人内部决策程序</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确定后会及时通知，原则上只通知被选中的比选响应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对未被选中的比选响应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不通知</w:t>
      </w:r>
      <w:r>
        <w:rPr>
          <w:rFonts w:hint="eastAsia" w:ascii="仿宋_GB2312" w:hAnsi="仿宋_GB2312" w:eastAsia="仿宋_GB2312" w:cs="仿宋_GB2312"/>
          <w:color w:val="000000" w:themeColor="text1"/>
          <w:sz w:val="28"/>
          <w:szCs w:val="28"/>
          <w14:textFill>
            <w14:solidFill>
              <w14:schemeClr w14:val="tx1"/>
            </w14:solidFill>
          </w14:textFill>
        </w:rPr>
        <w:t>、不解释。</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11.7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合同签订：比选响应人接到成交通知后，应在20天内按比选采购文件和比选响应文件与</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签订书面合同。</w:t>
      </w:r>
    </w:p>
    <w:p>
      <w:pPr>
        <w:keepNext w:val="0"/>
        <w:keepLines w:val="0"/>
        <w:pageBreakBefore w:val="0"/>
        <w:kinsoku/>
        <w:wordWrap/>
        <w:overflowPunct/>
        <w:topLinePunct w:val="0"/>
        <w:bidi w:val="0"/>
        <w:snapToGrid w:val="0"/>
        <w:spacing w:line="560" w:lineRule="exact"/>
        <w:ind w:firstLine="548" w:firstLineChars="196"/>
        <w:rPr>
          <w:rFonts w:hint="eastAsia" w:ascii="黑体" w:hAnsi="黑体" w:eastAsia="黑体" w:cs="黑体"/>
          <w:b w:val="0"/>
          <w:bCs/>
          <w:sz w:val="28"/>
          <w:szCs w:val="28"/>
        </w:rPr>
      </w:pPr>
      <w:r>
        <w:rPr>
          <w:rFonts w:hint="eastAsia" w:ascii="黑体" w:hAnsi="黑体" w:eastAsia="黑体" w:cs="黑体"/>
          <w:b w:val="0"/>
          <w:bCs/>
          <w:color w:val="000000"/>
          <w:sz w:val="28"/>
          <w:szCs w:val="28"/>
        </w:rPr>
        <w:t>十</w:t>
      </w:r>
      <w:r>
        <w:rPr>
          <w:rFonts w:hint="eastAsia" w:ascii="黑体" w:hAnsi="黑体" w:eastAsia="黑体" w:cs="黑体"/>
          <w:b w:val="0"/>
          <w:bCs/>
          <w:color w:val="000000"/>
          <w:sz w:val="28"/>
          <w:szCs w:val="28"/>
          <w:lang w:val="en-US" w:eastAsia="zh-CN"/>
        </w:rPr>
        <w:t>二</w:t>
      </w:r>
      <w:r>
        <w:rPr>
          <w:rFonts w:hint="eastAsia" w:ascii="黑体" w:hAnsi="黑体" w:eastAsia="黑体" w:cs="黑体"/>
          <w:b w:val="0"/>
          <w:bCs/>
          <w:color w:val="000000"/>
          <w:sz w:val="28"/>
          <w:szCs w:val="28"/>
        </w:rPr>
        <w:t>、</w:t>
      </w:r>
      <w:r>
        <w:rPr>
          <w:rFonts w:hint="eastAsia" w:ascii="黑体" w:hAnsi="黑体" w:eastAsia="黑体" w:cs="黑体"/>
          <w:b w:val="0"/>
          <w:bCs/>
          <w:sz w:val="28"/>
          <w:szCs w:val="28"/>
        </w:rPr>
        <w:t>联系方式</w:t>
      </w:r>
    </w:p>
    <w:p>
      <w:pPr>
        <w:keepNext w:val="0"/>
        <w:keepLines w:val="0"/>
        <w:pageBreakBefore w:val="0"/>
        <w:kinsoku/>
        <w:wordWrap/>
        <w:overflowPunct/>
        <w:topLinePunct w:val="0"/>
        <w:bidi w:val="0"/>
        <w:snapToGrid w:val="0"/>
        <w:spacing w:line="560" w:lineRule="exact"/>
        <w:ind w:firstLine="548" w:firstLineChars="196"/>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业主：</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联系人：郑老师</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电话：023-67156351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传真：023-67153291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邮编：401120</w:t>
      </w:r>
      <w:bookmarkStart w:id="1" w:name="_Toc7485"/>
    </w:p>
    <w:p>
      <w:pP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br w:type="page"/>
      </w:r>
    </w:p>
    <w:p>
      <w:pPr>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t>比选办法（综合评分法）</w:t>
      </w:r>
    </w:p>
    <w:p>
      <w:pPr>
        <w:pStyle w:val="16"/>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评定因素分别按照相应分值计算分项得分后相加，满分为100分。</w:t>
      </w:r>
    </w:p>
    <w:p>
      <w:pPr>
        <w:pStyle w:val="16"/>
        <w:keepNext w:val="0"/>
        <w:keepLines w:val="0"/>
        <w:pageBreakBefore w:val="0"/>
        <w:kinsoku/>
        <w:wordWrap/>
        <w:overflowPunct/>
        <w:topLinePunct w:val="0"/>
        <w:bidi w:val="0"/>
        <w:spacing w:line="560" w:lineRule="exact"/>
        <w:ind w:firstLine="562"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1"/>
    </w:p>
    <w:tbl>
      <w:tblPr>
        <w:tblStyle w:val="17"/>
        <w:tblW w:w="9535"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450"/>
        <w:gridCol w:w="825"/>
        <w:gridCol w:w="6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条款号</w:t>
            </w:r>
          </w:p>
        </w:tc>
        <w:tc>
          <w:tcPr>
            <w:tcW w:w="1450" w:type="dxa"/>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条款内容</w:t>
            </w:r>
          </w:p>
        </w:tc>
        <w:tc>
          <w:tcPr>
            <w:tcW w:w="6950" w:type="dxa"/>
            <w:gridSpan w:val="2"/>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450"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分值构成</w:t>
            </w:r>
          </w:p>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（总分100分）</w:t>
            </w:r>
          </w:p>
        </w:tc>
        <w:tc>
          <w:tcPr>
            <w:tcW w:w="695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ind w:firstLine="420" w:firstLineChars="200"/>
              <w:textAlignment w:val="auto"/>
              <w:outlineLvl w:val="9"/>
              <w:rPr>
                <w:rFonts w:hint="default" w:eastAsia="方正仿宋_GBK" w:cs="Times New Roman"/>
                <w:color w:val="000000"/>
                <w:sz w:val="21"/>
                <w:szCs w:val="21"/>
                <w:lang w:val="en-US" w:eastAsia="zh-CN"/>
              </w:rPr>
            </w:pPr>
            <w:r>
              <w:rPr>
                <w:rFonts w:hint="default" w:eastAsia="方正仿宋_GBK" w:cs="Times New Roman"/>
                <w:color w:val="000000"/>
                <w:sz w:val="21"/>
                <w:szCs w:val="21"/>
                <w:lang w:val="en-US" w:eastAsia="zh-CN"/>
              </w:rPr>
              <w:t>总分=经济部分得分+技术部分得分+商务部分得分</w:t>
            </w:r>
          </w:p>
          <w:p>
            <w:pPr>
              <w:keepNext w:val="0"/>
              <w:keepLines w:val="0"/>
              <w:pageBreakBefore w:val="0"/>
              <w:widowControl w:val="0"/>
              <w:kinsoku/>
              <w:wordWrap/>
              <w:overflowPunct/>
              <w:topLinePunct w:val="0"/>
              <w:autoSpaceDE/>
              <w:autoSpaceDN/>
              <w:bidi w:val="0"/>
              <w:snapToGrid w:val="0"/>
              <w:spacing w:line="500" w:lineRule="exact"/>
              <w:ind w:firstLine="420" w:firstLineChars="200"/>
              <w:textAlignment w:val="auto"/>
              <w:outlineLvl w:val="9"/>
              <w:rPr>
                <w:rFonts w:hint="default" w:ascii="Times New Roman" w:hAnsi="Times New Roman" w:eastAsia="方正仿宋_GBK" w:cs="Times New Roman"/>
                <w:color w:val="000000"/>
                <w:szCs w:val="21"/>
                <w:lang w:val="en-US" w:eastAsia="zh-CN"/>
              </w:rPr>
            </w:pPr>
            <w:r>
              <w:rPr>
                <w:rFonts w:hint="default" w:eastAsia="方正仿宋_GBK" w:cs="Times New Roman"/>
                <w:color w:val="000000"/>
                <w:sz w:val="21"/>
                <w:szCs w:val="21"/>
                <w:lang w:val="en-US" w:eastAsia="zh-CN"/>
              </w:rPr>
              <w:t>经济部分：</w:t>
            </w:r>
            <w:r>
              <w:rPr>
                <w:rFonts w:hint="eastAsia" w:eastAsia="方正仿宋_GBK" w:cs="Times New Roman"/>
                <w:color w:val="000000"/>
                <w:sz w:val="21"/>
                <w:szCs w:val="21"/>
                <w:lang w:val="en-US" w:eastAsia="zh-CN"/>
              </w:rPr>
              <w:t>70</w:t>
            </w:r>
            <w:r>
              <w:rPr>
                <w:rFonts w:hint="default" w:eastAsia="方正仿宋_GBK" w:cs="Times New Roman"/>
                <w:color w:val="000000"/>
                <w:sz w:val="21"/>
                <w:szCs w:val="21"/>
                <w:lang w:val="en-US" w:eastAsia="zh-CN"/>
              </w:rPr>
              <w:t>分；技术部分：</w:t>
            </w:r>
            <w:r>
              <w:rPr>
                <w:rFonts w:hint="eastAsia" w:eastAsia="方正仿宋_GBK" w:cs="Times New Roman"/>
                <w:color w:val="000000"/>
                <w:sz w:val="21"/>
                <w:szCs w:val="21"/>
                <w:lang w:val="en-US" w:eastAsia="zh-CN"/>
              </w:rPr>
              <w:t>15</w:t>
            </w:r>
            <w:r>
              <w:rPr>
                <w:rFonts w:hint="default" w:eastAsia="方正仿宋_GBK" w:cs="Times New Roman"/>
                <w:color w:val="000000"/>
                <w:sz w:val="21"/>
                <w:szCs w:val="21"/>
                <w:lang w:val="en-US" w:eastAsia="zh-CN"/>
              </w:rPr>
              <w:t>分；商务部分：</w:t>
            </w:r>
            <w:r>
              <w:rPr>
                <w:rFonts w:hint="eastAsia" w:eastAsia="方正仿宋_GBK" w:cs="Times New Roman"/>
                <w:color w:val="000000"/>
                <w:sz w:val="21"/>
                <w:szCs w:val="21"/>
                <w:lang w:val="en-US" w:eastAsia="zh-CN"/>
              </w:rPr>
              <w:t>15</w:t>
            </w:r>
            <w:r>
              <w:rPr>
                <w:rFonts w:hint="default" w:eastAsia="方正仿宋_GBK" w:cs="Times New Roman"/>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条款号</w:t>
            </w:r>
          </w:p>
        </w:tc>
        <w:tc>
          <w:tcPr>
            <w:tcW w:w="145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评审因素</w:t>
            </w:r>
          </w:p>
        </w:tc>
        <w:tc>
          <w:tcPr>
            <w:tcW w:w="82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分值</w:t>
            </w:r>
          </w:p>
        </w:tc>
        <w:tc>
          <w:tcPr>
            <w:tcW w:w="6125" w:type="dxa"/>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2.1</w:t>
            </w:r>
          </w:p>
        </w:tc>
        <w:tc>
          <w:tcPr>
            <w:tcW w:w="145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经济部分评分标准</w:t>
            </w:r>
          </w:p>
        </w:tc>
        <w:tc>
          <w:tcPr>
            <w:tcW w:w="82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eastAsia" w:eastAsia="方正仿宋_GBK" w:cs="Times New Roman"/>
                <w:b/>
                <w:color w:val="000000"/>
                <w:sz w:val="28"/>
                <w:szCs w:val="28"/>
                <w:lang w:val="en-US" w:eastAsia="zh-CN"/>
              </w:rPr>
              <w:t>70</w:t>
            </w:r>
            <w:r>
              <w:rPr>
                <w:rFonts w:hint="default" w:ascii="Times New Roman" w:hAnsi="Times New Roman" w:eastAsia="方正仿宋_GBK" w:cs="Times New Roman"/>
                <w:b/>
                <w:color w:val="000000"/>
                <w:sz w:val="28"/>
                <w:szCs w:val="28"/>
                <w:lang w:val="en-US" w:eastAsia="zh-CN"/>
              </w:rPr>
              <w:t>分</w:t>
            </w:r>
          </w:p>
        </w:tc>
        <w:tc>
          <w:tcPr>
            <w:tcW w:w="6125" w:type="dxa"/>
            <w:tcBorders>
              <w:left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所有经初步评审合格的不含税总报价中去掉1/6（不能整除的按小数前整数取整，不足六家（含）报价则不去掉）的最高价和相同家数的最低价后进行算术平均，所得的算术平均值即为评审基准价。</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报价的偏差率计算公式：</w:t>
            </w:r>
          </w:p>
          <w:p>
            <w:pPr>
              <w:snapToGrid w:val="0"/>
              <w:spacing w:line="500" w:lineRule="exact"/>
              <w:ind w:firstLine="420" w:firstLineChars="200"/>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偏差率=1OO％×(比选响应人报价一评审基准价)／评审基准价    </w:t>
            </w:r>
          </w:p>
          <w:p>
            <w:pPr>
              <w:autoSpaceDE/>
              <w:autoSpaceDN/>
              <w:snapToGrid w:val="0"/>
              <w:spacing w:line="500" w:lineRule="exact"/>
              <w:ind w:firstLine="420" w:firstLineChars="200"/>
              <w:outlineLvl w:val="9"/>
              <w:rPr>
                <w:rFonts w:hint="default" w:ascii="Times New Roman" w:hAnsi="Times New Roman" w:eastAsia="方正仿宋_GBK" w:cs="Times New Roman"/>
                <w:b/>
                <w:color w:val="000000"/>
                <w:kern w:val="0"/>
                <w:sz w:val="28"/>
                <w:szCs w:val="28"/>
              </w:rPr>
            </w:pPr>
            <w:r>
              <w:rPr>
                <w:rFonts w:hint="eastAsia" w:ascii="宋体" w:hAnsi="宋体" w:eastAsia="宋体" w:cs="宋体"/>
                <w:b w:val="0"/>
                <w:color w:val="000000"/>
                <w:kern w:val="2"/>
                <w:sz w:val="21"/>
                <w:szCs w:val="21"/>
                <w:lang w:val="en-US" w:eastAsia="zh-CN" w:bidi="ar-SA"/>
              </w:rPr>
              <w:t>所有经初步评审合格的比选响应人的不含税总报价与评审基准价进行比较，等于评审基准价的得</w:t>
            </w:r>
            <w:r>
              <w:rPr>
                <w:rFonts w:hint="eastAsia" w:ascii="宋体" w:hAnsi="宋体" w:cs="宋体"/>
                <w:b w:val="0"/>
                <w:color w:val="000000"/>
                <w:kern w:val="2"/>
                <w:sz w:val="21"/>
                <w:szCs w:val="21"/>
                <w:lang w:val="en-US" w:eastAsia="zh-CN" w:bidi="ar-SA"/>
              </w:rPr>
              <w:t>70</w:t>
            </w:r>
            <w:r>
              <w:rPr>
                <w:rFonts w:hint="eastAsia" w:ascii="宋体" w:hAnsi="宋体" w:eastAsia="宋体" w:cs="宋体"/>
                <w:b w:val="0"/>
                <w:color w:val="000000"/>
                <w:kern w:val="2"/>
                <w:sz w:val="21"/>
                <w:szCs w:val="21"/>
                <w:lang w:val="en-US" w:eastAsia="zh-CN" w:bidi="ar-SA"/>
              </w:rPr>
              <w:t>分；有效报价与评审基准价格相比，每增加1％扣0.5分，每减少1％扣0.3分；扣完为止。</w:t>
            </w:r>
            <w:r>
              <w:rPr>
                <w:rFonts w:hint="default" w:ascii="Times New Roman" w:hAnsi="Times New Roman" w:eastAsia="方正仿宋_GBK" w:cs="Times New Roman"/>
                <w:bCs/>
                <w:color w:val="00000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2"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2.</w:t>
            </w:r>
            <w:r>
              <w:rPr>
                <w:rFonts w:hint="default" w:ascii="Times New Roman" w:hAnsi="Times New Roman" w:eastAsia="方正仿宋_GBK" w:cs="Times New Roman"/>
                <w:b/>
                <w:bCs/>
                <w:color w:val="000000"/>
                <w:sz w:val="28"/>
                <w:szCs w:val="28"/>
                <w:lang w:val="en-US" w:eastAsia="zh-CN"/>
              </w:rPr>
              <w:t>2</w:t>
            </w:r>
          </w:p>
        </w:tc>
        <w:tc>
          <w:tcPr>
            <w:tcW w:w="145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技术</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标准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eastAsia" w:eastAsia="方正仿宋_GBK" w:cs="Times New Roman"/>
                <w:b/>
                <w:bCs/>
                <w:color w:val="000000"/>
                <w:sz w:val="28"/>
                <w:szCs w:val="28"/>
                <w:lang w:val="en-US" w:eastAsia="zh-CN"/>
              </w:rPr>
              <w:t>15</w:t>
            </w:r>
            <w:r>
              <w:rPr>
                <w:rFonts w:hint="default" w:ascii="Times New Roman" w:hAnsi="Times New Roman" w:eastAsia="方正仿宋_GBK" w:cs="Times New Roman"/>
                <w:b/>
                <w:bCs/>
                <w:color w:val="000000"/>
                <w:sz w:val="28"/>
                <w:szCs w:val="28"/>
              </w:rPr>
              <w:t>分</w:t>
            </w:r>
          </w:p>
        </w:tc>
        <w:tc>
          <w:tcPr>
            <w:tcW w:w="6125" w:type="dxa"/>
            <w:tcBorders>
              <w:left w:val="single" w:color="auto" w:sz="4" w:space="0"/>
              <w:bottom w:val="single" w:color="auto" w:sz="4" w:space="0"/>
            </w:tcBorders>
            <w:vAlign w:val="center"/>
          </w:tcPr>
          <w:p>
            <w:pPr>
              <w:snapToGrid w:val="0"/>
              <w:spacing w:line="500" w:lineRule="exact"/>
              <w:ind w:firstLine="420" w:firstLineChars="200"/>
              <w:jc w:val="both"/>
              <w:outlineLvl w:val="9"/>
              <w:rPr>
                <w:rFonts w:hint="default"/>
                <w:lang w:val="en-US" w:eastAsia="zh-CN"/>
              </w:rPr>
            </w:pPr>
            <w:r>
              <w:rPr>
                <w:rFonts w:hint="default"/>
                <w:lang w:val="en-US" w:eastAsia="zh-CN"/>
              </w:rPr>
              <w:t>1.</w:t>
            </w:r>
            <w:r>
              <w:rPr>
                <w:rFonts w:hint="eastAsia"/>
                <w:lang w:val="en-US" w:eastAsia="zh-CN"/>
              </w:rPr>
              <w:t>防锈工艺</w:t>
            </w:r>
            <w:r>
              <w:rPr>
                <w:rFonts w:hint="default"/>
                <w:lang w:val="en-US" w:eastAsia="zh-CN"/>
              </w:rPr>
              <w:t>（</w:t>
            </w:r>
            <w:r>
              <w:rPr>
                <w:rFonts w:hint="eastAsia"/>
                <w:lang w:val="en-US" w:eastAsia="zh-CN"/>
              </w:rPr>
              <w:t>5</w:t>
            </w:r>
            <w:r>
              <w:rPr>
                <w:rFonts w:hint="default"/>
                <w:lang w:val="en-US" w:eastAsia="zh-CN"/>
              </w:rPr>
              <w:t>分）</w:t>
            </w:r>
          </w:p>
          <w:p>
            <w:pPr>
              <w:snapToGrid w:val="0"/>
              <w:spacing w:line="500" w:lineRule="exact"/>
              <w:ind w:firstLine="420" w:firstLineChars="200"/>
              <w:jc w:val="both"/>
              <w:outlineLvl w:val="9"/>
              <w:rPr>
                <w:rFonts w:hint="eastAsia"/>
                <w:lang w:val="en-US" w:eastAsia="zh-CN"/>
              </w:rPr>
            </w:pPr>
            <w:r>
              <w:rPr>
                <w:rFonts w:hint="eastAsia"/>
                <w:lang w:val="en-US" w:eastAsia="zh-CN"/>
              </w:rPr>
              <w:t>整车表面涂层采用热镀锌工艺的得5分；采用喷锌工艺的得3分；采用镀锌工艺的不得分。</w:t>
            </w:r>
          </w:p>
          <w:p>
            <w:pPr>
              <w:pStyle w:val="2"/>
              <w:rPr>
                <w:rFonts w:hint="default"/>
                <w:lang w:val="en-US" w:eastAsia="zh-CN"/>
              </w:rPr>
            </w:pPr>
            <w:r>
              <w:rPr>
                <w:rFonts w:hint="eastAsia" w:ascii="宋体" w:hAnsi="宋体" w:cs="宋体"/>
                <w:color w:val="000000"/>
                <w:sz w:val="21"/>
                <w:szCs w:val="21"/>
                <w:lang w:val="en-US" w:eastAsia="zh-CN"/>
              </w:rPr>
              <w:t>（提供防锈工艺设备的购置合同、租赁合同或委托加工合同）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轮胎</w:t>
            </w:r>
            <w:r>
              <w:rPr>
                <w:rFonts w:hint="default"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6</w:t>
            </w:r>
            <w:r>
              <w:rPr>
                <w:rFonts w:hint="default"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提供配置轮胎的检测报告（</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分）。根据检测报告显示的其原材料指数、强度指数、伸长率等量化指标方面进行比较评分。（好</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分，一般</w:t>
            </w:r>
            <w:r>
              <w:rPr>
                <w:rFonts w:hint="eastAsia" w:ascii="宋体" w:hAnsi="宋体" w:cs="宋体"/>
                <w:color w:val="000000"/>
                <w:sz w:val="21"/>
                <w:szCs w:val="21"/>
                <w:lang w:val="en-US" w:eastAsia="zh-CN"/>
              </w:rPr>
              <w:t>2-3</w:t>
            </w:r>
            <w:r>
              <w:rPr>
                <w:rFonts w:hint="eastAsia" w:ascii="宋体" w:hAnsi="宋体" w:eastAsia="宋体" w:cs="宋体"/>
                <w:color w:val="000000"/>
                <w:sz w:val="21"/>
                <w:szCs w:val="21"/>
                <w:lang w:val="en-US" w:eastAsia="zh-CN"/>
              </w:rPr>
              <w:t>分，差0</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default"/>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提供轮胎设计、使用的详细说明（</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分）。根据轮胎设计的合理性、保养的便利性，结合现场运行综合评分。（好</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分，一般</w:t>
            </w:r>
            <w:r>
              <w:rPr>
                <w:rFonts w:hint="eastAsia" w:ascii="宋体" w:hAnsi="宋体" w:cs="宋体"/>
                <w:color w:val="000000"/>
                <w:sz w:val="21"/>
                <w:szCs w:val="21"/>
                <w:lang w:val="en-US" w:eastAsia="zh-CN"/>
              </w:rPr>
              <w:t>2-3</w:t>
            </w:r>
            <w:r>
              <w:rPr>
                <w:rFonts w:hint="eastAsia" w:ascii="宋体" w:hAnsi="宋体" w:eastAsia="宋体" w:cs="宋体"/>
                <w:color w:val="000000"/>
                <w:sz w:val="21"/>
                <w:szCs w:val="21"/>
                <w:lang w:val="en-US" w:eastAsia="zh-CN"/>
              </w:rPr>
              <w:t>分，差</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.质保期内的质保服务方案（4分）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提供质保期内保养、保修的后期服务方案及详细说明。评审将结合现场运行模式，从方案的时效性、经济性角度评分。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满分4分（好4分，一般2-3分，差0-1分）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2.3</w:t>
            </w:r>
          </w:p>
        </w:tc>
        <w:tc>
          <w:tcPr>
            <w:tcW w:w="1450"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商务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rPr>
              <w:t>标准</w:t>
            </w:r>
          </w:p>
        </w:tc>
        <w:tc>
          <w:tcPr>
            <w:tcW w:w="82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eastAsia" w:eastAsia="方正仿宋_GBK" w:cs="Times New Roman"/>
                <w:b/>
                <w:bCs/>
                <w:color w:val="000000"/>
                <w:sz w:val="28"/>
                <w:szCs w:val="28"/>
                <w:lang w:val="en-US" w:eastAsia="zh-CN"/>
              </w:rPr>
              <w:t>15</w:t>
            </w:r>
            <w:r>
              <w:rPr>
                <w:rFonts w:hint="default" w:ascii="Times New Roman" w:hAnsi="Times New Roman" w:eastAsia="方正仿宋_GBK" w:cs="Times New Roman"/>
                <w:b/>
                <w:bCs/>
                <w:color w:val="000000"/>
                <w:sz w:val="28"/>
                <w:szCs w:val="28"/>
                <w:lang w:val="en-US" w:eastAsia="zh-CN"/>
              </w:rPr>
              <w:t>分</w:t>
            </w:r>
          </w:p>
        </w:tc>
        <w:tc>
          <w:tcPr>
            <w:tcW w:w="6125" w:type="dxa"/>
            <w:tcBorders>
              <w:left w:val="single" w:color="auto" w:sz="4" w:space="0"/>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1.业绩（</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自2018年1月1日至今，在国内市场累计销售</w:t>
            </w:r>
            <w:r>
              <w:rPr>
                <w:rFonts w:hint="eastAsia" w:ascii="宋体" w:hAnsi="宋体" w:cs="宋体"/>
                <w:color w:val="000000"/>
                <w:sz w:val="21"/>
                <w:szCs w:val="21"/>
                <w:lang w:val="en-US" w:eastAsia="zh-CN"/>
              </w:rPr>
              <w:t>集装托架</w:t>
            </w:r>
            <w:r>
              <w:rPr>
                <w:rFonts w:hint="eastAsia" w:ascii="宋体" w:hAnsi="宋体" w:eastAsia="宋体" w:cs="宋体"/>
                <w:color w:val="000000"/>
                <w:sz w:val="21"/>
                <w:szCs w:val="21"/>
                <w:lang w:val="en-US" w:eastAsia="zh-CN"/>
              </w:rPr>
              <w:t>类</w:t>
            </w:r>
            <w:r>
              <w:rPr>
                <w:rFonts w:hint="eastAsia" w:ascii="宋体" w:hAnsi="宋体" w:cs="宋体"/>
                <w:color w:val="000000"/>
                <w:sz w:val="21"/>
                <w:szCs w:val="21"/>
                <w:lang w:val="en-US" w:eastAsia="zh-CN"/>
              </w:rPr>
              <w:t>（PMC、AKE）</w:t>
            </w:r>
            <w:r>
              <w:rPr>
                <w:rFonts w:hint="eastAsia" w:ascii="宋体" w:hAnsi="宋体" w:eastAsia="宋体" w:cs="宋体"/>
                <w:color w:val="000000"/>
                <w:sz w:val="21"/>
                <w:szCs w:val="21"/>
                <w:lang w:val="en-US" w:eastAsia="zh-CN"/>
              </w:rPr>
              <w:t>达到</w:t>
            </w:r>
            <w:r>
              <w:rPr>
                <w:rFonts w:hint="eastAsia" w:ascii="宋体" w:hAnsi="宋体" w:cs="宋体"/>
                <w:color w:val="000000"/>
                <w:sz w:val="21"/>
                <w:szCs w:val="21"/>
                <w:lang w:val="en-US" w:eastAsia="zh-CN"/>
              </w:rPr>
              <w:t>500</w:t>
            </w:r>
            <w:r>
              <w:rPr>
                <w:rFonts w:hint="eastAsia" w:ascii="宋体" w:hAnsi="宋体" w:eastAsia="宋体" w:cs="宋体"/>
                <w:color w:val="000000"/>
                <w:sz w:val="21"/>
                <w:szCs w:val="21"/>
                <w:lang w:val="en-US" w:eastAsia="zh-CN"/>
              </w:rPr>
              <w:t>辆的得</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分，每增加</w:t>
            </w:r>
            <w:r>
              <w:rPr>
                <w:rFonts w:hint="eastAsia" w:ascii="宋体" w:hAnsi="宋体" w:cs="宋体"/>
                <w:color w:val="000000"/>
                <w:sz w:val="21"/>
                <w:szCs w:val="21"/>
                <w:lang w:val="en-US" w:eastAsia="zh-CN"/>
              </w:rPr>
              <w:t>100</w:t>
            </w:r>
            <w:r>
              <w:rPr>
                <w:rFonts w:hint="eastAsia" w:ascii="宋体" w:hAnsi="宋体" w:eastAsia="宋体" w:cs="宋体"/>
                <w:color w:val="000000"/>
                <w:sz w:val="21"/>
                <w:szCs w:val="21"/>
                <w:lang w:val="en-US" w:eastAsia="zh-CN"/>
              </w:rPr>
              <w:t>辆加1分，最多得</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分。</w:t>
            </w:r>
          </w:p>
          <w:p>
            <w:pPr>
              <w:snapToGrid w:val="0"/>
              <w:spacing w:line="500" w:lineRule="exact"/>
              <w:jc w:val="both"/>
              <w:outlineLvl w:val="9"/>
              <w:rPr>
                <w:rFonts w:hint="default"/>
                <w:lang w:val="en-US" w:eastAsia="zh-CN"/>
              </w:rPr>
            </w:pPr>
            <w:r>
              <w:rPr>
                <w:rFonts w:hint="eastAsia" w:ascii="宋体" w:hAnsi="宋体" w:eastAsia="宋体" w:cs="宋体"/>
                <w:color w:val="000000"/>
                <w:sz w:val="21"/>
                <w:szCs w:val="21"/>
                <w:lang w:val="en-US" w:eastAsia="zh-CN"/>
              </w:rPr>
              <w:t>（提供相关合同复印件作为评审依据，资格条件业绩参与加分）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2.商务认证（3分）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具有“质量管理体系认证ISO9001”得1分；具有“环境管理体系认证ISO14001”得1分；具有“健康安全管理体系证书OHSAS18001”或“ISO45001”得1分。</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（最高得3分）</w:t>
            </w:r>
          </w:p>
          <w:p>
            <w:pPr>
              <w:pStyle w:val="5"/>
              <w:numPr>
                <w:ilvl w:val="0"/>
                <w:numId w:val="0"/>
              </w:numPr>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3.质量保证期（3分）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在满足质量保证期要求（24个月）的基础上，承诺提供的质量保证期每多6个月加1分，最多得3分。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4.交货期（</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在满足交货期要求（40个日历天）的基础上，承诺提供的交货期每提前5个日历天加0.5分，最多得2分。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3</w:t>
            </w:r>
          </w:p>
        </w:tc>
        <w:tc>
          <w:tcPr>
            <w:tcW w:w="14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程序</w:t>
            </w:r>
          </w:p>
        </w:tc>
        <w:tc>
          <w:tcPr>
            <w:tcW w:w="6950" w:type="dxa"/>
            <w:gridSpan w:val="2"/>
            <w:tcBorders>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rPr>
              <w:t>1</w:t>
            </w:r>
            <w:r>
              <w:rPr>
                <w:rFonts w:hint="default" w:ascii="宋体" w:hAnsi="宋体" w:eastAsia="宋体" w:cs="宋体"/>
                <w:color w:val="000000"/>
                <w:sz w:val="21"/>
                <w:szCs w:val="21"/>
                <w:lang w:val="en-US" w:eastAsia="zh-CN"/>
              </w:rPr>
              <w:t>.评分分值计算保留小数点后两位，第三位四舍五入。比选响应人最终得分=技术部分得分+经济部分得分+商务部分得分。</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2.按照比选文件的规定对所有比选响应文件进行初步评审，只有通过初步评审的比选响应文件才能进行后续评审。</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3.按比选办法进行评审，得分最高的比选响应人中选。</w:t>
            </w:r>
          </w:p>
          <w:p>
            <w:pPr>
              <w:snapToGrid w:val="0"/>
              <w:spacing w:line="500" w:lineRule="exact"/>
              <w:ind w:firstLine="420" w:firstLineChars="200"/>
              <w:jc w:val="both"/>
              <w:outlineLvl w:val="9"/>
              <w:rPr>
                <w:rFonts w:hint="default"/>
              </w:rPr>
            </w:pPr>
            <w:r>
              <w:rPr>
                <w:rFonts w:hint="eastAsia" w:ascii="宋体" w:hAnsi="宋体" w:eastAsia="宋体" w:cs="宋体"/>
                <w:color w:val="000000"/>
                <w:sz w:val="21"/>
                <w:szCs w:val="21"/>
                <w:lang w:val="en-US" w:eastAsia="zh-CN"/>
              </w:rPr>
              <w:t>4.</w:t>
            </w:r>
            <w:r>
              <w:rPr>
                <w:rFonts w:hint="default" w:ascii="宋体" w:hAnsi="宋体" w:eastAsia="宋体" w:cs="宋体"/>
                <w:color w:val="000000"/>
                <w:sz w:val="21"/>
                <w:szCs w:val="21"/>
                <w:lang w:val="en-US" w:eastAsia="zh-CN"/>
              </w:rPr>
              <w:t>除有规定的外，其他加分项均需提供其他证明材料</w:t>
            </w:r>
          </w:p>
        </w:tc>
      </w:tr>
    </w:tbl>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br w:type="page"/>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附</w:t>
      </w:r>
      <w:r>
        <w:rPr>
          <w:rFonts w:hint="eastAsia" w:eastAsia="仿宋_GB2312" w:cs="Times New Roman"/>
          <w:color w:val="000000" w:themeColor="text1"/>
          <w:sz w:val="28"/>
          <w:szCs w:val="28"/>
          <w:lang w:eastAsia="zh-CN"/>
          <w14:textFill>
            <w14:solidFill>
              <w14:schemeClr w14:val="tx1"/>
            </w14:solidFill>
          </w14:textFill>
        </w:rPr>
        <w:t>件</w:t>
      </w:r>
      <w:r>
        <w:rPr>
          <w:rFonts w:hint="eastAsia" w:eastAsia="仿宋_GB2312"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14:textFill>
            <w14:solidFill>
              <w14:schemeClr w14:val="tx1"/>
            </w14:solidFill>
          </w14:textFill>
        </w:rPr>
        <w:t>：合同主要条款</w:t>
      </w:r>
    </w:p>
    <w:p>
      <w:pPr>
        <w:keepNext w:val="0"/>
        <w:keepLines w:val="0"/>
        <w:pageBreakBefore w:val="0"/>
        <w:kinsoku/>
        <w:wordWrap/>
        <w:overflowPunct/>
        <w:topLinePunct w:val="0"/>
        <w:bidi w:val="0"/>
        <w:snapToGrid w:val="0"/>
        <w:spacing w:line="500" w:lineRule="exact"/>
        <w:jc w:val="center"/>
        <w:rPr>
          <w:rFonts w:hint="eastAsia" w:ascii="仿宋" w:hAnsi="仿宋" w:eastAsia="仿宋" w:cs="仿宋"/>
          <w:b/>
          <w:sz w:val="44"/>
        </w:rPr>
      </w:pPr>
      <w:r>
        <w:rPr>
          <w:rFonts w:hint="eastAsia" w:ascii="仿宋" w:hAnsi="仿宋" w:eastAsia="仿宋" w:cs="仿宋"/>
          <w:b/>
          <w:bCs/>
          <w:sz w:val="36"/>
          <w:szCs w:val="36"/>
          <w:lang w:val="en-US" w:eastAsia="zh-CN"/>
        </w:rPr>
        <w:t>20英尺集装托架</w:t>
      </w:r>
      <w:r>
        <w:rPr>
          <w:rFonts w:hint="eastAsia" w:ascii="仿宋" w:hAnsi="仿宋" w:eastAsia="仿宋" w:cs="仿宋"/>
          <w:b/>
          <w:bCs/>
          <w:sz w:val="36"/>
          <w:szCs w:val="36"/>
          <w:lang w:eastAsia="zh-CN"/>
        </w:rPr>
        <w:t>采购合同</w:t>
      </w:r>
    </w:p>
    <w:p>
      <w:pPr>
        <w:keepNext w:val="0"/>
        <w:keepLines w:val="0"/>
        <w:pageBreakBefore w:val="0"/>
        <w:kinsoku/>
        <w:wordWrap/>
        <w:overflowPunct/>
        <w:topLinePunct w:val="0"/>
        <w:bidi w:val="0"/>
        <w:snapToGrid w:val="0"/>
        <w:spacing w:line="500" w:lineRule="exact"/>
        <w:jc w:val="both"/>
        <w:rPr>
          <w:rFonts w:hint="default" w:ascii="仿宋" w:hAnsi="仿宋" w:eastAsia="仿宋" w:cs="仿宋"/>
          <w:b/>
          <w:bCs/>
          <w:sz w:val="24"/>
          <w:szCs w:val="24"/>
          <w:lang w:val="en-US"/>
        </w:rPr>
      </w:pPr>
      <w:r>
        <w:rPr>
          <w:rFonts w:hint="eastAsia" w:ascii="仿宋" w:hAnsi="仿宋" w:eastAsia="仿宋" w:cs="仿宋"/>
          <w:b/>
          <w:sz w:val="36"/>
          <w:szCs w:val="36"/>
          <w:lang w:val="en-US" w:eastAsia="zh-CN"/>
        </w:rPr>
        <w:t xml:space="preserve">                              </w:t>
      </w:r>
      <w:r>
        <w:rPr>
          <w:rFonts w:hint="eastAsia" w:ascii="仿宋" w:hAnsi="仿宋" w:eastAsia="仿宋" w:cs="仿宋"/>
          <w:sz w:val="24"/>
          <w:szCs w:val="24"/>
          <w:lang w:val="en-US" w:eastAsia="zh-CN"/>
        </w:rPr>
        <w:t xml:space="preserve"> 合同编号： </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lang w:eastAsia="zh-CN"/>
        </w:rPr>
      </w:pPr>
      <w:r>
        <w:rPr>
          <w:rFonts w:hint="eastAsia" w:ascii="仿宋" w:hAnsi="仿宋" w:eastAsia="仿宋" w:cs="仿宋"/>
          <w:b/>
          <w:bCs/>
          <w:sz w:val="24"/>
          <w:szCs w:val="24"/>
        </w:rPr>
        <w:t>甲方</w:t>
      </w:r>
      <w:r>
        <w:rPr>
          <w:rFonts w:hint="eastAsia" w:ascii="仿宋" w:hAnsi="仿宋" w:eastAsia="仿宋" w:cs="仿宋"/>
          <w:sz w:val="24"/>
          <w:szCs w:val="24"/>
        </w:rPr>
        <w:t xml:space="preserve">： </w:t>
      </w:r>
      <w:r>
        <w:rPr>
          <w:rFonts w:hint="eastAsia" w:ascii="仿宋" w:hAnsi="仿宋" w:eastAsia="仿宋" w:cs="仿宋"/>
          <w:sz w:val="24"/>
          <w:szCs w:val="24"/>
          <w:lang w:eastAsia="zh-CN"/>
        </w:rPr>
        <w:t>重庆空港航空地面服务有限公司</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lang w:eastAsia="zh-CN"/>
        </w:rPr>
      </w:pPr>
      <w:r>
        <w:rPr>
          <w:rFonts w:hint="eastAsia" w:ascii="仿宋" w:hAnsi="仿宋" w:eastAsia="仿宋" w:cs="仿宋"/>
          <w:b/>
          <w:bCs/>
          <w:sz w:val="24"/>
          <w:szCs w:val="24"/>
        </w:rPr>
        <w:t>乙方</w:t>
      </w:r>
      <w:r>
        <w:rPr>
          <w:rFonts w:hint="eastAsia" w:ascii="仿宋" w:hAnsi="仿宋" w:eastAsia="仿宋" w:cs="仿宋"/>
          <w:sz w:val="24"/>
          <w:szCs w:val="24"/>
        </w:rPr>
        <w:t>：</w:t>
      </w:r>
    </w:p>
    <w:p>
      <w:pPr>
        <w:keepNext w:val="0"/>
        <w:keepLines w:val="0"/>
        <w:pageBreakBefore w:val="0"/>
        <w:kinsoku/>
        <w:wordWrap/>
        <w:overflowPunct/>
        <w:topLinePunct w:val="0"/>
        <w:bidi w:val="0"/>
        <w:snapToGrid w:val="0"/>
        <w:spacing w:line="500" w:lineRule="exact"/>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sz w:val="24"/>
          <w:szCs w:val="24"/>
        </w:rPr>
        <w:t>甲乙双方根据相关的法律法规之规定，本着友好合作、协商一致的原则，就甲方向乙方</w:t>
      </w:r>
      <w:r>
        <w:rPr>
          <w:rFonts w:hint="eastAsia" w:ascii="仿宋" w:hAnsi="仿宋" w:eastAsia="仿宋" w:cs="仿宋"/>
          <w:sz w:val="24"/>
          <w:szCs w:val="24"/>
          <w:lang w:eastAsia="zh-CN"/>
        </w:rPr>
        <w:t>购买</w:t>
      </w:r>
      <w:r>
        <w:rPr>
          <w:rFonts w:hint="eastAsia" w:ascii="仿宋" w:hAnsi="仿宋" w:eastAsia="仿宋" w:cs="仿宋"/>
          <w:sz w:val="24"/>
          <w:szCs w:val="24"/>
          <w:lang w:val="en-US" w:eastAsia="zh-CN"/>
        </w:rPr>
        <w:t>20英尺集装托架</w:t>
      </w:r>
      <w:r>
        <w:rPr>
          <w:rFonts w:hint="eastAsia" w:ascii="仿宋" w:hAnsi="仿宋" w:eastAsia="仿宋" w:cs="仿宋"/>
          <w:b w:val="0"/>
          <w:bCs w:val="0"/>
          <w:sz w:val="24"/>
          <w:szCs w:val="24"/>
          <w:lang w:eastAsia="zh-CN"/>
        </w:rPr>
        <w:t>事</w:t>
      </w:r>
      <w:r>
        <w:rPr>
          <w:rFonts w:hint="eastAsia" w:ascii="仿宋" w:hAnsi="仿宋" w:eastAsia="仿宋" w:cs="仿宋"/>
          <w:b w:val="0"/>
          <w:bCs w:val="0"/>
          <w:sz w:val="24"/>
          <w:szCs w:val="24"/>
        </w:rPr>
        <w:t>宜</w:t>
      </w:r>
      <w:r>
        <w:rPr>
          <w:rFonts w:hint="eastAsia" w:ascii="仿宋" w:hAnsi="仿宋" w:eastAsia="仿宋" w:cs="仿宋"/>
          <w:sz w:val="24"/>
          <w:szCs w:val="24"/>
        </w:rPr>
        <w:t>达成协</w:t>
      </w:r>
      <w:r>
        <w:rPr>
          <w:rFonts w:hint="eastAsia" w:ascii="仿宋" w:hAnsi="仿宋" w:eastAsia="仿宋" w:cs="仿宋"/>
          <w:color w:val="000000"/>
          <w:sz w:val="24"/>
          <w:szCs w:val="24"/>
        </w:rPr>
        <w:t>议如下：</w:t>
      </w:r>
      <w:r>
        <w:rPr>
          <w:rFonts w:hint="eastAsia" w:ascii="仿宋" w:hAnsi="仿宋" w:eastAsia="仿宋" w:cs="仿宋"/>
          <w:color w:val="000000"/>
          <w:sz w:val="24"/>
          <w:szCs w:val="24"/>
          <w:lang w:val="en-US" w:eastAsia="zh-CN"/>
        </w:rPr>
        <w:t xml:space="preserve"> </w:t>
      </w:r>
    </w:p>
    <w:p>
      <w:pPr>
        <w:keepNext w:val="0"/>
        <w:keepLines w:val="0"/>
        <w:pageBreakBefore w:val="0"/>
        <w:kinsoku/>
        <w:wordWrap/>
        <w:overflowPunct/>
        <w:topLinePunct w:val="0"/>
        <w:bidi w:val="0"/>
        <w:snapToGrid w:val="0"/>
        <w:spacing w:line="500" w:lineRule="exact"/>
        <w:ind w:left="-540" w:leftChars="-257" w:firstLine="540" w:firstLineChars="224"/>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一、</w:t>
      </w:r>
      <w:r>
        <w:rPr>
          <w:rFonts w:hint="eastAsia" w:ascii="仿宋" w:hAnsi="仿宋" w:eastAsia="仿宋" w:cs="仿宋"/>
          <w:b/>
          <w:bCs/>
          <w:color w:val="000000"/>
          <w:sz w:val="24"/>
          <w:szCs w:val="24"/>
        </w:rPr>
        <w:t>释义</w:t>
      </w:r>
    </w:p>
    <w:p>
      <w:pPr>
        <w:keepNext w:val="0"/>
        <w:keepLines w:val="0"/>
        <w:pageBreakBefore w:val="0"/>
        <w:kinsoku/>
        <w:wordWrap/>
        <w:overflowPunct/>
        <w:topLinePunct w:val="0"/>
        <w:bidi w:val="0"/>
        <w:snapToGrid w:val="0"/>
        <w:spacing w:line="500" w:lineRule="exact"/>
        <w:ind w:left="-2" w:leftChars="-1" w:firstLine="2"/>
        <w:jc w:val="both"/>
        <w:rPr>
          <w:rFonts w:hint="eastAsia" w:ascii="仿宋" w:hAnsi="仿宋" w:eastAsia="仿宋" w:cs="仿宋"/>
          <w:color w:val="000000"/>
          <w:sz w:val="24"/>
          <w:szCs w:val="24"/>
        </w:rPr>
      </w:pPr>
      <w:r>
        <w:rPr>
          <w:rFonts w:hint="eastAsia" w:ascii="仿宋" w:hAnsi="仿宋" w:eastAsia="仿宋" w:cs="仿宋"/>
          <w:color w:val="000000"/>
          <w:sz w:val="24"/>
          <w:szCs w:val="24"/>
        </w:rPr>
        <w:t>1.1文中“双方”指甲方和乙方，“一方”指甲方和乙方中的任何一方。</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1.2文中所涉及费用均以人民币“元”为计量单位。</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1.3文中“年、月、日”均指公历年、月、日。</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二、</w:t>
      </w:r>
      <w:r>
        <w:rPr>
          <w:rFonts w:hint="eastAsia" w:ascii="仿宋" w:hAnsi="仿宋" w:eastAsia="仿宋" w:cs="仿宋"/>
          <w:b/>
          <w:bCs/>
          <w:color w:val="000000"/>
          <w:sz w:val="24"/>
          <w:szCs w:val="24"/>
        </w:rPr>
        <w:t>合同标的</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2.1甲方向乙方购买</w:t>
      </w:r>
      <w:r>
        <w:rPr>
          <w:rFonts w:hint="eastAsia" w:ascii="仿宋" w:hAnsi="仿宋" w:eastAsia="仿宋" w:cs="仿宋"/>
          <w:b/>
          <w:bCs/>
          <w:color w:val="000000"/>
          <w:sz w:val="24"/>
          <w:szCs w:val="24"/>
          <w:lang w:val="en-US" w:eastAsia="zh-CN"/>
        </w:rPr>
        <w:t>20英尺集装托架</w:t>
      </w:r>
      <w:r>
        <w:rPr>
          <w:rFonts w:hint="eastAsia" w:ascii="仿宋" w:hAnsi="仿宋" w:eastAsia="仿宋" w:cs="仿宋"/>
          <w:color w:val="000000"/>
          <w:sz w:val="24"/>
          <w:szCs w:val="24"/>
        </w:rPr>
        <w:t>。</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2.2</w:t>
      </w:r>
      <w:r>
        <w:rPr>
          <w:rFonts w:hint="eastAsia" w:ascii="仿宋" w:hAnsi="仿宋" w:eastAsia="仿宋" w:cs="仿宋"/>
          <w:color w:val="000000"/>
          <w:sz w:val="24"/>
          <w:szCs w:val="24"/>
          <w:lang w:eastAsia="zh-CN"/>
        </w:rPr>
        <w:t>货物名称</w:t>
      </w:r>
      <w:r>
        <w:rPr>
          <w:rFonts w:hint="eastAsia" w:ascii="仿宋" w:hAnsi="仿宋" w:eastAsia="仿宋" w:cs="仿宋"/>
          <w:color w:val="000000"/>
          <w:sz w:val="24"/>
          <w:szCs w:val="24"/>
        </w:rPr>
        <w:t>、型号、规格</w:t>
      </w:r>
      <w:r>
        <w:rPr>
          <w:rFonts w:hint="eastAsia" w:ascii="仿宋" w:hAnsi="仿宋" w:eastAsia="仿宋" w:cs="仿宋"/>
          <w:color w:val="000000"/>
          <w:sz w:val="24"/>
          <w:szCs w:val="24"/>
          <w:lang w:eastAsia="zh-CN"/>
        </w:rPr>
        <w:t>：</w:t>
      </w:r>
    </w:p>
    <w:tbl>
      <w:tblPr>
        <w:tblStyle w:val="17"/>
        <w:tblW w:w="10166" w:type="dxa"/>
        <w:jc w:val="center"/>
        <w:tblLayout w:type="fixed"/>
        <w:tblCellMar>
          <w:top w:w="0" w:type="dxa"/>
          <w:left w:w="0" w:type="dxa"/>
          <w:bottom w:w="0" w:type="dxa"/>
          <w:right w:w="0" w:type="dxa"/>
        </w:tblCellMar>
      </w:tblPr>
      <w:tblGrid>
        <w:gridCol w:w="653"/>
        <w:gridCol w:w="1688"/>
        <w:gridCol w:w="2770"/>
        <w:gridCol w:w="955"/>
        <w:gridCol w:w="1470"/>
        <w:gridCol w:w="1140"/>
        <w:gridCol w:w="1490"/>
      </w:tblGrid>
      <w:tr>
        <w:tblPrEx>
          <w:tblCellMar>
            <w:top w:w="0" w:type="dxa"/>
            <w:left w:w="0" w:type="dxa"/>
            <w:bottom w:w="0" w:type="dxa"/>
            <w:right w:w="0" w:type="dxa"/>
          </w:tblCellMar>
        </w:tblPrEx>
        <w:trPr>
          <w:trHeight w:val="480"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不含增值税</w:t>
            </w:r>
          </w:p>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单价</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不含增值税</w:t>
            </w:r>
          </w:p>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小计</w:t>
            </w:r>
          </w:p>
        </w:tc>
      </w:tr>
      <w:tr>
        <w:tblPrEx>
          <w:tblCellMar>
            <w:top w:w="0" w:type="dxa"/>
            <w:left w:w="0" w:type="dxa"/>
            <w:bottom w:w="0" w:type="dxa"/>
            <w:right w:w="0" w:type="dxa"/>
          </w:tblCellMar>
        </w:tblPrEx>
        <w:trPr>
          <w:trHeight w:val="520"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20英尺集装托架</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按乙方比选响应文件执行</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辆</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napToGrid w:val="0"/>
              <w:spacing w:line="500" w:lineRule="exact"/>
              <w:jc w:val="center"/>
              <w:rPr>
                <w:rFonts w:hint="default" w:ascii="仿宋" w:hAnsi="仿宋" w:eastAsia="仿宋" w:cs="仿宋"/>
                <w:i w:val="0"/>
                <w:color w:val="000000"/>
                <w:sz w:val="24"/>
                <w:szCs w:val="24"/>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napToGrid w:val="0"/>
              <w:spacing w:line="500" w:lineRule="exact"/>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napToGrid w:val="0"/>
              <w:spacing w:line="500" w:lineRule="exact"/>
              <w:jc w:val="center"/>
              <w:rPr>
                <w:rFonts w:hint="default" w:ascii="仿宋" w:hAnsi="仿宋" w:eastAsia="仿宋" w:cs="仿宋"/>
                <w:i w:val="0"/>
                <w:color w:val="000000"/>
                <w:sz w:val="24"/>
                <w:szCs w:val="24"/>
                <w:u w:val="none"/>
                <w:lang w:val="en-US" w:eastAsia="zh-CN"/>
              </w:rPr>
            </w:pPr>
          </w:p>
        </w:tc>
      </w:tr>
    </w:tbl>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合同价款</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3.1</w:t>
      </w:r>
      <w:r>
        <w:rPr>
          <w:rFonts w:hint="eastAsia" w:ascii="仿宋" w:hAnsi="仿宋" w:eastAsia="仿宋" w:cs="仿宋"/>
          <w:sz w:val="24"/>
          <w:szCs w:val="24"/>
          <w:lang w:eastAsia="zh-CN"/>
        </w:rPr>
        <w:t>不含增值税总价款</w:t>
      </w:r>
      <w:r>
        <w:rPr>
          <w:rFonts w:hint="eastAsia" w:ascii="仿宋" w:hAnsi="仿宋" w:eastAsia="仿宋" w:cs="仿宋"/>
          <w:b/>
          <w:bCs/>
          <w:sz w:val="24"/>
          <w:szCs w:val="24"/>
          <w:u w:val="single"/>
          <w:lang w:eastAsia="zh-CN"/>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eastAsia="zh-CN"/>
        </w:rPr>
        <w:t>）（小写：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none"/>
          <w:lang w:val="en-US" w:eastAsia="zh-CN"/>
        </w:rPr>
        <w:t>。</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3.2本合同货款已包括货物移交至甲方所需的一切</w:t>
      </w:r>
      <w:r>
        <w:rPr>
          <w:rFonts w:hint="eastAsia" w:ascii="仿宋" w:hAnsi="仿宋" w:eastAsia="仿宋" w:cs="仿宋"/>
          <w:sz w:val="24"/>
          <w:szCs w:val="24"/>
          <w:lang w:eastAsia="zh-CN"/>
        </w:rPr>
        <w:t>成本费用、劳务费用、运输费用、安装调试费、</w:t>
      </w:r>
      <w:r>
        <w:rPr>
          <w:rFonts w:hint="eastAsia" w:ascii="仿宋" w:hAnsi="仿宋" w:eastAsia="仿宋" w:cs="仿宋"/>
          <w:sz w:val="24"/>
          <w:szCs w:val="24"/>
        </w:rPr>
        <w:t>税费</w:t>
      </w:r>
      <w:r>
        <w:rPr>
          <w:rFonts w:hint="eastAsia" w:ascii="仿宋" w:hAnsi="仿宋" w:eastAsia="仿宋" w:cs="仿宋"/>
          <w:sz w:val="24"/>
          <w:szCs w:val="24"/>
          <w:lang w:eastAsia="zh-CN"/>
        </w:rPr>
        <w:t>（除增值税外）等全部费用</w:t>
      </w:r>
      <w:r>
        <w:rPr>
          <w:rFonts w:hint="eastAsia" w:ascii="仿宋" w:hAnsi="仿宋" w:eastAsia="仿宋" w:cs="仿宋"/>
          <w:sz w:val="24"/>
          <w:szCs w:val="24"/>
        </w:rPr>
        <w:t>。</w:t>
      </w:r>
    </w:p>
    <w:p>
      <w:pPr>
        <w:keepNext w:val="0"/>
        <w:keepLines w:val="0"/>
        <w:pageBreakBefore w:val="0"/>
        <w:kinsoku/>
        <w:wordWrap/>
        <w:overflowPunct/>
        <w:topLinePunct w:val="0"/>
        <w:bidi w:val="0"/>
        <w:snapToGrid w:val="0"/>
        <w:spacing w:line="500" w:lineRule="exact"/>
        <w:ind w:left="-2"/>
        <w:jc w:val="both"/>
        <w:rPr>
          <w:rFonts w:hint="eastAsia" w:ascii="仿宋" w:hAnsi="仿宋" w:eastAsia="仿宋" w:cs="仿宋"/>
          <w:b w:val="0"/>
          <w:kern w:val="2"/>
          <w:sz w:val="24"/>
          <w:szCs w:val="24"/>
          <w:lang w:val="en-US" w:eastAsia="zh-CN" w:bidi="ar-SA"/>
        </w:rPr>
      </w:pPr>
      <w:r>
        <w:rPr>
          <w:rFonts w:hint="eastAsia" w:ascii="仿宋" w:hAnsi="仿宋" w:eastAsia="仿宋" w:cs="仿宋"/>
          <w:b/>
          <w:bCs/>
          <w:sz w:val="24"/>
          <w:szCs w:val="24"/>
          <w:lang w:eastAsia="zh-CN"/>
        </w:rPr>
        <w:t>四、履约保证与</w:t>
      </w:r>
      <w:r>
        <w:rPr>
          <w:rFonts w:hint="eastAsia" w:ascii="仿宋" w:hAnsi="仿宋" w:eastAsia="仿宋" w:cs="仿宋"/>
          <w:b/>
          <w:bCs/>
          <w:sz w:val="24"/>
          <w:szCs w:val="24"/>
        </w:rPr>
        <w:t>支付方式</w:t>
      </w:r>
    </w:p>
    <w:p>
      <w:pPr>
        <w:keepNext w:val="0"/>
        <w:keepLines w:val="0"/>
        <w:pageBreakBefore w:val="0"/>
        <w:kinsoku/>
        <w:wordWrap/>
        <w:overflowPunct/>
        <w:topLinePunct w:val="0"/>
        <w:bidi w:val="0"/>
        <w:adjustRightInd w:val="0"/>
        <w:snapToGrid w:val="0"/>
        <w:spacing w:line="500" w:lineRule="exac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4.1</w:t>
      </w:r>
      <w:r>
        <w:rPr>
          <w:rFonts w:hint="eastAsia" w:ascii="仿宋" w:hAnsi="仿宋" w:eastAsia="仿宋" w:cs="仿宋"/>
          <w:kern w:val="0"/>
          <w:sz w:val="24"/>
          <w:szCs w:val="24"/>
          <w:highlight w:val="none"/>
          <w:u w:val="none"/>
          <w:lang w:eastAsia="zh-CN"/>
        </w:rPr>
        <w:t>履约保证：</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乙方在收到中标通知书后7天内，以银行转账的方式向以下甲方账户提交履约保证金</w:t>
      </w:r>
      <w:r>
        <w:rPr>
          <w:rFonts w:hint="eastAsia" w:ascii="仿宋" w:hAnsi="仿宋" w:eastAsia="仿宋" w:cs="仿宋"/>
          <w:kern w:val="0"/>
          <w:sz w:val="24"/>
          <w:szCs w:val="24"/>
          <w:highlight w:val="none"/>
          <w:u w:val="single"/>
          <w:lang w:val="en-US" w:eastAsia="zh-CN"/>
        </w:rPr>
        <w:t xml:space="preserve">(大写）贰万柒仟伍佰元整 </w:t>
      </w:r>
      <w:r>
        <w:rPr>
          <w:rFonts w:hint="eastAsia" w:ascii="仿宋" w:hAnsi="仿宋" w:eastAsia="仿宋" w:cs="仿宋"/>
          <w:kern w:val="0"/>
          <w:sz w:val="24"/>
          <w:szCs w:val="24"/>
          <w:highlight w:val="none"/>
          <w:u w:val="none"/>
          <w:lang w:val="en-US" w:eastAsia="zh-CN"/>
        </w:rPr>
        <w:t>（小写：¥</w:t>
      </w:r>
      <w:r>
        <w:rPr>
          <w:rFonts w:hint="eastAsia" w:ascii="仿宋" w:hAnsi="仿宋" w:eastAsia="仿宋" w:cs="仿宋"/>
          <w:kern w:val="0"/>
          <w:sz w:val="24"/>
          <w:szCs w:val="24"/>
          <w:highlight w:val="none"/>
          <w:u w:val="single"/>
          <w:lang w:val="en-US" w:eastAsia="zh-CN"/>
        </w:rPr>
        <w:t xml:space="preserve"> 27500.00 </w:t>
      </w:r>
      <w:r>
        <w:rPr>
          <w:rFonts w:hint="eastAsia" w:ascii="仿宋" w:hAnsi="仿宋" w:eastAsia="仿宋" w:cs="仿宋"/>
          <w:kern w:val="0"/>
          <w:sz w:val="24"/>
          <w:szCs w:val="24"/>
          <w:highlight w:val="none"/>
          <w:u w:val="none"/>
          <w:lang w:val="en-US" w:eastAsia="zh-CN"/>
        </w:rPr>
        <w:t>）。货物到货且验收合格后，由乙方提出申请，甲方于180天后一次性退还，不计利息。</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甲方开票及账户信息：</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户名：重庆空港航空地面服务有限公司</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税号：91500112666441363D</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地址：重庆市渝北区双凤桥街道渝航路1幢1/2-0</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电话号码：023-67153596</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开户银行：建行渝北机场支行</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lang w:val="en-US" w:eastAsia="zh-CN"/>
        </w:rPr>
      </w:pPr>
      <w:r>
        <w:rPr>
          <w:rFonts w:hint="eastAsia" w:ascii="仿宋" w:hAnsi="仿宋" w:eastAsia="仿宋" w:cs="仿宋"/>
          <w:kern w:val="0"/>
          <w:sz w:val="24"/>
          <w:szCs w:val="24"/>
          <w:highlight w:val="none"/>
          <w:lang w:val="en-US" w:eastAsia="zh-CN"/>
        </w:rPr>
        <w:t>账户账号：5000 1083 8000 5020 0711</w:t>
      </w:r>
    </w:p>
    <w:p>
      <w:pPr>
        <w:pStyle w:val="16"/>
        <w:keepNext w:val="0"/>
        <w:keepLines w:val="0"/>
        <w:pageBreakBefore w:val="0"/>
        <w:kinsoku/>
        <w:wordWrap/>
        <w:overflowPunct/>
        <w:topLinePunct w:val="0"/>
        <w:bidi w:val="0"/>
        <w:spacing w:before="0" w:after="0" w:line="500" w:lineRule="exact"/>
        <w:jc w:val="both"/>
        <w:rPr>
          <w:rFonts w:hint="eastAsia" w:ascii="仿宋" w:hAnsi="仿宋" w:eastAsia="仿宋" w:cs="仿宋"/>
          <w:lang w:val="en-US" w:eastAsia="zh-CN"/>
        </w:rPr>
      </w:pPr>
      <w:r>
        <w:rPr>
          <w:rFonts w:hint="eastAsia" w:ascii="仿宋" w:hAnsi="仿宋" w:eastAsia="仿宋" w:cs="仿宋"/>
          <w:b w:val="0"/>
          <w:kern w:val="2"/>
          <w:sz w:val="24"/>
          <w:szCs w:val="24"/>
          <w:lang w:val="en-US" w:eastAsia="zh-CN" w:bidi="ar-SA"/>
        </w:rPr>
        <w:t>4.2支付方式：</w:t>
      </w:r>
    </w:p>
    <w:p>
      <w:pPr>
        <w:keepNext w:val="0"/>
        <w:keepLines w:val="0"/>
        <w:pageBreakBefore w:val="0"/>
        <w:kinsoku/>
        <w:wordWrap/>
        <w:overflowPunct/>
        <w:topLinePunct w:val="0"/>
        <w:bidi w:val="0"/>
        <w:snapToGrid w:val="0"/>
        <w:spacing w:line="500" w:lineRule="exact"/>
        <w:ind w:firstLine="480"/>
        <w:jc w:val="both"/>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全部货物到货验收完毕，甲方收到乙方提供的符合规定的增值税发票后，以银行转账或银行承兑汇票的方式，20个工作日内支付总货款的60%，首笔款付出180天后支付总货款的35%，质保期满支付剩余5%。</w:t>
      </w:r>
    </w:p>
    <w:p>
      <w:pPr>
        <w:pStyle w:val="5"/>
        <w:keepNext w:val="0"/>
        <w:keepLines w:val="0"/>
        <w:pageBreakBefore w:val="0"/>
        <w:kinsoku/>
        <w:wordWrap/>
        <w:overflowPunct/>
        <w:topLinePunct w:val="0"/>
        <w:bidi w:val="0"/>
        <w:snapToGrid w:val="0"/>
        <w:spacing w:before="0"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如乙方提供的增值税普通发票，甲方实际支付金额=不含增值税金额；如乙方提供的增值税专用发票，甲方实际支付金额=不含增值税金额+增值税税额。</w:t>
      </w:r>
    </w:p>
    <w:p>
      <w:pPr>
        <w:keepNext w:val="0"/>
        <w:keepLines w:val="0"/>
        <w:pageBreakBefore w:val="0"/>
        <w:kinsoku/>
        <w:wordWrap/>
        <w:overflowPunct/>
        <w:topLinePunct w:val="0"/>
        <w:bidi w:val="0"/>
        <w:snapToGrid w:val="0"/>
        <w:spacing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乙方账户信息：</w:t>
      </w:r>
    </w:p>
    <w:p>
      <w:pPr>
        <w:keepNext w:val="0"/>
        <w:keepLines w:val="0"/>
        <w:pageBreakBefore w:val="0"/>
        <w:kinsoku/>
        <w:wordWrap/>
        <w:overflowPunct/>
        <w:topLinePunct w:val="0"/>
        <w:bidi w:val="0"/>
        <w:snapToGrid w:val="0"/>
        <w:spacing w:line="500" w:lineRule="exact"/>
        <w:ind w:firstLine="480"/>
        <w:jc w:val="both"/>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户名：</w:t>
      </w:r>
      <w:r>
        <w:rPr>
          <w:rFonts w:hint="eastAsia" w:ascii="仿宋" w:hAnsi="仿宋" w:eastAsia="仿宋" w:cs="仿宋"/>
          <w:b w:val="0"/>
          <w:kern w:val="2"/>
          <w:sz w:val="24"/>
          <w:szCs w:val="24"/>
          <w:lang w:val="en-US" w:eastAsia="zh-CN" w:bidi="ar-SA"/>
        </w:rPr>
        <w:tab/>
      </w:r>
      <w:r>
        <w:rPr>
          <w:rFonts w:hint="eastAsia" w:ascii="仿宋" w:hAnsi="仿宋" w:eastAsia="仿宋" w:cs="仿宋"/>
          <w:b w:val="0"/>
          <w:kern w:val="2"/>
          <w:sz w:val="24"/>
          <w:szCs w:val="24"/>
          <w:lang w:val="en-US" w:eastAsia="zh-CN" w:bidi="ar-SA"/>
        </w:rPr>
        <w:tab/>
      </w:r>
    </w:p>
    <w:p>
      <w:pPr>
        <w:keepNext w:val="0"/>
        <w:keepLines w:val="0"/>
        <w:pageBreakBefore w:val="0"/>
        <w:kinsoku/>
        <w:wordWrap/>
        <w:overflowPunct/>
        <w:topLinePunct w:val="0"/>
        <w:bidi w:val="0"/>
        <w:snapToGrid w:val="0"/>
        <w:spacing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账号：</w:t>
      </w:r>
    </w:p>
    <w:p>
      <w:pPr>
        <w:keepNext w:val="0"/>
        <w:keepLines w:val="0"/>
        <w:pageBreakBefore w:val="0"/>
        <w:kinsoku/>
        <w:wordWrap/>
        <w:overflowPunct/>
        <w:topLinePunct w:val="0"/>
        <w:bidi w:val="0"/>
        <w:snapToGrid w:val="0"/>
        <w:spacing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开户行：</w:t>
      </w:r>
    </w:p>
    <w:p>
      <w:pPr>
        <w:keepNext w:val="0"/>
        <w:keepLines w:val="0"/>
        <w:pageBreakBefore w:val="0"/>
        <w:kinsoku/>
        <w:wordWrap/>
        <w:overflowPunct/>
        <w:topLinePunct w:val="0"/>
        <w:bidi w:val="0"/>
        <w:snapToGrid w:val="0"/>
        <w:spacing w:line="500" w:lineRule="exact"/>
        <w:ind w:firstLine="480"/>
        <w:jc w:val="both"/>
        <w:rPr>
          <w:rFonts w:hint="default" w:ascii="仿宋" w:hAnsi="仿宋" w:eastAsia="仿宋" w:cs="仿宋"/>
          <w:sz w:val="24"/>
          <w:szCs w:val="24"/>
          <w:lang w:val="en-US" w:eastAsia="zh-CN"/>
        </w:rPr>
      </w:pPr>
      <w:r>
        <w:rPr>
          <w:rFonts w:hint="eastAsia" w:ascii="仿宋" w:hAnsi="仿宋" w:eastAsia="仿宋" w:cs="仿宋"/>
          <w:b w:val="0"/>
          <w:kern w:val="2"/>
          <w:sz w:val="24"/>
          <w:szCs w:val="24"/>
          <w:lang w:val="en-US" w:eastAsia="zh-CN" w:bidi="ar-SA"/>
        </w:rPr>
        <w:t>开户行联行号：</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交货地点</w:t>
      </w:r>
      <w:r>
        <w:rPr>
          <w:rFonts w:hint="eastAsia" w:ascii="仿宋" w:hAnsi="仿宋" w:eastAsia="仿宋" w:cs="仿宋"/>
          <w:b/>
          <w:bCs/>
          <w:sz w:val="24"/>
          <w:szCs w:val="24"/>
          <w:lang w:eastAsia="zh-CN"/>
        </w:rPr>
        <w:t>和</w:t>
      </w:r>
      <w:r>
        <w:rPr>
          <w:rFonts w:hint="eastAsia" w:ascii="仿宋" w:hAnsi="仿宋" w:eastAsia="仿宋" w:cs="仿宋"/>
          <w:b/>
          <w:bCs/>
          <w:sz w:val="24"/>
          <w:szCs w:val="24"/>
        </w:rPr>
        <w:t>期限</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color w:val="00000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.1交货地点：</w:t>
      </w:r>
      <w:r>
        <w:rPr>
          <w:rFonts w:hint="eastAsia" w:ascii="仿宋" w:hAnsi="仿宋" w:eastAsia="仿宋" w:cs="仿宋"/>
          <w:sz w:val="24"/>
          <w:szCs w:val="24"/>
          <w:lang w:eastAsia="zh-CN"/>
        </w:rPr>
        <w:t>重庆江北国际机场空港地服公司装卸部</w:t>
      </w:r>
      <w:r>
        <w:rPr>
          <w:rFonts w:hint="eastAsia" w:ascii="仿宋" w:hAnsi="仿宋" w:eastAsia="仿宋" w:cs="仿宋"/>
          <w:color w:val="000000"/>
          <w:sz w:val="24"/>
          <w:szCs w:val="24"/>
          <w:lang w:eastAsia="zh-CN"/>
        </w:rPr>
        <w:t>。</w:t>
      </w:r>
    </w:p>
    <w:p>
      <w:pPr>
        <w:keepNext w:val="0"/>
        <w:keepLines w:val="0"/>
        <w:pageBreakBefore w:val="0"/>
        <w:tabs>
          <w:tab w:val="left" w:pos="600"/>
        </w:tabs>
        <w:kinsoku/>
        <w:wordWrap/>
        <w:overflowPunct/>
        <w:topLinePunct w:val="0"/>
        <w:bidi w:val="0"/>
        <w:snapToGrid w:val="0"/>
        <w:spacing w:line="500" w:lineRule="exact"/>
        <w:jc w:val="both"/>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.2交货时间：</w:t>
      </w:r>
      <w:r>
        <w:rPr>
          <w:rFonts w:hint="eastAsia" w:ascii="仿宋" w:hAnsi="仿宋" w:eastAsia="仿宋" w:cs="仿宋"/>
          <w:sz w:val="24"/>
          <w:szCs w:val="24"/>
          <w:u w:val="none"/>
          <w:lang w:eastAsia="zh-CN"/>
        </w:rPr>
        <w:t>合同生效后</w:t>
      </w:r>
      <w:r>
        <w:rPr>
          <w:rFonts w:hint="eastAsia" w:ascii="仿宋" w:hAnsi="仿宋" w:eastAsia="仿宋" w:cs="仿宋"/>
          <w:sz w:val="24"/>
          <w:szCs w:val="24"/>
          <w:u w:val="none"/>
          <w:lang w:val="en-US" w:eastAsia="zh-CN"/>
        </w:rPr>
        <w:t>40日历天内交货。(根据响应内容修改）</w:t>
      </w:r>
    </w:p>
    <w:p>
      <w:pPr>
        <w:pStyle w:val="5"/>
        <w:keepNext w:val="0"/>
        <w:keepLines w:val="0"/>
        <w:pageBreakBefore w:val="0"/>
        <w:kinsoku/>
        <w:wordWrap/>
        <w:overflowPunct/>
        <w:topLinePunct w:val="0"/>
        <w:bidi w:val="0"/>
        <w:snapToGrid w:val="0"/>
        <w:spacing w:before="0" w:line="500" w:lineRule="exact"/>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5.3 甲方联系人及联系电话：罗冉</w:t>
      </w:r>
    </w:p>
    <w:p>
      <w:pPr>
        <w:keepNext w:val="0"/>
        <w:keepLines w:val="0"/>
        <w:pageBreakBefore w:val="0"/>
        <w:kinsoku/>
        <w:wordWrap/>
        <w:overflowPunct/>
        <w:topLinePunct w:val="0"/>
        <w:bidi w:val="0"/>
        <w:snapToGrid w:val="0"/>
        <w:spacing w:line="500" w:lineRule="exact"/>
        <w:jc w:val="both"/>
        <w:rPr>
          <w:rFonts w:hint="default" w:ascii="仿宋" w:hAnsi="仿宋" w:eastAsia="仿宋" w:cs="仿宋"/>
          <w:sz w:val="24"/>
          <w:szCs w:val="24"/>
          <w:lang w:val="en-US" w:eastAsia="zh-CN"/>
        </w:rPr>
      </w:pPr>
      <w:r>
        <w:rPr>
          <w:rFonts w:hint="eastAsia" w:ascii="仿宋" w:hAnsi="仿宋" w:eastAsia="仿宋" w:cs="仿宋"/>
          <w:sz w:val="24"/>
          <w:szCs w:val="24"/>
          <w:u w:val="none"/>
          <w:lang w:val="en-US" w:eastAsia="zh-CN"/>
        </w:rPr>
        <w:t xml:space="preserve">    乙方联系人及联系电话：</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b/>
          <w:bCs/>
          <w:sz w:val="24"/>
          <w:szCs w:val="24"/>
        </w:rPr>
      </w:pPr>
      <w:r>
        <w:rPr>
          <w:rFonts w:hint="eastAsia" w:ascii="仿宋" w:hAnsi="仿宋" w:eastAsia="仿宋" w:cs="仿宋"/>
          <w:b/>
          <w:bCs/>
          <w:sz w:val="24"/>
          <w:szCs w:val="24"/>
          <w:lang w:eastAsia="zh-CN"/>
        </w:rPr>
        <w:t>六、甲方责任</w:t>
      </w:r>
      <w:r>
        <w:rPr>
          <w:rFonts w:hint="eastAsia" w:ascii="仿宋" w:hAnsi="仿宋" w:eastAsia="仿宋" w:cs="仿宋"/>
          <w:b/>
          <w:bCs/>
          <w:sz w:val="24"/>
          <w:szCs w:val="24"/>
        </w:rPr>
        <w:t xml:space="preserve"> </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sz w:val="24"/>
          <w:szCs w:val="24"/>
        </w:rPr>
      </w:pPr>
      <w:r>
        <w:rPr>
          <w:rFonts w:hint="eastAsia" w:ascii="仿宋" w:hAnsi="仿宋" w:eastAsia="仿宋" w:cs="仿宋"/>
          <w:sz w:val="24"/>
          <w:szCs w:val="24"/>
          <w:lang w:val="en-US" w:eastAsia="zh-CN"/>
        </w:rPr>
        <w:t>6.1</w:t>
      </w:r>
      <w:r>
        <w:rPr>
          <w:rFonts w:hint="eastAsia" w:ascii="仿宋" w:hAnsi="仿宋" w:eastAsia="仿宋" w:cs="仿宋"/>
          <w:sz w:val="24"/>
          <w:szCs w:val="24"/>
        </w:rPr>
        <w:t>货到后，甲方收货</w:t>
      </w:r>
      <w:r>
        <w:rPr>
          <w:rFonts w:hint="eastAsia" w:ascii="仿宋" w:hAnsi="仿宋" w:eastAsia="仿宋" w:cs="仿宋"/>
          <w:sz w:val="24"/>
          <w:szCs w:val="24"/>
          <w:lang w:eastAsia="zh-CN"/>
        </w:rPr>
        <w:t>时</w:t>
      </w:r>
      <w:r>
        <w:rPr>
          <w:rFonts w:hint="eastAsia" w:ascii="仿宋" w:hAnsi="仿宋" w:eastAsia="仿宋" w:cs="仿宋"/>
          <w:sz w:val="24"/>
          <w:szCs w:val="24"/>
        </w:rPr>
        <w:t>，</w:t>
      </w:r>
      <w:r>
        <w:rPr>
          <w:rFonts w:hint="eastAsia" w:ascii="仿宋" w:hAnsi="仿宋" w:eastAsia="仿宋" w:cs="仿宋"/>
          <w:sz w:val="24"/>
          <w:szCs w:val="24"/>
          <w:lang w:eastAsia="zh-CN"/>
        </w:rPr>
        <w:t>对照乙方提供的送货凭证是否一致，货物</w:t>
      </w:r>
      <w:r>
        <w:rPr>
          <w:rFonts w:hint="eastAsia" w:ascii="仿宋" w:hAnsi="仿宋" w:eastAsia="仿宋" w:cs="仿宋"/>
          <w:sz w:val="24"/>
          <w:szCs w:val="24"/>
        </w:rPr>
        <w:t>的规格型号均以</w:t>
      </w:r>
      <w:r>
        <w:rPr>
          <w:rFonts w:hint="eastAsia" w:ascii="仿宋" w:hAnsi="仿宋" w:eastAsia="仿宋" w:cs="仿宋"/>
          <w:sz w:val="24"/>
          <w:szCs w:val="24"/>
          <w:lang w:eastAsia="zh-CN"/>
        </w:rPr>
        <w:t>本合同</w:t>
      </w:r>
      <w:r>
        <w:rPr>
          <w:rFonts w:hint="eastAsia" w:ascii="仿宋" w:hAnsi="仿宋" w:eastAsia="仿宋" w:cs="仿宋"/>
          <w:sz w:val="24"/>
          <w:szCs w:val="24"/>
        </w:rPr>
        <w:t>要求为准。</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6.2</w:t>
      </w:r>
      <w:r>
        <w:rPr>
          <w:rFonts w:hint="eastAsia" w:ascii="仿宋" w:hAnsi="仿宋" w:eastAsia="仿宋" w:cs="仿宋"/>
          <w:sz w:val="24"/>
          <w:szCs w:val="24"/>
        </w:rPr>
        <w:t>甲方</w:t>
      </w:r>
      <w:r>
        <w:rPr>
          <w:rFonts w:hint="eastAsia" w:ascii="仿宋" w:hAnsi="仿宋" w:eastAsia="仿宋" w:cs="仿宋"/>
          <w:sz w:val="24"/>
          <w:szCs w:val="24"/>
          <w:lang w:eastAsia="zh-CN"/>
        </w:rPr>
        <w:t>经调试、运行后，确认标的物符合本合同要求的，应及时履行验收程序。</w:t>
      </w:r>
    </w:p>
    <w:p>
      <w:pPr>
        <w:keepNext w:val="0"/>
        <w:keepLines w:val="0"/>
        <w:pageBreakBefore w:val="0"/>
        <w:tabs>
          <w:tab w:val="left" w:pos="600"/>
        </w:tabs>
        <w:kinsoku/>
        <w:wordWrap/>
        <w:overflowPunct/>
        <w:topLinePunct w:val="0"/>
        <w:bidi w:val="0"/>
        <w:snapToGrid w:val="0"/>
        <w:spacing w:line="500" w:lineRule="exact"/>
        <w:ind w:left="-2"/>
        <w:jc w:val="both"/>
        <w:rPr>
          <w:rFonts w:hint="default" w:ascii="仿宋" w:hAnsi="仿宋" w:eastAsia="仿宋" w:cs="仿宋"/>
          <w:sz w:val="24"/>
          <w:szCs w:val="24"/>
          <w:lang w:val="en-US"/>
        </w:rPr>
      </w:pPr>
      <w:r>
        <w:rPr>
          <w:rFonts w:hint="eastAsia" w:ascii="仿宋" w:hAnsi="仿宋" w:eastAsia="仿宋" w:cs="仿宋"/>
          <w:sz w:val="24"/>
          <w:szCs w:val="24"/>
          <w:lang w:val="en-US" w:eastAsia="zh-CN"/>
        </w:rPr>
        <w:t>6.3甲方应按合同约定及时、足额地向乙方支付合同款项。</w:t>
      </w:r>
    </w:p>
    <w:p>
      <w:pPr>
        <w:pStyle w:val="42"/>
        <w:keepNext w:val="0"/>
        <w:keepLines w:val="0"/>
        <w:pageBreakBefore w:val="0"/>
        <w:numPr>
          <w:ilvl w:val="0"/>
          <w:numId w:val="1"/>
        </w:numPr>
        <w:kinsoku/>
        <w:wordWrap/>
        <w:overflowPunct/>
        <w:topLinePunct w:val="0"/>
        <w:bidi w:val="0"/>
        <w:snapToGrid w:val="0"/>
        <w:spacing w:line="500" w:lineRule="exact"/>
        <w:ind w:hanging="2"/>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乙方责任</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.1乙方应为</w:t>
      </w:r>
      <w:r>
        <w:rPr>
          <w:rFonts w:hint="eastAsia" w:ascii="仿宋" w:hAnsi="仿宋" w:eastAsia="仿宋" w:cs="仿宋"/>
          <w:sz w:val="24"/>
          <w:szCs w:val="24"/>
          <w:lang w:eastAsia="zh-CN"/>
        </w:rPr>
        <w:t>货物</w:t>
      </w:r>
      <w:r>
        <w:rPr>
          <w:rFonts w:hint="eastAsia" w:ascii="仿宋" w:hAnsi="仿宋" w:eastAsia="仿宋" w:cs="仿宋"/>
          <w:sz w:val="24"/>
          <w:szCs w:val="24"/>
        </w:rPr>
        <w:t>提供适宜</w:t>
      </w:r>
      <w:r>
        <w:rPr>
          <w:rFonts w:hint="eastAsia" w:ascii="仿宋" w:hAnsi="仿宋" w:eastAsia="仿宋" w:cs="仿宋"/>
          <w:sz w:val="24"/>
          <w:szCs w:val="24"/>
          <w:lang w:eastAsia="zh-CN"/>
        </w:rPr>
        <w:t>货物</w:t>
      </w:r>
      <w:r>
        <w:rPr>
          <w:rFonts w:hint="eastAsia" w:ascii="仿宋" w:hAnsi="仿宋" w:eastAsia="仿宋" w:cs="仿宋"/>
          <w:sz w:val="24"/>
          <w:szCs w:val="24"/>
        </w:rPr>
        <w:t>运输的包装方式，对于由于包装不良所发生的损失及由于采用不充分或不妥善的防护措施而造成的任何</w:t>
      </w:r>
      <w:r>
        <w:rPr>
          <w:rFonts w:hint="eastAsia" w:ascii="仿宋" w:hAnsi="仿宋" w:eastAsia="仿宋" w:cs="仿宋"/>
          <w:sz w:val="24"/>
          <w:szCs w:val="24"/>
          <w:lang w:eastAsia="zh-CN"/>
        </w:rPr>
        <w:t>损坏</w:t>
      </w:r>
      <w:r>
        <w:rPr>
          <w:rFonts w:hint="eastAsia" w:ascii="仿宋" w:hAnsi="仿宋" w:eastAsia="仿宋" w:cs="仿宋"/>
          <w:sz w:val="24"/>
          <w:szCs w:val="24"/>
        </w:rPr>
        <w:t>,乙方应承担由此而产生的一切费用和损失。运输过程中，商品毁损、灭失的风险由乙方承担。</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在交货之前，乙方应就</w:t>
      </w:r>
      <w:r>
        <w:rPr>
          <w:rFonts w:hint="eastAsia" w:ascii="仿宋" w:hAnsi="仿宋" w:eastAsia="仿宋" w:cs="仿宋"/>
          <w:sz w:val="24"/>
          <w:szCs w:val="24"/>
          <w:lang w:eastAsia="zh-CN"/>
        </w:rPr>
        <w:t>货物</w:t>
      </w:r>
      <w:r>
        <w:rPr>
          <w:rFonts w:hint="eastAsia" w:ascii="仿宋" w:hAnsi="仿宋" w:eastAsia="仿宋" w:cs="仿宋"/>
          <w:sz w:val="24"/>
          <w:szCs w:val="24"/>
        </w:rPr>
        <w:t>的品质、规格、性能、数量及重量做出准确和全面的检验，如甲方发现乙方所售</w:t>
      </w:r>
      <w:r>
        <w:rPr>
          <w:rFonts w:hint="eastAsia" w:ascii="仿宋" w:hAnsi="仿宋" w:eastAsia="仿宋" w:cs="仿宋"/>
          <w:sz w:val="24"/>
          <w:szCs w:val="24"/>
          <w:lang w:eastAsia="zh-CN"/>
        </w:rPr>
        <w:t>货物</w:t>
      </w:r>
      <w:r>
        <w:rPr>
          <w:rFonts w:hint="eastAsia" w:ascii="仿宋" w:hAnsi="仿宋" w:eastAsia="仿宋" w:cs="仿宋"/>
          <w:sz w:val="24"/>
          <w:szCs w:val="24"/>
        </w:rPr>
        <w:t>存在任何瑕疵，有权要求乙方进行换货。所更换之货物必须为全新的并符合规定的品质、规格和性能。若更换之货物仍不能达到甲方的要求，甲方有权要求退货，并由乙方负担因此产生的一切费用和甲方遭受的损失。</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乙方保证所提供的</w:t>
      </w:r>
      <w:r>
        <w:rPr>
          <w:rFonts w:hint="eastAsia" w:ascii="仿宋" w:hAnsi="仿宋" w:eastAsia="仿宋" w:cs="仿宋"/>
          <w:sz w:val="24"/>
          <w:szCs w:val="24"/>
          <w:lang w:eastAsia="zh-CN"/>
        </w:rPr>
        <w:t>货物</w:t>
      </w:r>
      <w:r>
        <w:rPr>
          <w:rFonts w:hint="eastAsia" w:ascii="仿宋" w:hAnsi="仿宋" w:eastAsia="仿宋" w:cs="仿宋"/>
          <w:sz w:val="24"/>
          <w:szCs w:val="24"/>
        </w:rPr>
        <w:t>为甲方所规定之</w:t>
      </w:r>
      <w:r>
        <w:rPr>
          <w:rFonts w:hint="eastAsia" w:ascii="仿宋" w:hAnsi="仿宋" w:eastAsia="仿宋" w:cs="仿宋"/>
          <w:sz w:val="24"/>
          <w:szCs w:val="24"/>
          <w:lang w:eastAsia="zh-CN"/>
        </w:rPr>
        <w:t>货物</w:t>
      </w:r>
      <w:r>
        <w:rPr>
          <w:rFonts w:hint="eastAsia" w:ascii="仿宋" w:hAnsi="仿宋" w:eastAsia="仿宋" w:cs="仿宋"/>
          <w:sz w:val="24"/>
          <w:szCs w:val="24"/>
          <w:lang w:val="en-US" w:eastAsia="zh-CN"/>
        </w:rPr>
        <w:t>。</w:t>
      </w:r>
      <w:r>
        <w:rPr>
          <w:rFonts w:hint="eastAsia" w:ascii="仿宋" w:hAnsi="仿宋" w:eastAsia="仿宋" w:cs="仿宋"/>
          <w:sz w:val="24"/>
          <w:szCs w:val="24"/>
        </w:rPr>
        <w:t>如果</w:t>
      </w:r>
      <w:r>
        <w:rPr>
          <w:rFonts w:hint="eastAsia" w:ascii="仿宋" w:hAnsi="仿宋" w:eastAsia="仿宋" w:cs="仿宋"/>
          <w:sz w:val="24"/>
          <w:szCs w:val="24"/>
          <w:lang w:eastAsia="zh-CN"/>
        </w:rPr>
        <w:t>货物</w:t>
      </w:r>
      <w:r>
        <w:rPr>
          <w:rFonts w:hint="eastAsia" w:ascii="仿宋" w:hAnsi="仿宋" w:eastAsia="仿宋" w:cs="仿宋"/>
          <w:sz w:val="24"/>
          <w:szCs w:val="24"/>
        </w:rPr>
        <w:t>质量在</w:t>
      </w:r>
      <w:r>
        <w:rPr>
          <w:rFonts w:hint="eastAsia" w:ascii="仿宋" w:hAnsi="仿宋" w:eastAsia="仿宋" w:cs="仿宋"/>
          <w:sz w:val="24"/>
          <w:szCs w:val="24"/>
          <w:lang w:eastAsia="zh-CN"/>
        </w:rPr>
        <w:t>验收、调试</w:t>
      </w:r>
      <w:r>
        <w:rPr>
          <w:rFonts w:hint="eastAsia" w:ascii="仿宋" w:hAnsi="仿宋" w:eastAsia="仿宋" w:cs="仿宋"/>
          <w:sz w:val="24"/>
          <w:szCs w:val="24"/>
        </w:rPr>
        <w:t>过程中</w:t>
      </w:r>
      <w:r>
        <w:rPr>
          <w:rFonts w:hint="eastAsia" w:ascii="仿宋" w:hAnsi="仿宋" w:eastAsia="仿宋" w:cs="仿宋"/>
          <w:sz w:val="24"/>
          <w:szCs w:val="24"/>
          <w:lang w:eastAsia="zh-CN"/>
        </w:rPr>
        <w:t>出现问题或</w:t>
      </w:r>
      <w:r>
        <w:rPr>
          <w:rFonts w:hint="eastAsia" w:ascii="仿宋" w:hAnsi="仿宋" w:eastAsia="仿宋" w:cs="仿宋"/>
          <w:sz w:val="24"/>
          <w:szCs w:val="24"/>
        </w:rPr>
        <w:t>不能达到相关标准，乙方应负责更换</w:t>
      </w:r>
      <w:r>
        <w:rPr>
          <w:rFonts w:hint="eastAsia" w:ascii="仿宋" w:hAnsi="仿宋" w:eastAsia="仿宋" w:cs="仿宋"/>
          <w:sz w:val="24"/>
          <w:szCs w:val="24"/>
          <w:lang w:eastAsia="zh-CN"/>
        </w:rPr>
        <w:t>或在规定的时间内整改完成</w:t>
      </w:r>
      <w:r>
        <w:rPr>
          <w:rFonts w:hint="eastAsia" w:ascii="仿宋" w:hAnsi="仿宋" w:eastAsia="仿宋" w:cs="仿宋"/>
          <w:sz w:val="24"/>
          <w:szCs w:val="24"/>
        </w:rPr>
        <w:t>，否则，甲方有权要求退货</w:t>
      </w:r>
      <w:r>
        <w:rPr>
          <w:rFonts w:hint="eastAsia" w:ascii="仿宋" w:hAnsi="仿宋" w:eastAsia="仿宋" w:cs="仿宋"/>
          <w:sz w:val="24"/>
          <w:szCs w:val="24"/>
          <w:lang w:eastAsia="zh-CN"/>
        </w:rPr>
        <w:t>和赔偿</w:t>
      </w:r>
      <w:r>
        <w:rPr>
          <w:rFonts w:hint="eastAsia" w:ascii="仿宋" w:hAnsi="仿宋" w:eastAsia="仿宋" w:cs="仿宋"/>
          <w:sz w:val="24"/>
          <w:szCs w:val="24"/>
        </w:rPr>
        <w:t>。</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7.3乙方提供质量保证期24个月。（根据响应内容修改）在质量保证期内，因货物质量问题导致货物不能正常使用的，乙方应在规定的时间内负责维修。</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乙方应提供有效的联系人和联系电话，如有变更，乙方应及时、主动通知甲方。</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7.5</w:t>
      </w:r>
      <w:r>
        <w:rPr>
          <w:rFonts w:hint="eastAsia" w:ascii="仿宋" w:hAnsi="仿宋" w:eastAsia="仿宋" w:cs="仿宋"/>
          <w:sz w:val="24"/>
          <w:szCs w:val="24"/>
        </w:rPr>
        <w:t>乙方应做好定期客户回访工作，及时发现并回复客户提出的问题；可以根据客户需求提供相关的</w:t>
      </w:r>
      <w:r>
        <w:rPr>
          <w:rFonts w:hint="eastAsia" w:ascii="仿宋" w:hAnsi="仿宋" w:eastAsia="仿宋" w:cs="仿宋"/>
          <w:sz w:val="24"/>
          <w:szCs w:val="24"/>
          <w:lang w:eastAsia="zh-CN"/>
        </w:rPr>
        <w:t>购买</w:t>
      </w:r>
      <w:r>
        <w:rPr>
          <w:rFonts w:hint="eastAsia" w:ascii="仿宋" w:hAnsi="仿宋" w:eastAsia="仿宋" w:cs="仿宋"/>
          <w:sz w:val="24"/>
          <w:szCs w:val="24"/>
        </w:rPr>
        <w:t>数据。</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乙方承诺所提供</w:t>
      </w:r>
      <w:r>
        <w:rPr>
          <w:rFonts w:hint="eastAsia" w:ascii="仿宋" w:hAnsi="仿宋" w:eastAsia="仿宋" w:cs="仿宋"/>
          <w:sz w:val="24"/>
          <w:szCs w:val="24"/>
          <w:lang w:eastAsia="zh-CN"/>
        </w:rPr>
        <w:t>货物</w:t>
      </w:r>
      <w:r>
        <w:rPr>
          <w:rFonts w:hint="eastAsia" w:ascii="仿宋" w:hAnsi="仿宋" w:eastAsia="仿宋" w:cs="仿宋"/>
          <w:sz w:val="24"/>
          <w:szCs w:val="24"/>
        </w:rPr>
        <w:t>符合国家环境保护的有关规定，不能对环境造成不良影响并承担由此造成的经济损失。</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乙方所提供</w:t>
      </w:r>
      <w:r>
        <w:rPr>
          <w:rFonts w:hint="eastAsia" w:ascii="仿宋" w:hAnsi="仿宋" w:eastAsia="仿宋" w:cs="仿宋"/>
          <w:sz w:val="24"/>
          <w:szCs w:val="24"/>
          <w:lang w:eastAsia="zh-CN"/>
        </w:rPr>
        <w:t>货物</w:t>
      </w:r>
      <w:r>
        <w:rPr>
          <w:rFonts w:hint="eastAsia" w:ascii="仿宋" w:hAnsi="仿宋" w:eastAsia="仿宋" w:cs="仿宋"/>
          <w:sz w:val="24"/>
          <w:szCs w:val="24"/>
        </w:rPr>
        <w:t>不能对甲方的正常使用人员的人身健康造成危害并承担由此产生的经济损失。</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7.8</w:t>
      </w:r>
      <w:r>
        <w:rPr>
          <w:rFonts w:hint="eastAsia" w:ascii="仿宋" w:hAnsi="仿宋" w:eastAsia="仿宋" w:cs="仿宋"/>
          <w:sz w:val="24"/>
          <w:szCs w:val="24"/>
        </w:rPr>
        <w:t>乙方所提供之</w:t>
      </w:r>
      <w:r>
        <w:rPr>
          <w:rFonts w:hint="eastAsia" w:ascii="仿宋" w:hAnsi="仿宋" w:eastAsia="仿宋" w:cs="仿宋"/>
          <w:sz w:val="24"/>
          <w:szCs w:val="24"/>
          <w:lang w:eastAsia="zh-CN"/>
        </w:rPr>
        <w:t>货物</w:t>
      </w:r>
      <w:r>
        <w:rPr>
          <w:rFonts w:hint="eastAsia" w:ascii="仿宋" w:hAnsi="仿宋" w:eastAsia="仿宋" w:cs="仿宋"/>
          <w:sz w:val="24"/>
          <w:szCs w:val="24"/>
        </w:rPr>
        <w:t>符合中华人民共和国以及甲方所在地的相关法律法规及其他规范性文件之规定，不会对第三人的任何权利权益造成任何损害。</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违约责任</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合同生效后即对双方具有法律约束力，甲乙双方应本着信守合同、友好协商的原则，处理本合同有关事宜。</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甲乙双方如有一方违约，由违约方承担由此给守约方造成的经济损失。</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 xml:space="preserve"> 如乙方未按合同规定时间将</w:t>
      </w:r>
      <w:r>
        <w:rPr>
          <w:rFonts w:hint="eastAsia" w:ascii="仿宋" w:hAnsi="仿宋" w:eastAsia="仿宋" w:cs="仿宋"/>
          <w:sz w:val="24"/>
          <w:szCs w:val="24"/>
          <w:lang w:eastAsia="zh-CN"/>
        </w:rPr>
        <w:t>货物</w:t>
      </w:r>
      <w:r>
        <w:rPr>
          <w:rFonts w:hint="eastAsia" w:ascii="仿宋" w:hAnsi="仿宋" w:eastAsia="仿宋" w:cs="仿宋"/>
          <w:sz w:val="24"/>
          <w:szCs w:val="24"/>
        </w:rPr>
        <w:t>运到甲方指定地点或未按约定时间送到全部</w:t>
      </w:r>
      <w:r>
        <w:rPr>
          <w:rFonts w:hint="eastAsia" w:ascii="仿宋" w:hAnsi="仿宋" w:eastAsia="仿宋" w:cs="仿宋"/>
          <w:sz w:val="24"/>
          <w:szCs w:val="24"/>
          <w:lang w:eastAsia="zh-CN"/>
        </w:rPr>
        <w:t>货物</w:t>
      </w:r>
      <w:r>
        <w:rPr>
          <w:rFonts w:hint="eastAsia" w:ascii="仿宋" w:hAnsi="仿宋" w:eastAsia="仿宋" w:cs="仿宋"/>
          <w:sz w:val="24"/>
          <w:szCs w:val="24"/>
        </w:rPr>
        <w:t>（经甲方允许可以延期送的</w:t>
      </w:r>
      <w:r>
        <w:rPr>
          <w:rFonts w:hint="eastAsia" w:ascii="仿宋" w:hAnsi="仿宋" w:eastAsia="仿宋" w:cs="仿宋"/>
          <w:sz w:val="24"/>
          <w:szCs w:val="24"/>
          <w:lang w:eastAsia="zh-CN"/>
        </w:rPr>
        <w:t>货物</w:t>
      </w:r>
      <w:r>
        <w:rPr>
          <w:rFonts w:hint="eastAsia" w:ascii="仿宋" w:hAnsi="仿宋" w:eastAsia="仿宋" w:cs="仿宋"/>
          <w:sz w:val="24"/>
          <w:szCs w:val="24"/>
        </w:rPr>
        <w:t>除外），每延期一日，乙方应向甲方支付</w:t>
      </w:r>
      <w:r>
        <w:rPr>
          <w:rFonts w:hint="eastAsia" w:ascii="仿宋" w:hAnsi="仿宋" w:eastAsia="仿宋" w:cs="仿宋"/>
          <w:sz w:val="24"/>
          <w:szCs w:val="24"/>
          <w:lang w:eastAsia="zh-CN"/>
        </w:rPr>
        <w:t>该批次货物金额万</w:t>
      </w:r>
      <w:r>
        <w:rPr>
          <w:rFonts w:hint="eastAsia" w:ascii="仿宋" w:hAnsi="仿宋" w:eastAsia="仿宋" w:cs="仿宋"/>
          <w:sz w:val="24"/>
          <w:szCs w:val="24"/>
          <w:lang w:val="en-US" w:eastAsia="zh-CN"/>
        </w:rPr>
        <w:t>分之一</w:t>
      </w:r>
      <w:r>
        <w:rPr>
          <w:rFonts w:hint="eastAsia" w:ascii="仿宋" w:hAnsi="仿宋" w:eastAsia="仿宋" w:cs="仿宋"/>
          <w:sz w:val="24"/>
          <w:szCs w:val="24"/>
        </w:rPr>
        <w:t>的违约金。</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8.4如乙方提供的货物存在质量问题，严重影响甲方生产经营活动造成经济损失，甲方有权单方面解除本合同，并有权要求赔偿。</w:t>
      </w:r>
    </w:p>
    <w:p>
      <w:pPr>
        <w:keepNext w:val="0"/>
        <w:keepLines w:val="0"/>
        <w:pageBreakBefore w:val="0"/>
        <w:tabs>
          <w:tab w:val="left" w:pos="600"/>
        </w:tabs>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lang w:eastAsia="zh-CN"/>
        </w:rPr>
        <w:t>九、</w:t>
      </w:r>
      <w:r>
        <w:rPr>
          <w:rFonts w:hint="eastAsia" w:ascii="仿宋" w:hAnsi="仿宋" w:eastAsia="仿宋" w:cs="仿宋"/>
          <w:b/>
          <w:sz w:val="24"/>
          <w:szCs w:val="24"/>
        </w:rPr>
        <w:t>合同的变更和解除</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9.1</w:t>
      </w:r>
      <w:r>
        <w:rPr>
          <w:rFonts w:hint="eastAsia" w:ascii="仿宋" w:hAnsi="仿宋" w:eastAsia="仿宋" w:cs="仿宋"/>
          <w:sz w:val="24"/>
          <w:szCs w:val="24"/>
        </w:rPr>
        <w:t>除非遇到不可抗力因素，导致本合同不能履行，未经甲乙双方一致书面同意，任何单方无权变更合同的内容。</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9.2</w:t>
      </w:r>
      <w:r>
        <w:rPr>
          <w:rFonts w:hint="eastAsia" w:ascii="仿宋" w:hAnsi="仿宋" w:eastAsia="仿宋" w:cs="仿宋"/>
          <w:sz w:val="24"/>
          <w:szCs w:val="24"/>
        </w:rPr>
        <w:t>对本合同的任何修改或补充，只有在双方授权的代表签字后生效，并成为本合同不可分割的组成部分，与本合同具有同等法律效力。</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9.3</w:t>
      </w:r>
      <w:r>
        <w:rPr>
          <w:rFonts w:hint="eastAsia" w:ascii="仿宋" w:hAnsi="仿宋" w:eastAsia="仿宋" w:cs="仿宋"/>
          <w:sz w:val="24"/>
          <w:szCs w:val="24"/>
        </w:rPr>
        <w:t>如本合同任何一方严重违反合同，另一方应及时向违约方发出书面纠正通知，违约方应于收到书面纠正通知之日起</w:t>
      </w:r>
      <w:r>
        <w:rPr>
          <w:rFonts w:hint="eastAsia" w:ascii="仿宋" w:hAnsi="仿宋" w:eastAsia="仿宋" w:cs="仿宋"/>
          <w:color w:val="000000"/>
          <w:sz w:val="24"/>
          <w:szCs w:val="24"/>
        </w:rPr>
        <w:t>30日内</w:t>
      </w:r>
      <w:r>
        <w:rPr>
          <w:rFonts w:hint="eastAsia" w:ascii="仿宋" w:hAnsi="仿宋" w:eastAsia="仿宋" w:cs="仿宋"/>
          <w:sz w:val="24"/>
          <w:szCs w:val="24"/>
        </w:rPr>
        <w:t>纠正违约行为，否则守约方有权解除合同并要求违约方赔偿因解除合同而造成的经济损失。</w:t>
      </w:r>
    </w:p>
    <w:p>
      <w:pPr>
        <w:keepNext w:val="0"/>
        <w:keepLines w:val="0"/>
        <w:pageBreakBefore w:val="0"/>
        <w:tabs>
          <w:tab w:val="left" w:pos="765"/>
        </w:tabs>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9.4</w:t>
      </w:r>
      <w:r>
        <w:rPr>
          <w:rFonts w:hint="eastAsia" w:ascii="仿宋" w:hAnsi="仿宋" w:eastAsia="仿宋" w:cs="仿宋"/>
          <w:color w:val="000000"/>
          <w:sz w:val="24"/>
          <w:szCs w:val="24"/>
        </w:rPr>
        <w:t>本合同任何一方破产、解散，本合同自动终止。</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lang w:eastAsia="zh-CN"/>
        </w:rPr>
        <w:t>十、</w:t>
      </w:r>
      <w:r>
        <w:rPr>
          <w:rFonts w:hint="eastAsia" w:ascii="仿宋" w:hAnsi="仿宋" w:eastAsia="仿宋" w:cs="仿宋"/>
          <w:b/>
          <w:sz w:val="24"/>
          <w:szCs w:val="24"/>
        </w:rPr>
        <w:t>不可抗力</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10.1</w:t>
      </w:r>
      <w:r>
        <w:rPr>
          <w:rFonts w:hint="eastAsia" w:ascii="仿宋" w:hAnsi="仿宋" w:eastAsia="仿宋" w:cs="仿宋"/>
          <w:sz w:val="24"/>
          <w:szCs w:val="24"/>
        </w:rPr>
        <w:t>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sz w:val="24"/>
          <w:szCs w:val="24"/>
          <w:lang w:val="en-US" w:eastAsia="zh-CN"/>
        </w:rPr>
        <w:t>10.2</w:t>
      </w:r>
      <w:r>
        <w:rPr>
          <w:rFonts w:hint="eastAsia" w:ascii="仿宋" w:hAnsi="仿宋" w:eastAsia="仿宋" w:cs="仿宋"/>
          <w:sz w:val="24"/>
          <w:szCs w:val="24"/>
        </w:rPr>
        <w:t>受阻一方应在不可抗力事件发生后尽快通知对方，并于事件发生后14日内将有关当局出具的证明文件用特快专递或挂号信寄给对方确认。</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lang w:eastAsia="zh-CN"/>
        </w:rPr>
        <w:t>十一、</w:t>
      </w:r>
      <w:r>
        <w:rPr>
          <w:rFonts w:hint="eastAsia" w:ascii="仿宋" w:hAnsi="仿宋" w:eastAsia="仿宋" w:cs="仿宋"/>
          <w:b/>
          <w:bCs/>
          <w:sz w:val="24"/>
          <w:szCs w:val="24"/>
        </w:rPr>
        <w:t>通知</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11.1</w:t>
      </w:r>
      <w:r>
        <w:rPr>
          <w:rFonts w:hint="eastAsia" w:ascii="仿宋" w:hAnsi="仿宋" w:eastAsia="仿宋" w:cs="仿宋"/>
          <w:sz w:val="24"/>
          <w:szCs w:val="24"/>
        </w:rPr>
        <w:t>本合同中任何通知</w:t>
      </w:r>
      <w:r>
        <w:rPr>
          <w:rFonts w:hint="eastAsia" w:ascii="仿宋" w:hAnsi="仿宋" w:eastAsia="仿宋" w:cs="仿宋"/>
          <w:sz w:val="24"/>
          <w:szCs w:val="24"/>
          <w:lang w:eastAsia="zh-CN"/>
        </w:rPr>
        <w:t>需为</w:t>
      </w:r>
      <w:r>
        <w:rPr>
          <w:rFonts w:hint="eastAsia" w:ascii="仿宋" w:hAnsi="仿宋" w:eastAsia="仿宋" w:cs="仿宋"/>
          <w:color w:val="000000"/>
          <w:sz w:val="24"/>
          <w:szCs w:val="24"/>
          <w:lang w:eastAsia="zh-CN"/>
        </w:rPr>
        <w:t>传真、电话、信函、邮件等。</w:t>
      </w:r>
    </w:p>
    <w:p>
      <w:pPr>
        <w:keepNext w:val="0"/>
        <w:keepLines w:val="0"/>
        <w:pageBreakBefore w:val="0"/>
        <w:tabs>
          <w:tab w:val="left" w:pos="750"/>
        </w:tabs>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lang w:eastAsia="zh-CN"/>
        </w:rPr>
        <w:t>十二、</w:t>
      </w:r>
      <w:r>
        <w:rPr>
          <w:rFonts w:hint="eastAsia" w:ascii="仿宋" w:hAnsi="仿宋" w:eastAsia="仿宋" w:cs="仿宋"/>
          <w:b/>
          <w:sz w:val="24"/>
          <w:szCs w:val="24"/>
        </w:rPr>
        <w:t>争议解决和适用法律</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12.1</w:t>
      </w:r>
      <w:r>
        <w:rPr>
          <w:rFonts w:hint="eastAsia" w:ascii="仿宋" w:hAnsi="仿宋" w:eastAsia="仿宋" w:cs="仿宋"/>
          <w:sz w:val="24"/>
          <w:szCs w:val="24"/>
        </w:rPr>
        <w:t>与本合同有关的或因执行本合同所产生之争议，应由双方友好协商解决，不能解决时，任何一方均可向甲方所在地人民法院提起诉讼。</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12.2</w:t>
      </w:r>
      <w:r>
        <w:rPr>
          <w:rFonts w:hint="eastAsia" w:ascii="仿宋" w:hAnsi="仿宋" w:eastAsia="仿宋" w:cs="仿宋"/>
          <w:sz w:val="24"/>
          <w:szCs w:val="24"/>
        </w:rPr>
        <w:t>争议处理期间除正在审理的部分以外，双方应继续执行合同的其余部分。</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12.3</w:t>
      </w:r>
      <w:r>
        <w:rPr>
          <w:rFonts w:hint="eastAsia" w:ascii="仿宋" w:hAnsi="仿宋" w:eastAsia="仿宋" w:cs="仿宋"/>
          <w:sz w:val="24"/>
          <w:szCs w:val="24"/>
        </w:rPr>
        <w:t>本合同的订立、效力、解释、履行及争议的解决适用中华人民共和国的法律、法规。</w:t>
      </w:r>
    </w:p>
    <w:p>
      <w:pPr>
        <w:keepNext w:val="0"/>
        <w:keepLines w:val="0"/>
        <w:pageBreakBefore w:val="0"/>
        <w:tabs>
          <w:tab w:val="left" w:pos="600"/>
        </w:tabs>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lang w:eastAsia="zh-CN"/>
        </w:rPr>
        <w:t>十三、</w:t>
      </w:r>
      <w:r>
        <w:rPr>
          <w:rFonts w:hint="eastAsia" w:ascii="仿宋" w:hAnsi="仿宋" w:eastAsia="仿宋" w:cs="仿宋"/>
          <w:b/>
          <w:sz w:val="24"/>
          <w:szCs w:val="24"/>
        </w:rPr>
        <w:t>其他</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.1本合同未尽事宜，应由甲、乙双方协商后以书面形式补充。</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.2本合同</w:t>
      </w:r>
      <w:r>
        <w:rPr>
          <w:rFonts w:hint="eastAsia" w:ascii="仿宋" w:hAnsi="仿宋" w:eastAsia="仿宋" w:cs="仿宋"/>
          <w:sz w:val="24"/>
          <w:szCs w:val="24"/>
          <w:lang w:eastAsia="zh-CN"/>
        </w:rPr>
        <w:t>正本二份，甲乙双方各执一份；副本三份，甲方执二</w:t>
      </w:r>
      <w:r>
        <w:rPr>
          <w:rFonts w:hint="eastAsia" w:ascii="仿宋" w:hAnsi="仿宋" w:eastAsia="仿宋" w:cs="仿宋"/>
          <w:sz w:val="24"/>
          <w:szCs w:val="24"/>
        </w:rPr>
        <w:t>份，</w:t>
      </w:r>
      <w:r>
        <w:rPr>
          <w:rFonts w:hint="eastAsia" w:ascii="仿宋" w:hAnsi="仿宋" w:eastAsia="仿宋" w:cs="仿宋"/>
          <w:sz w:val="24"/>
          <w:szCs w:val="24"/>
          <w:lang w:eastAsia="zh-CN"/>
        </w:rPr>
        <w:t>乙方执一份</w:t>
      </w:r>
      <w:r>
        <w:rPr>
          <w:rFonts w:hint="eastAsia" w:ascii="仿宋" w:hAnsi="仿宋" w:eastAsia="仿宋" w:cs="仿宋"/>
          <w:sz w:val="24"/>
          <w:szCs w:val="24"/>
        </w:rPr>
        <w:t>，具有同等法律效力。</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.3本合同自甲、乙双方加盖公司印章，并经双方</w:t>
      </w:r>
      <w:r>
        <w:rPr>
          <w:rFonts w:hint="eastAsia" w:ascii="仿宋" w:hAnsi="仿宋" w:eastAsia="仿宋" w:cs="仿宋"/>
          <w:sz w:val="24"/>
          <w:szCs w:val="24"/>
          <w:lang w:eastAsia="zh-CN"/>
        </w:rPr>
        <w:t>法定代表人或</w:t>
      </w:r>
      <w:r>
        <w:rPr>
          <w:rFonts w:hint="eastAsia" w:ascii="仿宋" w:hAnsi="仿宋" w:eastAsia="仿宋" w:cs="仿宋"/>
          <w:sz w:val="24"/>
          <w:szCs w:val="24"/>
        </w:rPr>
        <w:t>授权代表签字后生效</w:t>
      </w:r>
      <w:r>
        <w:rPr>
          <w:rFonts w:hint="eastAsia" w:ascii="仿宋" w:hAnsi="仿宋" w:eastAsia="仿宋" w:cs="仿宋"/>
          <w:sz w:val="24"/>
          <w:szCs w:val="24"/>
          <w:lang w:eastAsia="zh-CN"/>
        </w:rPr>
        <w:t>。</w:t>
      </w:r>
    </w:p>
    <w:p>
      <w:pPr>
        <w:pStyle w:val="16"/>
        <w:keepNext w:val="0"/>
        <w:keepLines w:val="0"/>
        <w:pageBreakBefore w:val="0"/>
        <w:kinsoku/>
        <w:wordWrap/>
        <w:overflowPunct/>
        <w:topLinePunct w:val="0"/>
        <w:bidi w:val="0"/>
        <w:spacing w:before="0" w:after="0" w:line="500" w:lineRule="exact"/>
        <w:jc w:val="both"/>
        <w:rPr>
          <w:rFonts w:hint="eastAsia" w:ascii="仿宋" w:hAnsi="仿宋" w:eastAsia="仿宋" w:cs="仿宋"/>
          <w:sz w:val="24"/>
          <w:szCs w:val="24"/>
        </w:rPr>
      </w:pPr>
    </w:p>
    <w:p>
      <w:pPr>
        <w:keepNext w:val="0"/>
        <w:keepLines w:val="0"/>
        <w:pageBreakBefore w:val="0"/>
        <w:kinsoku/>
        <w:wordWrap/>
        <w:overflowPunct/>
        <w:topLinePunct w:val="0"/>
        <w:bidi w:val="0"/>
        <w:spacing w:line="500" w:lineRule="exact"/>
        <w:rPr>
          <w:rFonts w:hint="eastAsia" w:ascii="仿宋" w:hAnsi="仿宋" w:eastAsia="仿宋" w:cs="仿宋"/>
        </w:rPr>
      </w:pP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甲方：重庆</w:t>
      </w:r>
      <w:r>
        <w:rPr>
          <w:rFonts w:hint="eastAsia" w:ascii="仿宋" w:hAnsi="仿宋" w:eastAsia="仿宋" w:cs="仿宋"/>
          <w:sz w:val="24"/>
          <w:szCs w:val="24"/>
          <w:lang w:eastAsia="zh-CN"/>
        </w:rPr>
        <w:t>空港航空地面服务</w:t>
      </w:r>
      <w:r>
        <w:rPr>
          <w:rFonts w:hint="eastAsia" w:ascii="仿宋" w:hAnsi="仿宋" w:eastAsia="仿宋" w:cs="仿宋"/>
          <w:sz w:val="24"/>
          <w:szCs w:val="24"/>
        </w:rPr>
        <w:t>有限公司</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（盖章）                               （盖章）</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法定代表人</w:t>
      </w:r>
      <w:r>
        <w:rPr>
          <w:rFonts w:hint="eastAsia" w:ascii="仿宋" w:hAnsi="仿宋" w:eastAsia="仿宋" w:cs="仿宋"/>
          <w:sz w:val="24"/>
          <w:szCs w:val="24"/>
          <w:lang w:val="en-US" w:eastAsia="zh-CN"/>
        </w:rPr>
        <w:t xml:space="preserve">                           法定代表人</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eastAsia="zh-CN"/>
        </w:rPr>
        <w:t>或授权</w:t>
      </w:r>
      <w:r>
        <w:rPr>
          <w:rFonts w:hint="eastAsia" w:ascii="仿宋" w:hAnsi="仿宋" w:eastAsia="仿宋" w:cs="仿宋"/>
          <w:sz w:val="24"/>
          <w:szCs w:val="24"/>
        </w:rPr>
        <w:t>代表：（签</w:t>
      </w:r>
      <w:r>
        <w:rPr>
          <w:rFonts w:hint="eastAsia" w:ascii="仿宋" w:hAnsi="仿宋" w:eastAsia="仿宋" w:cs="仿宋"/>
          <w:sz w:val="24"/>
          <w:szCs w:val="24"/>
          <w:lang w:eastAsia="zh-CN"/>
        </w:rPr>
        <w:t>字</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或授权</w:t>
      </w:r>
      <w:r>
        <w:rPr>
          <w:rFonts w:hint="eastAsia" w:ascii="仿宋" w:hAnsi="仿宋" w:eastAsia="仿宋" w:cs="仿宋"/>
          <w:sz w:val="24"/>
          <w:szCs w:val="24"/>
        </w:rPr>
        <w:t>代表：（签</w:t>
      </w:r>
      <w:r>
        <w:rPr>
          <w:rFonts w:hint="eastAsia" w:ascii="仿宋" w:hAnsi="仿宋" w:eastAsia="仿宋" w:cs="仿宋"/>
          <w:sz w:val="24"/>
          <w:szCs w:val="24"/>
          <w:lang w:eastAsia="zh-CN"/>
        </w:rPr>
        <w:t>字</w:t>
      </w:r>
      <w:r>
        <w:rPr>
          <w:rFonts w:hint="eastAsia" w:ascii="仿宋" w:hAnsi="仿宋" w:eastAsia="仿宋" w:cs="仿宋"/>
          <w:sz w:val="24"/>
          <w:szCs w:val="24"/>
        </w:rPr>
        <w:t>）</w:t>
      </w:r>
    </w:p>
    <w:p>
      <w:pPr>
        <w:keepNext w:val="0"/>
        <w:keepLines w:val="0"/>
        <w:pageBreakBefore w:val="0"/>
        <w:tabs>
          <w:tab w:val="left" w:pos="7686"/>
        </w:tabs>
        <w:kinsoku/>
        <w:wordWrap/>
        <w:overflowPunct/>
        <w:topLinePunct w:val="0"/>
        <w:bidi w:val="0"/>
        <w:snapToGrid w:val="0"/>
        <w:spacing w:line="500" w:lineRule="exact"/>
        <w:jc w:val="both"/>
        <w:rPr>
          <w:rFonts w:hint="default" w:ascii="仿宋" w:hAnsi="仿宋" w:eastAsia="仿宋" w:cs="仿宋"/>
          <w:sz w:val="24"/>
          <w:szCs w:val="24"/>
          <w:lang w:val="en-US" w:eastAsia="zh-CN"/>
        </w:rPr>
      </w:pPr>
      <w:r>
        <w:rPr>
          <w:rFonts w:hint="eastAsia" w:ascii="仿宋" w:hAnsi="仿宋" w:eastAsia="仿宋" w:cs="仿宋"/>
          <w:sz w:val="24"/>
          <w:szCs w:val="24"/>
        </w:rPr>
        <w:t>签订日期:</w:t>
      </w:r>
      <w:r>
        <w:rPr>
          <w:rFonts w:hint="eastAsia" w:ascii="仿宋" w:hAnsi="仿宋" w:eastAsia="仿宋" w:cs="仿宋"/>
          <w:sz w:val="24"/>
          <w:szCs w:val="24"/>
          <w:lang w:val="en-US" w:eastAsia="zh-CN"/>
        </w:rPr>
        <w:t xml:space="preserve"> 2021年     月     日       </w:t>
      </w:r>
      <w:r>
        <w:rPr>
          <w:rFonts w:hint="eastAsia" w:ascii="仿宋" w:hAnsi="仿宋" w:eastAsia="仿宋" w:cs="仿宋"/>
          <w:sz w:val="24"/>
          <w:szCs w:val="24"/>
        </w:rPr>
        <w:t>签订日期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2021年     月     日</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br w:type="page"/>
      </w:r>
    </w:p>
    <w:p>
      <w:pPr>
        <w:spacing w:line="560" w:lineRule="exact"/>
        <w:rPr>
          <w:rFonts w:hint="eastAsia" w:eastAsia="仿宋_GB2312"/>
          <w:color w:val="000000" w:themeColor="text1"/>
          <w:sz w:val="28"/>
          <w:szCs w:val="28"/>
          <w:lang w:val="en-US" w:eastAsia="zh-CN"/>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附件2：</w:t>
      </w:r>
      <w:r>
        <w:rPr>
          <w:rFonts w:hint="eastAsia" w:eastAsia="仿宋_GB2312"/>
          <w:color w:val="000000" w:themeColor="text1"/>
          <w:sz w:val="28"/>
          <w:szCs w:val="28"/>
          <w:lang w:val="en-US" w:eastAsia="zh-CN"/>
          <w14:textFill>
            <w14:solidFill>
              <w14:schemeClr w14:val="tx1"/>
            </w14:solidFill>
          </w14:textFill>
        </w:rPr>
        <w:t>国内大型机场名单</w:t>
      </w:r>
    </w:p>
    <w:p>
      <w:pPr>
        <w:pStyle w:val="2"/>
        <w:rPr>
          <w:rFonts w:hint="default"/>
          <w:lang w:val="en-US" w:eastAsia="zh-CN"/>
        </w:rPr>
      </w:pPr>
    </w:p>
    <w:tbl>
      <w:tblPr>
        <w:tblStyle w:val="17"/>
        <w:tblW w:w="7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3424"/>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kern w:val="0"/>
                <w:sz w:val="28"/>
                <w:szCs w:val="28"/>
                <w:u w:val="none"/>
                <w:lang w:val="en-US" w:eastAsia="zh-CN" w:bidi="ar"/>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"https://baike.baidu.com/item/%E5%8C%97%E4%BA%AC%E5%A4%A7%E5%85%B4%E5%9B%BD%E9%99%85%E6%9C%BA%E5%9C%BA/12801770"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北京</w:t>
            </w:r>
            <w:r>
              <w:rPr>
                <w:rStyle w:val="24"/>
                <w:rFonts w:hint="eastAsia" w:ascii="仿宋" w:hAnsi="仿宋" w:eastAsia="仿宋" w:cs="仿宋"/>
                <w:i w:val="0"/>
                <w:iCs w:val="0"/>
                <w:caps w:val="0"/>
                <w:color w:val="auto"/>
                <w:spacing w:val="0"/>
                <w:sz w:val="28"/>
                <w:szCs w:val="28"/>
                <w:u w:val="none"/>
                <w:lang w:eastAsia="zh-CN"/>
              </w:rPr>
              <w:t>首都</w:t>
            </w:r>
            <w:r>
              <w:rPr>
                <w:rStyle w:val="24"/>
                <w:rFonts w:hint="eastAsia" w:ascii="仿宋" w:hAnsi="仿宋" w:eastAsia="仿宋" w:cs="仿宋"/>
                <w:i w:val="0"/>
                <w:iCs w:val="0"/>
                <w:caps w:val="0"/>
                <w:color w:val="auto"/>
                <w:spacing w:val="0"/>
                <w:sz w:val="28"/>
                <w:szCs w:val="28"/>
                <w:u w:val="none"/>
              </w:rPr>
              <w:t>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0"/>
                <w:sz w:val="28"/>
                <w:szCs w:val="28"/>
                <w:u w:val="none"/>
                <w:lang w:val="en-US" w:eastAsia="zh-CN" w:bidi="ar"/>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"https://baike.baidu.com/item/%E4%B8%8A%E6%B5%B7%E6%B5%A6%E4%B8%9C%E5%9B%BD%E9%99%85%E6%9C%BA%E5%9C%BA"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上海浦东国际机场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"https://baike.baidu.com/item/%E4%B8%8A%E6%B5%B7%E8%99%B9%E6%A1%A5%E5%9B%BD%E9%99%85%E6%9C%BA%E5%9C%BA" \t "https://baike.baidu.com/item/4E%E7%BA%A7%E6%9C%BA%E5%9C%BA/_blank"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上海虹桥国际机场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"https://baike.baidu.com/item/%E5%B9%BF%E5%B7%9E%E7%99%BD%E4%BA%91%E5%9B%BD%E9%99%85%E6%9C%BA%E5%9C%BA"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广州白云国际机场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"https://baike.baidu.com/item/%E6%88%90%E9%83%BD%E5%8F%8C%E6%B5%81%E5%9B%BD%E9%99%85%E6%9C%BA%E5%9C%BA/1024519"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成都双流国际机场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"https://baike.baidu.com/item/%E6%B7%B1%E5%9C%B3%E5%AE%9D%E5%AE%89%E5%9B%BD%E9%99%85%E6%9C%BA%E5%9C%BA"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深圳宝安国际机场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"https://baike.baidu.com/item/%E8%A5%BF%E5%AE%89%E5%92%B8%E9%98%B3%E5%9B%BD%E9%99%85%E6%9C%BA%E5%9C%BA"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西安咸阳国际机场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"https://baike.baidu.com/item/%E6%98%86%E6%98%8E%E9%95%BF%E6%B0%B4%E5%9B%BD%E9%99%85%E6%9C%BA%E5%9C%BA"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昆明长水国际机场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"https://baike.baidu.com/item/%E9%87%8D%E5%BA%86%E6%B1%9F%E5%8C%97%E5%9B%BD%E9%99%85%E6%9C%BA%E5%9C%BA/4155905"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重庆江北国际机场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"https://baike.baidu.com/item/%E6%9D%AD%E5%B7%9E%E8%90%A7%E5%B1%B1%E5%9B%BD%E9%99%85%E6%9C%BA%E5%9C%BA/6292051"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杭州萧山国际机场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Style w:val="24"/>
                <w:rFonts w:hint="eastAsia" w:ascii="仿宋" w:hAnsi="仿宋" w:eastAsia="仿宋" w:cs="仿宋"/>
                <w:i w:val="0"/>
                <w:iCs w:val="0"/>
                <w:caps w:val="0"/>
                <w:color w:val="auto"/>
                <w:spacing w:val="0"/>
                <w:sz w:val="28"/>
                <w:szCs w:val="28"/>
                <w:u w:val="none"/>
                <w:lang w:val="en-US" w:eastAsia="zh-CN"/>
              </w:rPr>
            </w:pPr>
            <w:r>
              <w:rPr>
                <w:rStyle w:val="24"/>
                <w:rFonts w:hint="eastAsia" w:ascii="仿宋" w:hAnsi="仿宋" w:eastAsia="仿宋" w:cs="仿宋"/>
                <w:i w:val="0"/>
                <w:iCs w:val="0"/>
                <w:caps w:val="0"/>
                <w:color w:val="auto"/>
                <w:spacing w:val="0"/>
                <w:sz w:val="28"/>
                <w:szCs w:val="28"/>
                <w:u w:val="none"/>
                <w:lang w:val="en-US" w:eastAsia="zh-CN"/>
              </w:rPr>
              <w:t>台湾桃园国际机场</w:t>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Style w:val="24"/>
                <w:rFonts w:hint="eastAsia" w:ascii="仿宋" w:hAnsi="仿宋" w:eastAsia="仿宋" w:cs="仿宋"/>
                <w:i w:val="0"/>
                <w:iCs w:val="0"/>
                <w:caps w:val="0"/>
                <w:color w:val="auto"/>
                <w:spacing w:val="0"/>
                <w:sz w:val="28"/>
                <w:szCs w:val="28"/>
                <w:u w:val="none"/>
                <w:lang w:val="en-US" w:eastAsia="zh-CN"/>
              </w:rPr>
            </w:pPr>
            <w:r>
              <w:rPr>
                <w:rStyle w:val="24"/>
                <w:rFonts w:hint="eastAsia" w:ascii="仿宋" w:hAnsi="仿宋" w:eastAsia="仿宋" w:cs="仿宋"/>
                <w:i w:val="0"/>
                <w:iCs w:val="0"/>
                <w:caps w:val="0"/>
                <w:color w:val="auto"/>
                <w:spacing w:val="0"/>
                <w:sz w:val="28"/>
                <w:szCs w:val="28"/>
                <w:u w:val="none"/>
              </w:rPr>
              <w:t>香港国际机场</w:t>
            </w:r>
          </w:p>
        </w:tc>
      </w:tr>
    </w:tbl>
    <w:p>
      <w:pPr>
        <w:keepNext w:val="0"/>
        <w:keepLines w:val="0"/>
        <w:widowControl/>
        <w:suppressLineNumbers w:val="0"/>
        <w:jc w:val="left"/>
      </w:pPr>
    </w:p>
    <w:p>
      <w:pPr>
        <w:rPr>
          <w:rFonts w:hint="eastAsia"/>
          <w:lang w:val="en-US" w:eastAsia="zh-CN"/>
        </w:rPr>
      </w:pPr>
      <w:r>
        <w:rPr>
          <w:rFonts w:hint="eastAsia"/>
          <w:lang w:val="en-US" w:eastAsia="zh-CN"/>
        </w:rPr>
        <w:br w:type="page"/>
      </w:r>
    </w:p>
    <w:p>
      <w:pPr>
        <w:pStyle w:val="5"/>
        <w:rPr>
          <w:rFonts w:hint="eastAsia"/>
          <w:lang w:val="en-US" w:eastAsia="zh-CN"/>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比选响应文件格式</w:t>
      </w:r>
      <w:r>
        <w:rPr>
          <w:rFonts w:hint="eastAsia" w:eastAsia="仿宋_GB2312" w:cs="Times New Roman"/>
          <w:b/>
          <w:bCs/>
          <w:color w:val="000000" w:themeColor="text1"/>
          <w:sz w:val="28"/>
          <w:szCs w:val="28"/>
          <w:lang w:val="en-US" w:eastAsia="zh-CN"/>
          <w14:textFill>
            <w14:solidFill>
              <w14:schemeClr w14:val="tx1"/>
            </w14:solidFill>
          </w14:textFill>
        </w:rPr>
        <w:t>:</w:t>
      </w:r>
    </w:p>
    <w:p>
      <w:pPr>
        <w:tabs>
          <w:tab w:val="left" w:pos="450"/>
          <w:tab w:val="left" w:pos="8280"/>
        </w:tabs>
        <w:rPr>
          <w:rFonts w:hint="default" w:ascii="仿宋_GB2312" w:hAnsi="仿宋" w:eastAsia="仿宋_GB2312"/>
          <w:b/>
          <w:color w:val="000000"/>
          <w:sz w:val="28"/>
          <w:szCs w:val="28"/>
          <w:lang w:val="en-US" w:eastAsia="zh-CN"/>
        </w:rPr>
      </w:pPr>
      <w:r>
        <w:rPr>
          <w:rFonts w:hint="eastAsia" w:ascii="仿宋_GB2312" w:hAnsi="仿宋" w:eastAsia="仿宋_GB2312"/>
          <w:b/>
          <w:color w:val="000000"/>
          <w:sz w:val="28"/>
          <w:szCs w:val="28"/>
          <w:lang w:val="en-US" w:eastAsia="zh-CN"/>
        </w:rPr>
        <w:t>封面</w:t>
      </w:r>
    </w:p>
    <w:p>
      <w:pPr>
        <w:tabs>
          <w:tab w:val="left" w:pos="450"/>
          <w:tab w:val="left" w:pos="8280"/>
        </w:tabs>
        <w:jc w:val="center"/>
        <w:rPr>
          <w:rFonts w:hint="eastAsia"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重庆空港航空地面服务有限公司</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lang w:val="en-US" w:eastAsia="zh-CN"/>
        </w:rPr>
        <w:t>20英尺集装托架</w:t>
      </w:r>
      <w:r>
        <w:rPr>
          <w:rFonts w:hint="eastAsia" w:ascii="仿宋_GB2312" w:hAnsi="仿宋" w:eastAsia="仿宋_GB2312"/>
          <w:b/>
          <w:color w:val="000000"/>
          <w:sz w:val="32"/>
          <w:szCs w:val="32"/>
          <w:lang w:val="zh-CN"/>
        </w:rPr>
        <w:t>购置项目比选采购</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响应文件</w:t>
      </w:r>
    </w:p>
    <w:p>
      <w:pPr>
        <w:tabs>
          <w:tab w:val="left" w:pos="8280"/>
        </w:tabs>
        <w:jc w:val="center"/>
        <w:rPr>
          <w:rFonts w:ascii="仿宋_GB2312" w:hAnsi="仿宋" w:eastAsia="仿宋_GB2312"/>
          <w:b/>
          <w:color w:val="000000"/>
          <w:sz w:val="32"/>
          <w:szCs w:val="32"/>
        </w:rPr>
      </w:pPr>
    </w:p>
    <w:p>
      <w:pPr>
        <w:tabs>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（正本或副本）</w:t>
      </w:r>
    </w:p>
    <w:p>
      <w:pPr>
        <w:tabs>
          <w:tab w:val="left" w:pos="8280"/>
        </w:tabs>
        <w:jc w:val="center"/>
        <w:rPr>
          <w:rFonts w:ascii="仿宋_GB2312" w:hAnsi="仿宋" w:eastAsia="仿宋_GB2312"/>
          <w:b/>
          <w:color w:val="000000"/>
          <w:sz w:val="32"/>
          <w:szCs w:val="32"/>
        </w:rPr>
      </w:pPr>
    </w:p>
    <w:p>
      <w:pPr>
        <w:tabs>
          <w:tab w:val="left" w:pos="765"/>
          <w:tab w:val="left" w:pos="8280"/>
        </w:tabs>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r>
        <w:rPr>
          <w:rFonts w:hint="eastAsia" w:ascii="仿宋_GB2312" w:hAnsi="仿宋" w:eastAsia="仿宋_GB2312"/>
          <w:b/>
          <w:color w:val="000000"/>
          <w:sz w:val="32"/>
          <w:szCs w:val="32"/>
          <w:lang w:eastAsia="zh-CN"/>
        </w:rPr>
        <w:t>响应</w:t>
      </w:r>
      <w:r>
        <w:rPr>
          <w:rFonts w:hint="eastAsia" w:ascii="仿宋_GB2312" w:hAnsi="仿宋" w:eastAsia="仿宋_GB2312"/>
          <w:b/>
          <w:color w:val="000000"/>
          <w:sz w:val="32"/>
          <w:szCs w:val="32"/>
        </w:rPr>
        <w:t>人名称（加盖公章）：</w:t>
      </w:r>
      <w:r>
        <w:rPr>
          <w:rFonts w:hint="eastAsia" w:ascii="仿宋_GB2312" w:hAnsi="仿宋" w:eastAsia="仿宋_GB2312"/>
          <w:b/>
          <w:color w:val="000000"/>
          <w:sz w:val="32"/>
          <w:szCs w:val="32"/>
          <w:u w:val="single"/>
        </w:rPr>
        <w:t xml:space="preserve">                                </w:t>
      </w: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ind w:firstLine="3196" w:firstLineChars="995"/>
        <w:rPr>
          <w:rFonts w:ascii="仿宋_GB2312" w:hAnsi="仿宋" w:eastAsia="仿宋_GB2312"/>
          <w:b/>
          <w:color w:val="000000"/>
          <w:sz w:val="32"/>
          <w:szCs w:val="32"/>
          <w:lang w:val="zh-CN"/>
        </w:rPr>
      </w:pPr>
      <w:r>
        <w:rPr>
          <w:rFonts w:hint="eastAsia" w:ascii="仿宋_GB2312" w:hAnsi="仿宋" w:eastAsia="仿宋_GB2312"/>
          <w:b/>
          <w:color w:val="000000"/>
          <w:sz w:val="32"/>
          <w:szCs w:val="32"/>
        </w:rPr>
        <w:t xml:space="preserve">       年     月     日</w:t>
      </w:r>
    </w:p>
    <w:p>
      <w:pPr>
        <w:autoSpaceDE w:val="0"/>
        <w:autoSpaceDN w:val="0"/>
        <w:adjustRightInd w:val="0"/>
        <w:spacing w:line="360" w:lineRule="auto"/>
        <w:rPr>
          <w:rFonts w:ascii="仿宋_GB2312" w:hAnsi="仿宋" w:eastAsia="仿宋_GB2312"/>
          <w:b/>
          <w:color w:val="000000"/>
          <w:sz w:val="32"/>
          <w:szCs w:val="32"/>
          <w:lang w:val="zh-CN"/>
        </w:rPr>
      </w:pPr>
    </w:p>
    <w:p>
      <w:pPr>
        <w:keepNext w:val="0"/>
        <w:keepLines w:val="0"/>
        <w:pageBreakBefore w:val="0"/>
        <w:kinsoku/>
        <w:wordWrap/>
        <w:overflowPunct/>
        <w:topLinePunct w:val="0"/>
        <w:bidi w:val="0"/>
        <w:spacing w:line="240" w:lineRule="auto"/>
        <w:jc w:val="left"/>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br w:type="page"/>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目  录</w:t>
      </w:r>
    </w:p>
    <w:p>
      <w:pPr>
        <w:pStyle w:val="16"/>
        <w:rPr>
          <w:rFonts w:hint="eastAsia"/>
          <w:lang w:val="en-US" w:eastAsia="zh-CN"/>
        </w:rPr>
      </w:pPr>
    </w:p>
    <w:p>
      <w:pPr>
        <w:keepNext w:val="0"/>
        <w:keepLines w:val="0"/>
        <w:pageBreakBefore w:val="0"/>
        <w:kinsoku/>
        <w:wordWrap/>
        <w:overflowPunct/>
        <w:topLinePunct w:val="0"/>
        <w:bidi w:val="0"/>
        <w:spacing w:line="56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一、报价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函部分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技术部分</w:t>
      </w: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lang w:val="en-US" w:eastAsia="zh-CN"/>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报价函部分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报价函</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lang w:val="en-US" w:eastAsia="zh-CN"/>
          <w14:textFill>
            <w14:solidFill>
              <w14:schemeClr w14:val="tx1"/>
            </w14:solidFill>
          </w14:textFill>
        </w:rPr>
        <w:t>重庆空港航空地面服务有限</w:t>
      </w:r>
      <w:r>
        <w:rPr>
          <w:rFonts w:hint="eastAsia" w:ascii="仿宋" w:hAnsi="仿宋" w:eastAsia="仿宋" w:cs="仿宋"/>
          <w:bCs/>
          <w:color w:val="000000" w:themeColor="text1"/>
          <w:sz w:val="28"/>
          <w:szCs w:val="28"/>
          <w:u w:val="single"/>
          <w14:textFill>
            <w14:solidFill>
              <w14:schemeClr w14:val="tx1"/>
            </w14:solidFill>
          </w14:textFill>
        </w:rPr>
        <w:t>公司</w:t>
      </w:r>
      <w:r>
        <w:rPr>
          <w:rFonts w:hint="eastAsia" w:ascii="仿宋" w:hAnsi="仿宋" w:eastAsia="仿宋" w:cs="仿宋"/>
          <w:bCs/>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1．我方已仔细研究</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 重庆空港航空地面服务有限</w:t>
      </w:r>
      <w:r>
        <w:rPr>
          <w:rFonts w:hint="eastAsia" w:ascii="仿宋" w:hAnsi="仿宋" w:eastAsia="仿宋" w:cs="仿宋"/>
          <w:bCs/>
          <w:color w:val="000000" w:themeColor="text1"/>
          <w:sz w:val="28"/>
          <w:szCs w:val="28"/>
          <w:u w:val="single"/>
          <w14:textFill>
            <w14:solidFill>
              <w14:schemeClr w14:val="tx1"/>
            </w14:solidFill>
          </w14:textFill>
        </w:rPr>
        <w:t>公司</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20英尺集装托架购置项目 </w:t>
      </w:r>
      <w:r>
        <w:rPr>
          <w:rFonts w:hint="eastAsia" w:ascii="仿宋" w:hAnsi="仿宋" w:eastAsia="仿宋" w:cs="仿宋"/>
          <w:bCs/>
          <w:color w:val="000000" w:themeColor="text1"/>
          <w:sz w:val="28"/>
          <w:szCs w:val="28"/>
          <w14:textFill>
            <w14:solidFill>
              <w14:schemeClr w14:val="tx1"/>
            </w14:solidFill>
          </w14:textFill>
        </w:rPr>
        <w:t>比选</w:t>
      </w:r>
      <w:r>
        <w:rPr>
          <w:rFonts w:hint="eastAsia" w:ascii="仿宋" w:hAnsi="仿宋" w:eastAsia="仿宋" w:cs="仿宋"/>
          <w:bCs/>
          <w:color w:val="000000" w:themeColor="text1"/>
          <w:sz w:val="28"/>
          <w:szCs w:val="28"/>
          <w:lang w:eastAsia="zh-CN"/>
          <w14:textFill>
            <w14:solidFill>
              <w14:schemeClr w14:val="tx1"/>
            </w14:solidFill>
          </w14:textFill>
        </w:rPr>
        <w:t>采购</w:t>
      </w:r>
      <w:r>
        <w:rPr>
          <w:rFonts w:hint="eastAsia" w:ascii="仿宋" w:hAnsi="仿宋" w:eastAsia="仿宋" w:cs="仿宋"/>
          <w:bCs/>
          <w:color w:val="000000" w:themeColor="text1"/>
          <w:sz w:val="28"/>
          <w:szCs w:val="28"/>
          <w14:textFill>
            <w14:solidFill>
              <w14:schemeClr w14:val="tx1"/>
            </w14:solidFill>
          </w14:textFill>
        </w:rPr>
        <w:t>文件的全部内容，</w:t>
      </w:r>
      <w:r>
        <w:rPr>
          <w:rFonts w:hint="eastAsia" w:ascii="仿宋" w:hAnsi="仿宋" w:eastAsia="仿宋" w:cs="仿宋"/>
          <w:bCs/>
          <w:color w:val="000000" w:themeColor="text1"/>
          <w:sz w:val="28"/>
          <w:szCs w:val="28"/>
          <w:lang w:val="en-US" w:eastAsia="zh-CN"/>
          <w14:textFill>
            <w14:solidFill>
              <w14:schemeClr w14:val="tx1"/>
            </w14:solidFill>
          </w14:textFill>
        </w:rPr>
        <w:t>并承诺响应比选采购文件所有要求，我方的</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不含增值税报价</w:t>
      </w:r>
      <w:r>
        <w:rPr>
          <w:rFonts w:hint="eastAsia" w:ascii="仿宋" w:hAnsi="仿宋" w:eastAsia="仿宋" w:cs="仿宋"/>
          <w:bCs/>
          <w:color w:val="000000" w:themeColor="text1"/>
          <w:sz w:val="28"/>
          <w:szCs w:val="28"/>
          <w:lang w:val="en-US" w:eastAsia="zh-CN"/>
          <w14:textFill>
            <w14:solidFill>
              <w14:schemeClr w14:val="tx1"/>
            </w14:solidFill>
          </w14:textFill>
        </w:rPr>
        <w:t>为：</w:t>
      </w:r>
      <w:r>
        <w:rPr>
          <w:rFonts w:hint="eastAsia" w:ascii="仿宋" w:hAnsi="仿宋" w:eastAsia="仿宋" w:cs="仿宋"/>
          <w:bCs/>
          <w:color w:val="000000" w:themeColor="text1"/>
          <w:sz w:val="28"/>
          <w:szCs w:val="28"/>
          <w14:textFill>
            <w14:solidFill>
              <w14:schemeClr w14:val="tx1"/>
            </w14:solidFill>
          </w14:textFill>
        </w:rPr>
        <w:t>人民币（大写）</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元（¥</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  </w:t>
      </w:r>
      <w:r>
        <w:rPr>
          <w:rFonts w:hint="eastAsia" w:ascii="仿宋" w:hAnsi="仿宋" w:eastAsia="仿宋" w:cs="仿宋"/>
          <w:bCs/>
          <w:color w:val="000000" w:themeColor="text1"/>
          <w:sz w:val="28"/>
          <w:szCs w:val="28"/>
          <w14:textFill>
            <w14:solidFill>
              <w14:schemeClr w14:val="tx1"/>
            </w14:solidFill>
          </w14:textFill>
        </w:rPr>
        <w:t> ）</w:t>
      </w:r>
      <w:r>
        <w:rPr>
          <w:rFonts w:hint="eastAsia" w:ascii="仿宋" w:hAnsi="仿宋" w:eastAsia="仿宋" w:cs="仿宋"/>
          <w:bCs/>
          <w:color w:val="000000" w:themeColor="text1"/>
          <w:sz w:val="28"/>
          <w:szCs w:val="28"/>
          <w:lang w:val="en-US" w:eastAsia="zh-CN"/>
          <w14:textFill>
            <w14:solidFill>
              <w14:schemeClr w14:val="tx1"/>
            </w14:solidFill>
          </w14:textFill>
        </w:rPr>
        <w:t>；我方自愿</w:t>
      </w:r>
      <w:r>
        <w:rPr>
          <w:rFonts w:hint="eastAsia" w:ascii="仿宋" w:hAnsi="仿宋" w:eastAsia="仿宋" w:cs="仿宋"/>
          <w:bCs/>
          <w:color w:val="000000" w:themeColor="text1"/>
          <w:sz w:val="28"/>
          <w:szCs w:val="28"/>
          <w14:textFill>
            <w14:solidFill>
              <w14:schemeClr w14:val="tx1"/>
            </w14:solidFill>
          </w14:textFill>
        </w:rPr>
        <w:t>按合同约定实施和完成项目的全部工作。</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2．我方承诺在比选有效期内</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90天）</w:t>
      </w:r>
      <w:r>
        <w:rPr>
          <w:rFonts w:hint="eastAsia" w:ascii="仿宋" w:hAnsi="仿宋" w:eastAsia="仿宋" w:cs="仿宋"/>
          <w:bCs/>
          <w:color w:val="000000" w:themeColor="text1"/>
          <w:sz w:val="28"/>
          <w:szCs w:val="28"/>
          <w14:textFill>
            <w14:solidFill>
              <w14:schemeClr w14:val="tx1"/>
            </w14:solidFill>
          </w14:textFill>
        </w:rPr>
        <w:t>不修改、撤销比选响应文件。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3．如我方成交：</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（1）我方承诺在收到成交通知后，在规定的期限内与你方签订合同。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（2）随同本报价函递交的报价函附录属于合同文件的组成部分。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（3）我方承诺在约定的期限内完成并移交全部合同项目和成果。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4．我方在此声明，所递交的比选响应文件及有关资料内容完整、真实和准确。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比选</w:t>
      </w:r>
      <w:r>
        <w:rPr>
          <w:rFonts w:hint="eastAsia" w:ascii="仿宋" w:hAnsi="仿宋" w:eastAsia="仿宋" w:cs="仿宋"/>
          <w:bCs/>
          <w:color w:val="000000" w:themeColor="text1"/>
          <w:sz w:val="28"/>
          <w:szCs w:val="28"/>
          <w:lang w:val="en-US" w:eastAsia="zh-CN"/>
          <w14:textFill>
            <w14:solidFill>
              <w14:schemeClr w14:val="tx1"/>
            </w14:solidFill>
          </w14:textFill>
        </w:rPr>
        <w:t>响应</w:t>
      </w:r>
      <w:r>
        <w:rPr>
          <w:rFonts w:hint="eastAsia" w:ascii="仿宋" w:hAnsi="仿宋" w:eastAsia="仿宋" w:cs="仿宋"/>
          <w:bCs/>
          <w:color w:val="000000" w:themeColor="text1"/>
          <w:sz w:val="28"/>
          <w:szCs w:val="28"/>
          <w14:textFill>
            <w14:solidFill>
              <w14:schemeClr w14:val="tx1"/>
            </w14:solidFill>
          </w14:textFill>
        </w:rPr>
        <w:t>人：（盖单位公章）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法定代表人或其委托代理人： （签字）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地址：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网址：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电话：　　　　　　　　　　　　传真：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邮政编码：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br w:type="page"/>
      </w:r>
    </w:p>
    <w:p>
      <w:pPr>
        <w:keepNext w:val="0"/>
        <w:keepLines w:val="0"/>
        <w:pageBreakBefore w:val="0"/>
        <w:kinsoku/>
        <w:wordWrap/>
        <w:overflowPunct/>
        <w:topLinePunct w:val="0"/>
        <w:bidi w:val="0"/>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授权</w:t>
      </w:r>
      <w:r>
        <w:rPr>
          <w:rFonts w:hint="eastAsia" w:ascii="仿宋" w:hAnsi="仿宋" w:eastAsia="仿宋" w:cs="仿宋"/>
          <w:bCs/>
          <w:color w:val="000000" w:themeColor="text1"/>
          <w:sz w:val="28"/>
          <w:szCs w:val="28"/>
          <w:lang w:val="en-US" w:eastAsia="zh-CN"/>
          <w14:textFill>
            <w14:solidFill>
              <w14:schemeClr w14:val="tx1"/>
            </w14:solidFill>
          </w14:textFill>
        </w:rPr>
        <w:t>委托</w:t>
      </w:r>
      <w:r>
        <w:rPr>
          <w:rFonts w:hint="eastAsia" w:ascii="仿宋" w:hAnsi="仿宋" w:eastAsia="仿宋" w:cs="仿宋"/>
          <w:bCs/>
          <w:color w:val="000000" w:themeColor="text1"/>
          <w:sz w:val="28"/>
          <w:szCs w:val="28"/>
          <w14:textFill>
            <w14:solidFill>
              <w14:schemeClr w14:val="tx1"/>
            </w14:solidFill>
          </w14:textFill>
        </w:rPr>
        <w:t>书</w:t>
      </w:r>
    </w:p>
    <w:p>
      <w:pPr>
        <w:keepNext w:val="0"/>
        <w:keepLines w:val="0"/>
        <w:pageBreakBefore w:val="0"/>
        <w:kinsoku/>
        <w:wordWrap/>
        <w:overflowPunct/>
        <w:topLinePunct w:val="0"/>
        <w:bidi w:val="0"/>
        <w:spacing w:line="560" w:lineRule="exact"/>
        <w:ind w:right="-694"/>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ind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本授权书申明______________(</w:t>
      </w:r>
      <w:r>
        <w:rPr>
          <w:rFonts w:hint="eastAsia" w:ascii="仿宋" w:hAnsi="仿宋" w:eastAsia="仿宋" w:cs="仿宋"/>
          <w:color w:val="000000" w:themeColor="text1"/>
          <w:sz w:val="28"/>
          <w:szCs w:val="28"/>
          <w:lang w:val="en-US" w:eastAsia="zh-CN"/>
          <w14:textFill>
            <w14:solidFill>
              <w14:schemeClr w14:val="tx1"/>
            </w14:solidFill>
          </w14:textFill>
        </w:rPr>
        <w:t>比选响应人</w:t>
      </w:r>
      <w:r>
        <w:rPr>
          <w:rFonts w:hint="eastAsia" w:ascii="仿宋" w:hAnsi="仿宋" w:eastAsia="仿宋" w:cs="仿宋"/>
          <w:color w:val="000000" w:themeColor="text1"/>
          <w:sz w:val="28"/>
          <w:szCs w:val="28"/>
          <w14:textFill>
            <w14:solidFill>
              <w14:schemeClr w14:val="tx1"/>
            </w14:solidFill>
          </w14:textFill>
        </w:rPr>
        <w:t>名称)</w:t>
      </w:r>
      <w:r>
        <w:rPr>
          <w:rFonts w:hint="eastAsia" w:ascii="仿宋" w:hAnsi="仿宋" w:eastAsia="仿宋" w:cs="仿宋"/>
          <w:color w:val="000000" w:themeColor="text1"/>
          <w:sz w:val="28"/>
          <w:szCs w:val="28"/>
          <w:lang w:val="en-US" w:eastAsia="zh-CN"/>
          <w14:textFill>
            <w14:solidFill>
              <w14:schemeClr w14:val="tx1"/>
            </w14:solidFill>
          </w14:textFill>
        </w:rPr>
        <w:t>在此合法授权我所律师</w:t>
      </w:r>
      <w:r>
        <w:rPr>
          <w:rFonts w:hint="eastAsia" w:ascii="仿宋" w:hAnsi="仿宋" w:eastAsia="仿宋" w:cs="仿宋"/>
          <w:color w:val="000000" w:themeColor="text1"/>
          <w:sz w:val="28"/>
          <w:szCs w:val="28"/>
          <w14:textFill>
            <w14:solidFill>
              <w14:schemeClr w14:val="tx1"/>
            </w14:solidFill>
          </w14:textFill>
        </w:rPr>
        <w:t>__________(</w:t>
      </w:r>
      <w:r>
        <w:rPr>
          <w:rFonts w:hint="eastAsia" w:ascii="仿宋" w:hAnsi="仿宋" w:eastAsia="仿宋" w:cs="仿宋"/>
          <w:color w:val="000000" w:themeColor="text1"/>
          <w:sz w:val="28"/>
          <w:szCs w:val="28"/>
          <w:lang w:val="en-US" w:eastAsia="zh-CN"/>
          <w14:textFill>
            <w14:solidFill>
              <w14:schemeClr w14:val="tx1"/>
            </w14:solidFill>
          </w14:textFill>
        </w:rPr>
        <w:t>姓名</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为本单位合法代理人，在重庆空港航空地面服务有限公司20英尺集装托架购置项目的比选活动中，以我单位的名义签署比选响应文件，与比选采购人协商、</w:t>
      </w:r>
      <w:r>
        <w:rPr>
          <w:rFonts w:hint="eastAsia" w:ascii="仿宋" w:hAnsi="仿宋" w:eastAsia="仿宋" w:cs="仿宋"/>
          <w:color w:val="000000" w:themeColor="text1"/>
          <w:sz w:val="28"/>
          <w:szCs w:val="28"/>
          <w14:textFill>
            <w14:solidFill>
              <w14:schemeClr w14:val="tx1"/>
            </w14:solidFill>
          </w14:textFill>
        </w:rPr>
        <w:t>签定合同协议书以及执行一切与此有关的事务。</w:t>
      </w: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被授权人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代理人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：____________（签章）</w:t>
      </w:r>
    </w:p>
    <w:p>
      <w:pPr>
        <w:pStyle w:val="16"/>
        <w:keepNext w:val="0"/>
        <w:keepLines w:val="0"/>
        <w:pageBreakBefore w:val="0"/>
        <w:kinsoku/>
        <w:wordWrap/>
        <w:overflowPunct/>
        <w:topLinePunct w:val="0"/>
        <w:bidi w:val="0"/>
        <w:spacing w:line="560" w:lineRule="exact"/>
        <w:rPr>
          <w:rFonts w:hint="eastAsia" w:ascii="仿宋" w:hAnsi="仿宋" w:eastAsia="仿宋" w:cs="仿宋"/>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比选响应</w:t>
      </w:r>
      <w:r>
        <w:rPr>
          <w:rFonts w:hint="eastAsia" w:ascii="仿宋" w:hAnsi="仿宋" w:eastAsia="仿宋" w:cs="仿宋"/>
          <w:color w:val="000000" w:themeColor="text1"/>
          <w:sz w:val="28"/>
          <w:szCs w:val="28"/>
          <w:lang w:val="en-US" w:eastAsia="zh-CN"/>
          <w14:textFill>
            <w14:solidFill>
              <w14:schemeClr w14:val="tx1"/>
            </w14:solidFill>
          </w14:textFill>
        </w:rPr>
        <w:t>人</w:t>
      </w:r>
      <w:r>
        <w:rPr>
          <w:rFonts w:hint="eastAsia" w:ascii="仿宋" w:hAnsi="仿宋" w:eastAsia="仿宋" w:cs="仿宋"/>
          <w:color w:val="000000" w:themeColor="text1"/>
          <w:sz w:val="28"/>
          <w:szCs w:val="28"/>
          <w14:textFill>
            <w14:solidFill>
              <w14:schemeClr w14:val="tx1"/>
            </w14:solidFill>
          </w14:textFill>
        </w:rPr>
        <w:t>：____________（盖章）</w:t>
      </w: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被授权人代理人身份证</w:t>
      </w:r>
      <w:r>
        <w:rPr>
          <w:rFonts w:hint="eastAsia" w:ascii="仿宋" w:hAnsi="仿宋" w:eastAsia="仿宋" w:cs="仿宋"/>
          <w:b/>
          <w:bCs/>
          <w:color w:val="000000" w:themeColor="text1"/>
          <w:sz w:val="28"/>
          <w:szCs w:val="28"/>
          <w:lang w:val="en-US" w:eastAsia="zh-CN"/>
          <w14:textFill>
            <w14:solidFill>
              <w14:schemeClr w14:val="tx1"/>
            </w14:solidFill>
          </w14:textFill>
        </w:rPr>
        <w:t>复印件</w:t>
      </w: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jc w:val="both"/>
        <w:rPr>
          <w:rFonts w:hint="eastAsia"/>
          <w:lang w:val="en-US" w:eastAsia="zh-CN"/>
        </w:rPr>
      </w:pPr>
    </w:p>
    <w:p>
      <w:pPr>
        <w:keepNext w:val="0"/>
        <w:keepLines w:val="0"/>
        <w:pageBreakBefore w:val="0"/>
        <w:numPr>
          <w:ilvl w:val="0"/>
          <w:numId w:val="2"/>
        </w:numPr>
        <w:kinsoku/>
        <w:wordWrap/>
        <w:overflowPunct/>
        <w:topLinePunct w:val="0"/>
        <w:bidi w:val="0"/>
        <w:spacing w:line="560" w:lineRule="exact"/>
        <w:ind w:left="0" w:leftChars="0" w:firstLine="0" w:firstLineChars="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技术部分</w:t>
      </w:r>
    </w:p>
    <w:p>
      <w:pPr>
        <w:keepNext w:val="0"/>
        <w:keepLines w:val="0"/>
        <w:pageBreakBefore w:val="0"/>
        <w:kinsoku/>
        <w:wordWrap/>
        <w:overflowPunct/>
        <w:topLinePunct w:val="0"/>
        <w:bidi w:val="0"/>
        <w:spacing w:line="560" w:lineRule="exact"/>
        <w:ind w:firstLine="560" w:firstLineChars="200"/>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主要</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根据设备参数要求、技术评分内容进行准备。</w:t>
      </w:r>
    </w:p>
    <w:p>
      <w:pPr>
        <w:pStyle w:val="16"/>
        <w:ind w:firstLine="562" w:firstLineChars="200"/>
        <w:jc w:val="both"/>
        <w:rPr>
          <w:rFonts w:hint="eastAsia" w:ascii="仿宋" w:hAnsi="仿宋" w:eastAsia="仿宋" w:cs="仿宋"/>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pStyle w:val="16"/>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rPr>
          <w:rFonts w:hint="eastAsia" w:ascii="仿宋" w:hAnsi="仿宋" w:eastAsia="仿宋" w:cs="仿宋"/>
          <w:lang w:val="zh-CN"/>
        </w:rPr>
      </w:pPr>
    </w:p>
    <w:p>
      <w:pPr>
        <w:keepNext w:val="0"/>
        <w:keepLines w:val="0"/>
        <w:pageBreakBefore w:val="0"/>
        <w:numPr>
          <w:ilvl w:val="0"/>
          <w:numId w:val="2"/>
        </w:numPr>
        <w:kinsoku/>
        <w:wordWrap/>
        <w:overflowPunct/>
        <w:topLinePunct w:val="0"/>
        <w:bidi w:val="0"/>
        <w:spacing w:line="560" w:lineRule="exact"/>
        <w:ind w:left="0" w:leftChars="0" w:firstLine="0" w:firstLineChars="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ind w:firstLine="560" w:firstLineChars="200"/>
        <w:outlineLvl w:val="9"/>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主要</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根据资格要求、商务评分内容进行准备。</w:t>
      </w:r>
    </w:p>
    <w:p>
      <w:pPr>
        <w:pStyle w:val="16"/>
        <w:ind w:firstLine="562" w:firstLineChars="200"/>
        <w:jc w:val="both"/>
        <w:rPr>
          <w:rFonts w:hint="eastAsia" w:ascii="仿宋" w:hAnsi="仿宋" w:eastAsia="仿宋" w:cs="仿宋"/>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footerReference r:id="rId5" w:type="default"/>
      <w:pgSz w:w="11906" w:h="16838"/>
      <w:pgMar w:top="156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22</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22</w:t>
                    </w:r>
                    <w:r>
                      <w:rPr>
                        <w:rFonts w:hint="eastAsia"/>
                        <w:lang w:eastAsia="zh-CN"/>
                      </w:rP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C89A0"/>
    <w:multiLevelType w:val="singleLevel"/>
    <w:tmpl w:val="B96C89A0"/>
    <w:lvl w:ilvl="0" w:tentative="0">
      <w:start w:val="7"/>
      <w:numFmt w:val="chineseCounting"/>
      <w:suff w:val="nothing"/>
      <w:lvlText w:val="%1、"/>
      <w:lvlJc w:val="left"/>
      <w:rPr>
        <w:rFonts w:hint="eastAsia"/>
      </w:rPr>
    </w:lvl>
  </w:abstractNum>
  <w:abstractNum w:abstractNumId="1">
    <w:nsid w:val="1BA38356"/>
    <w:multiLevelType w:val="singleLevel"/>
    <w:tmpl w:val="1BA383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56A10"/>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1AA6C62"/>
    <w:rsid w:val="01C34904"/>
    <w:rsid w:val="01F91A58"/>
    <w:rsid w:val="02275B33"/>
    <w:rsid w:val="024E514A"/>
    <w:rsid w:val="02844C73"/>
    <w:rsid w:val="029D297E"/>
    <w:rsid w:val="02BF3F39"/>
    <w:rsid w:val="02EC7AE5"/>
    <w:rsid w:val="02EF5648"/>
    <w:rsid w:val="0344479F"/>
    <w:rsid w:val="03AB119B"/>
    <w:rsid w:val="03F12107"/>
    <w:rsid w:val="03FC2CFC"/>
    <w:rsid w:val="042D3E0E"/>
    <w:rsid w:val="04346C47"/>
    <w:rsid w:val="046B38D3"/>
    <w:rsid w:val="048F2341"/>
    <w:rsid w:val="04C5575B"/>
    <w:rsid w:val="04E56460"/>
    <w:rsid w:val="04EC7A2C"/>
    <w:rsid w:val="05416D39"/>
    <w:rsid w:val="055E55A9"/>
    <w:rsid w:val="05627D6B"/>
    <w:rsid w:val="05893C34"/>
    <w:rsid w:val="058B37A1"/>
    <w:rsid w:val="05CA0A32"/>
    <w:rsid w:val="05F80DA3"/>
    <w:rsid w:val="06256F1D"/>
    <w:rsid w:val="062B48E9"/>
    <w:rsid w:val="06926D13"/>
    <w:rsid w:val="06B0704C"/>
    <w:rsid w:val="06DD7488"/>
    <w:rsid w:val="06FB4E78"/>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384637"/>
    <w:rsid w:val="0A3E6166"/>
    <w:rsid w:val="0A731E79"/>
    <w:rsid w:val="0A923616"/>
    <w:rsid w:val="0A977327"/>
    <w:rsid w:val="0A9C0B09"/>
    <w:rsid w:val="0B4A774F"/>
    <w:rsid w:val="0B747136"/>
    <w:rsid w:val="0BEE79BD"/>
    <w:rsid w:val="0C68692E"/>
    <w:rsid w:val="0D066FFB"/>
    <w:rsid w:val="0D4571FF"/>
    <w:rsid w:val="0D56362A"/>
    <w:rsid w:val="0D654EF8"/>
    <w:rsid w:val="0D765360"/>
    <w:rsid w:val="0DA0508F"/>
    <w:rsid w:val="0DA145C2"/>
    <w:rsid w:val="0DEC451B"/>
    <w:rsid w:val="0DFE56D2"/>
    <w:rsid w:val="0E321F8B"/>
    <w:rsid w:val="0E566F47"/>
    <w:rsid w:val="0E5B7D3A"/>
    <w:rsid w:val="0ED45E50"/>
    <w:rsid w:val="0EE71FAC"/>
    <w:rsid w:val="0EEB3CEC"/>
    <w:rsid w:val="0EFB2EDC"/>
    <w:rsid w:val="0F303832"/>
    <w:rsid w:val="0F5D5D0B"/>
    <w:rsid w:val="0F652260"/>
    <w:rsid w:val="0FF75CB1"/>
    <w:rsid w:val="101B284F"/>
    <w:rsid w:val="107251C5"/>
    <w:rsid w:val="10751C6C"/>
    <w:rsid w:val="10CA602B"/>
    <w:rsid w:val="10E11778"/>
    <w:rsid w:val="110572F9"/>
    <w:rsid w:val="11103A1A"/>
    <w:rsid w:val="112A5D11"/>
    <w:rsid w:val="113405A8"/>
    <w:rsid w:val="11852565"/>
    <w:rsid w:val="124A430F"/>
    <w:rsid w:val="124C5DBE"/>
    <w:rsid w:val="12721216"/>
    <w:rsid w:val="12A53375"/>
    <w:rsid w:val="12AB2683"/>
    <w:rsid w:val="12EF7472"/>
    <w:rsid w:val="130324B4"/>
    <w:rsid w:val="13055667"/>
    <w:rsid w:val="13351D76"/>
    <w:rsid w:val="133F50D1"/>
    <w:rsid w:val="13BD6A02"/>
    <w:rsid w:val="14072E9C"/>
    <w:rsid w:val="14120123"/>
    <w:rsid w:val="145D3897"/>
    <w:rsid w:val="146971A6"/>
    <w:rsid w:val="146A38F9"/>
    <w:rsid w:val="14902995"/>
    <w:rsid w:val="14942599"/>
    <w:rsid w:val="149E7F50"/>
    <w:rsid w:val="152A33F3"/>
    <w:rsid w:val="1546363A"/>
    <w:rsid w:val="15925856"/>
    <w:rsid w:val="160E5648"/>
    <w:rsid w:val="16301051"/>
    <w:rsid w:val="167726CD"/>
    <w:rsid w:val="16A95AC3"/>
    <w:rsid w:val="16E208CB"/>
    <w:rsid w:val="16EB77A7"/>
    <w:rsid w:val="1738746B"/>
    <w:rsid w:val="173E1A73"/>
    <w:rsid w:val="175F378B"/>
    <w:rsid w:val="17B4753F"/>
    <w:rsid w:val="17C264C9"/>
    <w:rsid w:val="17C6387E"/>
    <w:rsid w:val="18001A10"/>
    <w:rsid w:val="182A6026"/>
    <w:rsid w:val="18AD4CFB"/>
    <w:rsid w:val="19651732"/>
    <w:rsid w:val="19FE0C42"/>
    <w:rsid w:val="1A055576"/>
    <w:rsid w:val="1A0949BF"/>
    <w:rsid w:val="1A2773EE"/>
    <w:rsid w:val="1A780858"/>
    <w:rsid w:val="1AA649B7"/>
    <w:rsid w:val="1ACC3C34"/>
    <w:rsid w:val="1AD9349D"/>
    <w:rsid w:val="1AE045F8"/>
    <w:rsid w:val="1AE07ED1"/>
    <w:rsid w:val="1AE76FFF"/>
    <w:rsid w:val="1B3D3BC7"/>
    <w:rsid w:val="1B530870"/>
    <w:rsid w:val="1B954109"/>
    <w:rsid w:val="1BA159B2"/>
    <w:rsid w:val="1BC03857"/>
    <w:rsid w:val="1C14551E"/>
    <w:rsid w:val="1C2D30C9"/>
    <w:rsid w:val="1CA72944"/>
    <w:rsid w:val="1CA753A6"/>
    <w:rsid w:val="1D0A1192"/>
    <w:rsid w:val="1D8A5436"/>
    <w:rsid w:val="1E004198"/>
    <w:rsid w:val="1E1B0A69"/>
    <w:rsid w:val="1E470BAE"/>
    <w:rsid w:val="1EBF0088"/>
    <w:rsid w:val="1ED85FE7"/>
    <w:rsid w:val="1EDE09E7"/>
    <w:rsid w:val="1F27766C"/>
    <w:rsid w:val="1F290902"/>
    <w:rsid w:val="1F35392A"/>
    <w:rsid w:val="1F4F022C"/>
    <w:rsid w:val="1FB81494"/>
    <w:rsid w:val="1FCE1887"/>
    <w:rsid w:val="1FDD46D5"/>
    <w:rsid w:val="1FF06C12"/>
    <w:rsid w:val="1FF37DA3"/>
    <w:rsid w:val="20012227"/>
    <w:rsid w:val="20162376"/>
    <w:rsid w:val="20783542"/>
    <w:rsid w:val="209E4C1A"/>
    <w:rsid w:val="20B747D3"/>
    <w:rsid w:val="20F5686F"/>
    <w:rsid w:val="212D69FF"/>
    <w:rsid w:val="21537132"/>
    <w:rsid w:val="21BE37AB"/>
    <w:rsid w:val="221F3474"/>
    <w:rsid w:val="22537DDE"/>
    <w:rsid w:val="226E22DD"/>
    <w:rsid w:val="2282770E"/>
    <w:rsid w:val="22D160CB"/>
    <w:rsid w:val="23093D4E"/>
    <w:rsid w:val="232C7B55"/>
    <w:rsid w:val="23523730"/>
    <w:rsid w:val="23532FB0"/>
    <w:rsid w:val="236B5E11"/>
    <w:rsid w:val="23777D76"/>
    <w:rsid w:val="23D41E3A"/>
    <w:rsid w:val="247D38B3"/>
    <w:rsid w:val="24DE033B"/>
    <w:rsid w:val="24F825EA"/>
    <w:rsid w:val="250963F0"/>
    <w:rsid w:val="2527176B"/>
    <w:rsid w:val="255B3973"/>
    <w:rsid w:val="25EE6378"/>
    <w:rsid w:val="263069F3"/>
    <w:rsid w:val="26630D75"/>
    <w:rsid w:val="26AF0C16"/>
    <w:rsid w:val="26AF1AE1"/>
    <w:rsid w:val="26B1790E"/>
    <w:rsid w:val="26BE4550"/>
    <w:rsid w:val="26DF36D3"/>
    <w:rsid w:val="26F4633F"/>
    <w:rsid w:val="26FC1E95"/>
    <w:rsid w:val="27862A40"/>
    <w:rsid w:val="278B3A20"/>
    <w:rsid w:val="27C022E0"/>
    <w:rsid w:val="27D23323"/>
    <w:rsid w:val="283E1AC0"/>
    <w:rsid w:val="28552F2C"/>
    <w:rsid w:val="286C36E6"/>
    <w:rsid w:val="28867CA7"/>
    <w:rsid w:val="28900766"/>
    <w:rsid w:val="28A1023B"/>
    <w:rsid w:val="28B03454"/>
    <w:rsid w:val="28E5712E"/>
    <w:rsid w:val="2954075F"/>
    <w:rsid w:val="29935EC5"/>
    <w:rsid w:val="29F10E7D"/>
    <w:rsid w:val="29F93554"/>
    <w:rsid w:val="2AB73270"/>
    <w:rsid w:val="2B3542A3"/>
    <w:rsid w:val="2B6E3F41"/>
    <w:rsid w:val="2B824505"/>
    <w:rsid w:val="2BB628FE"/>
    <w:rsid w:val="2BD72CF4"/>
    <w:rsid w:val="2C0824D5"/>
    <w:rsid w:val="2C7E30BB"/>
    <w:rsid w:val="2C890986"/>
    <w:rsid w:val="2D2A3B0D"/>
    <w:rsid w:val="2D6E61B2"/>
    <w:rsid w:val="2DA3726B"/>
    <w:rsid w:val="2DB01335"/>
    <w:rsid w:val="2DCF4404"/>
    <w:rsid w:val="2DE06E10"/>
    <w:rsid w:val="2DE12229"/>
    <w:rsid w:val="2E12162B"/>
    <w:rsid w:val="2EBF0BBF"/>
    <w:rsid w:val="2F0A16C4"/>
    <w:rsid w:val="2F0D0675"/>
    <w:rsid w:val="2F5F0A5D"/>
    <w:rsid w:val="2F7E753E"/>
    <w:rsid w:val="2F840FFA"/>
    <w:rsid w:val="2FC3325D"/>
    <w:rsid w:val="2FE018BD"/>
    <w:rsid w:val="303429D2"/>
    <w:rsid w:val="306E1C94"/>
    <w:rsid w:val="30A40618"/>
    <w:rsid w:val="314A2798"/>
    <w:rsid w:val="314D0E3F"/>
    <w:rsid w:val="31B7717A"/>
    <w:rsid w:val="31F05866"/>
    <w:rsid w:val="320C68B2"/>
    <w:rsid w:val="320D1E09"/>
    <w:rsid w:val="321E361B"/>
    <w:rsid w:val="32362892"/>
    <w:rsid w:val="32D6687A"/>
    <w:rsid w:val="32F751B6"/>
    <w:rsid w:val="33296D3B"/>
    <w:rsid w:val="33AD241D"/>
    <w:rsid w:val="33C31107"/>
    <w:rsid w:val="33E26F87"/>
    <w:rsid w:val="33E86FAC"/>
    <w:rsid w:val="33FA0FB5"/>
    <w:rsid w:val="3446741E"/>
    <w:rsid w:val="345A6386"/>
    <w:rsid w:val="346A42FC"/>
    <w:rsid w:val="348554CB"/>
    <w:rsid w:val="34B370EE"/>
    <w:rsid w:val="34C176EE"/>
    <w:rsid w:val="34CE0EFC"/>
    <w:rsid w:val="34DA2CE1"/>
    <w:rsid w:val="34ED6EC4"/>
    <w:rsid w:val="350C0AD6"/>
    <w:rsid w:val="3520564A"/>
    <w:rsid w:val="35256E80"/>
    <w:rsid w:val="354C6A50"/>
    <w:rsid w:val="355D1858"/>
    <w:rsid w:val="35775EA4"/>
    <w:rsid w:val="359569B1"/>
    <w:rsid w:val="3597318F"/>
    <w:rsid w:val="359E146C"/>
    <w:rsid w:val="35B72366"/>
    <w:rsid w:val="35DD2679"/>
    <w:rsid w:val="35F74B83"/>
    <w:rsid w:val="361835D3"/>
    <w:rsid w:val="36506F5F"/>
    <w:rsid w:val="365073B4"/>
    <w:rsid w:val="3667042C"/>
    <w:rsid w:val="36BC008C"/>
    <w:rsid w:val="36FA5F7F"/>
    <w:rsid w:val="37065F4F"/>
    <w:rsid w:val="37AD3EFE"/>
    <w:rsid w:val="38416FAC"/>
    <w:rsid w:val="38680E7E"/>
    <w:rsid w:val="38CF775E"/>
    <w:rsid w:val="38F66E75"/>
    <w:rsid w:val="38FA1B4F"/>
    <w:rsid w:val="39022811"/>
    <w:rsid w:val="39297B26"/>
    <w:rsid w:val="39361428"/>
    <w:rsid w:val="398573C7"/>
    <w:rsid w:val="399744A4"/>
    <w:rsid w:val="39B02053"/>
    <w:rsid w:val="39CB4BFF"/>
    <w:rsid w:val="3A0871BF"/>
    <w:rsid w:val="3A2B4724"/>
    <w:rsid w:val="3A2E204A"/>
    <w:rsid w:val="3A7F3182"/>
    <w:rsid w:val="3B0520B5"/>
    <w:rsid w:val="3B17405E"/>
    <w:rsid w:val="3B3D3D9C"/>
    <w:rsid w:val="3B5B0F11"/>
    <w:rsid w:val="3B8D1B05"/>
    <w:rsid w:val="3C1228A0"/>
    <w:rsid w:val="3C33613D"/>
    <w:rsid w:val="3C740E08"/>
    <w:rsid w:val="3C7D6996"/>
    <w:rsid w:val="3CD3374A"/>
    <w:rsid w:val="3D1F111D"/>
    <w:rsid w:val="3D406D2F"/>
    <w:rsid w:val="3D4826F8"/>
    <w:rsid w:val="3D5A1ABE"/>
    <w:rsid w:val="3DAA1F99"/>
    <w:rsid w:val="3DB7239F"/>
    <w:rsid w:val="3E630E61"/>
    <w:rsid w:val="3E955595"/>
    <w:rsid w:val="3EA87988"/>
    <w:rsid w:val="3EC42196"/>
    <w:rsid w:val="3EC95C23"/>
    <w:rsid w:val="3ECF44EE"/>
    <w:rsid w:val="3F4F72C3"/>
    <w:rsid w:val="3F755F14"/>
    <w:rsid w:val="3FBD6408"/>
    <w:rsid w:val="3FDD1B72"/>
    <w:rsid w:val="3FF73EBC"/>
    <w:rsid w:val="4017326E"/>
    <w:rsid w:val="404B75B5"/>
    <w:rsid w:val="405C523D"/>
    <w:rsid w:val="40B606DB"/>
    <w:rsid w:val="415D7185"/>
    <w:rsid w:val="41811FBE"/>
    <w:rsid w:val="41C54E68"/>
    <w:rsid w:val="42411AF1"/>
    <w:rsid w:val="42551C0B"/>
    <w:rsid w:val="42AE3183"/>
    <w:rsid w:val="42AF036F"/>
    <w:rsid w:val="42DA541D"/>
    <w:rsid w:val="43372BA2"/>
    <w:rsid w:val="43814CC4"/>
    <w:rsid w:val="439012B7"/>
    <w:rsid w:val="43B03B5A"/>
    <w:rsid w:val="43B134D0"/>
    <w:rsid w:val="43BC2B1C"/>
    <w:rsid w:val="43EB3E4E"/>
    <w:rsid w:val="4439578D"/>
    <w:rsid w:val="44404BD4"/>
    <w:rsid w:val="4449454C"/>
    <w:rsid w:val="448F056E"/>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624647"/>
    <w:rsid w:val="47632CCD"/>
    <w:rsid w:val="476A02AE"/>
    <w:rsid w:val="47BA26EF"/>
    <w:rsid w:val="47D53CCD"/>
    <w:rsid w:val="48026B38"/>
    <w:rsid w:val="48092C2D"/>
    <w:rsid w:val="482F185E"/>
    <w:rsid w:val="483A01CD"/>
    <w:rsid w:val="483B05D9"/>
    <w:rsid w:val="4857247D"/>
    <w:rsid w:val="48762ABF"/>
    <w:rsid w:val="49507314"/>
    <w:rsid w:val="496314E2"/>
    <w:rsid w:val="49CD20B7"/>
    <w:rsid w:val="49DD55BA"/>
    <w:rsid w:val="49F95F2C"/>
    <w:rsid w:val="4A1B175E"/>
    <w:rsid w:val="4A337275"/>
    <w:rsid w:val="4ACA5284"/>
    <w:rsid w:val="4ADD1459"/>
    <w:rsid w:val="4B7D4460"/>
    <w:rsid w:val="4B823443"/>
    <w:rsid w:val="4B9A15EA"/>
    <w:rsid w:val="4BDC5167"/>
    <w:rsid w:val="4BEA105F"/>
    <w:rsid w:val="4C0842E9"/>
    <w:rsid w:val="4C65110E"/>
    <w:rsid w:val="4C893754"/>
    <w:rsid w:val="4C9D00F4"/>
    <w:rsid w:val="4D024BEC"/>
    <w:rsid w:val="4D030F25"/>
    <w:rsid w:val="4D341CBF"/>
    <w:rsid w:val="4DAE67B4"/>
    <w:rsid w:val="4E4E529F"/>
    <w:rsid w:val="4E700F95"/>
    <w:rsid w:val="4E7F6657"/>
    <w:rsid w:val="4F17563F"/>
    <w:rsid w:val="4F1F0790"/>
    <w:rsid w:val="4F5A7728"/>
    <w:rsid w:val="4F767DC8"/>
    <w:rsid w:val="4F951A1B"/>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6C4076"/>
    <w:rsid w:val="53701036"/>
    <w:rsid w:val="53B138F6"/>
    <w:rsid w:val="541A345A"/>
    <w:rsid w:val="541B0AAA"/>
    <w:rsid w:val="545E4DEB"/>
    <w:rsid w:val="546E7E5D"/>
    <w:rsid w:val="54743095"/>
    <w:rsid w:val="54850F6B"/>
    <w:rsid w:val="54873B82"/>
    <w:rsid w:val="548F60CE"/>
    <w:rsid w:val="54E85717"/>
    <w:rsid w:val="54FD6E9A"/>
    <w:rsid w:val="5505221C"/>
    <w:rsid w:val="55671C6D"/>
    <w:rsid w:val="558E4BD8"/>
    <w:rsid w:val="55E816C6"/>
    <w:rsid w:val="560F6EE9"/>
    <w:rsid w:val="56892339"/>
    <w:rsid w:val="56F97712"/>
    <w:rsid w:val="57052B6C"/>
    <w:rsid w:val="574A472A"/>
    <w:rsid w:val="574F4702"/>
    <w:rsid w:val="5789054D"/>
    <w:rsid w:val="578B264C"/>
    <w:rsid w:val="57A71AC0"/>
    <w:rsid w:val="57B14D9D"/>
    <w:rsid w:val="57D02734"/>
    <w:rsid w:val="58094566"/>
    <w:rsid w:val="5855710D"/>
    <w:rsid w:val="58755AB0"/>
    <w:rsid w:val="58AB6C83"/>
    <w:rsid w:val="5910290D"/>
    <w:rsid w:val="593A5818"/>
    <w:rsid w:val="593B3A79"/>
    <w:rsid w:val="594A7276"/>
    <w:rsid w:val="59EA7163"/>
    <w:rsid w:val="59FD1A86"/>
    <w:rsid w:val="5A6C75D2"/>
    <w:rsid w:val="5A9F2759"/>
    <w:rsid w:val="5AAA6C73"/>
    <w:rsid w:val="5AB56FD6"/>
    <w:rsid w:val="5ADE244E"/>
    <w:rsid w:val="5AE94B0F"/>
    <w:rsid w:val="5B376B2B"/>
    <w:rsid w:val="5BA77963"/>
    <w:rsid w:val="5BF65BA9"/>
    <w:rsid w:val="5C1369F4"/>
    <w:rsid w:val="5C2635AB"/>
    <w:rsid w:val="5C3318CF"/>
    <w:rsid w:val="5C344D31"/>
    <w:rsid w:val="5C3A4E1A"/>
    <w:rsid w:val="5C814852"/>
    <w:rsid w:val="5CB72128"/>
    <w:rsid w:val="5CBE588B"/>
    <w:rsid w:val="5CD90FD4"/>
    <w:rsid w:val="5D117B93"/>
    <w:rsid w:val="5D2045C1"/>
    <w:rsid w:val="5D535485"/>
    <w:rsid w:val="5D575D6D"/>
    <w:rsid w:val="5E1F1247"/>
    <w:rsid w:val="5EDE6371"/>
    <w:rsid w:val="5EF46BFB"/>
    <w:rsid w:val="5F18377D"/>
    <w:rsid w:val="5F36514B"/>
    <w:rsid w:val="5F457474"/>
    <w:rsid w:val="5F562C1F"/>
    <w:rsid w:val="5FE56858"/>
    <w:rsid w:val="5FF356BE"/>
    <w:rsid w:val="60681418"/>
    <w:rsid w:val="60777004"/>
    <w:rsid w:val="608E1C8F"/>
    <w:rsid w:val="60B75873"/>
    <w:rsid w:val="60BF15FF"/>
    <w:rsid w:val="60CE0A84"/>
    <w:rsid w:val="610E3F6A"/>
    <w:rsid w:val="613D0A9B"/>
    <w:rsid w:val="615A0B09"/>
    <w:rsid w:val="61632A6C"/>
    <w:rsid w:val="616347C5"/>
    <w:rsid w:val="61A93559"/>
    <w:rsid w:val="61CF110A"/>
    <w:rsid w:val="621F7AE8"/>
    <w:rsid w:val="62357CAB"/>
    <w:rsid w:val="628A1181"/>
    <w:rsid w:val="62A04866"/>
    <w:rsid w:val="62A91DE7"/>
    <w:rsid w:val="62C70FDE"/>
    <w:rsid w:val="62EB0522"/>
    <w:rsid w:val="631E6B06"/>
    <w:rsid w:val="635F599B"/>
    <w:rsid w:val="636304CA"/>
    <w:rsid w:val="638B472E"/>
    <w:rsid w:val="638E0B89"/>
    <w:rsid w:val="64950E8D"/>
    <w:rsid w:val="64F05D69"/>
    <w:rsid w:val="651F4AF5"/>
    <w:rsid w:val="65280837"/>
    <w:rsid w:val="654D6C47"/>
    <w:rsid w:val="65803004"/>
    <w:rsid w:val="65B13B0F"/>
    <w:rsid w:val="65DD59C7"/>
    <w:rsid w:val="65DF06AA"/>
    <w:rsid w:val="66726DE9"/>
    <w:rsid w:val="667D7612"/>
    <w:rsid w:val="66DA0758"/>
    <w:rsid w:val="66E85868"/>
    <w:rsid w:val="673C24EF"/>
    <w:rsid w:val="6744139E"/>
    <w:rsid w:val="67554C72"/>
    <w:rsid w:val="67B44B21"/>
    <w:rsid w:val="67EB0D51"/>
    <w:rsid w:val="67F65044"/>
    <w:rsid w:val="680A7904"/>
    <w:rsid w:val="68166352"/>
    <w:rsid w:val="6898656D"/>
    <w:rsid w:val="68B4061C"/>
    <w:rsid w:val="68B81F22"/>
    <w:rsid w:val="692D64E2"/>
    <w:rsid w:val="694C5F23"/>
    <w:rsid w:val="69572A37"/>
    <w:rsid w:val="696662A4"/>
    <w:rsid w:val="69792046"/>
    <w:rsid w:val="69881A64"/>
    <w:rsid w:val="69DF53DC"/>
    <w:rsid w:val="69E27B25"/>
    <w:rsid w:val="6A397FCF"/>
    <w:rsid w:val="6A8A7330"/>
    <w:rsid w:val="6A961F9E"/>
    <w:rsid w:val="6ACB06F4"/>
    <w:rsid w:val="6AEE6C6E"/>
    <w:rsid w:val="6B1B6AD9"/>
    <w:rsid w:val="6B46798C"/>
    <w:rsid w:val="6B687B99"/>
    <w:rsid w:val="6B995283"/>
    <w:rsid w:val="6BB93E1A"/>
    <w:rsid w:val="6BC763D5"/>
    <w:rsid w:val="6BCA31AA"/>
    <w:rsid w:val="6BEB1010"/>
    <w:rsid w:val="6BF8468F"/>
    <w:rsid w:val="6C164551"/>
    <w:rsid w:val="6C495E4F"/>
    <w:rsid w:val="6CC018BA"/>
    <w:rsid w:val="6CF00CE0"/>
    <w:rsid w:val="6D27237C"/>
    <w:rsid w:val="6D2B6A0F"/>
    <w:rsid w:val="6D302E0E"/>
    <w:rsid w:val="6D6650AF"/>
    <w:rsid w:val="6E1612C1"/>
    <w:rsid w:val="6E9B39FD"/>
    <w:rsid w:val="6F604150"/>
    <w:rsid w:val="6F876965"/>
    <w:rsid w:val="6F89225D"/>
    <w:rsid w:val="6FAF68AB"/>
    <w:rsid w:val="703053C9"/>
    <w:rsid w:val="706C4C4B"/>
    <w:rsid w:val="709C49B1"/>
    <w:rsid w:val="70D3620A"/>
    <w:rsid w:val="71193D3B"/>
    <w:rsid w:val="71422B5C"/>
    <w:rsid w:val="71D9412A"/>
    <w:rsid w:val="7211216C"/>
    <w:rsid w:val="723348A3"/>
    <w:rsid w:val="72632B7A"/>
    <w:rsid w:val="72636003"/>
    <w:rsid w:val="72841771"/>
    <w:rsid w:val="729A172F"/>
    <w:rsid w:val="72C95A52"/>
    <w:rsid w:val="72E04E7A"/>
    <w:rsid w:val="732604B1"/>
    <w:rsid w:val="73CA2AF9"/>
    <w:rsid w:val="74085078"/>
    <w:rsid w:val="74283EEA"/>
    <w:rsid w:val="74701552"/>
    <w:rsid w:val="74C55EA5"/>
    <w:rsid w:val="74EA4FB0"/>
    <w:rsid w:val="75154605"/>
    <w:rsid w:val="751C3C2A"/>
    <w:rsid w:val="75821E64"/>
    <w:rsid w:val="766C2683"/>
    <w:rsid w:val="76AB6A72"/>
    <w:rsid w:val="76AC7A1B"/>
    <w:rsid w:val="76D41BAE"/>
    <w:rsid w:val="76F46778"/>
    <w:rsid w:val="77611D7E"/>
    <w:rsid w:val="779117F3"/>
    <w:rsid w:val="77CF0A6B"/>
    <w:rsid w:val="786D08B8"/>
    <w:rsid w:val="78782528"/>
    <w:rsid w:val="78E610F4"/>
    <w:rsid w:val="7945384A"/>
    <w:rsid w:val="7963760A"/>
    <w:rsid w:val="79722F27"/>
    <w:rsid w:val="79B92B4E"/>
    <w:rsid w:val="7A277D89"/>
    <w:rsid w:val="7A424D83"/>
    <w:rsid w:val="7A5F6AFD"/>
    <w:rsid w:val="7A6A69F7"/>
    <w:rsid w:val="7A775E70"/>
    <w:rsid w:val="7A7D10E4"/>
    <w:rsid w:val="7AA5092A"/>
    <w:rsid w:val="7ACB150F"/>
    <w:rsid w:val="7B304512"/>
    <w:rsid w:val="7B314EA5"/>
    <w:rsid w:val="7B6F7E07"/>
    <w:rsid w:val="7BDE7F34"/>
    <w:rsid w:val="7BE72529"/>
    <w:rsid w:val="7C1E5520"/>
    <w:rsid w:val="7C21083D"/>
    <w:rsid w:val="7C2A5ACE"/>
    <w:rsid w:val="7C4414F5"/>
    <w:rsid w:val="7C500388"/>
    <w:rsid w:val="7C62013B"/>
    <w:rsid w:val="7CAE5B2E"/>
    <w:rsid w:val="7CBD66EB"/>
    <w:rsid w:val="7CEA14B8"/>
    <w:rsid w:val="7D11011F"/>
    <w:rsid w:val="7D1B40FF"/>
    <w:rsid w:val="7D3C3BC2"/>
    <w:rsid w:val="7D497A1B"/>
    <w:rsid w:val="7D720FEA"/>
    <w:rsid w:val="7D9064BE"/>
    <w:rsid w:val="7D9A213A"/>
    <w:rsid w:val="7DCB0EAA"/>
    <w:rsid w:val="7DEB76C3"/>
    <w:rsid w:val="7E024225"/>
    <w:rsid w:val="7E503DBF"/>
    <w:rsid w:val="7E615781"/>
    <w:rsid w:val="7E6459CD"/>
    <w:rsid w:val="7E75368D"/>
    <w:rsid w:val="7E7D6862"/>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locked/>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30"/>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8"/>
    <w:qFormat/>
    <w:locked/>
    <w:uiPriority w:val="10"/>
    <w:pPr>
      <w:spacing w:before="240" w:after="60" w:line="360" w:lineRule="auto"/>
      <w:jc w:val="center"/>
      <w:outlineLvl w:val="0"/>
    </w:pPr>
    <w:rPr>
      <w:rFonts w:ascii="Calibri" w:hAnsi="Calibri"/>
      <w:b/>
      <w:bCs/>
      <w:sz w:val="32"/>
      <w:szCs w:val="32"/>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2D64B3"/>
      <w:u w:val="none"/>
    </w:rPr>
  </w:style>
  <w:style w:type="character" w:styleId="21">
    <w:name w:val="Emphasis"/>
    <w:basedOn w:val="19"/>
    <w:qFormat/>
    <w:locked/>
    <w:uiPriority w:val="0"/>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semiHidden/>
    <w:unhideWhenUsed/>
    <w:qFormat/>
    <w:uiPriority w:val="99"/>
    <w:rPr>
      <w:color w:val="2D64B3"/>
      <w:u w:val="none"/>
    </w:rPr>
  </w:style>
  <w:style w:type="character" w:styleId="25">
    <w:name w:val="HTML Code"/>
    <w:basedOn w:val="19"/>
    <w:semiHidden/>
    <w:unhideWhenUsed/>
    <w:qFormat/>
    <w:uiPriority w:val="99"/>
    <w:rPr>
      <w:rFonts w:hint="eastAsia" w:ascii="Arial" w:hAnsi="Arial" w:cs="Arial"/>
      <w:sz w:val="20"/>
    </w:rPr>
  </w:style>
  <w:style w:type="character" w:styleId="26">
    <w:name w:val="annotation reference"/>
    <w:qFormat/>
    <w:uiPriority w:val="99"/>
    <w:rPr>
      <w:sz w:val="21"/>
      <w:szCs w:val="21"/>
    </w:rPr>
  </w:style>
  <w:style w:type="character" w:styleId="27">
    <w:name w:val="HTML Cite"/>
    <w:basedOn w:val="19"/>
    <w:semiHidden/>
    <w:unhideWhenUsed/>
    <w:qFormat/>
    <w:uiPriority w:val="99"/>
  </w:style>
  <w:style w:type="character" w:styleId="28">
    <w:name w:val="HTML Keyboard"/>
    <w:basedOn w:val="19"/>
    <w:semiHidden/>
    <w:unhideWhenUsed/>
    <w:qFormat/>
    <w:uiPriority w:val="99"/>
    <w:rPr>
      <w:rFonts w:hint="default" w:ascii="Arial" w:hAnsi="Arial" w:cs="Arial"/>
      <w:sz w:val="20"/>
    </w:rPr>
  </w:style>
  <w:style w:type="character" w:styleId="29">
    <w:name w:val="HTML Sample"/>
    <w:basedOn w:val="19"/>
    <w:semiHidden/>
    <w:unhideWhenUsed/>
    <w:qFormat/>
    <w:uiPriority w:val="99"/>
    <w:rPr>
      <w:rFonts w:hint="default" w:ascii="Arial" w:hAnsi="Arial" w:cs="Arial"/>
    </w:rPr>
  </w:style>
  <w:style w:type="character" w:customStyle="1" w:styleId="30">
    <w:name w:val="批注框文本 字符"/>
    <w:basedOn w:val="19"/>
    <w:link w:val="10"/>
    <w:semiHidden/>
    <w:qFormat/>
    <w:locked/>
    <w:uiPriority w:val="99"/>
    <w:rPr>
      <w:rFonts w:ascii="Times New Roman" w:hAnsi="Times New Roman"/>
      <w:kern w:val="2"/>
      <w:sz w:val="18"/>
    </w:rPr>
  </w:style>
  <w:style w:type="character" w:customStyle="1" w:styleId="31">
    <w:name w:val="页脚 字符"/>
    <w:basedOn w:val="19"/>
    <w:link w:val="11"/>
    <w:qFormat/>
    <w:locked/>
    <w:uiPriority w:val="99"/>
    <w:rPr>
      <w:sz w:val="18"/>
    </w:rPr>
  </w:style>
  <w:style w:type="character" w:customStyle="1" w:styleId="32">
    <w:name w:val="页眉 字符"/>
    <w:basedOn w:val="19"/>
    <w:link w:val="12"/>
    <w:semiHidden/>
    <w:qFormat/>
    <w:locked/>
    <w:uiPriority w:val="99"/>
    <w:rPr>
      <w:sz w:val="18"/>
    </w:rPr>
  </w:style>
  <w:style w:type="paragraph" w:customStyle="1" w:styleId="33">
    <w:name w:val="列出段落1"/>
    <w:basedOn w:val="1"/>
    <w:qFormat/>
    <w:uiPriority w:val="99"/>
    <w:pPr>
      <w:ind w:firstLine="420" w:firstLineChars="200"/>
    </w:pPr>
  </w:style>
  <w:style w:type="character" w:customStyle="1" w:styleId="34">
    <w:name w:val="f14w1"/>
    <w:qFormat/>
    <w:uiPriority w:val="99"/>
    <w:rPr>
      <w:b/>
      <w:color w:val="002569"/>
      <w:sz w:val="21"/>
    </w:rPr>
  </w:style>
  <w:style w:type="paragraph" w:customStyle="1" w:styleId="3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6">
    <w:name w:val="列出段落11"/>
    <w:basedOn w:val="1"/>
    <w:qFormat/>
    <w:uiPriority w:val="99"/>
    <w:pPr>
      <w:ind w:firstLine="420" w:firstLineChars="200"/>
    </w:pPr>
  </w:style>
  <w:style w:type="paragraph" w:customStyle="1" w:styleId="37">
    <w:name w:val="列出段落2"/>
    <w:basedOn w:val="1"/>
    <w:qFormat/>
    <w:uiPriority w:val="99"/>
    <w:pPr>
      <w:ind w:firstLine="420" w:firstLineChars="200"/>
    </w:pPr>
    <w:rPr>
      <w:rFonts w:ascii="Calibri" w:hAnsi="Calibri"/>
      <w:szCs w:val="22"/>
    </w:rPr>
  </w:style>
  <w:style w:type="character" w:customStyle="1" w:styleId="38">
    <w:name w:val="标题 字符"/>
    <w:basedOn w:val="19"/>
    <w:link w:val="16"/>
    <w:qFormat/>
    <w:uiPriority w:val="10"/>
    <w:rPr>
      <w:rFonts w:ascii="Calibri" w:hAnsi="Calibri"/>
      <w:b/>
      <w:bCs/>
      <w:kern w:val="2"/>
      <w:sz w:val="32"/>
      <w:szCs w:val="32"/>
    </w:rPr>
  </w:style>
  <w:style w:type="paragraph" w:customStyle="1" w:styleId="39">
    <w:name w:val="1"/>
    <w:basedOn w:val="1"/>
    <w:next w:val="9"/>
    <w:qFormat/>
    <w:uiPriority w:val="0"/>
    <w:rPr>
      <w:rFonts w:ascii="宋体" w:hAnsi="Courier New"/>
      <w:szCs w:val="20"/>
    </w:rPr>
  </w:style>
  <w:style w:type="paragraph" w:customStyle="1" w:styleId="40">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41">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paragraph" w:customStyle="1" w:styleId="42">
    <w:name w:val="_Style 4"/>
    <w:basedOn w:val="1"/>
    <w:next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51</TotalTime>
  <ScaleCrop>false</ScaleCrop>
  <LinksUpToDate>false</LinksUpToDate>
  <CharactersWithSpaces>10748</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Zhengyu</cp:lastModifiedBy>
  <cp:lastPrinted>2021-09-22T06:16:00Z</cp:lastPrinted>
  <dcterms:modified xsi:type="dcterms:W3CDTF">2021-12-23T07:01:44Z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KSOSaveFontToCloudKey">
    <vt:lpwstr>230241869_btnclosed</vt:lpwstr>
  </property>
  <property fmtid="{D5CDD505-2E9C-101B-9397-08002B2CF9AE}" pid="4" name="ICV">
    <vt:lpwstr>0D97FB55FEBC4F829BF0FE0988032769</vt:lpwstr>
  </property>
</Properties>
</file>