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维修类材料框架协议项目</w:t>
      </w:r>
    </w:p>
    <w:p>
      <w:pPr>
        <w:keepNext w:val="0"/>
        <w:keepLines w:val="0"/>
        <w:pageBreakBefore w:val="0"/>
        <w:kinsoku/>
        <w:wordWrap/>
        <w:overflowPunct/>
        <w:topLinePunct w:val="0"/>
        <w:bidi w:val="0"/>
        <w:spacing w:line="560" w:lineRule="exact"/>
        <w:ind w:right="-313" w:rightChars="-149"/>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比选采购</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heme="majorEastAsia" w:hAnsiTheme="majorEastAsia" w:eastAsiaTheme="majorEastAsia" w:cstheme="majorEastAsia"/>
          <w:b/>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编号：</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KJ21003</w: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rPr>
      </w:pP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重庆空港航空地面服务</w:t>
      </w:r>
      <w:r>
        <w:rPr>
          <w:rFonts w:hint="eastAsia" w:asciiTheme="majorEastAsia" w:hAnsiTheme="majorEastAsia" w:eastAsiaTheme="majorEastAsia" w:cstheme="majorEastAsia"/>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0" w:firstLineChars="1000"/>
        <w:jc w:val="both"/>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202</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32"/>
          <w:szCs w:val="32"/>
          <w14:textFill>
            <w14:solidFill>
              <w14:schemeClr w14:val="tx1"/>
            </w14:solidFill>
          </w14:textFill>
        </w:rPr>
        <w:t>年</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12</w:t>
      </w:r>
      <w:r>
        <w:rPr>
          <w:rFonts w:hint="eastAsia" w:asciiTheme="majorEastAsia" w:hAnsiTheme="majorEastAsia" w:eastAsiaTheme="majorEastAsia" w:cstheme="majorEastAsia"/>
          <w:color w:val="000000" w:themeColor="text1"/>
          <w:sz w:val="32"/>
          <w:szCs w:val="32"/>
          <w14:textFill>
            <w14:solidFill>
              <w14:schemeClr w14:val="tx1"/>
            </w14:solidFill>
          </w14:textFill>
        </w:rPr>
        <w:t>月</w:t>
      </w:r>
    </w:p>
    <w:p>
      <w:pPr>
        <w:pStyle w:val="7"/>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2"/>
        <w:rPr>
          <w:rFonts w:hint="eastAsia"/>
        </w:rPr>
      </w:pPr>
    </w:p>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56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维修类材料框架供应商项目比选</w:t>
      </w:r>
      <w:r>
        <w:rPr>
          <w:rFonts w:hint="eastAsia" w:asciiTheme="majorEastAsia" w:hAnsiTheme="majorEastAsia" w:eastAsiaTheme="majorEastAsia" w:cstheme="majorEastAsia"/>
          <w:b/>
          <w:bCs/>
          <w:color w:val="000000" w:themeColor="text1"/>
          <w:sz w:val="32"/>
          <w:szCs w:val="32"/>
          <w:lang w:eastAsia="zh-CN"/>
          <w14:textFill>
            <w14:solidFill>
              <w14:schemeClr w14:val="tx1"/>
            </w14:solidFill>
          </w14:textFill>
        </w:rPr>
        <w:t>采购</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实施维修类材料框架供应商项目，现邀请符合相应条件的单位参与本次项目采购。</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本项目共分为三个部分</w:t>
      </w:r>
      <w:bookmarkStart w:id="0" w:name="_Toc966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分包一：轮胎，预计合同期内发生金额为95万元。</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分包二：机油，预计合同期内发生金额为40万元。</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分包三：水电、五金工具，预计合同期内发生金额为30万元。</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特别提醒：以上金额仅作为报价参考使用，并非实际合同期内的最低采购金额。</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本次比选允许兼中，即允许一个比选响应人可以参与一个或多个分包的比选，也允许一个比选响应人成为一个或多个分包的成交人。三个分包同开同评，按照分包一、分包二、分包三的顺序评审。</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5"/>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5"/>
          <w:rFonts w:hint="eastAsia" w:ascii="仿宋_GB2312" w:hAnsi="仿宋_GB2312" w:eastAsia="仿宋_GB2312" w:cs="仿宋_GB2312"/>
          <w:color w:val="000000" w:themeColor="text1"/>
          <w:sz w:val="28"/>
          <w:szCs w:val="28"/>
          <w:lang w:eastAsia="zh-CN"/>
          <w14:textFill>
            <w14:solidFill>
              <w14:schemeClr w14:val="tx1"/>
            </w14:solidFill>
          </w14:textFill>
        </w:rPr>
        <w:t>分包一</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eastAsia="zh-CN"/>
          <w14:textFill>
            <w14:solidFill>
              <w14:schemeClr w14:val="tx1"/>
            </w14:solidFill>
          </w14:textFill>
        </w:rPr>
        <w:t>具备有效的三证合一营业执照的代理商或经销商等非分支机构的民事主体；如是主体的分支机构，需取得主体的委托授权，一个主体仅能委托下属一个分支机构参与。</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（提供营业执照复印件加盖鲜章）</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5"/>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Style w:val="25"/>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1.1.2分包二：</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eastAsia="zh-CN"/>
          <w14:textFill>
            <w14:solidFill>
              <w14:schemeClr w14:val="tx1"/>
            </w14:solidFill>
          </w14:textFill>
        </w:rPr>
        <w:t>具备有效的三证合一营业执照的代理商或经销商等非分支机构的民事主体；如是主体的分支机构，需取得主体的委托授权，一个主体仅能委托下属一个分支机构参与。</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（提供营业执照复印件加盖鲜章）</w:t>
      </w:r>
    </w:p>
    <w:p>
      <w:pPr>
        <w:ind w:firstLine="560" w:firstLineChars="200"/>
        <w:rPr>
          <w:rStyle w:val="25"/>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Style w:val="25"/>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1.1.3分包三：</w:t>
      </w:r>
    </w:p>
    <w:p>
      <w:pPr>
        <w:ind w:firstLine="560" w:firstLineChars="200"/>
        <w:rPr>
          <w:rFonts w:hint="default"/>
          <w:lang w:val="en-US" w:eastAsia="zh-CN"/>
        </w:rPr>
      </w:pPr>
      <w:r>
        <w:rPr>
          <w:rStyle w:val="25"/>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具备有效的三证合一营业执照的代理商或经销商等非分支机构主体；如是主体的分支机构，需取得主体的委托授权，一个主体仅能委托下属一个分支机构参与。（提供营业执照复印件加盖鲜章）</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要求：</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1.2.1分包一</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default"/>
          <w:lang w:val="en-US" w:eastAsia="zh-CN"/>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根据我司采购计划，不定期向我司供应各类轮胎，具体需求详见附件一。</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Style w:val="25"/>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1.2.2分包二</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根据我司采购计划，不定期向我司供应各类机油、润滑油、冷冻液等，具体需求详见附件二。</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1.2.3分包三</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根据我司采购计划，不定期向我司供应各类水电、五金工具等，具体需求详见附件三。</w:t>
      </w:r>
    </w:p>
    <w:p>
      <w:pPr>
        <w:keepNext w:val="0"/>
        <w:keepLines w:val="0"/>
        <w:pageBreakBefore w:val="0"/>
        <w:kinsoku/>
        <w:wordWrap/>
        <w:overflowPunct/>
        <w:topLinePunct w:val="0"/>
        <w:bidi w:val="0"/>
        <w:spacing w:line="560" w:lineRule="exact"/>
        <w:ind w:firstLine="562"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1.2.2质量要求：</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三个分包所有物资均需为符合国家标准的正品，如因物资不符合国家标准或提供假冒伪劣产品的，我司将按照相关法律法规和附件四合同条款追究由此引发的责任。</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提供物资的品牌应当在分项报价清单中明确。</w:t>
      </w:r>
    </w:p>
    <w:p>
      <w:pPr>
        <w:keepNext w:val="0"/>
        <w:keepLines w:val="0"/>
        <w:pageBreakBefore w:val="0"/>
        <w:kinsoku/>
        <w:wordWrap/>
        <w:overflowPunct/>
        <w:topLinePunct w:val="0"/>
        <w:bidi w:val="0"/>
        <w:spacing w:line="560" w:lineRule="exact"/>
        <w:ind w:firstLine="562"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1.2.5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5"/>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本项目报价的方式为下浮比例，在附件一、二、三所列限价的基础上，根据采购权重提供不同的下浮比例。下浮比例区间应当在0-100%之间，不在此范围的报价作废。</w:t>
      </w:r>
    </w:p>
    <w:p>
      <w:pPr>
        <w:keepNext w:val="0"/>
        <w:keepLines w:val="0"/>
        <w:pageBreakBefore w:val="0"/>
        <w:widowControl/>
        <w:kinsoku/>
        <w:wordWrap/>
        <w:overflowPunct/>
        <w:topLinePunct w:val="0"/>
        <w:bidi w:val="0"/>
        <w:spacing w:line="560" w:lineRule="exact"/>
        <w:ind w:firstLine="548" w:firstLineChars="196"/>
        <w:jc w:val="left"/>
        <w:textAlignment w:val="auto"/>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本项目所列限价为人民币，限价包括但不限于完成项目要求的成本费用、劳务费、运输费、和相关税费（除增值税外）等全部费用。因响应人自身原因造成漏报、少报皆由其自行承担责任，采购人不再补偿。</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本项目</w:t>
      </w:r>
      <w:r>
        <w:rPr>
          <w:rFonts w:hint="eastAsia" w:ascii="仿宋_GB2312" w:hAnsi="仿宋_GB2312" w:eastAsia="仿宋_GB2312" w:cs="仿宋_GB2312"/>
          <w:b/>
          <w:bCs w:val="0"/>
          <w:color w:val="000000" w:themeColor="text1"/>
          <w:sz w:val="28"/>
          <w:szCs w:val="28"/>
          <w14:textFill>
            <w14:solidFill>
              <w14:schemeClr w14:val="tx1"/>
            </w14:solidFill>
          </w14:textFill>
        </w:rPr>
        <w:t>采用</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有效最低价法成交。</w:t>
      </w:r>
    </w:p>
    <w:p>
      <w:pPr>
        <w:keepNext w:val="0"/>
        <w:keepLines w:val="0"/>
        <w:pageBreakBefore w:val="0"/>
        <w:kinsoku/>
        <w:wordWrap/>
        <w:overflowPunct/>
        <w:topLinePunct w:val="0"/>
        <w:bidi w:val="0"/>
        <w:spacing w:line="560" w:lineRule="exact"/>
        <w:ind w:firstLine="562" w:firstLineChars="200"/>
        <w:textAlignment w:val="auto"/>
        <w:outlineLvl w:val="9"/>
        <w:rPr>
          <w:rFonts w:hint="default"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综合下浮比例</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=频繁类采购权重×频繁类下浮比例+非频繁类采购权重×非频繁类下浮比例</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分包一：按综合下浮比例从高到低的原则确定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3名成交候选人，排名前2名的推荐为成交人。如下浮比例相同，则根据提供的质保期更长的排名靠前；如质保期也相同的，则根据提供的到货期更短的排名靠前。</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分包二：</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按综合下浮比例从高到低的原则确定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3名成交候选人，排名前1名的推荐为成交人。如下浮比例相同，则根据提供的质保期更长的排名靠前；如质保期也相同的，则根据提供的到货期更短的排名靠前。</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分包二：</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按综合下浮比例从高到低的原则确定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3名成交候选人，排名前1名的推荐为成交人。如下浮比例相同，则根据提供的质保期更长的排名靠前；如质保期也相同的，则根据提供的到货期更短的排名靠前。</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14:textFill>
            <w14:solidFill>
              <w14:schemeClr w14:val="tx1"/>
            </w14:solidFill>
          </w14:textFill>
        </w:rPr>
        <w:t>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活动，将递交的响应文件退还</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kern w:val="0"/>
          <w:sz w:val="28"/>
          <w:szCs w:val="28"/>
          <w14:textFill>
            <w14:solidFill>
              <w14:schemeClr w14:val="tx1"/>
            </w14:solidFill>
          </w14:textFill>
        </w:rPr>
        <w:t>，并重新组织</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。重新</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组织采购</w:t>
      </w:r>
      <w:r>
        <w:rPr>
          <w:rFonts w:hint="eastAsia" w:ascii="仿宋_GB2312" w:hAnsi="仿宋_GB2312" w:eastAsia="仿宋_GB2312" w:cs="仿宋_GB2312"/>
          <w:color w:val="000000" w:themeColor="text1"/>
          <w:kern w:val="0"/>
          <w:sz w:val="28"/>
          <w:szCs w:val="28"/>
          <w14:textFill>
            <w14:solidFill>
              <w14:schemeClr w14:val="tx1"/>
            </w14:solidFill>
          </w14:textFill>
        </w:rPr>
        <w:t>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kern w:val="0"/>
          <w:sz w:val="28"/>
          <w:szCs w:val="28"/>
          <w14:textFill>
            <w14:solidFill>
              <w14:schemeClr w14:val="tx1"/>
            </w14:solidFill>
          </w14:textFill>
        </w:rPr>
        <w:t>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该项目的采购</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各项</w:t>
      </w:r>
      <w:r>
        <w:rPr>
          <w:rFonts w:hint="eastAsia" w:ascii="仿宋_GB2312" w:hAnsi="仿宋_GB2312" w:eastAsia="仿宋_GB2312" w:cs="仿宋_GB2312"/>
          <w:color w:val="000000" w:themeColor="text1"/>
          <w:kern w:val="0"/>
          <w:sz w:val="28"/>
          <w:szCs w:val="28"/>
          <w14:textFill>
            <w14:solidFill>
              <w14:schemeClr w14:val="tx1"/>
            </w14:solidFill>
          </w14:textFill>
        </w:rPr>
        <w:t>等指标仍然具有市场竞争力，能够满足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按照有效最低价</w:t>
      </w:r>
      <w:r>
        <w:rPr>
          <w:rFonts w:hint="eastAsia" w:ascii="仿宋_GB2312" w:hAnsi="仿宋_GB2312" w:eastAsia="仿宋_GB2312" w:cs="仿宋_GB2312"/>
          <w:color w:val="000000" w:themeColor="text1"/>
          <w:kern w:val="0"/>
          <w:sz w:val="28"/>
          <w:szCs w:val="28"/>
          <w14:textFill>
            <w14:solidFill>
              <w14:schemeClr w14:val="tx1"/>
            </w14:solidFill>
          </w14:textFill>
        </w:rPr>
        <w:t>的原则确定成交候选人。</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w:t>
      </w:r>
      <w:r>
        <w:rPr>
          <w:rFonts w:hint="eastAsia" w:ascii="黑体" w:hAnsi="黑体" w:eastAsia="黑体" w:cs="黑体"/>
          <w:b w:val="0"/>
          <w:bCs/>
          <w:color w:val="000000" w:themeColor="text1"/>
          <w:sz w:val="28"/>
          <w:szCs w:val="28"/>
          <w:lang w:eastAsia="zh-CN"/>
          <w14:textFill>
            <w14:solidFill>
              <w14:schemeClr w14:val="tx1"/>
            </w14:solidFill>
          </w14:textFill>
        </w:rPr>
        <w:t>比选采购</w:t>
      </w:r>
      <w:r>
        <w:rPr>
          <w:rFonts w:hint="eastAsia" w:ascii="黑体" w:hAnsi="黑体" w:eastAsia="黑体" w:cs="黑体"/>
          <w:b w:val="0"/>
          <w:bCs/>
          <w:color w:val="000000" w:themeColor="text1"/>
          <w:sz w:val="28"/>
          <w:szCs w:val="28"/>
          <w14:textFill>
            <w14:solidFill>
              <w14:schemeClr w14:val="tx1"/>
            </w14:solidFill>
          </w14:textFill>
        </w:rPr>
        <w:t>文件发放的时间及地点</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比选采购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重庆机场集团官网进行公告</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四、采购保证金及履约保证金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比选采购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default"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履约保证金：分包一，48000元（由2家供应商平均分担）；分包二，20000元；分包三，15000元。</w:t>
      </w:r>
    </w:p>
    <w:p>
      <w:pPr>
        <w:keepNext w:val="0"/>
        <w:keepLines w:val="0"/>
        <w:pageBreakBefore w:val="0"/>
        <w:kinsoku/>
        <w:wordWrap/>
        <w:overflowPunct/>
        <w:topLinePunct w:val="0"/>
        <w:bidi w:val="0"/>
        <w:spacing w:line="560" w:lineRule="exact"/>
        <w:ind w:firstLine="560" w:firstLineChars="200"/>
        <w:textAlignment w:val="auto"/>
        <w:outlineLvl w:val="9"/>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成交人在收到成交通知书5个工作日内通过银行转账的方式提交到重庆空港航空地面服务有限公司指定账户，项目合同期满后，由成交人提出申请后40天内退还，但不计利息。</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五、服务期</w:t>
      </w:r>
    </w:p>
    <w:p>
      <w:pPr>
        <w:keepNext w:val="0"/>
        <w:keepLines w:val="0"/>
        <w:pageBreakBefore w:val="0"/>
        <w:kinsoku/>
        <w:wordWrap/>
        <w:overflowPunct/>
        <w:topLinePunct w:val="0"/>
        <w:bidi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2年，2022年1月1日-2023年12月31日。</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六、比选</w:t>
      </w:r>
      <w:r>
        <w:rPr>
          <w:rFonts w:hint="eastAsia" w:ascii="黑体" w:hAnsi="黑体" w:eastAsia="黑体" w:cs="黑体"/>
          <w:b w:val="0"/>
          <w:bCs w:val="0"/>
          <w:color w:val="000000" w:themeColor="text1"/>
          <w:sz w:val="28"/>
          <w:szCs w:val="28"/>
          <w14:textFill>
            <w14:solidFill>
              <w14:schemeClr w14:val="tx1"/>
            </w14:solidFill>
          </w14:textFill>
        </w:rPr>
        <w:t>有效期</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黑体" w:hAnsi="黑体" w:eastAsia="黑体" w:cs="黑体"/>
          <w:b w:val="0"/>
          <w:bCs w:val="0"/>
          <w:color w:val="000000" w:themeColor="text1"/>
          <w:sz w:val="28"/>
          <w:szCs w:val="28"/>
          <w:lang w:eastAsia="zh-CN"/>
          <w14:textFill>
            <w14:solidFill>
              <w14:schemeClr w14:val="tx1"/>
            </w14:solidFill>
          </w14:textFill>
        </w:rPr>
        <w:t>比选响应文件</w:t>
      </w:r>
      <w:r>
        <w:rPr>
          <w:rFonts w:hint="eastAsia" w:ascii="黑体" w:hAnsi="黑体" w:eastAsia="黑体" w:cs="黑体"/>
          <w:b w:val="0"/>
          <w:bCs w:val="0"/>
          <w:color w:val="000000" w:themeColor="text1"/>
          <w:sz w:val="28"/>
          <w:szCs w:val="28"/>
          <w14:textFill>
            <w14:solidFill>
              <w14:schemeClr w14:val="tx1"/>
            </w14:solidFill>
          </w14:textFill>
        </w:rPr>
        <w:t>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应当按照比选采购文件的要求编制比选响应文件，比选响应文件应当对比选采购文件提出的要求和条件作出实质性应答。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lang w:val="zh-CN" w:eastAsia="zh-CN"/>
          <w14:textFill>
            <w14:solidFill>
              <w14:schemeClr w14:val="tx1"/>
            </w14:solidFill>
          </w14:textFill>
        </w:rPr>
        <w:t>比选</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响应文件应当</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封面（在封面注明项目名称和编号）。</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.2.2报价函。主要报出包括所列的下浮比例、质保期、到货期等，以及分项报价清单里的提供品牌。</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响应人授权委托书（原件）、响应人资格要求证明文件</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、针对合同主要条款（附件四）的响应承诺等。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lang w:val="zh-CN"/>
          <w14:textFill>
            <w14:solidFill>
              <w14:schemeClr w14:val="tx1"/>
            </w14:solidFill>
          </w14:textFill>
        </w:rPr>
        <w:t>合并装订成册，纸质文件一式二份，其中正本1份，副本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7.2.6比选响应文件一经启封，响应人不得查阅、取回。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w:t>
      </w:r>
      <w:bookmarkStart w:id="2" w:name="_GoBack"/>
      <w:bookmarkEnd w:id="2"/>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资质不符合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有串通比或弄虚作假或有其他违法行为的；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1.6比选响应文件</w:t>
      </w:r>
      <w:r>
        <w:rPr>
          <w:rFonts w:hint="eastAsia" w:ascii="仿宋_GB2312" w:hAnsi="仿宋_GB2312" w:eastAsia="仿宋_GB2312" w:cs="仿宋_GB2312"/>
          <w:color w:val="000000" w:themeColor="text1"/>
          <w:sz w:val="28"/>
          <w:szCs w:val="28"/>
          <w14:textFill>
            <w14:solidFill>
              <w14:schemeClr w14:val="tx1"/>
            </w14:solidFill>
          </w14:textFill>
        </w:rPr>
        <w:t>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1.7比选</w:t>
      </w:r>
      <w:r>
        <w:rPr>
          <w:rFonts w:hint="eastAsia" w:ascii="仿宋_GB2312" w:hAnsi="仿宋_GB2312" w:eastAsia="仿宋_GB2312" w:cs="仿宋_GB2312"/>
          <w:color w:val="000000" w:themeColor="text1"/>
          <w:sz w:val="28"/>
          <w:szCs w:val="28"/>
          <w14:textFill>
            <w14:solidFill>
              <w14:schemeClr w14:val="tx1"/>
            </w14:solidFill>
          </w14:textFill>
        </w:rPr>
        <w:t>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w:t>
      </w:r>
      <w:r>
        <w:rPr>
          <w:rFonts w:hint="eastAsia" w:ascii="仿宋_GB2312" w:hAnsi="仿宋_GB2312" w:eastAsia="仿宋_GB2312" w:cs="仿宋_GB2312"/>
          <w:color w:val="000000" w:themeColor="text1"/>
          <w:sz w:val="28"/>
          <w:szCs w:val="28"/>
          <w14:textFill>
            <w14:solidFill>
              <w14:schemeClr w14:val="tx1"/>
            </w14:solidFill>
          </w14:textFill>
        </w:rPr>
        <w:t>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8.1.9</w:t>
      </w:r>
      <w:r>
        <w:rPr>
          <w:rFonts w:hint="eastAsia" w:ascii="仿宋_GB2312" w:hAnsi="仿宋_GB2312" w:eastAsia="仿宋_GB2312" w:cs="仿宋_GB2312"/>
          <w:color w:val="000000" w:themeColor="text1"/>
          <w:sz w:val="28"/>
          <w:szCs w:val="28"/>
          <w14:textFill>
            <w14:solidFill>
              <w14:schemeClr w14:val="tx1"/>
            </w14:solidFill>
          </w14:textFill>
        </w:rPr>
        <w:t>评审委员会审查发现</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未能对</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重庆空港航空地面服务有限公司党群工作部（地址：重庆空港航空地面服务有限公司办公楼；电话：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采购文件</w:t>
      </w:r>
      <w:r>
        <w:rPr>
          <w:rFonts w:hint="eastAsia" w:ascii="仿宋_GB2312" w:hAnsi="仿宋_GB2312" w:eastAsia="仿宋_GB2312" w:cs="仿宋_GB2312"/>
          <w:color w:val="000000" w:themeColor="text1"/>
          <w:sz w:val="28"/>
          <w:szCs w:val="28"/>
          <w14:textFill>
            <w14:solidFill>
              <w14:schemeClr w14:val="tx1"/>
            </w14:solidFill>
          </w14:textFill>
        </w:rPr>
        <w:t>内容的异议应在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采购文件</w:t>
      </w:r>
      <w:r>
        <w:rPr>
          <w:rFonts w:hint="eastAsia" w:ascii="仿宋_GB2312" w:hAnsi="仿宋_GB2312" w:eastAsia="仿宋_GB2312" w:cs="仿宋_GB2312"/>
          <w:color w:val="000000" w:themeColor="text1"/>
          <w:sz w:val="28"/>
          <w:szCs w:val="28"/>
          <w14:textFill>
            <w14:solidFill>
              <w14:schemeClr w14:val="tx1"/>
            </w14:solidFill>
          </w14:textFill>
        </w:rPr>
        <w:t>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（暂定）</w:t>
      </w:r>
      <w:r>
        <w:rPr>
          <w:rFonts w:hint="eastAsia" w:ascii="仿宋_GB2312" w:hAnsi="仿宋_GB2312" w:eastAsia="仿宋_GB2312" w:cs="仿宋_GB2312"/>
          <w:color w:val="000000" w:themeColor="text1"/>
          <w:sz w:val="28"/>
          <w:szCs w:val="28"/>
          <w:u w:val="none"/>
          <w14:textFill>
            <w14:solidFill>
              <w14:schemeClr w14:val="tx1"/>
            </w14:solidFill>
          </w14:textFill>
        </w:rPr>
        <w:t>对本项目进</w:t>
      </w:r>
      <w:r>
        <w:rPr>
          <w:rFonts w:hint="eastAsia" w:ascii="仿宋_GB2312" w:hAnsi="仿宋_GB2312" w:eastAsia="仿宋_GB2312" w:cs="仿宋_GB2312"/>
          <w:color w:val="000000" w:themeColor="text1"/>
          <w:sz w:val="28"/>
          <w:szCs w:val="28"/>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唱价会议</w:t>
      </w:r>
      <w:r>
        <w:rPr>
          <w:rFonts w:hint="eastAsia" w:ascii="仿宋_GB2312" w:hAnsi="仿宋_GB2312" w:eastAsia="仿宋_GB2312" w:cs="仿宋_GB2312"/>
          <w:color w:val="000000" w:themeColor="text1"/>
          <w:sz w:val="28"/>
          <w:szCs w:val="28"/>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w:t>
      </w:r>
      <w:r>
        <w:rPr>
          <w:rFonts w:hint="eastAsia" w:ascii="仿宋_GB2312" w:hAnsi="仿宋_GB2312" w:eastAsia="仿宋_GB2312" w:cs="仿宋_GB2312"/>
          <w:color w:val="000000" w:themeColor="text1"/>
          <w:sz w:val="28"/>
          <w:szCs w:val="28"/>
          <w14:textFill>
            <w14:solidFill>
              <w14:schemeClr w14:val="tx1"/>
            </w14:solidFill>
          </w14:textFill>
        </w:rPr>
        <w:t>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各潜在响应人如有疑问，请将加盖公章的书面质疑函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(WORD版、PDF版)</w:t>
      </w:r>
      <w:r>
        <w:rPr>
          <w:rFonts w:hint="eastAsia" w:ascii="仿宋_GB2312" w:hAnsi="仿宋_GB2312" w:eastAsia="仿宋_GB2312" w:cs="仿宋_GB2312"/>
          <w:color w:val="000000" w:themeColor="text1"/>
          <w:sz w:val="28"/>
          <w:szCs w:val="28"/>
          <w14:textFill>
            <w14:solidFill>
              <w14:schemeClr w14:val="tx1"/>
            </w14:solidFill>
          </w14:textFill>
        </w:rPr>
        <w:t>至少于比选开始前2个工作日通过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14:textFill>
            <w14:solidFill>
              <w14:schemeClr w14:val="tx1"/>
            </w14:solidFill>
          </w14:textFill>
        </w:rPr>
        <w:t>的形式发送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至以下邮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箱：zhengyu@cqa.cn。</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参加唱价会议的响应人的被授权人应当随身携带本人身份证（原件）和授权委托书（原件），以备核验其合法身份。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响应人一经递交</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，不得查阅、取回递交的</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14:textFill>
            <w14:solidFill>
              <w14:schemeClr w14:val="tx1"/>
            </w14:solidFill>
          </w14:textFill>
        </w:rPr>
        <w:t>重庆机场集团有限公司官网发布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经采购人内部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决策程序</w:t>
      </w:r>
      <w:r>
        <w:rPr>
          <w:rFonts w:hint="eastAsia" w:ascii="仿宋_GB2312" w:hAnsi="仿宋_GB2312" w:eastAsia="仿宋_GB2312" w:cs="仿宋_GB2312"/>
          <w:color w:val="000000" w:themeColor="text1"/>
          <w:sz w:val="28"/>
          <w:szCs w:val="28"/>
          <w14:textFill>
            <w14:solidFill>
              <w14:schemeClr w14:val="tx1"/>
            </w14:solidFill>
          </w14:textFill>
        </w:rPr>
        <w:t>确定后会及时通知，原则上只通知被选中的响应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对未被选中的响应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不通知、不解释。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合同签订：响应人接到成交通知后，应在20天内按采购文件和比选响应文件与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传真：023-67153291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地址：重庆市渝北区机场东路9号</w:t>
      </w:r>
    </w:p>
    <w:p>
      <w:pPr>
        <w:pStyle w:val="2"/>
        <w:jc w:val="both"/>
        <w:rPr>
          <w:rFonts w:hint="default" w:ascii="Times New Roman" w:hAnsi="Times New Roman" w:eastAsia="方正小标宋_GBK" w:cs="Times New Roman"/>
          <w:color w:val="000000" w:themeColor="text1"/>
          <w:sz w:val="36"/>
          <w:szCs w:val="36"/>
          <w14:textFill>
            <w14:solidFill>
              <w14:schemeClr w14:val="tx1"/>
            </w14:solidFill>
          </w14:textFill>
        </w:rPr>
      </w:pPr>
      <w:bookmarkStart w:id="1" w:name="_Toc7485"/>
    </w:p>
    <w:p>
      <w:pPr>
        <w:rPr>
          <w:rFonts w:hint="default"/>
        </w:rPr>
        <w:sectPr>
          <w:footerReference r:id="rId5" w:type="default"/>
          <w:pgSz w:w="11906" w:h="16838"/>
          <w:pgMar w:top="1560" w:right="1800" w:bottom="1440" w:left="1800" w:header="851" w:footer="992" w:gutter="0"/>
          <w:pgNumType w:fmt="decimal" w:start="1"/>
          <w:cols w:space="425" w:num="1"/>
          <w:docGrid w:type="lines" w:linePitch="312" w:charSpace="0"/>
        </w:sectPr>
      </w:pPr>
    </w:p>
    <w:p>
      <w:pPr>
        <w:pStyle w:val="2"/>
        <w:jc w:val="both"/>
        <w:rPr>
          <w:rFonts w:hint="eastAsia"/>
          <w:lang w:val="en-US" w:eastAsia="zh-CN"/>
        </w:rPr>
      </w:pPr>
      <w:r>
        <w:rPr>
          <w:rFonts w:hint="eastAsia"/>
          <w:lang w:val="en-US" w:eastAsia="zh-CN"/>
        </w:rPr>
        <w:t>附件一：轮胎需求表</w:t>
      </w:r>
    </w:p>
    <w:tbl>
      <w:tblPr>
        <w:tblStyle w:val="16"/>
        <w:tblW w:w="8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1384"/>
        <w:gridCol w:w="1533"/>
        <w:gridCol w:w="717"/>
        <w:gridCol w:w="1283"/>
        <w:gridCol w:w="733"/>
        <w:gridCol w:w="123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气压最大值</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不含增值税限价（元）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采购权重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频繁类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约80%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700-12</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700R16-12</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165R13</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4.00-8-6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非频繁类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约20%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600-9</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700R16-14</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9.00-20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9.5R17.5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12.00R20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12R22.5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165/70R13</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165/70R14</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175/65R14</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185/60R15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195/60R14</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195/70R15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215/50R17</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215/55R17</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215/70R16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215/75R15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215/80R16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21*8-9</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21*8-9</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225/70R15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235/70R16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28*9-15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295/80R22.5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315/80R22.5</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bookmarkEnd w:id="1"/>
    </w:tbl>
    <w:p>
      <w:pPr>
        <w:pStyle w:val="2"/>
        <w:jc w:val="both"/>
        <w:rPr>
          <w:rFonts w:hint="eastAsia"/>
          <w:lang w:val="en-US" w:eastAsia="zh-CN"/>
        </w:rPr>
      </w:pPr>
      <w:r>
        <w:rPr>
          <w:rFonts w:hint="eastAsia"/>
          <w:lang w:val="en-US" w:eastAsia="zh-CN"/>
        </w:rPr>
        <w:t>附件二</w:t>
      </w:r>
      <w:r>
        <w:rPr>
          <w:rFonts w:hint="default"/>
          <w:lang w:val="en-US" w:eastAsia="zh-CN"/>
        </w:rPr>
        <w:t>：</w:t>
      </w:r>
      <w:r>
        <w:rPr>
          <w:rFonts w:hint="eastAsia"/>
          <w:lang w:val="en-US" w:eastAsia="zh-CN"/>
        </w:rPr>
        <w:t>机油需求表</w:t>
      </w:r>
    </w:p>
    <w:tbl>
      <w:tblPr>
        <w:tblStyle w:val="16"/>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504"/>
        <w:gridCol w:w="1617"/>
        <w:gridCol w:w="1600"/>
        <w:gridCol w:w="1117"/>
        <w:gridCol w:w="140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品名</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型号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包装规格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不含增值税</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限价（元）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采购权重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柴油机油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15W-40/CF-4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1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频繁类80%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柴油机油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15W-40/CK-4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FD-1/-25℃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制动液</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DOT-4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800克/瓶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自动波箱油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ATF220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1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FD-1/-25℃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10升/桶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1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非频繁类</w:t>
            </w:r>
          </w:p>
          <w:p>
            <w:pPr>
              <w:keepNext w:val="0"/>
              <w:keepLines w:val="0"/>
              <w:widowControl/>
              <w:suppressLineNumbers w:val="0"/>
              <w:jc w:val="center"/>
              <w:textAlignment w:val="center"/>
              <w:rPr>
                <w:rFonts w:hint="default"/>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FD-2/-36℃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自动波箱油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ATF220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20升/桶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491</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抗磨液压油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L-HM-46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18-20升/桶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213</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抗磨液压油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L-HM-46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200升/桶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2183</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液力传动油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20升/桶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237</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齿轮油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85W/90/GL-4/中负荷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齿轮油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85W-90/GL-5/重负荷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冷冻油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RL-68H</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润滑脂</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HP-R</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800克/桶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汽油机油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SN 10W-40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1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汽油机油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0W-40 SP A3/B4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322</w:t>
            </w:r>
          </w:p>
        </w:tc>
        <w:tc>
          <w:tcPr>
            <w:tcW w:w="11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pPr>
        <w:rPr>
          <w:rFonts w:hint="eastAsia"/>
          <w:lang w:val="en-US" w:eastAsia="zh-CN"/>
        </w:rPr>
      </w:pPr>
      <w:r>
        <w:rPr>
          <w:rFonts w:hint="eastAsia"/>
          <w:lang w:val="en-US" w:eastAsia="zh-CN"/>
        </w:rPr>
        <w:br w:type="page"/>
      </w:r>
    </w:p>
    <w:p>
      <w:pPr>
        <w:pStyle w:val="2"/>
        <w:jc w:val="both"/>
        <w:rPr>
          <w:rFonts w:hint="default"/>
          <w:lang w:val="en-US" w:eastAsia="zh-CN"/>
        </w:rPr>
      </w:pPr>
      <w:r>
        <w:rPr>
          <w:rFonts w:hint="eastAsia"/>
          <w:lang w:val="en-US" w:eastAsia="zh-CN"/>
        </w:rPr>
        <w:t>附件三：水电、五金工具需求表</w:t>
      </w:r>
    </w:p>
    <w:tbl>
      <w:tblPr>
        <w:tblStyle w:val="16"/>
        <w:tblW w:w="87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3054"/>
        <w:gridCol w:w="756"/>
        <w:gridCol w:w="21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不含税单价限价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采购权重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7W-LED灯管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17.48 </w:t>
            </w:r>
          </w:p>
        </w:tc>
        <w:tc>
          <w:tcPr>
            <w:tcW w:w="21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频繁类60%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T5-8W-LED灯管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T5-16W-LED灯管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T8-16W-LED灯管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23.30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24W-LED灯板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100W-LED射灯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153.40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200W-LED射灯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631.07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300W-LED射灯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631.07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18W-LED吸顶灯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160.19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28W-LED吸顶灯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72.82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Q300-LED吸顶灯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121.36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9W-LED铜灯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12W-LED铜灯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20W-LED铜灯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100W-LED柱型泡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133.98 </w:t>
            </w:r>
          </w:p>
        </w:tc>
        <w:tc>
          <w:tcPr>
            <w:tcW w:w="21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2P32A空开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21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非频繁类40%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2P40A空开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3P40A空开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4P32A空开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58.25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380V-16A空开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380V-32A空开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380V-3P40A空开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86明线盒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86五孔插座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11.65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86-16A空凋插座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8.74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五孔插座/带USB按钮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27.67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16A模数化插座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14.56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118型四位插座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86双网络插座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72.82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380V-25A模数化插座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10A三插头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4.85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220V-16A插头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9.71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380V-25A插头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10.68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抽屉锁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7.77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把手门锁芯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把手门锁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155.34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Q6铜管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27.18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Q6保温管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10.68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Q12铜管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29.13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Q12保温管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11.65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Q16铜管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82.52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Q16保温管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14.56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16PVC线管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3.40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0.29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16PVC直接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0.10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16PVC三通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0.39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20PVC线管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20PVC直接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0.19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0.29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20PVC线卡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7.77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50PVC线管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50PVC三通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2.43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50PVC直接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1.46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水龙头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中长水龙头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加长水龙头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29.13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单把沐浴阀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121.36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沐浴喷头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21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沐浴管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21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pPr>
        <w:rPr>
          <w:rFonts w:hint="eastAsia"/>
          <w:b/>
          <w:bCs/>
          <w:sz w:val="36"/>
          <w:szCs w:val="36"/>
          <w:lang w:eastAsia="zh-CN"/>
        </w:rPr>
      </w:pPr>
      <w:r>
        <w:rPr>
          <w:rFonts w:hint="eastAsia"/>
          <w:b/>
          <w:bCs/>
          <w:sz w:val="36"/>
          <w:szCs w:val="36"/>
          <w:lang w:eastAsia="zh-CN"/>
        </w:rPr>
        <w:br w:type="page"/>
      </w:r>
    </w:p>
    <w:p>
      <w:pPr>
        <w:pStyle w:val="2"/>
        <w:jc w:val="both"/>
        <w:rPr>
          <w:rFonts w:hint="eastAsia"/>
          <w:lang w:val="en-US" w:eastAsia="zh-CN"/>
        </w:rPr>
      </w:pPr>
      <w:r>
        <w:rPr>
          <w:rFonts w:hint="eastAsia"/>
          <w:lang w:val="en-US" w:eastAsia="zh-CN"/>
        </w:rPr>
        <w:t>附件四：合同主要条款</w:t>
      </w:r>
    </w:p>
    <w:p>
      <w:pPr>
        <w:keepNext w:val="0"/>
        <w:keepLines w:val="0"/>
        <w:pageBreakBefore w:val="0"/>
        <w:kinsoku/>
        <w:wordWrap/>
        <w:overflowPunct/>
        <w:topLinePunct w:val="0"/>
        <w:bidi w:val="0"/>
        <w:snapToGrid/>
        <w:spacing w:line="560" w:lineRule="exact"/>
        <w:jc w:val="center"/>
        <w:rPr>
          <w:rFonts w:hint="eastAsia"/>
          <w:b/>
          <w:sz w:val="44"/>
        </w:rPr>
      </w:pPr>
      <w:r>
        <w:rPr>
          <w:rFonts w:hint="eastAsia"/>
          <w:b/>
          <w:bCs/>
          <w:sz w:val="36"/>
          <w:szCs w:val="36"/>
          <w:lang w:eastAsia="zh-CN"/>
        </w:rPr>
        <w:t>维修类材料（轮胎、机油、五金工具）框架采购合同</w:t>
      </w:r>
    </w:p>
    <w:p>
      <w:pPr>
        <w:keepNext w:val="0"/>
        <w:keepLines w:val="0"/>
        <w:pageBreakBefore w:val="0"/>
        <w:kinsoku/>
        <w:wordWrap/>
        <w:overflowPunct/>
        <w:topLinePunct w:val="0"/>
        <w:bidi w:val="0"/>
        <w:snapToGrid/>
        <w:spacing w:line="560" w:lineRule="exact"/>
        <w:jc w:val="both"/>
        <w:rPr>
          <w:rFonts w:hint="eastAsia" w:ascii="仿宋_GB2312" w:hAnsi="宋体"/>
          <w:b/>
          <w:sz w:val="36"/>
          <w:szCs w:val="36"/>
          <w:lang w:eastAsia="zh-CN"/>
        </w:rPr>
      </w:pP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lang w:eastAsia="zh-CN"/>
        </w:rPr>
      </w:pPr>
      <w:r>
        <w:rPr>
          <w:rFonts w:hint="eastAsia" w:ascii="仿宋" w:hAnsi="仿宋" w:eastAsia="仿宋" w:cs="仿宋"/>
          <w:b/>
          <w:bCs/>
          <w:sz w:val="24"/>
        </w:rPr>
        <w:t>甲方</w:t>
      </w:r>
      <w:r>
        <w:rPr>
          <w:rFonts w:hint="eastAsia" w:ascii="仿宋" w:hAnsi="仿宋" w:eastAsia="仿宋" w:cs="仿宋"/>
          <w:sz w:val="24"/>
        </w:rPr>
        <w:t xml:space="preserve">： </w:t>
      </w:r>
      <w:r>
        <w:rPr>
          <w:rFonts w:hint="eastAsia" w:ascii="仿宋" w:hAnsi="仿宋" w:eastAsia="仿宋" w:cs="仿宋"/>
          <w:sz w:val="24"/>
          <w:lang w:eastAsia="zh-CN"/>
        </w:rPr>
        <w:t>重庆空港航空地面服务有限公司</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lang w:eastAsia="zh-CN"/>
        </w:rPr>
      </w:pPr>
      <w:r>
        <w:rPr>
          <w:rFonts w:hint="eastAsia" w:ascii="仿宋" w:hAnsi="仿宋" w:eastAsia="仿宋" w:cs="仿宋"/>
          <w:b/>
          <w:bCs/>
          <w:sz w:val="24"/>
        </w:rPr>
        <w:t>乙方</w:t>
      </w:r>
      <w:r>
        <w:rPr>
          <w:rFonts w:hint="eastAsia" w:ascii="仿宋" w:hAnsi="仿宋" w:eastAsia="仿宋" w:cs="仿宋"/>
          <w:sz w:val="24"/>
        </w:rPr>
        <w:t>：</w:t>
      </w:r>
      <w:r>
        <w:rPr>
          <w:rFonts w:hint="eastAsia" w:ascii="仿宋" w:hAnsi="仿宋" w:eastAsia="仿宋" w:cs="仿宋"/>
          <w:sz w:val="24"/>
          <w:lang w:val="en-US" w:eastAsia="zh-CN"/>
        </w:rPr>
        <w:t xml:space="preserve"> </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color w:val="000000"/>
          <w:sz w:val="24"/>
        </w:rPr>
      </w:pPr>
      <w:r>
        <w:rPr>
          <w:rFonts w:hint="eastAsia" w:ascii="仿宋" w:hAnsi="仿宋" w:eastAsia="仿宋" w:cs="仿宋"/>
          <w:sz w:val="24"/>
        </w:rPr>
        <w:t>甲乙双方根据《中华人民共和国</w:t>
      </w:r>
      <w:r>
        <w:rPr>
          <w:rFonts w:hint="eastAsia" w:ascii="仿宋" w:hAnsi="仿宋" w:eastAsia="仿宋" w:cs="仿宋"/>
          <w:sz w:val="24"/>
          <w:lang w:eastAsia="zh-CN"/>
        </w:rPr>
        <w:t>民法典</w:t>
      </w:r>
      <w:r>
        <w:rPr>
          <w:rFonts w:hint="eastAsia" w:ascii="仿宋" w:hAnsi="仿宋" w:eastAsia="仿宋" w:cs="仿宋"/>
          <w:sz w:val="24"/>
        </w:rPr>
        <w:t>》及相关的法律法规之规定，本着友好合作、协商一致的原则，就甲方向乙方</w:t>
      </w:r>
      <w:r>
        <w:rPr>
          <w:rFonts w:hint="eastAsia" w:ascii="仿宋" w:hAnsi="仿宋" w:eastAsia="仿宋" w:cs="仿宋"/>
          <w:sz w:val="24"/>
          <w:lang w:eastAsia="zh-CN"/>
        </w:rPr>
        <w:t>采购</w:t>
      </w:r>
      <w:r>
        <w:rPr>
          <w:rFonts w:hint="eastAsia" w:ascii="仿宋" w:hAnsi="仿宋" w:eastAsia="仿宋" w:cs="仿宋"/>
          <w:sz w:val="24"/>
          <w:u w:val="single"/>
          <w:lang w:val="en-US" w:eastAsia="zh-CN"/>
        </w:rPr>
        <w:t xml:space="preserve">     </w:t>
      </w:r>
      <w:r>
        <w:rPr>
          <w:rFonts w:hint="eastAsia" w:ascii="仿宋" w:hAnsi="仿宋" w:eastAsia="仿宋" w:cs="仿宋"/>
          <w:sz w:val="24"/>
        </w:rPr>
        <w:t>事宜达成协</w:t>
      </w:r>
      <w:r>
        <w:rPr>
          <w:rFonts w:hint="eastAsia" w:ascii="仿宋" w:hAnsi="仿宋" w:eastAsia="仿宋" w:cs="仿宋"/>
          <w:color w:val="000000"/>
          <w:sz w:val="24"/>
        </w:rPr>
        <w:t>议如下：</w:t>
      </w:r>
    </w:p>
    <w:p>
      <w:pPr>
        <w:keepNext w:val="0"/>
        <w:keepLines w:val="0"/>
        <w:pageBreakBefore w:val="0"/>
        <w:kinsoku/>
        <w:wordWrap/>
        <w:overflowPunct/>
        <w:topLinePunct w:val="0"/>
        <w:bidi w:val="0"/>
        <w:snapToGrid/>
        <w:spacing w:line="560" w:lineRule="exact"/>
        <w:ind w:left="-540" w:leftChars="-257" w:firstLine="540" w:firstLineChars="224"/>
        <w:jc w:val="both"/>
        <w:rPr>
          <w:rFonts w:hint="eastAsia" w:ascii="仿宋" w:hAnsi="仿宋" w:eastAsia="仿宋" w:cs="仿宋"/>
          <w:b/>
          <w:bCs/>
          <w:color w:val="000000"/>
          <w:sz w:val="24"/>
        </w:rPr>
      </w:pPr>
      <w:r>
        <w:rPr>
          <w:rFonts w:hint="eastAsia" w:ascii="仿宋" w:hAnsi="仿宋" w:eastAsia="仿宋" w:cs="仿宋"/>
          <w:b/>
          <w:bCs/>
          <w:color w:val="000000"/>
          <w:sz w:val="24"/>
        </w:rPr>
        <w:t>1.释义</w:t>
      </w:r>
    </w:p>
    <w:p>
      <w:pPr>
        <w:keepNext w:val="0"/>
        <w:keepLines w:val="0"/>
        <w:pageBreakBefore w:val="0"/>
        <w:kinsoku/>
        <w:wordWrap/>
        <w:overflowPunct/>
        <w:topLinePunct w:val="0"/>
        <w:bidi w:val="0"/>
        <w:snapToGrid/>
        <w:spacing w:line="560" w:lineRule="exact"/>
        <w:ind w:left="-2" w:leftChars="-1" w:firstLine="2"/>
        <w:jc w:val="both"/>
        <w:rPr>
          <w:rFonts w:hint="eastAsia" w:ascii="仿宋" w:hAnsi="仿宋" w:eastAsia="仿宋" w:cs="仿宋"/>
          <w:color w:val="000000"/>
          <w:sz w:val="24"/>
        </w:rPr>
      </w:pPr>
      <w:r>
        <w:rPr>
          <w:rFonts w:hint="eastAsia" w:ascii="仿宋" w:hAnsi="仿宋" w:eastAsia="仿宋" w:cs="仿宋"/>
          <w:color w:val="000000"/>
          <w:sz w:val="24"/>
        </w:rPr>
        <w:t>1.1文中“双方”指甲方和乙方，“一方”指甲方和乙方中的任何一方。</w:t>
      </w:r>
    </w:p>
    <w:p>
      <w:pPr>
        <w:keepNext w:val="0"/>
        <w:keepLines w:val="0"/>
        <w:pageBreakBefore w:val="0"/>
        <w:kinsoku/>
        <w:wordWrap/>
        <w:overflowPunct/>
        <w:topLinePunct w:val="0"/>
        <w:bidi w:val="0"/>
        <w:snapToGrid/>
        <w:spacing w:line="560" w:lineRule="exact"/>
        <w:jc w:val="both"/>
        <w:rPr>
          <w:rFonts w:hint="eastAsia" w:ascii="仿宋" w:hAnsi="仿宋" w:eastAsia="仿宋" w:cs="仿宋"/>
          <w:color w:val="000000"/>
          <w:sz w:val="24"/>
        </w:rPr>
      </w:pPr>
      <w:r>
        <w:rPr>
          <w:rFonts w:hint="eastAsia" w:ascii="仿宋" w:hAnsi="仿宋" w:eastAsia="仿宋" w:cs="仿宋"/>
          <w:color w:val="000000"/>
          <w:sz w:val="24"/>
        </w:rPr>
        <w:t>1.2文中所涉及费用均以人民币“元”为计量单位。</w:t>
      </w:r>
    </w:p>
    <w:p>
      <w:pPr>
        <w:keepNext w:val="0"/>
        <w:keepLines w:val="0"/>
        <w:pageBreakBefore w:val="0"/>
        <w:kinsoku/>
        <w:wordWrap/>
        <w:overflowPunct/>
        <w:topLinePunct w:val="0"/>
        <w:bidi w:val="0"/>
        <w:snapToGrid/>
        <w:spacing w:line="560" w:lineRule="exact"/>
        <w:jc w:val="both"/>
        <w:rPr>
          <w:rFonts w:hint="eastAsia" w:ascii="仿宋" w:hAnsi="仿宋" w:eastAsia="仿宋" w:cs="仿宋"/>
          <w:color w:val="000000"/>
          <w:sz w:val="24"/>
        </w:rPr>
      </w:pPr>
      <w:r>
        <w:rPr>
          <w:rFonts w:hint="eastAsia" w:ascii="仿宋" w:hAnsi="仿宋" w:eastAsia="仿宋" w:cs="仿宋"/>
          <w:color w:val="000000"/>
          <w:sz w:val="24"/>
        </w:rPr>
        <w:t>1.3文中“年、月、日”均指公历年、月、日。</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color w:val="000000"/>
          <w:sz w:val="24"/>
        </w:rPr>
      </w:pPr>
      <w:r>
        <w:rPr>
          <w:rFonts w:hint="eastAsia" w:ascii="仿宋" w:hAnsi="仿宋" w:eastAsia="仿宋" w:cs="仿宋"/>
          <w:b/>
          <w:bCs/>
          <w:color w:val="000000"/>
          <w:sz w:val="24"/>
        </w:rPr>
        <w:t>2.合同标的</w:t>
      </w:r>
    </w:p>
    <w:p>
      <w:pPr>
        <w:keepNext w:val="0"/>
        <w:keepLines w:val="0"/>
        <w:pageBreakBefore w:val="0"/>
        <w:kinsoku/>
        <w:wordWrap/>
        <w:overflowPunct/>
        <w:topLinePunct w:val="0"/>
        <w:bidi w:val="0"/>
        <w:snapToGrid/>
        <w:spacing w:line="560" w:lineRule="exact"/>
        <w:ind w:left="-2" w:leftChars="-1" w:firstLine="2"/>
        <w:jc w:val="both"/>
        <w:rPr>
          <w:rFonts w:hint="eastAsia" w:ascii="仿宋" w:hAnsi="仿宋" w:eastAsia="仿宋" w:cs="仿宋"/>
          <w:color w:val="000000"/>
          <w:sz w:val="24"/>
        </w:rPr>
      </w:pPr>
      <w:r>
        <w:rPr>
          <w:rFonts w:hint="eastAsia" w:ascii="仿宋" w:hAnsi="仿宋" w:eastAsia="仿宋" w:cs="仿宋"/>
          <w:color w:val="000000"/>
          <w:sz w:val="24"/>
        </w:rPr>
        <w:t>2.1甲方向乙方</w:t>
      </w:r>
      <w:r>
        <w:rPr>
          <w:rFonts w:hint="eastAsia" w:ascii="仿宋" w:hAnsi="仿宋" w:eastAsia="仿宋" w:cs="仿宋"/>
          <w:color w:val="000000"/>
          <w:sz w:val="24"/>
          <w:lang w:eastAsia="zh-CN"/>
        </w:rPr>
        <w:t>采购</w:t>
      </w:r>
      <w:r>
        <w:rPr>
          <w:rFonts w:hint="eastAsia" w:ascii="仿宋" w:hAnsi="仿宋" w:eastAsia="仿宋" w:cs="仿宋"/>
          <w:color w:val="000000"/>
          <w:sz w:val="24"/>
          <w:u w:val="single"/>
          <w:lang w:val="en-US" w:eastAsia="zh-CN"/>
        </w:rPr>
        <w:t xml:space="preserve">     。</w:t>
      </w:r>
    </w:p>
    <w:p>
      <w:pPr>
        <w:keepNext w:val="0"/>
        <w:keepLines w:val="0"/>
        <w:pageBreakBefore w:val="0"/>
        <w:kinsoku/>
        <w:wordWrap/>
        <w:overflowPunct/>
        <w:topLinePunct w:val="0"/>
        <w:bidi w:val="0"/>
        <w:snapToGrid/>
        <w:spacing w:line="560" w:lineRule="exact"/>
        <w:ind w:left="-2" w:leftChars="-1" w:firstLine="2"/>
        <w:jc w:val="both"/>
        <w:rPr>
          <w:rFonts w:hint="eastAsia" w:ascii="仿宋" w:hAnsi="仿宋" w:eastAsia="仿宋" w:cs="仿宋"/>
          <w:color w:val="000000"/>
          <w:sz w:val="24"/>
          <w:lang w:eastAsia="zh-CN"/>
        </w:rPr>
      </w:pPr>
      <w:r>
        <w:rPr>
          <w:rFonts w:hint="eastAsia" w:ascii="仿宋" w:hAnsi="仿宋" w:eastAsia="仿宋" w:cs="仿宋"/>
          <w:color w:val="000000"/>
          <w:sz w:val="24"/>
        </w:rPr>
        <w:t>2.2</w:t>
      </w:r>
      <w:r>
        <w:rPr>
          <w:rFonts w:hint="eastAsia" w:ascii="仿宋" w:hAnsi="仿宋" w:eastAsia="仿宋" w:cs="仿宋"/>
          <w:color w:val="000000"/>
          <w:sz w:val="24"/>
          <w:lang w:eastAsia="zh-CN"/>
        </w:rPr>
        <w:t>货物名称</w:t>
      </w:r>
      <w:r>
        <w:rPr>
          <w:rFonts w:hint="eastAsia" w:ascii="仿宋" w:hAnsi="仿宋" w:eastAsia="仿宋" w:cs="仿宋"/>
          <w:color w:val="000000"/>
          <w:sz w:val="24"/>
        </w:rPr>
        <w:t>、型号、规格</w:t>
      </w:r>
      <w:r>
        <w:rPr>
          <w:rFonts w:hint="eastAsia" w:ascii="仿宋" w:hAnsi="仿宋" w:eastAsia="仿宋" w:cs="仿宋"/>
          <w:color w:val="000000"/>
          <w:sz w:val="24"/>
          <w:lang w:eastAsia="zh-CN"/>
        </w:rPr>
        <w:t>：参见比选采购文件和响应文件。</w:t>
      </w:r>
    </w:p>
    <w:p>
      <w:pPr>
        <w:keepNext w:val="0"/>
        <w:keepLines w:val="0"/>
        <w:pageBreakBefore w:val="0"/>
        <w:kinsoku/>
        <w:wordWrap/>
        <w:overflowPunct/>
        <w:topLinePunct w:val="0"/>
        <w:bidi w:val="0"/>
        <w:snapToGrid/>
        <w:spacing w:line="560" w:lineRule="exact"/>
        <w:ind w:left="-2" w:leftChars="-1" w:firstLine="2"/>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2.3甲方如有采购需求，通过采购订单的方式向乙方下单，乙方根据采购订单的要求送货，货物标准参见2.2条。</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3.合同价款</w:t>
      </w:r>
    </w:p>
    <w:p>
      <w:pPr>
        <w:keepNext w:val="0"/>
        <w:keepLines w:val="0"/>
        <w:pageBreakBefore w:val="0"/>
        <w:kinsoku/>
        <w:wordWrap/>
        <w:overflowPunct/>
        <w:topLinePunct w:val="0"/>
        <w:bidi w:val="0"/>
        <w:snapToGrid/>
        <w:spacing w:line="560" w:lineRule="exact"/>
        <w:jc w:val="both"/>
        <w:rPr>
          <w:rFonts w:hint="default" w:ascii="仿宋" w:hAnsi="仿宋" w:eastAsia="仿宋" w:cs="仿宋"/>
          <w:sz w:val="24"/>
          <w:lang w:val="en-US" w:eastAsia="zh-CN"/>
        </w:rPr>
      </w:pPr>
      <w:r>
        <w:rPr>
          <w:rFonts w:hint="eastAsia" w:ascii="仿宋" w:hAnsi="仿宋" w:eastAsia="仿宋" w:cs="仿宋"/>
          <w:sz w:val="24"/>
        </w:rPr>
        <w:t>3.1</w:t>
      </w:r>
      <w:r>
        <w:rPr>
          <w:rFonts w:hint="eastAsia" w:ascii="仿宋" w:hAnsi="仿宋" w:eastAsia="仿宋" w:cs="仿宋"/>
          <w:sz w:val="24"/>
          <w:lang w:eastAsia="zh-CN"/>
        </w:rPr>
        <w:t>各类轮胎不含增值税单价（基准价）详见</w:t>
      </w:r>
      <w:r>
        <w:rPr>
          <w:rFonts w:hint="eastAsia" w:ascii="仿宋" w:hAnsi="仿宋" w:eastAsia="仿宋" w:cs="仿宋"/>
          <w:sz w:val="24"/>
          <w:lang w:val="en-US" w:eastAsia="zh-CN"/>
        </w:rPr>
        <w:t>2.2条。未在2.2条清单范围内的物资，由甲方向乙方询价，乙方报价通过甲方采购人员审核确认后采购。</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eastAsia="zh-CN"/>
        </w:rPr>
      </w:pPr>
      <w:r>
        <w:rPr>
          <w:rFonts w:hint="eastAsia" w:ascii="仿宋" w:hAnsi="仿宋" w:eastAsia="仿宋" w:cs="仿宋"/>
          <w:sz w:val="24"/>
        </w:rPr>
        <w:t>3.2本合同货款单价已包括货物移交至甲方所需的</w:t>
      </w:r>
      <w:r>
        <w:rPr>
          <w:rFonts w:hint="eastAsia" w:ascii="仿宋" w:hAnsi="仿宋" w:eastAsia="仿宋" w:cs="仿宋"/>
          <w:sz w:val="24"/>
          <w:lang w:val="en-US" w:eastAsia="zh-CN"/>
        </w:rPr>
        <w:t>成本费用、劳务费、运输费、和相关税费（除增值税外）等全部费用</w:t>
      </w:r>
      <w:r>
        <w:rPr>
          <w:rFonts w:hint="eastAsia" w:ascii="仿宋" w:hAnsi="仿宋" w:eastAsia="仿宋" w:cs="仿宋"/>
          <w:sz w:val="24"/>
          <w:lang w:eastAsia="zh-CN"/>
        </w:rPr>
        <w:t>。</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3.3乙方向甲方提供的频繁类下浮比例为</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非频繁类下浮比例为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bCs/>
          <w:sz w:val="24"/>
          <w:lang w:eastAsia="zh-CN"/>
        </w:rPr>
        <w:t>履约保证与</w:t>
      </w:r>
      <w:r>
        <w:rPr>
          <w:rFonts w:hint="eastAsia" w:ascii="仿宋" w:hAnsi="仿宋" w:eastAsia="仿宋" w:cs="仿宋"/>
          <w:b/>
          <w:bCs/>
          <w:sz w:val="24"/>
        </w:rPr>
        <w:t>支付方式</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eastAsia="zh-CN"/>
        </w:rPr>
      </w:pPr>
      <w:r>
        <w:rPr>
          <w:rFonts w:hint="eastAsia" w:ascii="仿宋" w:hAnsi="仿宋" w:eastAsia="仿宋" w:cs="仿宋"/>
          <w:sz w:val="24"/>
        </w:rPr>
        <w:t>4.1</w:t>
      </w:r>
      <w:r>
        <w:rPr>
          <w:rFonts w:hint="eastAsia" w:ascii="仿宋" w:hAnsi="仿宋" w:eastAsia="仿宋" w:cs="仿宋"/>
          <w:sz w:val="24"/>
          <w:lang w:eastAsia="zh-CN"/>
        </w:rPr>
        <w:t>履约保证</w:t>
      </w:r>
    </w:p>
    <w:p>
      <w:pPr>
        <w:pStyle w:val="5"/>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乙方在收到成交通知书5个工作日内通过银行转账的方式提交</w:t>
      </w:r>
      <w:r>
        <w:rPr>
          <w:rFonts w:hint="eastAsia" w:ascii="仿宋" w:hAnsi="仿宋" w:eastAsia="仿宋" w:cs="仿宋"/>
          <w:b w:val="0"/>
          <w:kern w:val="2"/>
          <w:sz w:val="24"/>
          <w:szCs w:val="24"/>
          <w:u w:val="single"/>
          <w:lang w:val="en-US" w:eastAsia="zh-CN" w:bidi="ar-SA"/>
        </w:rPr>
        <w:t>履约保证金48000（平均分担）或20000或15000元</w:t>
      </w:r>
      <w:r>
        <w:rPr>
          <w:rFonts w:hint="eastAsia" w:ascii="仿宋" w:hAnsi="仿宋" w:eastAsia="仿宋" w:cs="仿宋"/>
          <w:b w:val="0"/>
          <w:kern w:val="2"/>
          <w:sz w:val="24"/>
          <w:szCs w:val="24"/>
          <w:lang w:val="en-US" w:eastAsia="zh-CN" w:bidi="ar-SA"/>
        </w:rPr>
        <w:t>到甲方以下账户，项目合同期满后，由乙方提出申请后40天内退还，但不计利息。</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甲方开票及账户信息：</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户名：重庆空港航空地面服务有限公司</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税号：91500112666441363D</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地址：重庆市渝北区双凤桥街道渝航路1幢1/2-0</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电话号码：023-67153596</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开户银行：建行渝北机场支行</w:t>
      </w:r>
    </w:p>
    <w:p>
      <w:pPr>
        <w:keepNext w:val="0"/>
        <w:keepLines w:val="0"/>
        <w:pageBreakBefore w:val="0"/>
        <w:kinsoku/>
        <w:wordWrap/>
        <w:overflowPunct/>
        <w:topLinePunct w:val="0"/>
        <w:bidi w:val="0"/>
        <w:snapToGrid/>
        <w:spacing w:line="56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账户账号：5000 1083 8000 5020 0711</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4.2 支付方式</w:t>
      </w:r>
    </w:p>
    <w:p>
      <w:pPr>
        <w:keepNext w:val="0"/>
        <w:keepLines w:val="0"/>
        <w:pageBreakBefore w:val="0"/>
        <w:kinsoku/>
        <w:wordWrap/>
        <w:overflowPunct/>
        <w:topLinePunct w:val="0"/>
        <w:bidi w:val="0"/>
        <w:snapToGrid/>
        <w:spacing w:line="56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以银行转账或银行承兑汇票的方式按月支付，甲方收到乙方提供的符合规定的增值税发票后一次性支付。月结算金额=按本合同2.2条计算的实际发生的金额×（1-相应类别下浮比例）。</w:t>
      </w:r>
    </w:p>
    <w:p>
      <w:pPr>
        <w:pStyle w:val="5"/>
        <w:keepNext w:val="0"/>
        <w:keepLines w:val="0"/>
        <w:pageBreakBefore w:val="0"/>
        <w:kinsoku/>
        <w:wordWrap/>
        <w:overflowPunct/>
        <w:topLinePunct w:val="0"/>
        <w:bidi w:val="0"/>
        <w:snapToGrid/>
        <w:spacing w:line="56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如乙方提供的增值税普通发票，甲方实际支付金额=不含增值税金额；如乙方提供的增值税专用发票，甲方实际支付金额=不含增值税金额+增值税税额。</w:t>
      </w:r>
    </w:p>
    <w:p>
      <w:pPr>
        <w:keepNext w:val="0"/>
        <w:keepLines w:val="0"/>
        <w:pageBreakBefore w:val="0"/>
        <w:kinsoku/>
        <w:wordWrap/>
        <w:overflowPunct/>
        <w:topLinePunct w:val="0"/>
        <w:bidi w:val="0"/>
        <w:snapToGrid/>
        <w:spacing w:line="560" w:lineRule="exact"/>
        <w:jc w:val="both"/>
        <w:rPr>
          <w:rFonts w:hint="eastAsia" w:ascii="仿宋" w:hAnsi="仿宋" w:eastAsia="仿宋" w:cs="仿宋"/>
          <w:lang w:val="en-US" w:eastAsia="zh-CN"/>
        </w:rPr>
      </w:pPr>
      <w:r>
        <w:rPr>
          <w:rFonts w:hint="eastAsia" w:ascii="仿宋" w:hAnsi="仿宋" w:eastAsia="仿宋" w:cs="仿宋"/>
          <w:b w:val="0"/>
          <w:kern w:val="2"/>
          <w:sz w:val="24"/>
          <w:szCs w:val="24"/>
          <w:lang w:val="en-US" w:eastAsia="zh-CN" w:bidi="ar-SA"/>
        </w:rPr>
        <w:t xml:space="preserve">    乙方账户信息：</w:t>
      </w:r>
    </w:p>
    <w:p>
      <w:pPr>
        <w:pStyle w:val="41"/>
        <w:keepNext w:val="0"/>
        <w:keepLines w:val="0"/>
        <w:pageBreakBefore w:val="0"/>
        <w:kinsoku/>
        <w:wordWrap/>
        <w:overflowPunct/>
        <w:topLinePunct w:val="0"/>
        <w:bidi w:val="0"/>
        <w:snapToGrid/>
        <w:spacing w:line="560" w:lineRule="exact"/>
        <w:ind w:hanging="2"/>
        <w:jc w:val="both"/>
        <w:rPr>
          <w:rFonts w:hint="eastAsia" w:ascii="仿宋" w:hAnsi="仿宋" w:eastAsia="仿宋" w:cs="仿宋"/>
          <w:b/>
          <w:bCs/>
          <w:sz w:val="24"/>
          <w:szCs w:val="24"/>
        </w:rPr>
      </w:pPr>
      <w:r>
        <w:rPr>
          <w:rFonts w:hint="eastAsia" w:ascii="仿宋" w:hAnsi="仿宋" w:eastAsia="仿宋" w:cs="仿宋"/>
          <w:b/>
          <w:bCs/>
          <w:sz w:val="24"/>
          <w:szCs w:val="24"/>
        </w:rPr>
        <w:t>5.包装及运输</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5.1乙方应为</w:t>
      </w:r>
      <w:r>
        <w:rPr>
          <w:rFonts w:hint="eastAsia" w:ascii="仿宋" w:hAnsi="仿宋" w:eastAsia="仿宋" w:cs="仿宋"/>
          <w:sz w:val="24"/>
          <w:lang w:eastAsia="zh-CN"/>
        </w:rPr>
        <w:t>货物</w:t>
      </w:r>
      <w:r>
        <w:rPr>
          <w:rFonts w:hint="eastAsia" w:ascii="仿宋" w:hAnsi="仿宋" w:eastAsia="仿宋" w:cs="仿宋"/>
          <w:sz w:val="24"/>
        </w:rPr>
        <w:t>提供适宜</w:t>
      </w:r>
      <w:r>
        <w:rPr>
          <w:rFonts w:hint="eastAsia" w:ascii="仿宋" w:hAnsi="仿宋" w:eastAsia="仿宋" w:cs="仿宋"/>
          <w:sz w:val="24"/>
          <w:lang w:eastAsia="zh-CN"/>
        </w:rPr>
        <w:t>货物</w:t>
      </w:r>
      <w:r>
        <w:rPr>
          <w:rFonts w:hint="eastAsia" w:ascii="仿宋" w:hAnsi="仿宋" w:eastAsia="仿宋" w:cs="仿宋"/>
          <w:sz w:val="24"/>
        </w:rPr>
        <w:t>运输的包装方式，对于由于包装不良所发生的损失及由于采用不充分或不妥善的防护措施而造成的任何</w:t>
      </w:r>
      <w:r>
        <w:rPr>
          <w:rFonts w:hint="eastAsia" w:ascii="仿宋" w:hAnsi="仿宋" w:eastAsia="仿宋" w:cs="仿宋"/>
          <w:sz w:val="24"/>
          <w:lang w:eastAsia="zh-CN"/>
        </w:rPr>
        <w:t>损坏</w:t>
      </w:r>
      <w:r>
        <w:rPr>
          <w:rFonts w:hint="eastAsia" w:ascii="仿宋" w:hAnsi="仿宋" w:eastAsia="仿宋" w:cs="仿宋"/>
          <w:sz w:val="24"/>
        </w:rPr>
        <w:t>,乙方应承担由此而产生的一切费用和损失。</w:t>
      </w:r>
    </w:p>
    <w:p>
      <w:pPr>
        <w:pStyle w:val="41"/>
        <w:keepNext w:val="0"/>
        <w:keepLines w:val="0"/>
        <w:pageBreakBefore w:val="0"/>
        <w:kinsoku/>
        <w:wordWrap/>
        <w:overflowPunct/>
        <w:topLinePunct w:val="0"/>
        <w:bidi w:val="0"/>
        <w:snapToGrid/>
        <w:spacing w:line="560" w:lineRule="exact"/>
        <w:ind w:hanging="2"/>
        <w:jc w:val="both"/>
        <w:rPr>
          <w:rFonts w:hint="eastAsia" w:ascii="仿宋" w:hAnsi="仿宋" w:eastAsia="仿宋" w:cs="仿宋"/>
          <w:sz w:val="24"/>
          <w:szCs w:val="24"/>
        </w:rPr>
      </w:pPr>
      <w:r>
        <w:rPr>
          <w:rFonts w:hint="eastAsia" w:ascii="仿宋" w:hAnsi="仿宋" w:eastAsia="仿宋" w:cs="仿宋"/>
          <w:sz w:val="24"/>
          <w:szCs w:val="24"/>
        </w:rPr>
        <w:t xml:space="preserve">5.2 </w:t>
      </w:r>
      <w:r>
        <w:rPr>
          <w:rFonts w:hint="eastAsia" w:ascii="仿宋" w:hAnsi="仿宋" w:eastAsia="仿宋" w:cs="仿宋"/>
          <w:sz w:val="24"/>
        </w:rPr>
        <w:t>运输费用由乙方承担。</w:t>
      </w:r>
      <w:r>
        <w:rPr>
          <w:rFonts w:hint="eastAsia" w:ascii="仿宋" w:hAnsi="仿宋" w:eastAsia="仿宋" w:cs="仿宋"/>
          <w:sz w:val="24"/>
          <w:szCs w:val="24"/>
        </w:rPr>
        <w:t>运输过程中，商品毁损、灭失的风险由乙方承担。</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b/>
          <w:bCs/>
          <w:sz w:val="24"/>
        </w:rPr>
      </w:pPr>
      <w:r>
        <w:rPr>
          <w:rFonts w:hint="eastAsia" w:ascii="仿宋" w:hAnsi="仿宋" w:eastAsia="仿宋" w:cs="仿宋"/>
          <w:b/>
          <w:bCs/>
          <w:sz w:val="24"/>
        </w:rPr>
        <w:t>6.交货地点、交货期限</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color w:val="000000"/>
          <w:sz w:val="24"/>
        </w:rPr>
      </w:pPr>
      <w:r>
        <w:rPr>
          <w:rFonts w:hint="eastAsia" w:ascii="仿宋" w:hAnsi="仿宋" w:eastAsia="仿宋" w:cs="仿宋"/>
          <w:sz w:val="24"/>
        </w:rPr>
        <w:t>6.1交货地点：</w:t>
      </w:r>
      <w:r>
        <w:rPr>
          <w:rFonts w:hint="eastAsia" w:ascii="仿宋" w:hAnsi="仿宋" w:eastAsia="仿宋" w:cs="仿宋"/>
          <w:sz w:val="24"/>
          <w:lang w:eastAsia="zh-CN"/>
        </w:rPr>
        <w:t>重庆江北国际机场机场内甲方指定地点</w:t>
      </w:r>
      <w:r>
        <w:rPr>
          <w:rFonts w:hint="eastAsia" w:ascii="仿宋" w:hAnsi="仿宋" w:eastAsia="仿宋" w:cs="仿宋"/>
          <w:color w:val="000000"/>
          <w:sz w:val="24"/>
          <w:lang w:eastAsia="zh-CN"/>
        </w:rPr>
        <w:t>。</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sz w:val="24"/>
          <w:u w:val="none"/>
          <w:lang w:eastAsia="zh-CN"/>
        </w:rPr>
      </w:pPr>
      <w:r>
        <w:rPr>
          <w:rFonts w:hint="eastAsia" w:ascii="仿宋" w:hAnsi="仿宋" w:eastAsia="仿宋" w:cs="仿宋"/>
          <w:sz w:val="24"/>
        </w:rPr>
        <w:t>6.2交货时间：</w:t>
      </w:r>
      <w:r>
        <w:rPr>
          <w:rFonts w:hint="eastAsia" w:ascii="仿宋" w:hAnsi="仿宋" w:eastAsia="仿宋" w:cs="仿宋"/>
          <w:sz w:val="24"/>
          <w:lang w:eastAsia="zh-CN"/>
        </w:rPr>
        <w:t>原则上</w:t>
      </w:r>
      <w:r>
        <w:rPr>
          <w:rFonts w:hint="eastAsia" w:ascii="仿宋" w:hAnsi="仿宋" w:eastAsia="仿宋" w:cs="仿宋"/>
          <w:sz w:val="24"/>
          <w:u w:val="none"/>
          <w:lang w:eastAsia="zh-CN"/>
        </w:rPr>
        <w:t>收到甲方采购订单后</w:t>
      </w:r>
      <w:r>
        <w:rPr>
          <w:rFonts w:hint="eastAsia" w:ascii="仿宋" w:hAnsi="仿宋" w:eastAsia="仿宋" w:cs="仿宋"/>
          <w:sz w:val="24"/>
          <w:u w:val="none"/>
          <w:lang w:val="en-US" w:eastAsia="zh-CN"/>
        </w:rPr>
        <w:t>不得超过7个日历天；如甲方有应急需求的，乙方应尽量协调订单显示的送货期。</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6.3 甲方联系人及联系电话：</w:t>
      </w:r>
    </w:p>
    <w:p>
      <w:pPr>
        <w:keepNext w:val="0"/>
        <w:keepLines w:val="0"/>
        <w:pageBreakBefore w:val="0"/>
        <w:kinsoku/>
        <w:wordWrap/>
        <w:overflowPunct/>
        <w:topLinePunct w:val="0"/>
        <w:bidi w:val="0"/>
        <w:snapToGrid/>
        <w:spacing w:line="560" w:lineRule="exact"/>
        <w:jc w:val="both"/>
        <w:rPr>
          <w:rFonts w:hint="eastAsia" w:ascii="仿宋" w:hAnsi="仿宋" w:eastAsia="仿宋" w:cs="仿宋"/>
          <w:lang w:val="en-US" w:eastAsia="zh-CN"/>
        </w:rPr>
      </w:pPr>
      <w:r>
        <w:rPr>
          <w:rFonts w:hint="eastAsia" w:ascii="仿宋" w:hAnsi="仿宋" w:eastAsia="仿宋" w:cs="仿宋"/>
          <w:sz w:val="24"/>
          <w:u w:val="none"/>
          <w:lang w:val="en-US" w:eastAsia="zh-CN"/>
        </w:rPr>
        <w:t xml:space="preserve">    乙方联系人及联系电话：</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b/>
          <w:bCs/>
          <w:sz w:val="24"/>
        </w:rPr>
      </w:pPr>
      <w:r>
        <w:rPr>
          <w:rFonts w:hint="eastAsia" w:ascii="仿宋" w:hAnsi="仿宋" w:eastAsia="仿宋" w:cs="仿宋"/>
          <w:b/>
          <w:bCs/>
          <w:sz w:val="24"/>
        </w:rPr>
        <w:t xml:space="preserve">7.检验 </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7.1货到后，甲方收货</w:t>
      </w:r>
      <w:r>
        <w:rPr>
          <w:rFonts w:hint="eastAsia" w:ascii="仿宋" w:hAnsi="仿宋" w:eastAsia="仿宋" w:cs="仿宋"/>
          <w:sz w:val="24"/>
          <w:lang w:eastAsia="zh-CN"/>
        </w:rPr>
        <w:t>时</w:t>
      </w:r>
      <w:r>
        <w:rPr>
          <w:rFonts w:hint="eastAsia" w:ascii="仿宋" w:hAnsi="仿宋" w:eastAsia="仿宋" w:cs="仿宋"/>
          <w:sz w:val="24"/>
        </w:rPr>
        <w:t>，</w:t>
      </w:r>
      <w:r>
        <w:rPr>
          <w:rFonts w:hint="eastAsia" w:ascii="仿宋" w:hAnsi="仿宋" w:eastAsia="仿宋" w:cs="仿宋"/>
          <w:sz w:val="24"/>
          <w:lang w:eastAsia="zh-CN"/>
        </w:rPr>
        <w:t>对照乙方提供的送货凭证是否一致，货物</w:t>
      </w:r>
      <w:r>
        <w:rPr>
          <w:rFonts w:hint="eastAsia" w:ascii="仿宋" w:hAnsi="仿宋" w:eastAsia="仿宋" w:cs="仿宋"/>
          <w:sz w:val="24"/>
        </w:rPr>
        <w:t>的规格型号均以</w:t>
      </w:r>
      <w:r>
        <w:rPr>
          <w:rFonts w:hint="eastAsia" w:ascii="仿宋" w:hAnsi="仿宋" w:eastAsia="仿宋" w:cs="仿宋"/>
          <w:sz w:val="24"/>
          <w:lang w:eastAsia="zh-CN"/>
        </w:rPr>
        <w:t>本合同</w:t>
      </w:r>
      <w:r>
        <w:rPr>
          <w:rFonts w:hint="eastAsia" w:ascii="仿宋" w:hAnsi="仿宋" w:eastAsia="仿宋" w:cs="仿宋"/>
          <w:sz w:val="24"/>
        </w:rPr>
        <w:t>要求为准。</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7.2甲方</w:t>
      </w:r>
      <w:r>
        <w:rPr>
          <w:rFonts w:hint="eastAsia" w:ascii="仿宋" w:hAnsi="仿宋" w:eastAsia="仿宋" w:cs="仿宋"/>
          <w:sz w:val="24"/>
          <w:lang w:eastAsia="zh-CN"/>
        </w:rPr>
        <w:t>经调试、运行后，确认标的物符合本合同要求的，应及时履行验收程序。</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8.质量保证</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lang w:val="en-US" w:eastAsia="zh-CN"/>
        </w:rPr>
        <w:t>8.1</w:t>
      </w:r>
      <w:r>
        <w:rPr>
          <w:rFonts w:hint="eastAsia" w:ascii="仿宋" w:hAnsi="仿宋" w:eastAsia="仿宋" w:cs="仿宋"/>
          <w:sz w:val="24"/>
        </w:rPr>
        <w:t>乙方保证所提供的</w:t>
      </w:r>
      <w:r>
        <w:rPr>
          <w:rFonts w:hint="eastAsia" w:ascii="仿宋" w:hAnsi="仿宋" w:eastAsia="仿宋" w:cs="仿宋"/>
          <w:sz w:val="24"/>
          <w:lang w:eastAsia="zh-CN"/>
        </w:rPr>
        <w:t>货物</w:t>
      </w:r>
      <w:r>
        <w:rPr>
          <w:rFonts w:hint="eastAsia" w:ascii="仿宋" w:hAnsi="仿宋" w:eastAsia="仿宋" w:cs="仿宋"/>
          <w:sz w:val="24"/>
        </w:rPr>
        <w:t>为甲方所规定之</w:t>
      </w:r>
      <w:r>
        <w:rPr>
          <w:rFonts w:hint="eastAsia" w:ascii="仿宋" w:hAnsi="仿宋" w:eastAsia="仿宋" w:cs="仿宋"/>
          <w:sz w:val="24"/>
          <w:lang w:eastAsia="zh-CN"/>
        </w:rPr>
        <w:t>货物</w:t>
      </w:r>
      <w:r>
        <w:rPr>
          <w:rFonts w:hint="eastAsia" w:ascii="仿宋" w:hAnsi="仿宋" w:eastAsia="仿宋" w:cs="仿宋"/>
          <w:sz w:val="24"/>
          <w:lang w:val="en-US" w:eastAsia="zh-CN"/>
        </w:rPr>
        <w:t>。</w:t>
      </w:r>
      <w:r>
        <w:rPr>
          <w:rFonts w:hint="eastAsia" w:ascii="仿宋" w:hAnsi="仿宋" w:eastAsia="仿宋" w:cs="仿宋"/>
          <w:sz w:val="24"/>
        </w:rPr>
        <w:t>如果</w:t>
      </w:r>
      <w:r>
        <w:rPr>
          <w:rFonts w:hint="eastAsia" w:ascii="仿宋" w:hAnsi="仿宋" w:eastAsia="仿宋" w:cs="仿宋"/>
          <w:sz w:val="24"/>
          <w:lang w:eastAsia="zh-CN"/>
        </w:rPr>
        <w:t>货物</w:t>
      </w:r>
      <w:r>
        <w:rPr>
          <w:rFonts w:hint="eastAsia" w:ascii="仿宋" w:hAnsi="仿宋" w:eastAsia="仿宋" w:cs="仿宋"/>
          <w:sz w:val="24"/>
        </w:rPr>
        <w:t>质量在使用过程中</w:t>
      </w:r>
      <w:r>
        <w:rPr>
          <w:rFonts w:hint="eastAsia" w:ascii="仿宋" w:hAnsi="仿宋" w:eastAsia="仿宋" w:cs="仿宋"/>
          <w:sz w:val="24"/>
          <w:lang w:eastAsia="zh-CN"/>
        </w:rPr>
        <w:t>出现问题或</w:t>
      </w:r>
      <w:r>
        <w:rPr>
          <w:rFonts w:hint="eastAsia" w:ascii="仿宋" w:hAnsi="仿宋" w:eastAsia="仿宋" w:cs="仿宋"/>
          <w:sz w:val="24"/>
        </w:rPr>
        <w:t>不能达到相关标准，乙方应负责更换，否则，甲方有权要求退货</w:t>
      </w:r>
      <w:r>
        <w:rPr>
          <w:rFonts w:hint="eastAsia" w:ascii="仿宋" w:hAnsi="仿宋" w:eastAsia="仿宋" w:cs="仿宋"/>
          <w:sz w:val="24"/>
          <w:lang w:eastAsia="zh-CN"/>
        </w:rPr>
        <w:t>和赔偿</w:t>
      </w:r>
      <w:r>
        <w:rPr>
          <w:rFonts w:hint="eastAsia" w:ascii="仿宋" w:hAnsi="仿宋" w:eastAsia="仿宋" w:cs="仿宋"/>
          <w:sz w:val="24"/>
        </w:rPr>
        <w:t>。</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b/>
          <w:bCs/>
          <w:sz w:val="24"/>
        </w:rPr>
      </w:pPr>
      <w:r>
        <w:rPr>
          <w:rFonts w:hint="eastAsia" w:ascii="仿宋" w:hAnsi="仿宋" w:eastAsia="仿宋" w:cs="仿宋"/>
          <w:b/>
          <w:bCs/>
          <w:sz w:val="24"/>
        </w:rPr>
        <w:t>9.售后及其他服务</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9.1 乙方应提供有效的联系人和联系电话，如有变更，乙方应及时、主动通知甲方。</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9.2乙方应做好定期客户回访工作，及时发现并回复客户提出的问题；可以根据客户需求提供相关的</w:t>
      </w:r>
      <w:r>
        <w:rPr>
          <w:rFonts w:hint="eastAsia" w:ascii="仿宋" w:hAnsi="仿宋" w:eastAsia="仿宋" w:cs="仿宋"/>
          <w:sz w:val="24"/>
          <w:lang w:eastAsia="zh-CN"/>
        </w:rPr>
        <w:t>购买</w:t>
      </w:r>
      <w:r>
        <w:rPr>
          <w:rFonts w:hint="eastAsia" w:ascii="仿宋" w:hAnsi="仿宋" w:eastAsia="仿宋" w:cs="仿宋"/>
          <w:sz w:val="24"/>
        </w:rPr>
        <w:t>数据。</w:t>
      </w:r>
    </w:p>
    <w:p>
      <w:pPr>
        <w:keepNext w:val="0"/>
        <w:keepLines w:val="0"/>
        <w:pageBreakBefore w:val="0"/>
        <w:tabs>
          <w:tab w:val="left" w:pos="600"/>
        </w:tabs>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10. 环保、安全及合法性要求</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rPr>
      </w:pPr>
      <w:r>
        <w:rPr>
          <w:rFonts w:hint="eastAsia" w:ascii="仿宋" w:hAnsi="仿宋" w:eastAsia="仿宋" w:cs="仿宋"/>
          <w:sz w:val="24"/>
        </w:rPr>
        <w:t>10.1 乙方承诺所提供</w:t>
      </w:r>
      <w:r>
        <w:rPr>
          <w:rFonts w:hint="eastAsia" w:ascii="仿宋" w:hAnsi="仿宋" w:eastAsia="仿宋" w:cs="仿宋"/>
          <w:sz w:val="24"/>
          <w:lang w:eastAsia="zh-CN"/>
        </w:rPr>
        <w:t>货物</w:t>
      </w:r>
      <w:r>
        <w:rPr>
          <w:rFonts w:hint="eastAsia" w:ascii="仿宋" w:hAnsi="仿宋" w:eastAsia="仿宋" w:cs="仿宋"/>
          <w:sz w:val="24"/>
        </w:rPr>
        <w:t>符合国家环境保护的有关规定，不能对环境造成不良影响并承担由此造成的经济损失。</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rPr>
      </w:pPr>
      <w:r>
        <w:rPr>
          <w:rFonts w:hint="eastAsia" w:ascii="仿宋" w:hAnsi="仿宋" w:eastAsia="仿宋" w:cs="仿宋"/>
          <w:sz w:val="24"/>
        </w:rPr>
        <w:t>10.2 乙方所提供</w:t>
      </w:r>
      <w:r>
        <w:rPr>
          <w:rFonts w:hint="eastAsia" w:ascii="仿宋" w:hAnsi="仿宋" w:eastAsia="仿宋" w:cs="仿宋"/>
          <w:sz w:val="24"/>
          <w:lang w:eastAsia="zh-CN"/>
        </w:rPr>
        <w:t>货物</w:t>
      </w:r>
      <w:r>
        <w:rPr>
          <w:rFonts w:hint="eastAsia" w:ascii="仿宋" w:hAnsi="仿宋" w:eastAsia="仿宋" w:cs="仿宋"/>
          <w:sz w:val="24"/>
        </w:rPr>
        <w:t>不能对甲方的正常使用人员的人身健康造成危害并承担由此产生的经济损失。</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rPr>
      </w:pPr>
      <w:r>
        <w:rPr>
          <w:rFonts w:hint="eastAsia" w:ascii="仿宋" w:hAnsi="仿宋" w:eastAsia="仿宋" w:cs="仿宋"/>
          <w:sz w:val="24"/>
        </w:rPr>
        <w:t>10.3乙方所提供之</w:t>
      </w:r>
      <w:r>
        <w:rPr>
          <w:rFonts w:hint="eastAsia" w:ascii="仿宋" w:hAnsi="仿宋" w:eastAsia="仿宋" w:cs="仿宋"/>
          <w:sz w:val="24"/>
          <w:lang w:eastAsia="zh-CN"/>
        </w:rPr>
        <w:t>货物</w:t>
      </w:r>
      <w:r>
        <w:rPr>
          <w:rFonts w:hint="eastAsia" w:ascii="仿宋" w:hAnsi="仿宋" w:eastAsia="仿宋" w:cs="仿宋"/>
          <w:sz w:val="24"/>
        </w:rPr>
        <w:t>符合中华人民共和国以及甲方所在地的相关法律法规及其他规范性文件之规定，不会对第三人的任何权利权益造成任何损害。</w:t>
      </w:r>
    </w:p>
    <w:p>
      <w:pPr>
        <w:keepNext w:val="0"/>
        <w:keepLines w:val="0"/>
        <w:pageBreakBefore w:val="0"/>
        <w:tabs>
          <w:tab w:val="left" w:pos="600"/>
        </w:tabs>
        <w:kinsoku/>
        <w:wordWrap/>
        <w:overflowPunct/>
        <w:topLinePunct w:val="0"/>
        <w:bidi w:val="0"/>
        <w:snapToGrid/>
        <w:spacing w:line="560" w:lineRule="exact"/>
        <w:ind w:left="-2"/>
        <w:jc w:val="both"/>
        <w:rPr>
          <w:rFonts w:hint="eastAsia" w:ascii="仿宋" w:hAnsi="仿宋" w:eastAsia="仿宋" w:cs="仿宋"/>
          <w:b/>
          <w:bCs/>
          <w:sz w:val="24"/>
        </w:rPr>
      </w:pPr>
      <w:r>
        <w:rPr>
          <w:rFonts w:hint="eastAsia" w:ascii="仿宋" w:hAnsi="仿宋" w:eastAsia="仿宋" w:cs="仿宋"/>
          <w:b/>
          <w:bCs/>
          <w:sz w:val="24"/>
        </w:rPr>
        <w:t xml:space="preserve">11. </w:t>
      </w:r>
      <w:r>
        <w:rPr>
          <w:rFonts w:hint="eastAsia" w:ascii="仿宋" w:hAnsi="仿宋" w:eastAsia="仿宋" w:cs="仿宋"/>
          <w:b/>
          <w:bCs/>
          <w:sz w:val="24"/>
          <w:lang w:eastAsia="zh-CN"/>
        </w:rPr>
        <w:t>货物</w:t>
      </w:r>
      <w:r>
        <w:rPr>
          <w:rFonts w:hint="eastAsia" w:ascii="仿宋" w:hAnsi="仿宋" w:eastAsia="仿宋" w:cs="仿宋"/>
          <w:b/>
          <w:bCs/>
          <w:sz w:val="24"/>
        </w:rPr>
        <w:t>瑕疵</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11.1在交货之前，乙方应就</w:t>
      </w:r>
      <w:r>
        <w:rPr>
          <w:rFonts w:hint="eastAsia" w:ascii="仿宋" w:hAnsi="仿宋" w:eastAsia="仿宋" w:cs="仿宋"/>
          <w:sz w:val="24"/>
          <w:lang w:eastAsia="zh-CN"/>
        </w:rPr>
        <w:t>货物</w:t>
      </w:r>
      <w:r>
        <w:rPr>
          <w:rFonts w:hint="eastAsia" w:ascii="仿宋" w:hAnsi="仿宋" w:eastAsia="仿宋" w:cs="仿宋"/>
          <w:sz w:val="24"/>
        </w:rPr>
        <w:t>的品质、规格、性能、数量及重量做出准确和全面的检验，保证其</w:t>
      </w:r>
      <w:r>
        <w:rPr>
          <w:rFonts w:hint="eastAsia" w:ascii="仿宋" w:hAnsi="仿宋" w:eastAsia="仿宋" w:cs="仿宋"/>
          <w:sz w:val="24"/>
          <w:lang w:eastAsia="zh-CN"/>
        </w:rPr>
        <w:t>货物</w:t>
      </w:r>
      <w:r>
        <w:rPr>
          <w:rFonts w:hint="eastAsia" w:ascii="仿宋" w:hAnsi="仿宋" w:eastAsia="仿宋" w:cs="仿宋"/>
          <w:sz w:val="24"/>
        </w:rPr>
        <w:t>不存在任何瑕疵。</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rPr>
      </w:pPr>
      <w:r>
        <w:rPr>
          <w:rFonts w:hint="eastAsia" w:ascii="仿宋" w:hAnsi="仿宋" w:eastAsia="仿宋" w:cs="仿宋"/>
          <w:sz w:val="24"/>
        </w:rPr>
        <w:t>11.2如甲方发现乙方所售</w:t>
      </w:r>
      <w:r>
        <w:rPr>
          <w:rFonts w:hint="eastAsia" w:ascii="仿宋" w:hAnsi="仿宋" w:eastAsia="仿宋" w:cs="仿宋"/>
          <w:sz w:val="24"/>
          <w:lang w:eastAsia="zh-CN"/>
        </w:rPr>
        <w:t>货物</w:t>
      </w:r>
      <w:r>
        <w:rPr>
          <w:rFonts w:hint="eastAsia" w:ascii="仿宋" w:hAnsi="仿宋" w:eastAsia="仿宋" w:cs="仿宋"/>
          <w:sz w:val="24"/>
        </w:rPr>
        <w:t>存在任何瑕疵，有权要求乙方进行换货。所更换之货物必须为全新的并符合规定的品质、规格和性能。若更换之货物仍不能达到甲方的要求，甲方有权要求退货，并由乙方负担因此产生的一切费用和甲方遭受的损失。</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12.违约责任</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12.1合同生效后即对双方具有法律约束力，甲乙双方应本着信守合同、友好协商的原则，处理本合同有关事宜。</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12.2甲乙双方如有一方违约，由违约方承担由此给守约方造成的经济损失。</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12.3 如乙方未按合同规定时间将</w:t>
      </w:r>
      <w:r>
        <w:rPr>
          <w:rFonts w:hint="eastAsia" w:ascii="仿宋" w:hAnsi="仿宋" w:eastAsia="仿宋" w:cs="仿宋"/>
          <w:sz w:val="24"/>
          <w:lang w:eastAsia="zh-CN"/>
        </w:rPr>
        <w:t>货物</w:t>
      </w:r>
      <w:r>
        <w:rPr>
          <w:rFonts w:hint="eastAsia" w:ascii="仿宋" w:hAnsi="仿宋" w:eastAsia="仿宋" w:cs="仿宋"/>
          <w:sz w:val="24"/>
        </w:rPr>
        <w:t>运到甲方指定地点或未按约定时间送到全部</w:t>
      </w:r>
      <w:r>
        <w:rPr>
          <w:rFonts w:hint="eastAsia" w:ascii="仿宋" w:hAnsi="仿宋" w:eastAsia="仿宋" w:cs="仿宋"/>
          <w:sz w:val="24"/>
          <w:lang w:eastAsia="zh-CN"/>
        </w:rPr>
        <w:t>货物</w:t>
      </w:r>
      <w:r>
        <w:rPr>
          <w:rFonts w:hint="eastAsia" w:ascii="仿宋" w:hAnsi="仿宋" w:eastAsia="仿宋" w:cs="仿宋"/>
          <w:sz w:val="24"/>
        </w:rPr>
        <w:t>（经甲方允许可以延期送的</w:t>
      </w:r>
      <w:r>
        <w:rPr>
          <w:rFonts w:hint="eastAsia" w:ascii="仿宋" w:hAnsi="仿宋" w:eastAsia="仿宋" w:cs="仿宋"/>
          <w:sz w:val="24"/>
          <w:lang w:eastAsia="zh-CN"/>
        </w:rPr>
        <w:t>货物</w:t>
      </w:r>
      <w:r>
        <w:rPr>
          <w:rFonts w:hint="eastAsia" w:ascii="仿宋" w:hAnsi="仿宋" w:eastAsia="仿宋" w:cs="仿宋"/>
          <w:sz w:val="24"/>
        </w:rPr>
        <w:t>除外），每延期一日，乙方应向甲方支付</w:t>
      </w:r>
      <w:r>
        <w:rPr>
          <w:rFonts w:hint="eastAsia" w:ascii="仿宋" w:hAnsi="仿宋" w:eastAsia="仿宋" w:cs="仿宋"/>
          <w:sz w:val="24"/>
          <w:lang w:eastAsia="zh-CN"/>
        </w:rPr>
        <w:t>该批次货物金额</w:t>
      </w:r>
      <w:r>
        <w:rPr>
          <w:rFonts w:hint="eastAsia" w:ascii="仿宋" w:hAnsi="仿宋" w:eastAsia="仿宋" w:cs="仿宋"/>
          <w:sz w:val="24"/>
          <w:lang w:val="en-US" w:eastAsia="zh-CN"/>
        </w:rPr>
        <w:t>千分之五</w:t>
      </w:r>
      <w:r>
        <w:rPr>
          <w:rFonts w:hint="eastAsia" w:ascii="仿宋" w:hAnsi="仿宋" w:eastAsia="仿宋" w:cs="仿宋"/>
          <w:sz w:val="24"/>
        </w:rPr>
        <w:t>的违约金。</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12.4如乙方提供的货物存在质量问题，严重影响甲方生产经营活动造成经济损失，甲方有权单方面解除本合同，并有权要求赔偿。</w:t>
      </w:r>
    </w:p>
    <w:p>
      <w:pPr>
        <w:keepNext w:val="0"/>
        <w:keepLines w:val="0"/>
        <w:pageBreakBefore w:val="0"/>
        <w:tabs>
          <w:tab w:val="left" w:pos="600"/>
        </w:tabs>
        <w:kinsoku/>
        <w:wordWrap/>
        <w:overflowPunct/>
        <w:topLinePunct w:val="0"/>
        <w:bidi w:val="0"/>
        <w:snapToGrid/>
        <w:spacing w:line="560" w:lineRule="exact"/>
        <w:jc w:val="both"/>
        <w:rPr>
          <w:rFonts w:hint="eastAsia" w:ascii="仿宋" w:hAnsi="仿宋" w:eastAsia="仿宋" w:cs="仿宋"/>
          <w:b/>
          <w:sz w:val="24"/>
        </w:rPr>
      </w:pPr>
      <w:r>
        <w:rPr>
          <w:rFonts w:hint="eastAsia" w:ascii="仿宋" w:hAnsi="仿宋" w:eastAsia="仿宋" w:cs="仿宋"/>
          <w:b/>
          <w:sz w:val="24"/>
        </w:rPr>
        <w:t>13.合同的变更和解除</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13.1除非遇到不可抗力因素，导致本合同不能履行，未经甲乙双方一致书面同意，任何单方无权变更合同的内容。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13.2 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13.3如本合同任何一方严重违反合同，另一方应及时向违约方发出书面纠正通知，违约方应于收到书面纠正通知之日起</w:t>
      </w:r>
      <w:r>
        <w:rPr>
          <w:rFonts w:hint="eastAsia" w:ascii="仿宋" w:hAnsi="仿宋" w:eastAsia="仿宋" w:cs="仿宋"/>
          <w:color w:val="000000"/>
          <w:sz w:val="24"/>
        </w:rPr>
        <w:t>30日内</w:t>
      </w:r>
      <w:r>
        <w:rPr>
          <w:rFonts w:hint="eastAsia" w:ascii="仿宋" w:hAnsi="仿宋" w:eastAsia="仿宋" w:cs="仿宋"/>
          <w:sz w:val="24"/>
        </w:rPr>
        <w:t>纠正违约行为，否则守约方有权解除合同并要求违约方赔偿因解除合同而造成的经济损失。</w:t>
      </w:r>
    </w:p>
    <w:p>
      <w:pPr>
        <w:keepNext w:val="0"/>
        <w:keepLines w:val="0"/>
        <w:pageBreakBefore w:val="0"/>
        <w:tabs>
          <w:tab w:val="left" w:pos="765"/>
        </w:tabs>
        <w:kinsoku/>
        <w:wordWrap/>
        <w:overflowPunct/>
        <w:topLinePunct w:val="0"/>
        <w:bidi w:val="0"/>
        <w:snapToGrid/>
        <w:spacing w:line="560" w:lineRule="exact"/>
        <w:jc w:val="both"/>
        <w:rPr>
          <w:rFonts w:hint="eastAsia" w:ascii="仿宋" w:hAnsi="仿宋" w:eastAsia="仿宋" w:cs="仿宋"/>
          <w:color w:val="000000"/>
          <w:sz w:val="24"/>
        </w:rPr>
      </w:pPr>
      <w:r>
        <w:rPr>
          <w:rFonts w:hint="eastAsia" w:ascii="仿宋" w:hAnsi="仿宋" w:eastAsia="仿宋" w:cs="仿宋"/>
          <w:color w:val="000000"/>
          <w:sz w:val="24"/>
        </w:rPr>
        <w:t>13.4本合同任何一方破产、解散，本合同自动终止。</w:t>
      </w:r>
    </w:p>
    <w:p>
      <w:pPr>
        <w:keepNext w:val="0"/>
        <w:keepLines w:val="0"/>
        <w:pageBreakBefore w:val="0"/>
        <w:kinsoku/>
        <w:wordWrap/>
        <w:overflowPunct/>
        <w:topLinePunct w:val="0"/>
        <w:bidi w:val="0"/>
        <w:snapToGrid/>
        <w:spacing w:line="560" w:lineRule="exact"/>
        <w:jc w:val="both"/>
        <w:rPr>
          <w:rFonts w:hint="eastAsia" w:ascii="仿宋" w:hAnsi="仿宋" w:eastAsia="仿宋" w:cs="仿宋"/>
          <w:b/>
          <w:sz w:val="24"/>
        </w:rPr>
      </w:pPr>
      <w:r>
        <w:rPr>
          <w:rFonts w:hint="eastAsia" w:ascii="仿宋" w:hAnsi="仿宋" w:eastAsia="仿宋" w:cs="仿宋"/>
          <w:b/>
          <w:sz w:val="24"/>
        </w:rPr>
        <w:t>14.不可抗力</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14.1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tabs>
          <w:tab w:val="left" w:pos="7560"/>
        </w:tabs>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sz w:val="24"/>
        </w:rPr>
        <w:t>14.2受阻一方应在不可抗力事件发生后尽快通知对方，并于事件发生后14日内将有关当局出具的证明文件用特快专递或挂号信寄给对方确认。</w:t>
      </w:r>
    </w:p>
    <w:p>
      <w:pPr>
        <w:keepNext w:val="0"/>
        <w:keepLines w:val="0"/>
        <w:pageBreakBefore w:val="0"/>
        <w:tabs>
          <w:tab w:val="left" w:pos="7560"/>
        </w:tabs>
        <w:kinsoku/>
        <w:wordWrap/>
        <w:overflowPunct/>
        <w:topLinePunct w:val="0"/>
        <w:bidi w:val="0"/>
        <w:snapToGrid/>
        <w:spacing w:line="560" w:lineRule="exact"/>
        <w:jc w:val="both"/>
        <w:rPr>
          <w:rFonts w:hint="eastAsia" w:ascii="仿宋" w:hAnsi="仿宋" w:eastAsia="仿宋" w:cs="仿宋"/>
          <w:b/>
          <w:bCs/>
          <w:sz w:val="24"/>
        </w:rPr>
      </w:pPr>
      <w:r>
        <w:rPr>
          <w:rFonts w:hint="eastAsia" w:ascii="仿宋" w:hAnsi="仿宋" w:eastAsia="仿宋" w:cs="仿宋"/>
          <w:b/>
          <w:bCs/>
          <w:sz w:val="24"/>
        </w:rPr>
        <w:t>15.通知</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rPr>
      </w:pPr>
      <w:r>
        <w:rPr>
          <w:rFonts w:hint="eastAsia" w:ascii="仿宋" w:hAnsi="仿宋" w:eastAsia="仿宋" w:cs="仿宋"/>
          <w:sz w:val="24"/>
        </w:rPr>
        <w:t>15.1本合同中任何通知</w:t>
      </w:r>
      <w:r>
        <w:rPr>
          <w:rFonts w:hint="eastAsia" w:ascii="仿宋" w:hAnsi="仿宋" w:eastAsia="仿宋" w:cs="仿宋"/>
          <w:sz w:val="24"/>
          <w:lang w:eastAsia="zh-CN"/>
        </w:rPr>
        <w:t>需为</w:t>
      </w:r>
      <w:r>
        <w:rPr>
          <w:rFonts w:hint="eastAsia" w:ascii="仿宋" w:hAnsi="仿宋" w:eastAsia="仿宋" w:cs="仿宋"/>
          <w:color w:val="000000"/>
          <w:sz w:val="24"/>
          <w:lang w:eastAsia="zh-CN"/>
        </w:rPr>
        <w:t>传真、电话、信函、邮件等。</w:t>
      </w:r>
    </w:p>
    <w:p>
      <w:pPr>
        <w:keepNext w:val="0"/>
        <w:keepLines w:val="0"/>
        <w:pageBreakBefore w:val="0"/>
        <w:tabs>
          <w:tab w:val="left" w:pos="750"/>
        </w:tabs>
        <w:kinsoku/>
        <w:wordWrap/>
        <w:overflowPunct/>
        <w:topLinePunct w:val="0"/>
        <w:bidi w:val="0"/>
        <w:snapToGrid/>
        <w:spacing w:line="560" w:lineRule="exact"/>
        <w:jc w:val="both"/>
        <w:rPr>
          <w:rFonts w:hint="eastAsia" w:ascii="仿宋" w:hAnsi="仿宋" w:eastAsia="仿宋" w:cs="仿宋"/>
          <w:b/>
          <w:sz w:val="24"/>
        </w:rPr>
      </w:pPr>
      <w:r>
        <w:rPr>
          <w:rFonts w:hint="eastAsia" w:ascii="仿宋" w:hAnsi="仿宋" w:eastAsia="仿宋" w:cs="仿宋"/>
          <w:b/>
          <w:sz w:val="24"/>
        </w:rPr>
        <w:t>16.争议解决和适用法律</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16.1与本合同有关的或因执行本合同所产生之争议，应由双方友好协商解决，不能解决时，任何一方均可向甲方所在地人民法院提起诉讼。</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16.2争议处理期间除正在审理的部分以外，双方应继续执行合同的其余部分。</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16.4本合同的订立、效力、解释、履行及争议的解决适用中华人民共和国的法律、法规。</w:t>
      </w:r>
    </w:p>
    <w:p>
      <w:pPr>
        <w:keepNext w:val="0"/>
        <w:keepLines w:val="0"/>
        <w:pageBreakBefore w:val="0"/>
        <w:tabs>
          <w:tab w:val="left" w:pos="600"/>
        </w:tabs>
        <w:kinsoku/>
        <w:wordWrap/>
        <w:overflowPunct/>
        <w:topLinePunct w:val="0"/>
        <w:bidi w:val="0"/>
        <w:snapToGrid/>
        <w:spacing w:line="560" w:lineRule="exact"/>
        <w:jc w:val="both"/>
        <w:rPr>
          <w:rFonts w:hint="eastAsia" w:ascii="仿宋" w:hAnsi="仿宋" w:eastAsia="仿宋" w:cs="仿宋"/>
          <w:b/>
          <w:sz w:val="24"/>
        </w:rPr>
      </w:pPr>
      <w:r>
        <w:rPr>
          <w:rFonts w:hint="eastAsia" w:ascii="仿宋" w:hAnsi="仿宋" w:eastAsia="仿宋" w:cs="仿宋"/>
          <w:b/>
          <w:sz w:val="24"/>
        </w:rPr>
        <w:t>17.其他</w:t>
      </w:r>
    </w:p>
    <w:p>
      <w:pPr>
        <w:keepNext w:val="0"/>
        <w:keepLines w:val="0"/>
        <w:pageBreakBefore w:val="0"/>
        <w:tabs>
          <w:tab w:val="left" w:pos="900"/>
        </w:tabs>
        <w:kinsoku/>
        <w:wordWrap/>
        <w:overflowPunct/>
        <w:topLinePunct w:val="0"/>
        <w:bidi w:val="0"/>
        <w:snapToGrid/>
        <w:spacing w:line="560" w:lineRule="exact"/>
        <w:jc w:val="both"/>
        <w:rPr>
          <w:rFonts w:hint="eastAsia" w:ascii="仿宋" w:hAnsi="仿宋" w:eastAsia="仿宋" w:cs="仿宋"/>
          <w:sz w:val="24"/>
        </w:rPr>
      </w:pPr>
      <w:r>
        <w:rPr>
          <w:rFonts w:hint="eastAsia" w:ascii="仿宋" w:hAnsi="仿宋" w:eastAsia="仿宋" w:cs="仿宋"/>
          <w:sz w:val="24"/>
        </w:rPr>
        <w:t>17.1本合同未尽事宜，应由甲、乙双方协商后以书面形式补充。</w:t>
      </w:r>
    </w:p>
    <w:p>
      <w:pPr>
        <w:keepNext w:val="0"/>
        <w:keepLines w:val="0"/>
        <w:pageBreakBefore w:val="0"/>
        <w:tabs>
          <w:tab w:val="left" w:pos="750"/>
        </w:tabs>
        <w:kinsoku/>
        <w:wordWrap/>
        <w:overflowPunct/>
        <w:topLinePunct w:val="0"/>
        <w:bidi w:val="0"/>
        <w:snapToGrid/>
        <w:spacing w:line="560" w:lineRule="exact"/>
        <w:ind w:left="360" w:hanging="360"/>
        <w:jc w:val="both"/>
        <w:rPr>
          <w:rFonts w:hint="eastAsia" w:ascii="仿宋" w:hAnsi="仿宋" w:eastAsia="仿宋" w:cs="仿宋"/>
          <w:sz w:val="24"/>
        </w:rPr>
      </w:pPr>
      <w:r>
        <w:rPr>
          <w:rFonts w:hint="eastAsia" w:ascii="仿宋" w:hAnsi="仿宋" w:eastAsia="仿宋" w:cs="仿宋"/>
          <w:sz w:val="24"/>
        </w:rPr>
        <w:t>17.2本合同</w:t>
      </w:r>
      <w:r>
        <w:rPr>
          <w:rFonts w:hint="eastAsia" w:ascii="仿宋" w:hAnsi="仿宋" w:eastAsia="仿宋" w:cs="仿宋"/>
          <w:color w:val="000000"/>
          <w:sz w:val="24"/>
        </w:rPr>
        <w:t>一式</w:t>
      </w:r>
      <w:r>
        <w:rPr>
          <w:rFonts w:hint="eastAsia" w:ascii="仿宋" w:hAnsi="仿宋" w:eastAsia="仿宋" w:cs="仿宋"/>
          <w:color w:val="000000"/>
          <w:sz w:val="24"/>
          <w:lang w:eastAsia="zh-CN"/>
        </w:rPr>
        <w:t>陆</w:t>
      </w:r>
      <w:r>
        <w:rPr>
          <w:rFonts w:hint="eastAsia" w:ascii="仿宋" w:hAnsi="仿宋" w:eastAsia="仿宋" w:cs="仿宋"/>
          <w:color w:val="000000"/>
          <w:sz w:val="24"/>
        </w:rPr>
        <w:t>份</w:t>
      </w:r>
      <w:r>
        <w:rPr>
          <w:rFonts w:hint="eastAsia" w:ascii="仿宋" w:hAnsi="仿宋" w:eastAsia="仿宋" w:cs="仿宋"/>
          <w:sz w:val="24"/>
        </w:rPr>
        <w:t>，甲方执</w:t>
      </w:r>
      <w:r>
        <w:rPr>
          <w:rFonts w:hint="eastAsia" w:ascii="仿宋" w:hAnsi="仿宋" w:eastAsia="仿宋" w:cs="仿宋"/>
          <w:sz w:val="24"/>
          <w:lang w:eastAsia="zh-CN"/>
        </w:rPr>
        <w:t>叁</w:t>
      </w:r>
      <w:r>
        <w:rPr>
          <w:rFonts w:hint="eastAsia" w:ascii="仿宋" w:hAnsi="仿宋" w:eastAsia="仿宋" w:cs="仿宋"/>
          <w:sz w:val="24"/>
        </w:rPr>
        <w:t>份，乙方执</w:t>
      </w:r>
      <w:r>
        <w:rPr>
          <w:rFonts w:hint="eastAsia" w:ascii="仿宋" w:hAnsi="仿宋" w:eastAsia="仿宋" w:cs="仿宋"/>
          <w:sz w:val="24"/>
          <w:lang w:eastAsia="zh-CN"/>
        </w:rPr>
        <w:t>叁</w:t>
      </w:r>
      <w:r>
        <w:rPr>
          <w:rFonts w:hint="eastAsia" w:ascii="仿宋" w:hAnsi="仿宋" w:eastAsia="仿宋" w:cs="仿宋"/>
          <w:sz w:val="24"/>
        </w:rPr>
        <w:t>份，具有同等法律效力。</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仿宋" w:hAnsi="仿宋" w:eastAsia="仿宋" w:cs="仿宋"/>
          <w:sz w:val="24"/>
          <w:lang w:eastAsia="zh-CN"/>
        </w:rPr>
      </w:pPr>
      <w:r>
        <w:rPr>
          <w:rFonts w:hint="eastAsia" w:ascii="仿宋" w:hAnsi="仿宋" w:eastAsia="仿宋" w:cs="仿宋"/>
          <w:sz w:val="24"/>
        </w:rPr>
        <w:t>17.3本合同自甲、乙双方加盖公司印章，并经双方法人</w:t>
      </w:r>
      <w:r>
        <w:rPr>
          <w:rFonts w:hint="eastAsia" w:ascii="仿宋" w:hAnsi="仿宋" w:eastAsia="仿宋" w:cs="仿宋"/>
          <w:sz w:val="24"/>
          <w:lang w:eastAsia="zh-CN"/>
        </w:rPr>
        <w:t>或</w:t>
      </w:r>
      <w:r>
        <w:rPr>
          <w:rFonts w:hint="eastAsia" w:ascii="仿宋" w:hAnsi="仿宋" w:eastAsia="仿宋" w:cs="仿宋"/>
          <w:sz w:val="24"/>
        </w:rPr>
        <w:t>授权代表签字后生效</w:t>
      </w:r>
      <w:r>
        <w:rPr>
          <w:rFonts w:hint="eastAsia" w:ascii="仿宋" w:hAnsi="仿宋" w:eastAsia="仿宋" w:cs="仿宋"/>
          <w:sz w:val="24"/>
          <w:lang w:eastAsia="zh-CN"/>
        </w:rPr>
        <w:t>，合同期自</w:t>
      </w:r>
      <w:r>
        <w:rPr>
          <w:rFonts w:hint="eastAsia" w:ascii="仿宋" w:hAnsi="仿宋" w:eastAsia="仿宋" w:cs="仿宋"/>
          <w:sz w:val="24"/>
          <w:lang w:val="en-US" w:eastAsia="zh-CN"/>
        </w:rPr>
        <w:t>2022年1月1日起-2023年12月31日止</w:t>
      </w:r>
      <w:r>
        <w:rPr>
          <w:rFonts w:hint="eastAsia" w:ascii="仿宋" w:hAnsi="仿宋" w:eastAsia="仿宋" w:cs="仿宋"/>
          <w:sz w:val="24"/>
          <w:lang w:eastAsia="zh-CN"/>
        </w:rPr>
        <w:t>。</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val="en-US" w:eastAsia="zh-CN"/>
        </w:rPr>
      </w:pPr>
      <w:r>
        <w:rPr>
          <w:rFonts w:hint="eastAsia" w:ascii="仿宋" w:hAnsi="仿宋" w:eastAsia="仿宋" w:cs="仿宋"/>
          <w:sz w:val="24"/>
        </w:rPr>
        <w:t>甲方：重庆</w:t>
      </w:r>
      <w:r>
        <w:rPr>
          <w:rFonts w:hint="eastAsia" w:ascii="仿宋" w:hAnsi="仿宋" w:eastAsia="仿宋" w:cs="仿宋"/>
          <w:sz w:val="24"/>
          <w:lang w:eastAsia="zh-CN"/>
        </w:rPr>
        <w:t>空港航空地面服务</w:t>
      </w:r>
      <w:r>
        <w:rPr>
          <w:rFonts w:hint="eastAsia" w:ascii="仿宋" w:hAnsi="仿宋" w:eastAsia="仿宋" w:cs="仿宋"/>
          <w:sz w:val="24"/>
        </w:rPr>
        <w:t>有限公司      乙方：</w:t>
      </w:r>
      <w:r>
        <w:rPr>
          <w:rFonts w:hint="eastAsia" w:ascii="仿宋" w:hAnsi="仿宋" w:eastAsia="仿宋" w:cs="仿宋"/>
          <w:sz w:val="24"/>
          <w:lang w:val="en-US" w:eastAsia="zh-CN"/>
        </w:rPr>
        <w:t xml:space="preserve">  </w:t>
      </w:r>
    </w:p>
    <w:p>
      <w:pPr>
        <w:keepNext w:val="0"/>
        <w:keepLines w:val="0"/>
        <w:pageBreakBefore w:val="0"/>
        <w:kinsoku/>
        <w:wordWrap/>
        <w:overflowPunct/>
        <w:topLinePunct w:val="0"/>
        <w:bidi w:val="0"/>
        <w:snapToGrid/>
        <w:spacing w:line="56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（盖章）                                （盖章）</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eastAsia" w:ascii="仿宋" w:hAnsi="仿宋" w:eastAsia="仿宋" w:cs="仿宋"/>
          <w:sz w:val="24"/>
          <w:lang w:val="en-US" w:eastAsia="zh-CN"/>
        </w:rPr>
      </w:pPr>
      <w:r>
        <w:rPr>
          <w:rFonts w:hint="eastAsia" w:ascii="仿宋" w:hAnsi="仿宋" w:eastAsia="仿宋" w:cs="仿宋"/>
          <w:sz w:val="24"/>
          <w:lang w:eastAsia="zh-CN"/>
        </w:rPr>
        <w:t>法定代表人</w:t>
      </w:r>
      <w:r>
        <w:rPr>
          <w:rFonts w:hint="eastAsia" w:ascii="仿宋" w:hAnsi="仿宋" w:eastAsia="仿宋" w:cs="仿宋"/>
          <w:sz w:val="24"/>
          <w:lang w:val="en-US" w:eastAsia="zh-CN"/>
        </w:rPr>
        <w:t xml:space="preserve">                            法定代表人</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eastAsia" w:ascii="仿宋" w:hAnsi="仿宋" w:eastAsia="仿宋" w:cs="仿宋"/>
          <w:sz w:val="24"/>
        </w:rPr>
      </w:pPr>
      <w:r>
        <w:rPr>
          <w:rFonts w:hint="eastAsia" w:ascii="仿宋" w:hAnsi="仿宋" w:eastAsia="仿宋" w:cs="仿宋"/>
          <w:sz w:val="24"/>
          <w:lang w:eastAsia="zh-CN"/>
        </w:rPr>
        <w:t>或授权</w:t>
      </w:r>
      <w:r>
        <w:rPr>
          <w:rFonts w:hint="eastAsia" w:ascii="仿宋" w:hAnsi="仿宋" w:eastAsia="仿宋" w:cs="仿宋"/>
          <w:sz w:val="24"/>
        </w:rPr>
        <w:t>代表：（签</w:t>
      </w:r>
      <w:r>
        <w:rPr>
          <w:rFonts w:hint="eastAsia" w:ascii="仿宋" w:hAnsi="仿宋" w:eastAsia="仿宋" w:cs="仿宋"/>
          <w:sz w:val="24"/>
          <w:lang w:eastAsia="zh-CN"/>
        </w:rPr>
        <w:t>字</w:t>
      </w:r>
      <w:r>
        <w:rPr>
          <w:rFonts w:hint="eastAsia" w:ascii="仿宋" w:hAnsi="仿宋" w:eastAsia="仿宋" w:cs="仿宋"/>
          <w:sz w:val="24"/>
        </w:rPr>
        <w:t xml:space="preserve">）                  </w:t>
      </w:r>
      <w:r>
        <w:rPr>
          <w:rFonts w:hint="eastAsia" w:ascii="仿宋" w:hAnsi="仿宋" w:eastAsia="仿宋" w:cs="仿宋"/>
          <w:sz w:val="24"/>
          <w:lang w:val="en-US" w:eastAsia="zh-CN"/>
        </w:rPr>
        <w:t>或授权</w:t>
      </w:r>
      <w:r>
        <w:rPr>
          <w:rFonts w:hint="eastAsia" w:ascii="仿宋" w:hAnsi="仿宋" w:eastAsia="仿宋" w:cs="仿宋"/>
          <w:sz w:val="24"/>
        </w:rPr>
        <w:t>代表：（签</w:t>
      </w:r>
      <w:r>
        <w:rPr>
          <w:rFonts w:hint="eastAsia" w:ascii="仿宋" w:hAnsi="仿宋" w:eastAsia="仿宋" w:cs="仿宋"/>
          <w:sz w:val="24"/>
          <w:lang w:eastAsia="zh-CN"/>
        </w:rPr>
        <w:t>字</w:t>
      </w:r>
      <w:r>
        <w:rPr>
          <w:rFonts w:hint="eastAsia" w:ascii="仿宋" w:hAnsi="仿宋" w:eastAsia="仿宋" w:cs="仿宋"/>
          <w:sz w:val="24"/>
        </w:rPr>
        <w:t>）</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eastAsia" w:ascii="仿宋" w:hAnsi="仿宋" w:eastAsia="仿宋" w:cs="仿宋"/>
          <w:sz w:val="24"/>
          <w:lang w:val="en-US"/>
        </w:rPr>
      </w:pPr>
      <w:r>
        <w:rPr>
          <w:rFonts w:hint="eastAsia" w:ascii="仿宋" w:hAnsi="仿宋" w:eastAsia="仿宋" w:cs="仿宋"/>
          <w:sz w:val="24"/>
        </w:rPr>
        <w:t>签订日期:</w:t>
      </w: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lang w:val="en-US" w:eastAsia="zh-CN"/>
        </w:rPr>
        <w:t xml:space="preserve"> </w:t>
      </w:r>
    </w:p>
    <w:p>
      <w:pPr>
        <w:keepNext w:val="0"/>
        <w:keepLines w:val="0"/>
        <w:pageBreakBefore w:val="0"/>
        <w:kinsoku/>
        <w:wordWrap/>
        <w:overflowPunct/>
        <w:topLinePunct w:val="0"/>
        <w:bidi w:val="0"/>
        <w:spacing w:line="560" w:lineRule="exact"/>
        <w:rPr>
          <w:rFonts w:hint="eastAsia" w:ascii="仿宋" w:hAnsi="仿宋" w:eastAsia="仿宋" w:cs="仿宋"/>
          <w:b/>
          <w:bCs/>
          <w:color w:val="000000" w:themeColor="text1"/>
          <w:sz w:val="28"/>
          <w:szCs w:val="28"/>
          <w:lang w:val="en-US" w:eastAsia="zh-CN"/>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eastAsia="仿宋_GB2312" w:cs="Times New Roman"/>
          <w:b/>
          <w:bCs/>
          <w:color w:val="000000" w:themeColor="text1"/>
          <w:sz w:val="28"/>
          <w:szCs w:val="28"/>
          <w:lang w:val="en-US" w:eastAsia="zh-CN"/>
          <w14:textFill>
            <w14:solidFill>
              <w14:schemeClr w14:val="tx1"/>
            </w14:solidFill>
          </w14:textFill>
        </w:rPr>
        <w:t>比选响应文件</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zh-CN"/>
        </w:rPr>
        <w:t>维修类材料框架供应商采购项目（分包一、二或三）</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比选响应文件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autoSpaceDE w:val="0"/>
        <w:autoSpaceDN w:val="0"/>
        <w:adjustRightInd w:val="0"/>
        <w:spacing w:line="360" w:lineRule="auto"/>
        <w:ind w:firstLine="315" w:firstLineChars="98"/>
        <w:jc w:val="center"/>
        <w:rPr>
          <w:rFonts w:ascii="仿宋_GB2312" w:hAnsi="仿宋" w:eastAsia="仿宋_GB2312"/>
          <w:b/>
          <w:color w:val="000000"/>
          <w:sz w:val="32"/>
          <w:szCs w:val="32"/>
          <w:lang w:val="zh-CN"/>
        </w:rPr>
      </w:pPr>
    </w:p>
    <w:p>
      <w:pPr>
        <w:autoSpaceDE w:val="0"/>
        <w:autoSpaceDN w:val="0"/>
        <w:adjustRightInd w:val="0"/>
        <w:spacing w:line="360" w:lineRule="auto"/>
        <w:jc w:val="both"/>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一、报价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报价函部分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r>
        <w:rPr>
          <w:rFonts w:hint="eastAsia" w:eastAsia="仿宋" w:cs="Times New Roman"/>
          <w:b/>
          <w:bCs/>
          <w:color w:val="000000" w:themeColor="text1"/>
          <w:sz w:val="28"/>
          <w:szCs w:val="28"/>
          <w:lang w:val="en-US" w:eastAsia="zh-CN"/>
          <w14:textFill>
            <w14:solidFill>
              <w14:schemeClr w14:val="tx1"/>
            </w14:solidFill>
          </w14:textFill>
        </w:rPr>
        <w:t>（分包一适用）</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default" w:ascii="Times New Roman" w:hAnsi="Times New Roman" w:eastAsia="方正仿宋_GBK" w:cs="Times New Roman"/>
          <w:bCs/>
          <w:color w:val="000000" w:themeColor="text1"/>
          <w:sz w:val="28"/>
          <w:szCs w:val="28"/>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eastAsia="zh-CN"/>
          <w14:textFill>
            <w14:solidFill>
              <w14:schemeClr w14:val="tx1"/>
            </w14:solidFill>
          </w14:textFill>
        </w:rPr>
        <w:t>维修类材料</w:t>
      </w:r>
      <w:r>
        <w:rPr>
          <w:rFonts w:hint="eastAsia" w:eastAsia="方正仿宋_GBK" w:cs="Times New Roman"/>
          <w:bCs/>
          <w:color w:val="000000" w:themeColor="text1"/>
          <w:sz w:val="28"/>
          <w:szCs w:val="28"/>
          <w:u w:val="single"/>
          <w:lang w:val="en-US" w:eastAsia="zh-CN"/>
          <w14:textFill>
            <w14:solidFill>
              <w14:schemeClr w14:val="tx1"/>
            </w14:solidFill>
          </w14:textFill>
        </w:rPr>
        <w:t>框架供应商项目（分包一：轮胎）</w:t>
      </w:r>
      <w:r>
        <w:rPr>
          <w:rFonts w:hint="eastAsia" w:eastAsia="方正仿宋_GBK" w:cs="Times New Roman"/>
          <w:bCs/>
          <w:color w:val="000000" w:themeColor="text1"/>
          <w:sz w:val="28"/>
          <w:szCs w:val="28"/>
          <w:u w:val="none"/>
          <w:lang w:val="en-US" w:eastAsia="zh-CN"/>
          <w14:textFill>
            <w14:solidFill>
              <w14:schemeClr w14:val="tx1"/>
            </w14:solidFill>
          </w14:textFill>
        </w:rPr>
        <w:t>比选</w:t>
      </w:r>
      <w:r>
        <w:rPr>
          <w:rFonts w:hint="eastAsia" w:eastAsia="方正仿宋_GBK" w:cs="Times New Roman"/>
          <w:bCs/>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14:textFill>
            <w14:solidFill>
              <w14:schemeClr w14:val="tx1"/>
            </w14:solidFill>
          </w14:textFill>
        </w:rPr>
        <w:t>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w:t>
      </w:r>
      <w:r>
        <w:rPr>
          <w:rFonts w:hint="eastAsia" w:eastAsia="方正仿宋_GBK" w:cs="Times New Roman"/>
          <w:bCs/>
          <w:color w:val="000000" w:themeColor="text1"/>
          <w:sz w:val="28"/>
          <w:szCs w:val="28"/>
          <w:lang w:val="en-US" w:eastAsia="zh-CN"/>
          <w14:textFill>
            <w14:solidFill>
              <w14:schemeClr w14:val="tx1"/>
            </w14:solidFill>
          </w14:textFill>
        </w:rPr>
        <w:t>响应采购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文件</w:t>
      </w:r>
      <w:r>
        <w:rPr>
          <w:rFonts w:hint="eastAsia" w:eastAsia="方正仿宋_GBK" w:cs="Times New Roman"/>
          <w:bCs/>
          <w:color w:val="000000" w:themeColor="text1"/>
          <w:sz w:val="28"/>
          <w:szCs w:val="28"/>
          <w:lang w:val="en-US" w:eastAsia="zh-CN"/>
          <w14:textFill>
            <w14:solidFill>
              <w14:schemeClr w14:val="tx1"/>
            </w14:solidFill>
          </w14:textFill>
        </w:rPr>
        <w:t>的</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所有要求，</w:t>
      </w:r>
      <w:r>
        <w:rPr>
          <w:rFonts w:hint="eastAsia" w:eastAsia="方正仿宋_GBK" w:cs="Times New Roman"/>
          <w:bCs/>
          <w:color w:val="000000" w:themeColor="text1"/>
          <w:sz w:val="28"/>
          <w:szCs w:val="28"/>
          <w:lang w:val="en-US" w:eastAsia="zh-CN"/>
          <w14:textFill>
            <w14:solidFill>
              <w14:schemeClr w14:val="tx1"/>
            </w14:solidFill>
          </w14:textFill>
        </w:rPr>
        <w:t>我方的提供的频繁类下浮比例为：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 ；</w:t>
      </w:r>
      <w:r>
        <w:rPr>
          <w:rFonts w:hint="eastAsia" w:eastAsia="方正仿宋_GBK" w:cs="Times New Roman"/>
          <w:bCs/>
          <w:color w:val="000000" w:themeColor="text1"/>
          <w:sz w:val="28"/>
          <w:szCs w:val="28"/>
          <w:u w:val="none"/>
          <w:lang w:val="en-US" w:eastAsia="zh-CN"/>
          <w14:textFill>
            <w14:solidFill>
              <w14:schemeClr w14:val="tx1"/>
            </w14:solidFill>
          </w14:textFill>
        </w:rPr>
        <w:t>非频繁类下浮比例为：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 。</w:t>
      </w:r>
      <w:r>
        <w:rPr>
          <w:rFonts w:hint="eastAsia" w:eastAsia="方正仿宋_GBK" w:cs="Times New Roman"/>
          <w:bCs/>
          <w:color w:val="000000" w:themeColor="text1"/>
          <w:sz w:val="28"/>
          <w:szCs w:val="28"/>
          <w:u w:val="none"/>
          <w:lang w:val="en-US" w:eastAsia="zh-CN"/>
          <w14:textFill>
            <w14:solidFill>
              <w14:schemeClr w14:val="tx1"/>
            </w14:solidFill>
          </w14:textFill>
        </w:rPr>
        <w:t>质保期</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到货期（自接受到采购订单之日起不得超过7个日历天）</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w:t>
      </w:r>
      <w:r>
        <w:rPr>
          <w:rFonts w:hint="eastAsia" w:eastAsia="方正仿宋_GBK" w:cs="Times New Roman"/>
          <w:bCs/>
          <w:color w:val="000000" w:themeColor="text1"/>
          <w:sz w:val="28"/>
          <w:szCs w:val="28"/>
          <w:lang w:eastAsia="zh-CN"/>
          <w14:textFill>
            <w14:solidFill>
              <w14:schemeClr w14:val="tx1"/>
            </w14:solidFill>
          </w14:textFill>
        </w:rPr>
        <w:t>比选采购文件、响应文件的</w:t>
      </w:r>
      <w:r>
        <w:rPr>
          <w:rFonts w:hint="default" w:ascii="Times New Roman" w:hAnsi="Times New Roman" w:eastAsia="方正仿宋_GBK" w:cs="Times New Roman"/>
          <w:bCs/>
          <w:color w:val="000000" w:themeColor="text1"/>
          <w:sz w:val="28"/>
          <w:szCs w:val="28"/>
          <w14:textFill>
            <w14:solidFill>
              <w14:schemeClr w14:val="tx1"/>
            </w14:solidFill>
          </w14:textFill>
        </w:rPr>
        <w:t>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w:t>
      </w:r>
      <w:r>
        <w:rPr>
          <w:rFonts w:hint="eastAsia" w:eastAsia="方正仿宋_GBK" w:cs="Times New Roman"/>
          <w:bCs/>
          <w:color w:val="000000" w:themeColor="text1"/>
          <w:sz w:val="28"/>
          <w:szCs w:val="28"/>
          <w:lang w:eastAsia="zh-CN"/>
          <w14:textFill>
            <w14:solidFill>
              <w14:schemeClr w14:val="tx1"/>
            </w14:solidFill>
          </w14:textFill>
        </w:rPr>
        <w:t>报价</w:t>
      </w:r>
      <w:r>
        <w:rPr>
          <w:rFonts w:hint="default" w:ascii="Times New Roman" w:hAnsi="Times New Roman" w:eastAsia="方正仿宋_GBK" w:cs="Times New Roman"/>
          <w:bCs/>
          <w:color w:val="000000" w:themeColor="text1"/>
          <w:sz w:val="28"/>
          <w:szCs w:val="28"/>
          <w14:textFill>
            <w14:solidFill>
              <w14:schemeClr w14:val="tx1"/>
            </w14:solidFill>
          </w14:textFill>
        </w:rPr>
        <w:t>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（2）随同本报价函递交的报价函附录属于合同文件的组成部分。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r>
        <w:rPr>
          <w:rFonts w:hint="eastAsia"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jc w:val="center"/>
        <w:rPr>
          <w:rFonts w:hint="default" w:eastAsia="方正小标宋_GBK" w:cs="Times New Roman"/>
          <w:bCs/>
          <w:color w:val="000000" w:themeColor="text1"/>
          <w:sz w:val="28"/>
          <w:szCs w:val="28"/>
          <w:lang w:val="en-US" w:eastAsia="zh-CN"/>
          <w14:textFill>
            <w14:solidFill>
              <w14:schemeClr w14:val="tx1"/>
            </w14:solidFill>
          </w14:textFill>
        </w:rPr>
      </w:pPr>
      <w:r>
        <w:rPr>
          <w:rFonts w:hint="eastAsia" w:eastAsia="方正小标宋_GBK" w:cs="Times New Roman"/>
          <w:bCs/>
          <w:color w:val="000000" w:themeColor="text1"/>
          <w:sz w:val="28"/>
          <w:szCs w:val="28"/>
          <w:lang w:eastAsia="zh-CN"/>
          <w14:textFill>
            <w14:solidFill>
              <w14:schemeClr w14:val="tx1"/>
            </w14:solidFill>
          </w14:textFill>
        </w:rPr>
        <w:t>分项报价清单（分包一）</w:t>
      </w:r>
    </w:p>
    <w:tbl>
      <w:tblPr>
        <w:tblStyle w:val="16"/>
        <w:tblW w:w="9917"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650"/>
        <w:gridCol w:w="1450"/>
        <w:gridCol w:w="750"/>
        <w:gridCol w:w="1284"/>
        <w:gridCol w:w="650"/>
        <w:gridCol w:w="1233"/>
        <w:gridCol w:w="1117"/>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层级</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气压最大值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不含增值税限价（元）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提供品牌</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700R16-12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165R13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4.00-8-6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700R16-14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9.5R17.5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12.00R20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12R22.5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165/70R13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165/70R14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175/65R14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185/60R15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195/60R14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195/70R15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215/50R17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215/55R17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215/70R16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215/75R15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215/80R16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225/70R15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235/70R16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叉车实芯轮胎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295/80R22.5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315/80R22.5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公路轮胎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8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pPr>
        <w:jc w:val="both"/>
        <w:rPr>
          <w:rFonts w:hint="eastAsia" w:ascii="Times New Roman" w:hAnsi="Times New Roman" w:eastAsia="方正小标宋_GBK" w:cs="Times New Roman"/>
          <w:bCs/>
          <w:color w:val="000000" w:themeColor="text1"/>
          <w:sz w:val="28"/>
          <w:szCs w:val="28"/>
          <w:lang w:eastAsia="zh-CN"/>
          <w14:textFill>
            <w14:solidFill>
              <w14:schemeClr w14:val="tx1"/>
            </w14:solidFill>
          </w14:textFill>
        </w:rPr>
      </w:pPr>
      <w:r>
        <w:rPr>
          <w:rFonts w:hint="eastAsia" w:ascii="Times New Roman" w:hAnsi="Times New Roman" w:eastAsia="方正小标宋_GBK" w:cs="Times New Roman"/>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r>
        <w:rPr>
          <w:rFonts w:hint="eastAsia" w:eastAsia="仿宋" w:cs="Times New Roman"/>
          <w:b/>
          <w:bCs/>
          <w:color w:val="000000" w:themeColor="text1"/>
          <w:sz w:val="28"/>
          <w:szCs w:val="28"/>
          <w:lang w:val="en-US" w:eastAsia="zh-CN"/>
          <w14:textFill>
            <w14:solidFill>
              <w14:schemeClr w14:val="tx1"/>
            </w14:solidFill>
          </w14:textFill>
        </w:rPr>
        <w:t>（分包二适用）</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default" w:ascii="Times New Roman" w:hAnsi="Times New Roman" w:eastAsia="方正仿宋_GBK" w:cs="Times New Roman"/>
          <w:bCs/>
          <w:color w:val="000000" w:themeColor="text1"/>
          <w:sz w:val="28"/>
          <w:szCs w:val="28"/>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eastAsia="zh-CN"/>
          <w14:textFill>
            <w14:solidFill>
              <w14:schemeClr w14:val="tx1"/>
            </w14:solidFill>
          </w14:textFill>
        </w:rPr>
        <w:t>维修类材料</w:t>
      </w:r>
      <w:r>
        <w:rPr>
          <w:rFonts w:hint="eastAsia" w:eastAsia="方正仿宋_GBK" w:cs="Times New Roman"/>
          <w:bCs/>
          <w:color w:val="000000" w:themeColor="text1"/>
          <w:sz w:val="28"/>
          <w:szCs w:val="28"/>
          <w:u w:val="single"/>
          <w:lang w:val="en-US" w:eastAsia="zh-CN"/>
          <w14:textFill>
            <w14:solidFill>
              <w14:schemeClr w14:val="tx1"/>
            </w14:solidFill>
          </w14:textFill>
        </w:rPr>
        <w:t>框架供应商项目（分包二：机油）</w:t>
      </w:r>
      <w:r>
        <w:rPr>
          <w:rFonts w:hint="eastAsia" w:eastAsia="方正仿宋_GBK" w:cs="Times New Roman"/>
          <w:bCs/>
          <w:color w:val="000000" w:themeColor="text1"/>
          <w:sz w:val="28"/>
          <w:szCs w:val="28"/>
          <w:u w:val="none"/>
          <w:lang w:val="en-US" w:eastAsia="zh-CN"/>
          <w14:textFill>
            <w14:solidFill>
              <w14:schemeClr w14:val="tx1"/>
            </w14:solidFill>
          </w14:textFill>
        </w:rPr>
        <w:t>比选</w:t>
      </w:r>
      <w:r>
        <w:rPr>
          <w:rFonts w:hint="eastAsia" w:eastAsia="方正仿宋_GBK" w:cs="Times New Roman"/>
          <w:bCs/>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14:textFill>
            <w14:solidFill>
              <w14:schemeClr w14:val="tx1"/>
            </w14:solidFill>
          </w14:textFill>
        </w:rPr>
        <w:t>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w:t>
      </w:r>
      <w:r>
        <w:rPr>
          <w:rFonts w:hint="eastAsia" w:eastAsia="方正仿宋_GBK" w:cs="Times New Roman"/>
          <w:bCs/>
          <w:color w:val="000000" w:themeColor="text1"/>
          <w:sz w:val="28"/>
          <w:szCs w:val="28"/>
          <w:lang w:val="en-US" w:eastAsia="zh-CN"/>
          <w14:textFill>
            <w14:solidFill>
              <w14:schemeClr w14:val="tx1"/>
            </w14:solidFill>
          </w14:textFill>
        </w:rPr>
        <w:t>响应采购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文件</w:t>
      </w:r>
      <w:r>
        <w:rPr>
          <w:rFonts w:hint="eastAsia" w:eastAsia="方正仿宋_GBK" w:cs="Times New Roman"/>
          <w:bCs/>
          <w:color w:val="000000" w:themeColor="text1"/>
          <w:sz w:val="28"/>
          <w:szCs w:val="28"/>
          <w:lang w:val="en-US" w:eastAsia="zh-CN"/>
          <w14:textFill>
            <w14:solidFill>
              <w14:schemeClr w14:val="tx1"/>
            </w14:solidFill>
          </w14:textFill>
        </w:rPr>
        <w:t>的</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所有要求，</w:t>
      </w:r>
      <w:r>
        <w:rPr>
          <w:rFonts w:hint="eastAsia" w:eastAsia="方正仿宋_GBK" w:cs="Times New Roman"/>
          <w:bCs/>
          <w:color w:val="000000" w:themeColor="text1"/>
          <w:sz w:val="28"/>
          <w:szCs w:val="28"/>
          <w:lang w:val="en-US" w:eastAsia="zh-CN"/>
          <w14:textFill>
            <w14:solidFill>
              <w14:schemeClr w14:val="tx1"/>
            </w14:solidFill>
          </w14:textFill>
        </w:rPr>
        <w:t>我方的提供的频繁类下浮比例为：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非频繁类下浮比例为：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质保期</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到货期（自接受到采购订单之日起不得超过7个日历天）</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w:t>
      </w:r>
      <w:r>
        <w:rPr>
          <w:rFonts w:hint="eastAsia" w:eastAsia="方正仿宋_GBK" w:cs="Times New Roman"/>
          <w:bCs/>
          <w:color w:val="000000" w:themeColor="text1"/>
          <w:sz w:val="28"/>
          <w:szCs w:val="28"/>
          <w:lang w:eastAsia="zh-CN"/>
          <w14:textFill>
            <w14:solidFill>
              <w14:schemeClr w14:val="tx1"/>
            </w14:solidFill>
          </w14:textFill>
        </w:rPr>
        <w:t>比选采购文件、响应文件的</w:t>
      </w:r>
      <w:r>
        <w:rPr>
          <w:rFonts w:hint="default" w:ascii="Times New Roman" w:hAnsi="Times New Roman" w:eastAsia="方正仿宋_GBK" w:cs="Times New Roman"/>
          <w:bCs/>
          <w:color w:val="000000" w:themeColor="text1"/>
          <w:sz w:val="28"/>
          <w:szCs w:val="28"/>
          <w14:textFill>
            <w14:solidFill>
              <w14:schemeClr w14:val="tx1"/>
            </w14:solidFill>
          </w14:textFill>
        </w:rPr>
        <w:t>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w:t>
      </w:r>
      <w:r>
        <w:rPr>
          <w:rFonts w:hint="eastAsia" w:eastAsia="方正仿宋_GBK" w:cs="Times New Roman"/>
          <w:bCs/>
          <w:color w:val="000000" w:themeColor="text1"/>
          <w:sz w:val="28"/>
          <w:szCs w:val="28"/>
          <w:lang w:eastAsia="zh-CN"/>
          <w14:textFill>
            <w14:solidFill>
              <w14:schemeClr w14:val="tx1"/>
            </w14:solidFill>
          </w14:textFill>
        </w:rPr>
        <w:t>报价</w:t>
      </w:r>
      <w:r>
        <w:rPr>
          <w:rFonts w:hint="default" w:ascii="Times New Roman" w:hAnsi="Times New Roman" w:eastAsia="方正仿宋_GBK" w:cs="Times New Roman"/>
          <w:bCs/>
          <w:color w:val="000000" w:themeColor="text1"/>
          <w:sz w:val="28"/>
          <w:szCs w:val="28"/>
          <w14:textFill>
            <w14:solidFill>
              <w14:schemeClr w14:val="tx1"/>
            </w14:solidFill>
          </w14:textFill>
        </w:rPr>
        <w:t>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（2）随同本报价函递交的报价函附录属于合同文件的组成部分。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r>
        <w:rPr>
          <w:rFonts w:hint="eastAsia"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jc w:val="center"/>
        <w:rPr>
          <w:rFonts w:hint="eastAsia" w:eastAsia="方正小标宋_GBK" w:cs="Times New Roman"/>
          <w:bCs/>
          <w:color w:val="000000" w:themeColor="text1"/>
          <w:sz w:val="28"/>
          <w:szCs w:val="28"/>
          <w:lang w:eastAsia="zh-CN"/>
          <w14:textFill>
            <w14:solidFill>
              <w14:schemeClr w14:val="tx1"/>
            </w14:solidFill>
          </w14:textFill>
        </w:rPr>
      </w:pPr>
      <w:r>
        <w:rPr>
          <w:rFonts w:hint="eastAsia" w:eastAsia="方正小标宋_GBK" w:cs="Times New Roman"/>
          <w:bCs/>
          <w:color w:val="000000" w:themeColor="text1"/>
          <w:sz w:val="28"/>
          <w:szCs w:val="28"/>
          <w:lang w:eastAsia="zh-CN"/>
          <w14:textFill>
            <w14:solidFill>
              <w14:schemeClr w14:val="tx1"/>
            </w14:solidFill>
          </w14:textFill>
        </w:rPr>
        <w:t>分项报价清单（分包二）</w:t>
      </w:r>
    </w:p>
    <w:tbl>
      <w:tblPr>
        <w:tblStyle w:val="16"/>
        <w:tblW w:w="9933"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00"/>
        <w:gridCol w:w="1533"/>
        <w:gridCol w:w="1800"/>
        <w:gridCol w:w="850"/>
        <w:gridCol w:w="1250"/>
        <w:gridCol w:w="1133"/>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品名</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型号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包装规格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不含增值税</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限价（元）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提供品牌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柴油机油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15W-40/CF-4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柴油机油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15W-40/CK-4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FD-1/-25℃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制动液</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DOT-4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800克/瓶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自动波箱油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ATF220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FD-1/-25℃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10升/桶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防冻液</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FD-2/-36℃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自动波箱油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ATF220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20升/桶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抗磨液压油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L-HM-46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18-20升/桶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抗磨液压油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L-HM-46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200升/桶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液力传动油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20升/桶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齿轮油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85W/90/GL-4/中负荷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齿轮油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85W-90/GL-5/重负荷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冷冻油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RL-68H</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润滑脂</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HP-R</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800克/桶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通用锂基润滑脂</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15公斤/桶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汽油机油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SN 10W-40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汽油机油</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4升/瓶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pPr>
        <w:pStyle w:val="2"/>
        <w:jc w:val="both"/>
        <w:rPr>
          <w:rFonts w:hint="eastAsia"/>
          <w:lang w:eastAsia="zh-CN"/>
        </w:rPr>
      </w:pPr>
    </w:p>
    <w:p>
      <w:pPr>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r>
        <w:rPr>
          <w:rFonts w:hint="eastAsia" w:eastAsia="仿宋" w:cs="Times New Roman"/>
          <w:b/>
          <w:bCs/>
          <w:color w:val="000000" w:themeColor="text1"/>
          <w:sz w:val="28"/>
          <w:szCs w:val="28"/>
          <w:lang w:val="en-US" w:eastAsia="zh-CN"/>
          <w14:textFill>
            <w14:solidFill>
              <w14:schemeClr w14:val="tx1"/>
            </w14:solidFill>
          </w14:textFill>
        </w:rPr>
        <w:t>（分包三适用）</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default" w:ascii="Times New Roman" w:hAnsi="Times New Roman" w:eastAsia="方正仿宋_GBK" w:cs="Times New Roman"/>
          <w:bCs/>
          <w:color w:val="000000" w:themeColor="text1"/>
          <w:sz w:val="28"/>
          <w:szCs w:val="28"/>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eastAsia="zh-CN"/>
          <w14:textFill>
            <w14:solidFill>
              <w14:schemeClr w14:val="tx1"/>
            </w14:solidFill>
          </w14:textFill>
        </w:rPr>
        <w:t>维修类材料</w:t>
      </w:r>
      <w:r>
        <w:rPr>
          <w:rFonts w:hint="eastAsia" w:eastAsia="方正仿宋_GBK" w:cs="Times New Roman"/>
          <w:bCs/>
          <w:color w:val="000000" w:themeColor="text1"/>
          <w:sz w:val="28"/>
          <w:szCs w:val="28"/>
          <w:u w:val="single"/>
          <w:lang w:val="en-US" w:eastAsia="zh-CN"/>
          <w14:textFill>
            <w14:solidFill>
              <w14:schemeClr w14:val="tx1"/>
            </w14:solidFill>
          </w14:textFill>
        </w:rPr>
        <w:t>框架供应商项目（分包三：五金工具）</w:t>
      </w:r>
      <w:r>
        <w:rPr>
          <w:rFonts w:hint="eastAsia" w:eastAsia="方正仿宋_GBK" w:cs="Times New Roman"/>
          <w:bCs/>
          <w:color w:val="000000" w:themeColor="text1"/>
          <w:sz w:val="28"/>
          <w:szCs w:val="28"/>
          <w:u w:val="none"/>
          <w:lang w:val="en-US" w:eastAsia="zh-CN"/>
          <w14:textFill>
            <w14:solidFill>
              <w14:schemeClr w14:val="tx1"/>
            </w14:solidFill>
          </w14:textFill>
        </w:rPr>
        <w:t>比选</w:t>
      </w:r>
      <w:r>
        <w:rPr>
          <w:rFonts w:hint="eastAsia" w:eastAsia="方正仿宋_GBK" w:cs="Times New Roman"/>
          <w:bCs/>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14:textFill>
            <w14:solidFill>
              <w14:schemeClr w14:val="tx1"/>
            </w14:solidFill>
          </w14:textFill>
        </w:rPr>
        <w:t>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w:t>
      </w:r>
      <w:r>
        <w:rPr>
          <w:rFonts w:hint="eastAsia" w:eastAsia="方正仿宋_GBK" w:cs="Times New Roman"/>
          <w:bCs/>
          <w:color w:val="000000" w:themeColor="text1"/>
          <w:sz w:val="28"/>
          <w:szCs w:val="28"/>
          <w:lang w:val="en-US" w:eastAsia="zh-CN"/>
          <w14:textFill>
            <w14:solidFill>
              <w14:schemeClr w14:val="tx1"/>
            </w14:solidFill>
          </w14:textFill>
        </w:rPr>
        <w:t>响应采购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文件</w:t>
      </w:r>
      <w:r>
        <w:rPr>
          <w:rFonts w:hint="eastAsia" w:eastAsia="方正仿宋_GBK" w:cs="Times New Roman"/>
          <w:bCs/>
          <w:color w:val="000000" w:themeColor="text1"/>
          <w:sz w:val="28"/>
          <w:szCs w:val="28"/>
          <w:lang w:val="en-US" w:eastAsia="zh-CN"/>
          <w14:textFill>
            <w14:solidFill>
              <w14:schemeClr w14:val="tx1"/>
            </w14:solidFill>
          </w14:textFill>
        </w:rPr>
        <w:t>的</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所有要求，</w:t>
      </w:r>
      <w:r>
        <w:rPr>
          <w:rFonts w:hint="eastAsia" w:eastAsia="方正仿宋_GBK" w:cs="Times New Roman"/>
          <w:bCs/>
          <w:color w:val="000000" w:themeColor="text1"/>
          <w:sz w:val="28"/>
          <w:szCs w:val="28"/>
          <w:lang w:val="en-US" w:eastAsia="zh-CN"/>
          <w14:textFill>
            <w14:solidFill>
              <w14:schemeClr w14:val="tx1"/>
            </w14:solidFill>
          </w14:textFill>
        </w:rPr>
        <w:t>我方的提供的频繁类下浮比例为：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非频繁类下浮比例为：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质保期</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u w:val="none"/>
          <w:lang w:val="en-US" w:eastAsia="zh-CN"/>
          <w14:textFill>
            <w14:solidFill>
              <w14:schemeClr w14:val="tx1"/>
            </w14:solidFill>
          </w14:textFill>
        </w:rPr>
        <w:t>到货期（自接受到采购订单之日起不得超过7个日历天）</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w:t>
      </w:r>
      <w:r>
        <w:rPr>
          <w:rFonts w:hint="eastAsia" w:eastAsia="方正仿宋_GBK" w:cs="Times New Roman"/>
          <w:bCs/>
          <w:color w:val="000000" w:themeColor="text1"/>
          <w:sz w:val="28"/>
          <w:szCs w:val="28"/>
          <w:lang w:eastAsia="zh-CN"/>
          <w14:textFill>
            <w14:solidFill>
              <w14:schemeClr w14:val="tx1"/>
            </w14:solidFill>
          </w14:textFill>
        </w:rPr>
        <w:t>比选采购文件、响应文件的</w:t>
      </w:r>
      <w:r>
        <w:rPr>
          <w:rFonts w:hint="default" w:ascii="Times New Roman" w:hAnsi="Times New Roman" w:eastAsia="方正仿宋_GBK" w:cs="Times New Roman"/>
          <w:bCs/>
          <w:color w:val="000000" w:themeColor="text1"/>
          <w:sz w:val="28"/>
          <w:szCs w:val="28"/>
          <w14:textFill>
            <w14:solidFill>
              <w14:schemeClr w14:val="tx1"/>
            </w14:solidFill>
          </w14:textFill>
        </w:rPr>
        <w:t>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w:t>
      </w:r>
      <w:r>
        <w:rPr>
          <w:rFonts w:hint="eastAsia" w:eastAsia="方正仿宋_GBK" w:cs="Times New Roman"/>
          <w:bCs/>
          <w:color w:val="000000" w:themeColor="text1"/>
          <w:sz w:val="28"/>
          <w:szCs w:val="28"/>
          <w:lang w:eastAsia="zh-CN"/>
          <w14:textFill>
            <w14:solidFill>
              <w14:schemeClr w14:val="tx1"/>
            </w14:solidFill>
          </w14:textFill>
        </w:rPr>
        <w:t>报价</w:t>
      </w:r>
      <w:r>
        <w:rPr>
          <w:rFonts w:hint="default" w:ascii="Times New Roman" w:hAnsi="Times New Roman" w:eastAsia="方正仿宋_GBK" w:cs="Times New Roman"/>
          <w:bCs/>
          <w:color w:val="000000" w:themeColor="text1"/>
          <w:sz w:val="28"/>
          <w:szCs w:val="28"/>
          <w14:textFill>
            <w14:solidFill>
              <w14:schemeClr w14:val="tx1"/>
            </w14:solidFill>
          </w14:textFill>
        </w:rPr>
        <w:t>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（2）随同本报价函递交的报价函附录属于合同文件的组成部分。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r>
        <w:rPr>
          <w:rFonts w:hint="eastAsia"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outlineLvl w:val="9"/>
        <w:rPr>
          <w:rFonts w:hint="eastAsia" w:eastAsia="方正小标宋_GBK" w:cs="Times New Roman"/>
          <w:bCs/>
          <w:color w:val="000000" w:themeColor="text1"/>
          <w:sz w:val="28"/>
          <w:szCs w:val="28"/>
          <w:lang w:eastAsia="zh-CN"/>
          <w14:textFill>
            <w14:solidFill>
              <w14:schemeClr w14:val="tx1"/>
            </w14:solidFill>
          </w14:textFill>
        </w:rPr>
      </w:pPr>
      <w:r>
        <w:rPr>
          <w:rFonts w:hint="eastAsia" w:eastAsia="方正小标宋_GBK" w:cs="Times New Roman"/>
          <w:bCs/>
          <w:color w:val="000000" w:themeColor="text1"/>
          <w:sz w:val="28"/>
          <w:szCs w:val="28"/>
          <w:lang w:eastAsia="zh-CN"/>
          <w14:textFill>
            <w14:solidFill>
              <w14:schemeClr w14:val="tx1"/>
            </w14:solidFill>
          </w14:textFill>
        </w:rPr>
        <w:t>分项报价清单（分包三）</w:t>
      </w:r>
    </w:p>
    <w:tbl>
      <w:tblPr>
        <w:tblStyle w:val="16"/>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2490"/>
        <w:gridCol w:w="810"/>
        <w:gridCol w:w="1410"/>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不含税单价限价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提供品牌</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7W-LED灯管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17.48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T5-8W-LED灯管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T5-16W-LED灯管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T8-16W-LED灯管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23.30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24W-LED灯板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100W-LED射灯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153.40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200W-LED射灯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631.07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300W-LED射灯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631.07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18W-LED吸顶灯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160.19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28W-LED吸顶灯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72.82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Q300-LED吸顶灯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121.36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9W-LED铜灯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12W-LED铜灯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20W-LED铜灯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100W-LED柱型泡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133.98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2P32A空开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2P40A空开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3P40A空开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4P32A空开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58.25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380V-16A空开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380V-32A空开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380V-3P40A空开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43.69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86明线盒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86五孔插座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11.65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86-16A空凋插座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8.74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五孔插座/带USB按钮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27.67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16A模数化插座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14.56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118型四位插座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86双网络插座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72.82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380V-25A模数化插座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10A三插头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4.85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220V-16A插头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9.71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380V-25A插头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10.68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抽屉锁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7.77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把手门锁芯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33.98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把手门锁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155.34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Q6铜管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27.18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Q6保温管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10.68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Q12铜管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29.13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Q12保温管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11.65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Q16铜管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82.52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Q16保温管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14.56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16PVC线管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0.29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16PVC直接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0.10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16PVC三通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0.39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20PVC线管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3.88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20PVC直接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0.19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0.29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20PVC线卡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7.77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50PVC线管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50PVC三通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50PVC直接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水龙头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中长水龙头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加长水龙头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29.13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单把沐浴阀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121.36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沐浴喷头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19.42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沐浴管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24.27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pPr>
        <w:pStyle w:val="2"/>
        <w:jc w:val="both"/>
        <w:rPr>
          <w:rFonts w:hint="eastAsia"/>
          <w:lang w:eastAsia="zh-CN"/>
        </w:rPr>
      </w:pPr>
    </w:p>
    <w:p>
      <w:pPr>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授权</w:t>
      </w:r>
      <w:r>
        <w:rPr>
          <w:rFonts w:hint="eastAsia" w:eastAsia="方正小标宋_GBK" w:cs="Times New Roman"/>
          <w:bCs/>
          <w:color w:val="000000" w:themeColor="text1"/>
          <w:sz w:val="28"/>
          <w:szCs w:val="28"/>
          <w:lang w:val="en-US" w:eastAsia="zh-CN"/>
          <w14:textFill>
            <w14:solidFill>
              <w14:schemeClr w14:val="tx1"/>
            </w14:solidFill>
          </w14:textFill>
        </w:rPr>
        <w:t>委托</w:t>
      </w:r>
      <w:r>
        <w:rPr>
          <w:rFonts w:hint="default" w:ascii="Times New Roman" w:hAnsi="Times New Roman" w:eastAsia="方正小标宋_GBK" w:cs="Times New Roman"/>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本授权书申明______________(</w:t>
      </w:r>
      <w:r>
        <w:rPr>
          <w:rFonts w:hint="eastAsia" w:eastAsia="方正仿宋_GBK" w:cs="Times New Roman"/>
          <w:color w:val="000000" w:themeColor="text1"/>
          <w:sz w:val="28"/>
          <w:szCs w:val="28"/>
          <w:lang w:val="en-US" w:eastAsia="zh-CN"/>
          <w14:textFill>
            <w14:solidFill>
              <w14:schemeClr w14:val="tx1"/>
            </w14:solidFill>
          </w14:textFill>
        </w:rPr>
        <w:t>响应人</w:t>
      </w:r>
      <w:r>
        <w:rPr>
          <w:rFonts w:hint="default" w:ascii="Times New Roman" w:hAnsi="Times New Roman" w:eastAsia="方正仿宋_GBK" w:cs="Times New Roman"/>
          <w:color w:val="000000" w:themeColor="text1"/>
          <w:sz w:val="28"/>
          <w:szCs w:val="28"/>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在此合法授权我单位</w:t>
      </w:r>
      <w:r>
        <w:rPr>
          <w:rFonts w:hint="default" w:ascii="Times New Roman" w:hAnsi="Times New Roman" w:eastAsia="方正仿宋_GBK" w:cs="Times New Roman"/>
          <w:color w:val="000000" w:themeColor="text1"/>
          <w:sz w:val="28"/>
          <w:szCs w:val="28"/>
          <w14:textFill>
            <w14:solidFill>
              <w14:schemeClr w14:val="tx1"/>
            </w14:solidFill>
          </w14:textFill>
        </w:rPr>
        <w:t>_________(</w:t>
      </w:r>
      <w:r>
        <w:rPr>
          <w:rFonts w:hint="eastAsia" w:eastAsia="方正仿宋_GBK" w:cs="Times New Roman"/>
          <w:color w:val="000000" w:themeColor="text1"/>
          <w:sz w:val="28"/>
          <w:szCs w:val="28"/>
          <w:lang w:val="en-US" w:eastAsia="zh-CN"/>
          <w14:textFill>
            <w14:solidFill>
              <w14:schemeClr w14:val="tx1"/>
            </w14:solidFill>
          </w14:textFill>
        </w:rPr>
        <w:t>姓名</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为本所合法代理人，</w:t>
      </w:r>
      <w:r>
        <w:rPr>
          <w:rFonts w:hint="default" w:eastAsia="方正仿宋_GBK" w:cs="Times New Roman"/>
          <w:color w:val="000000" w:themeColor="text1"/>
          <w:sz w:val="28"/>
          <w:szCs w:val="28"/>
          <w:lang w:val="en-US" w:eastAsia="zh-CN"/>
          <w14:textFill>
            <w14:solidFill>
              <w14:schemeClr w14:val="tx1"/>
            </w14:solidFill>
          </w14:textFill>
        </w:rPr>
        <w:t>在</w:t>
      </w:r>
      <w:r>
        <w:rPr>
          <w:rFonts w:hint="eastAsia" w:eastAsia="方正仿宋_GBK" w:cs="Times New Roman"/>
          <w:color w:val="000000" w:themeColor="text1"/>
          <w:sz w:val="28"/>
          <w:szCs w:val="28"/>
          <w:lang w:val="en-US" w:eastAsia="zh-CN"/>
          <w14:textFill>
            <w14:solidFill>
              <w14:schemeClr w14:val="tx1"/>
            </w14:solidFill>
          </w14:textFill>
        </w:rPr>
        <w:t>重庆空港航空地面服务有限公司维修类材料框架协议项目</w:t>
      </w:r>
      <w:r>
        <w:rPr>
          <w:rFonts w:hint="default" w:eastAsia="方正仿宋_GBK" w:cs="Times New Roman"/>
          <w:color w:val="000000" w:themeColor="text1"/>
          <w:sz w:val="28"/>
          <w:szCs w:val="28"/>
          <w:lang w:val="en-US" w:eastAsia="zh-CN"/>
          <w14:textFill>
            <w14:solidFill>
              <w14:schemeClr w14:val="tx1"/>
            </w14:solidFill>
          </w14:textFill>
        </w:rPr>
        <w:t>的比选活动中，以我</w:t>
      </w:r>
      <w:r>
        <w:rPr>
          <w:rFonts w:hint="eastAsia" w:eastAsia="方正仿宋_GBK" w:cs="Times New Roman"/>
          <w:color w:val="000000" w:themeColor="text1"/>
          <w:sz w:val="28"/>
          <w:szCs w:val="28"/>
          <w:lang w:val="en-US" w:eastAsia="zh-CN"/>
          <w14:textFill>
            <w14:solidFill>
              <w14:schemeClr w14:val="tx1"/>
            </w14:solidFill>
          </w14:textFill>
        </w:rPr>
        <w:t>所</w:t>
      </w:r>
      <w:r>
        <w:rPr>
          <w:rFonts w:hint="default" w:eastAsia="方正仿宋_GBK" w:cs="Times New Roman"/>
          <w:color w:val="000000" w:themeColor="text1"/>
          <w:sz w:val="28"/>
          <w:szCs w:val="28"/>
          <w:lang w:val="en-US" w:eastAsia="zh-CN"/>
          <w14:textFill>
            <w14:solidFill>
              <w14:schemeClr w14:val="tx1"/>
            </w14:solidFill>
          </w14:textFill>
        </w:rPr>
        <w:t>的名义签署比选响应文件，与</w:t>
      </w:r>
      <w:r>
        <w:rPr>
          <w:rFonts w:hint="eastAsia" w:eastAsia="方正仿宋_GBK" w:cs="Times New Roman"/>
          <w:color w:val="000000" w:themeColor="text1"/>
          <w:sz w:val="28"/>
          <w:szCs w:val="28"/>
          <w:lang w:val="en-US" w:eastAsia="zh-CN"/>
          <w14:textFill>
            <w14:solidFill>
              <w14:schemeClr w14:val="tx1"/>
            </w14:solidFill>
          </w14:textFill>
        </w:rPr>
        <w:t>比选人</w:t>
      </w:r>
      <w:r>
        <w:rPr>
          <w:rFonts w:hint="default" w:eastAsia="方正仿宋_GBK" w:cs="Times New Roman"/>
          <w:color w:val="000000" w:themeColor="text1"/>
          <w:sz w:val="28"/>
          <w:szCs w:val="28"/>
          <w:lang w:val="en-US" w:eastAsia="zh-CN"/>
          <w14:textFill>
            <w14:solidFill>
              <w14:schemeClr w14:val="tx1"/>
            </w14:solidFill>
          </w14:textFill>
        </w:rPr>
        <w:t>协商、</w:t>
      </w:r>
      <w:r>
        <w:rPr>
          <w:rFonts w:hint="default" w:ascii="Times New Roman" w:hAnsi="Times New Roman" w:eastAsia="方正仿宋_GBK" w:cs="Times New Roman"/>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代理人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：____________（签章）</w:t>
      </w:r>
    </w:p>
    <w:p>
      <w:pPr>
        <w:pStyle w:val="2"/>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响应</w:t>
      </w:r>
      <w:r>
        <w:rPr>
          <w:rFonts w:hint="eastAsia"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附</w:t>
      </w:r>
      <w:r>
        <w:rPr>
          <w:rFonts w:hint="eastAsia"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被授权人代理人身份证</w:t>
      </w:r>
      <w:r>
        <w:rPr>
          <w:rFonts w:hint="eastAsia" w:eastAsia="方正仿宋_GBK" w:cs="Times New Roman"/>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1"/>
        </w:numPr>
        <w:kinsoku/>
        <w:wordWrap/>
        <w:overflowPunct/>
        <w:topLinePunct w:val="0"/>
        <w:bidi w:val="0"/>
        <w:spacing w:line="56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根据本比选采购文件7.2.3条商务部门内容进行准备。</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pgSz w:w="11906" w:h="16838"/>
      <w:pgMar w:top="156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31</w:t>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8356"/>
    <w:multiLevelType w:val="singleLevel"/>
    <w:tmpl w:val="1BA38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6067FA"/>
    <w:rsid w:val="018E717F"/>
    <w:rsid w:val="01AA6C62"/>
    <w:rsid w:val="01C34904"/>
    <w:rsid w:val="01F91A58"/>
    <w:rsid w:val="02275B33"/>
    <w:rsid w:val="024E514A"/>
    <w:rsid w:val="02844C73"/>
    <w:rsid w:val="029D297E"/>
    <w:rsid w:val="02BF3F39"/>
    <w:rsid w:val="02EC7AE5"/>
    <w:rsid w:val="02EF5648"/>
    <w:rsid w:val="03417245"/>
    <w:rsid w:val="0344479F"/>
    <w:rsid w:val="03AB119B"/>
    <w:rsid w:val="03F12107"/>
    <w:rsid w:val="03FC2CFC"/>
    <w:rsid w:val="04183DFF"/>
    <w:rsid w:val="042B40A2"/>
    <w:rsid w:val="042D3E0E"/>
    <w:rsid w:val="04346C47"/>
    <w:rsid w:val="04581748"/>
    <w:rsid w:val="046B38D3"/>
    <w:rsid w:val="048F2341"/>
    <w:rsid w:val="04C5575B"/>
    <w:rsid w:val="04EC7A2C"/>
    <w:rsid w:val="05416D39"/>
    <w:rsid w:val="055E55A9"/>
    <w:rsid w:val="05627D6B"/>
    <w:rsid w:val="05893C34"/>
    <w:rsid w:val="058B37A1"/>
    <w:rsid w:val="05CA0A32"/>
    <w:rsid w:val="05F80DA3"/>
    <w:rsid w:val="06256F1D"/>
    <w:rsid w:val="062B48E9"/>
    <w:rsid w:val="06732193"/>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004208"/>
    <w:rsid w:val="0A384637"/>
    <w:rsid w:val="0A57727C"/>
    <w:rsid w:val="0A923616"/>
    <w:rsid w:val="0A977327"/>
    <w:rsid w:val="0A9C0B09"/>
    <w:rsid w:val="0AFD2C8F"/>
    <w:rsid w:val="0B4A774F"/>
    <w:rsid w:val="0B747136"/>
    <w:rsid w:val="0BA71F4C"/>
    <w:rsid w:val="0BEE79BD"/>
    <w:rsid w:val="0BFA1B57"/>
    <w:rsid w:val="0C406F95"/>
    <w:rsid w:val="0C68692E"/>
    <w:rsid w:val="0D0450CC"/>
    <w:rsid w:val="0D066FFB"/>
    <w:rsid w:val="0D4571FF"/>
    <w:rsid w:val="0D56362A"/>
    <w:rsid w:val="0D765360"/>
    <w:rsid w:val="0DA0508F"/>
    <w:rsid w:val="0DA145C2"/>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46363A"/>
    <w:rsid w:val="15925856"/>
    <w:rsid w:val="160E5648"/>
    <w:rsid w:val="16301051"/>
    <w:rsid w:val="16372C84"/>
    <w:rsid w:val="166C3B01"/>
    <w:rsid w:val="16A95AC3"/>
    <w:rsid w:val="16E208CB"/>
    <w:rsid w:val="16EB77A7"/>
    <w:rsid w:val="1738746B"/>
    <w:rsid w:val="173E1A73"/>
    <w:rsid w:val="175F378B"/>
    <w:rsid w:val="17B4753F"/>
    <w:rsid w:val="17C264C9"/>
    <w:rsid w:val="17C6387E"/>
    <w:rsid w:val="18001A10"/>
    <w:rsid w:val="182A6026"/>
    <w:rsid w:val="18AD4CFB"/>
    <w:rsid w:val="19253A51"/>
    <w:rsid w:val="19651732"/>
    <w:rsid w:val="19FE0C42"/>
    <w:rsid w:val="1A055576"/>
    <w:rsid w:val="1A0949BF"/>
    <w:rsid w:val="1A2773EE"/>
    <w:rsid w:val="1A5E7A5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53A6"/>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1E2434C"/>
    <w:rsid w:val="221F3474"/>
    <w:rsid w:val="226E22DD"/>
    <w:rsid w:val="2282770E"/>
    <w:rsid w:val="22D160CB"/>
    <w:rsid w:val="22DC1D39"/>
    <w:rsid w:val="23093D4E"/>
    <w:rsid w:val="232C7B55"/>
    <w:rsid w:val="23523730"/>
    <w:rsid w:val="23532FB0"/>
    <w:rsid w:val="236B5E11"/>
    <w:rsid w:val="23777D76"/>
    <w:rsid w:val="23D41E3A"/>
    <w:rsid w:val="247D38B3"/>
    <w:rsid w:val="24F825EA"/>
    <w:rsid w:val="250963F0"/>
    <w:rsid w:val="2527176B"/>
    <w:rsid w:val="255A39A1"/>
    <w:rsid w:val="255B3973"/>
    <w:rsid w:val="25EE6378"/>
    <w:rsid w:val="263069F3"/>
    <w:rsid w:val="265E4593"/>
    <w:rsid w:val="26630D75"/>
    <w:rsid w:val="26AF0C16"/>
    <w:rsid w:val="26AF1AE1"/>
    <w:rsid w:val="26BE4550"/>
    <w:rsid w:val="26DF36D3"/>
    <w:rsid w:val="26F4633F"/>
    <w:rsid w:val="26FC1E95"/>
    <w:rsid w:val="27862A40"/>
    <w:rsid w:val="278B3A20"/>
    <w:rsid w:val="27C022E0"/>
    <w:rsid w:val="27D23323"/>
    <w:rsid w:val="28164273"/>
    <w:rsid w:val="28552F2C"/>
    <w:rsid w:val="286C36E6"/>
    <w:rsid w:val="28900766"/>
    <w:rsid w:val="28A1023B"/>
    <w:rsid w:val="28B03454"/>
    <w:rsid w:val="28E5712E"/>
    <w:rsid w:val="2954075F"/>
    <w:rsid w:val="29935EC5"/>
    <w:rsid w:val="29ED3058"/>
    <w:rsid w:val="29F10E7D"/>
    <w:rsid w:val="29F93554"/>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3A6A67"/>
    <w:rsid w:val="2F0A16C4"/>
    <w:rsid w:val="2F0D0675"/>
    <w:rsid w:val="2F5F0A5D"/>
    <w:rsid w:val="2F840FFA"/>
    <w:rsid w:val="2FC3325D"/>
    <w:rsid w:val="2FE018BD"/>
    <w:rsid w:val="30106B5B"/>
    <w:rsid w:val="303429D2"/>
    <w:rsid w:val="306E1C94"/>
    <w:rsid w:val="308E3628"/>
    <w:rsid w:val="30A40618"/>
    <w:rsid w:val="314D0E3F"/>
    <w:rsid w:val="31892C18"/>
    <w:rsid w:val="31B7717A"/>
    <w:rsid w:val="31F05866"/>
    <w:rsid w:val="320C68B2"/>
    <w:rsid w:val="320D1E09"/>
    <w:rsid w:val="321E361B"/>
    <w:rsid w:val="32362892"/>
    <w:rsid w:val="32D6687A"/>
    <w:rsid w:val="32F751B6"/>
    <w:rsid w:val="330C3287"/>
    <w:rsid w:val="33AD241D"/>
    <w:rsid w:val="33C31107"/>
    <w:rsid w:val="33E26F87"/>
    <w:rsid w:val="33E86FAC"/>
    <w:rsid w:val="33FA0FB5"/>
    <w:rsid w:val="3446741E"/>
    <w:rsid w:val="345A6386"/>
    <w:rsid w:val="348554CB"/>
    <w:rsid w:val="34B370EE"/>
    <w:rsid w:val="34CE0EFC"/>
    <w:rsid w:val="34ED6EC4"/>
    <w:rsid w:val="350C0AD6"/>
    <w:rsid w:val="350D126A"/>
    <w:rsid w:val="3520564A"/>
    <w:rsid w:val="35256E80"/>
    <w:rsid w:val="354C6A50"/>
    <w:rsid w:val="355D1858"/>
    <w:rsid w:val="35775EA4"/>
    <w:rsid w:val="359569B1"/>
    <w:rsid w:val="3597318F"/>
    <w:rsid w:val="359E146C"/>
    <w:rsid w:val="35B72366"/>
    <w:rsid w:val="35F74B83"/>
    <w:rsid w:val="36090CF5"/>
    <w:rsid w:val="361835D3"/>
    <w:rsid w:val="364432FB"/>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3D3D9C"/>
    <w:rsid w:val="3B5B0F11"/>
    <w:rsid w:val="3B8D1B05"/>
    <w:rsid w:val="3C1228A0"/>
    <w:rsid w:val="3C740E08"/>
    <w:rsid w:val="3C7D6996"/>
    <w:rsid w:val="3CD3374A"/>
    <w:rsid w:val="3D1F111D"/>
    <w:rsid w:val="3D406D2F"/>
    <w:rsid w:val="3D4826F8"/>
    <w:rsid w:val="3D5A1ABE"/>
    <w:rsid w:val="3D5B5834"/>
    <w:rsid w:val="3DAA1F99"/>
    <w:rsid w:val="3DB7239F"/>
    <w:rsid w:val="3E630E61"/>
    <w:rsid w:val="3E955595"/>
    <w:rsid w:val="3EA87988"/>
    <w:rsid w:val="3EC95C23"/>
    <w:rsid w:val="3ECF44EE"/>
    <w:rsid w:val="3F4F72C3"/>
    <w:rsid w:val="3F5474C7"/>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F54508"/>
    <w:rsid w:val="4439578D"/>
    <w:rsid w:val="44404BD4"/>
    <w:rsid w:val="4449454C"/>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11330F"/>
    <w:rsid w:val="47624647"/>
    <w:rsid w:val="47632CCD"/>
    <w:rsid w:val="476A02AE"/>
    <w:rsid w:val="47D53CCD"/>
    <w:rsid w:val="48026B38"/>
    <w:rsid w:val="48092C2D"/>
    <w:rsid w:val="482A3D65"/>
    <w:rsid w:val="482F185E"/>
    <w:rsid w:val="483A01CD"/>
    <w:rsid w:val="483B05D9"/>
    <w:rsid w:val="4857247D"/>
    <w:rsid w:val="48762ABF"/>
    <w:rsid w:val="496314E2"/>
    <w:rsid w:val="49CD20B7"/>
    <w:rsid w:val="49DD55BA"/>
    <w:rsid w:val="4A1B175E"/>
    <w:rsid w:val="4A337275"/>
    <w:rsid w:val="4ACA5284"/>
    <w:rsid w:val="4B0E2E57"/>
    <w:rsid w:val="4B7D4460"/>
    <w:rsid w:val="4B823443"/>
    <w:rsid w:val="4B9A15EA"/>
    <w:rsid w:val="4B9F2465"/>
    <w:rsid w:val="4BDC5167"/>
    <w:rsid w:val="4BEA105F"/>
    <w:rsid w:val="4C0842E9"/>
    <w:rsid w:val="4C541D47"/>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466E36"/>
    <w:rsid w:val="536C4076"/>
    <w:rsid w:val="53701036"/>
    <w:rsid w:val="53A90AFA"/>
    <w:rsid w:val="53B138F6"/>
    <w:rsid w:val="541A345A"/>
    <w:rsid w:val="541B0AAA"/>
    <w:rsid w:val="546E7E5D"/>
    <w:rsid w:val="54743095"/>
    <w:rsid w:val="54850F6B"/>
    <w:rsid w:val="54873B82"/>
    <w:rsid w:val="548F60CE"/>
    <w:rsid w:val="54E85717"/>
    <w:rsid w:val="54FD6E9A"/>
    <w:rsid w:val="5505221C"/>
    <w:rsid w:val="55671C6D"/>
    <w:rsid w:val="55E816C6"/>
    <w:rsid w:val="560F6EE9"/>
    <w:rsid w:val="56892339"/>
    <w:rsid w:val="56DE733C"/>
    <w:rsid w:val="56F97712"/>
    <w:rsid w:val="574A472A"/>
    <w:rsid w:val="5789054D"/>
    <w:rsid w:val="578B264C"/>
    <w:rsid w:val="57A71AC0"/>
    <w:rsid w:val="57B14D9D"/>
    <w:rsid w:val="57D02734"/>
    <w:rsid w:val="58094566"/>
    <w:rsid w:val="5855710D"/>
    <w:rsid w:val="58755AB0"/>
    <w:rsid w:val="58AB6C83"/>
    <w:rsid w:val="593A5818"/>
    <w:rsid w:val="593B3A79"/>
    <w:rsid w:val="594A7276"/>
    <w:rsid w:val="59EA7163"/>
    <w:rsid w:val="59FD1A86"/>
    <w:rsid w:val="5A6C75D2"/>
    <w:rsid w:val="5A9F2759"/>
    <w:rsid w:val="5AAA6C73"/>
    <w:rsid w:val="5AB56FD6"/>
    <w:rsid w:val="5ADE244E"/>
    <w:rsid w:val="5AE94B0F"/>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915A8B"/>
    <w:rsid w:val="5EDE6371"/>
    <w:rsid w:val="5EF46BFB"/>
    <w:rsid w:val="5F18377D"/>
    <w:rsid w:val="5F36514B"/>
    <w:rsid w:val="5F457474"/>
    <w:rsid w:val="5F562C1F"/>
    <w:rsid w:val="5FE56858"/>
    <w:rsid w:val="5FF356BE"/>
    <w:rsid w:val="60681418"/>
    <w:rsid w:val="60777004"/>
    <w:rsid w:val="60B75873"/>
    <w:rsid w:val="60BF15FF"/>
    <w:rsid w:val="60CE0A84"/>
    <w:rsid w:val="610E3F6A"/>
    <w:rsid w:val="613D0A9B"/>
    <w:rsid w:val="614E42FF"/>
    <w:rsid w:val="615A0B09"/>
    <w:rsid w:val="61632A6C"/>
    <w:rsid w:val="616347C5"/>
    <w:rsid w:val="61A93559"/>
    <w:rsid w:val="61CF110A"/>
    <w:rsid w:val="621F7AE8"/>
    <w:rsid w:val="62357CAB"/>
    <w:rsid w:val="628A1181"/>
    <w:rsid w:val="62A04866"/>
    <w:rsid w:val="62A91DE7"/>
    <w:rsid w:val="62C70FDE"/>
    <w:rsid w:val="62EB0522"/>
    <w:rsid w:val="635F599B"/>
    <w:rsid w:val="638B472E"/>
    <w:rsid w:val="64306C7E"/>
    <w:rsid w:val="64950E8D"/>
    <w:rsid w:val="64F05D69"/>
    <w:rsid w:val="651F4AF5"/>
    <w:rsid w:val="65280837"/>
    <w:rsid w:val="654D6C47"/>
    <w:rsid w:val="65803004"/>
    <w:rsid w:val="65B13B0F"/>
    <w:rsid w:val="65DD59C7"/>
    <w:rsid w:val="65DF06AA"/>
    <w:rsid w:val="66726DE9"/>
    <w:rsid w:val="667D7612"/>
    <w:rsid w:val="66D41B44"/>
    <w:rsid w:val="66DA0758"/>
    <w:rsid w:val="66E85868"/>
    <w:rsid w:val="673C24EF"/>
    <w:rsid w:val="67554C72"/>
    <w:rsid w:val="67B44B21"/>
    <w:rsid w:val="67BA0344"/>
    <w:rsid w:val="67DD4273"/>
    <w:rsid w:val="67EB0D51"/>
    <w:rsid w:val="67F65044"/>
    <w:rsid w:val="680A7904"/>
    <w:rsid w:val="68166352"/>
    <w:rsid w:val="685647EE"/>
    <w:rsid w:val="6898656D"/>
    <w:rsid w:val="68B4061C"/>
    <w:rsid w:val="68B81F22"/>
    <w:rsid w:val="694C5F23"/>
    <w:rsid w:val="696662A4"/>
    <w:rsid w:val="69792046"/>
    <w:rsid w:val="69DF53DC"/>
    <w:rsid w:val="69E27B25"/>
    <w:rsid w:val="6A397FCF"/>
    <w:rsid w:val="6A8A7330"/>
    <w:rsid w:val="6A961F9E"/>
    <w:rsid w:val="6ACB06F4"/>
    <w:rsid w:val="6AEE6C6E"/>
    <w:rsid w:val="6AF93F0B"/>
    <w:rsid w:val="6B1B6AD9"/>
    <w:rsid w:val="6B46798C"/>
    <w:rsid w:val="6B687B99"/>
    <w:rsid w:val="6B995283"/>
    <w:rsid w:val="6BA6284A"/>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6D7D26"/>
    <w:rsid w:val="6F73663E"/>
    <w:rsid w:val="6F876965"/>
    <w:rsid w:val="6F89225D"/>
    <w:rsid w:val="6FAF68AB"/>
    <w:rsid w:val="703053C9"/>
    <w:rsid w:val="706C4C4B"/>
    <w:rsid w:val="709C49B1"/>
    <w:rsid w:val="70D3620A"/>
    <w:rsid w:val="71102DFC"/>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5B66D1D"/>
    <w:rsid w:val="760976C3"/>
    <w:rsid w:val="766C2683"/>
    <w:rsid w:val="76AC7A1B"/>
    <w:rsid w:val="76D41BAE"/>
    <w:rsid w:val="76E279A8"/>
    <w:rsid w:val="76F46778"/>
    <w:rsid w:val="77611D7E"/>
    <w:rsid w:val="779117F3"/>
    <w:rsid w:val="77CF0A6B"/>
    <w:rsid w:val="785C0AE4"/>
    <w:rsid w:val="786D08B8"/>
    <w:rsid w:val="78782528"/>
    <w:rsid w:val="78E610F4"/>
    <w:rsid w:val="7945384A"/>
    <w:rsid w:val="7963760A"/>
    <w:rsid w:val="79722F27"/>
    <w:rsid w:val="79B92B4E"/>
    <w:rsid w:val="7A277D89"/>
    <w:rsid w:val="7A424D83"/>
    <w:rsid w:val="7A5F6AFD"/>
    <w:rsid w:val="7A775E70"/>
    <w:rsid w:val="7AA5092A"/>
    <w:rsid w:val="7ACB150F"/>
    <w:rsid w:val="7B304512"/>
    <w:rsid w:val="7B314EA5"/>
    <w:rsid w:val="7B6F7E07"/>
    <w:rsid w:val="7BDE7F34"/>
    <w:rsid w:val="7BE72529"/>
    <w:rsid w:val="7C1379D3"/>
    <w:rsid w:val="7C1E5520"/>
    <w:rsid w:val="7C21083D"/>
    <w:rsid w:val="7C2A5ACE"/>
    <w:rsid w:val="7C500388"/>
    <w:rsid w:val="7C62013B"/>
    <w:rsid w:val="7CAE5B2E"/>
    <w:rsid w:val="7CBD66EB"/>
    <w:rsid w:val="7CEA14B8"/>
    <w:rsid w:val="7D11011F"/>
    <w:rsid w:val="7D1B40FF"/>
    <w:rsid w:val="7D3C3BC2"/>
    <w:rsid w:val="7D497A1B"/>
    <w:rsid w:val="7D720FEA"/>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7"/>
    <w:qFormat/>
    <w:locked/>
    <w:uiPriority w:val="10"/>
    <w:pPr>
      <w:spacing w:before="240" w:after="60" w:line="360" w:lineRule="auto"/>
      <w:jc w:val="center"/>
      <w:outlineLvl w:val="0"/>
    </w:pPr>
    <w:rPr>
      <w:rFonts w:ascii="Calibri" w:hAnsi="Calibri"/>
      <w:b/>
      <w:bCs/>
      <w:sz w:val="32"/>
      <w:szCs w:val="32"/>
    </w:rPr>
  </w:style>
  <w:style w:type="paragraph" w:styleId="6">
    <w:name w:val="annotation text"/>
    <w:basedOn w:val="1"/>
    <w:semiHidden/>
    <w:unhideWhenUsed/>
    <w:qFormat/>
    <w:uiPriority w:val="99"/>
    <w:pPr>
      <w:jc w:val="left"/>
    </w:pPr>
  </w:style>
  <w:style w:type="paragraph" w:styleId="7">
    <w:name w:val="Body Text"/>
    <w:basedOn w:val="1"/>
    <w:qFormat/>
    <w:uiPriority w:val="99"/>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29"/>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2D64B3"/>
      <w:u w:val="none"/>
    </w:rPr>
  </w:style>
  <w:style w:type="character" w:styleId="20">
    <w:name w:val="Emphasis"/>
    <w:basedOn w:val="18"/>
    <w:qFormat/>
    <w:locked/>
    <w:uiPriority w:val="0"/>
  </w:style>
  <w:style w:type="character" w:styleId="21">
    <w:name w:val="HTML Definition"/>
    <w:basedOn w:val="18"/>
    <w:semiHidden/>
    <w:unhideWhenUsed/>
    <w:qFormat/>
    <w:uiPriority w:val="99"/>
  </w:style>
  <w:style w:type="character" w:styleId="22">
    <w:name w:val="HTML Variable"/>
    <w:basedOn w:val="18"/>
    <w:semiHidden/>
    <w:unhideWhenUsed/>
    <w:qFormat/>
    <w:uiPriority w:val="99"/>
  </w:style>
  <w:style w:type="character" w:styleId="23">
    <w:name w:val="Hyperlink"/>
    <w:basedOn w:val="18"/>
    <w:semiHidden/>
    <w:unhideWhenUsed/>
    <w:qFormat/>
    <w:uiPriority w:val="99"/>
    <w:rPr>
      <w:color w:val="2D64B3"/>
      <w:u w:val="none"/>
    </w:rPr>
  </w:style>
  <w:style w:type="character" w:styleId="24">
    <w:name w:val="HTML Code"/>
    <w:basedOn w:val="18"/>
    <w:semiHidden/>
    <w:unhideWhenUsed/>
    <w:qFormat/>
    <w:uiPriority w:val="99"/>
    <w:rPr>
      <w:rFonts w:hint="eastAsia" w:ascii="Arial" w:hAnsi="Arial" w:cs="Arial"/>
      <w:sz w:val="20"/>
    </w:rPr>
  </w:style>
  <w:style w:type="character" w:styleId="25">
    <w:name w:val="annotation reference"/>
    <w:qFormat/>
    <w:uiPriority w:val="99"/>
    <w:rPr>
      <w:sz w:val="21"/>
      <w:szCs w:val="21"/>
    </w:rPr>
  </w:style>
  <w:style w:type="character" w:styleId="26">
    <w:name w:val="HTML Cite"/>
    <w:basedOn w:val="18"/>
    <w:semiHidden/>
    <w:unhideWhenUsed/>
    <w:qFormat/>
    <w:uiPriority w:val="99"/>
  </w:style>
  <w:style w:type="character" w:styleId="27">
    <w:name w:val="HTML Keyboard"/>
    <w:basedOn w:val="18"/>
    <w:semiHidden/>
    <w:unhideWhenUsed/>
    <w:qFormat/>
    <w:uiPriority w:val="99"/>
    <w:rPr>
      <w:rFonts w:hint="default" w:ascii="Arial" w:hAnsi="Arial" w:cs="Arial"/>
      <w:sz w:val="20"/>
    </w:rPr>
  </w:style>
  <w:style w:type="character" w:styleId="28">
    <w:name w:val="HTML Sample"/>
    <w:basedOn w:val="18"/>
    <w:semiHidden/>
    <w:unhideWhenUsed/>
    <w:qFormat/>
    <w:uiPriority w:val="99"/>
    <w:rPr>
      <w:rFonts w:hint="default" w:ascii="Arial" w:hAnsi="Arial" w:cs="Arial"/>
    </w:rPr>
  </w:style>
  <w:style w:type="character" w:customStyle="1" w:styleId="29">
    <w:name w:val="批注框文本 字符"/>
    <w:basedOn w:val="18"/>
    <w:link w:val="10"/>
    <w:semiHidden/>
    <w:qFormat/>
    <w:locked/>
    <w:uiPriority w:val="99"/>
    <w:rPr>
      <w:rFonts w:ascii="Times New Roman" w:hAnsi="Times New Roman"/>
      <w:kern w:val="2"/>
      <w:sz w:val="18"/>
    </w:rPr>
  </w:style>
  <w:style w:type="character" w:customStyle="1" w:styleId="30">
    <w:name w:val="页脚 字符"/>
    <w:basedOn w:val="18"/>
    <w:link w:val="11"/>
    <w:qFormat/>
    <w:locked/>
    <w:uiPriority w:val="99"/>
    <w:rPr>
      <w:sz w:val="18"/>
    </w:rPr>
  </w:style>
  <w:style w:type="character" w:customStyle="1" w:styleId="31">
    <w:name w:val="页眉 字符"/>
    <w:basedOn w:val="18"/>
    <w:link w:val="12"/>
    <w:semiHidden/>
    <w:qFormat/>
    <w:locked/>
    <w:uiPriority w:val="99"/>
    <w:rPr>
      <w:sz w:val="18"/>
    </w:rPr>
  </w:style>
  <w:style w:type="paragraph" w:customStyle="1" w:styleId="32">
    <w:name w:val="列出段落1"/>
    <w:basedOn w:val="1"/>
    <w:qFormat/>
    <w:uiPriority w:val="99"/>
    <w:pPr>
      <w:ind w:firstLine="420" w:firstLineChars="200"/>
    </w:pPr>
  </w:style>
  <w:style w:type="character" w:customStyle="1" w:styleId="33">
    <w:name w:val="f14w1"/>
    <w:qFormat/>
    <w:uiPriority w:val="99"/>
    <w:rPr>
      <w:b/>
      <w:color w:val="002569"/>
      <w:sz w:val="21"/>
    </w:rPr>
  </w:style>
  <w:style w:type="paragraph" w:customStyle="1" w:styleId="3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5">
    <w:name w:val="列出段落11"/>
    <w:basedOn w:val="1"/>
    <w:qFormat/>
    <w:uiPriority w:val="99"/>
    <w:pPr>
      <w:ind w:firstLine="420" w:firstLineChars="200"/>
    </w:pPr>
  </w:style>
  <w:style w:type="paragraph" w:customStyle="1" w:styleId="36">
    <w:name w:val="列出段落2"/>
    <w:basedOn w:val="1"/>
    <w:qFormat/>
    <w:uiPriority w:val="99"/>
    <w:pPr>
      <w:ind w:firstLine="420" w:firstLineChars="200"/>
    </w:pPr>
    <w:rPr>
      <w:rFonts w:ascii="Calibri" w:hAnsi="Calibri"/>
      <w:szCs w:val="22"/>
    </w:rPr>
  </w:style>
  <w:style w:type="character" w:customStyle="1" w:styleId="37">
    <w:name w:val="标题 字符"/>
    <w:basedOn w:val="18"/>
    <w:link w:val="2"/>
    <w:qFormat/>
    <w:uiPriority w:val="10"/>
    <w:rPr>
      <w:rFonts w:ascii="Calibri" w:hAnsi="Calibri"/>
      <w:b/>
      <w:bCs/>
      <w:kern w:val="2"/>
      <w:sz w:val="32"/>
      <w:szCs w:val="32"/>
    </w:rPr>
  </w:style>
  <w:style w:type="paragraph" w:customStyle="1" w:styleId="38">
    <w:name w:val="1"/>
    <w:basedOn w:val="1"/>
    <w:next w:val="9"/>
    <w:qFormat/>
    <w:uiPriority w:val="0"/>
    <w:rPr>
      <w:rFonts w:ascii="宋体" w:hAnsi="Courier New"/>
      <w:szCs w:val="20"/>
    </w:rPr>
  </w:style>
  <w:style w:type="paragraph" w:customStyle="1" w:styleId="39">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0">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1">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2</TotalTime>
  <ScaleCrop>false</ScaleCrop>
  <LinksUpToDate>false</LinksUpToDate>
  <CharactersWithSpaces>10748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2021-12-08T07:39:00Z</cp:lastPrinted>
  <dcterms:modified xsi:type="dcterms:W3CDTF">2021-12-09T10:43:02Z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230241869_btnclosed</vt:lpwstr>
  </property>
  <property fmtid="{D5CDD505-2E9C-101B-9397-08002B2CF9AE}" pid="4" name="ICV">
    <vt:lpwstr>23C705716D5E4C06905BECD04DF03A1D</vt:lpwstr>
  </property>
</Properties>
</file>