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highlight w:val="none"/>
          <w14:textFill>
            <w14:solidFill>
              <w14:schemeClr w14:val="tx1"/>
            </w14:solidFill>
          </w14:textFill>
        </w:rPr>
      </w:pPr>
      <w:bookmarkStart w:id="15" w:name="_GoBack"/>
      <w:bookmarkEnd w:id="15"/>
    </w:p>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jc w:val="center"/>
        <w:rPr>
          <w:rFonts w:hint="eastAsia"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动力能源保障部春运耗材采购项目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0" w:firstLineChars="750"/>
        <w:jc w:val="left"/>
        <w:rPr>
          <w:rFonts w:hint="eastAsia" w:ascii="仿宋" w:hAnsi="仿宋" w:eastAsia="仿宋"/>
          <w:b/>
          <w:color w:val="000000" w:themeColor="text1"/>
          <w:sz w:val="32"/>
          <w:highlight w:val="none"/>
          <w:u w:val="single"/>
          <w:lang w:val="en-US"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w:t>
      </w:r>
      <w:r>
        <w:rPr>
          <w:rFonts w:hint="eastAsia" w:ascii="仿宋" w:hAnsi="仿宋" w:eastAsia="仿宋"/>
          <w:b/>
          <w:color w:val="000000" w:themeColor="text1"/>
          <w:sz w:val="32"/>
          <w:highlight w:val="none"/>
          <w:lang w:eastAsia="zh-CN"/>
          <w14:textFill>
            <w14:solidFill>
              <w14:schemeClr w14:val="tx1"/>
            </w14:solidFill>
          </w14:textFill>
        </w:rPr>
        <w:t>动力</w:t>
      </w:r>
      <w:r>
        <w:rPr>
          <w:rFonts w:hint="eastAsia" w:ascii="仿宋" w:hAnsi="仿宋" w:eastAsia="仿宋"/>
          <w:b/>
          <w:color w:val="000000" w:themeColor="text1"/>
          <w:sz w:val="32"/>
          <w:highlight w:val="none"/>
          <w:lang w:val="en-US" w:eastAsia="zh-CN"/>
          <w14:textFill>
            <w14:solidFill>
              <w14:schemeClr w14:val="tx1"/>
            </w14:solidFill>
          </w14:textFill>
        </w:rPr>
        <w:t xml:space="preserve">2021-120  </w:t>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动力能源保障部</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40"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二〇二一年</w:t>
      </w:r>
      <w:r>
        <w:rPr>
          <w:rFonts w:hint="eastAsia" w:ascii="仿宋" w:hAnsi="仿宋" w:eastAsia="仿宋"/>
          <w:b/>
          <w:color w:val="000000" w:themeColor="text1"/>
          <w:sz w:val="32"/>
          <w:szCs w:val="32"/>
          <w:highlight w:val="none"/>
          <w:lang w:eastAsia="zh-CN"/>
          <w14:textFill>
            <w14:solidFill>
              <w14:schemeClr w14:val="tx1"/>
            </w14:solidFill>
          </w14:textFill>
        </w:rPr>
        <w:t>十二</w:t>
      </w:r>
      <w:r>
        <w:rPr>
          <w:rFonts w:hint="eastAsia" w:ascii="仿宋" w:hAnsi="仿宋" w:eastAsia="仿宋"/>
          <w:b/>
          <w:color w:val="000000" w:themeColor="text1"/>
          <w:sz w:val="32"/>
          <w:szCs w:val="32"/>
          <w:highlight w:val="none"/>
          <w14:textFill>
            <w14:solidFill>
              <w14:schemeClr w14:val="tx1"/>
            </w14:solidFill>
          </w14:textFill>
        </w:rPr>
        <w:t>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14:textFill>
            <w14:solidFill>
              <w14:schemeClr w14:val="tx1"/>
            </w14:solidFill>
          </w14:textFill>
        </w:rPr>
        <w:t>动力能源保障部春运耗材采购项目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ind w:firstLine="560" w:firstLineChars="200"/>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我部决定于近期将对动力能源保障部春运耗材采购项目邀请符合相应条件的潜在供应商就本项目进行竞争性比选。</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项目内容及要求</w:t>
      </w:r>
    </w:p>
    <w:p>
      <w:pPr>
        <w:pStyle w:val="23"/>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项目内容</w:t>
      </w:r>
    </w:p>
    <w:p>
      <w:pPr>
        <w:widowControl/>
        <w:spacing w:line="360" w:lineRule="auto"/>
        <w:ind w:firstLine="560" w:firstLineChars="200"/>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采购春运耗材一批，明细详见附件</w:t>
      </w:r>
      <w:r>
        <w:rPr>
          <w:rFonts w:hint="eastAsia" w:ascii="仿宋" w:hAnsi="仿宋" w:eastAsia="仿宋"/>
          <w:color w:val="000000" w:themeColor="text1"/>
          <w:sz w:val="28"/>
          <w:szCs w:val="28"/>
          <w:highlight w:val="none"/>
          <w:lang w:val="en-US" w:eastAsia="zh-CN"/>
          <w14:textFill>
            <w14:solidFill>
              <w14:schemeClr w14:val="tx1"/>
            </w14:solidFill>
          </w14:textFill>
        </w:rPr>
        <w:t>1分项报价明细表。</w:t>
      </w:r>
    </w:p>
    <w:p>
      <w:pPr>
        <w:pStyle w:val="23"/>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项目要求（包含技术要求、人员资质要求等）</w:t>
      </w:r>
    </w:p>
    <w:p>
      <w:pPr>
        <w:widowControl/>
        <w:spacing w:line="360" w:lineRule="auto"/>
        <w:ind w:firstLine="560" w:firstLineChars="200"/>
        <w:jc w:val="lef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无</w:t>
      </w:r>
    </w:p>
    <w:p>
      <w:pPr>
        <w:pStyle w:val="23"/>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（三）质量要求及质保要求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3.2供应商提供的商品不能为过期商品，采购方对商品生产日期有其他要求的，应以其他具体要求为准。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3.3商品质保期内的质保服务由供应商承担。</w:t>
      </w:r>
    </w:p>
    <w:p>
      <w:pPr>
        <w:pStyle w:val="2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（四）安全责任要求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需遵守重庆机场集团有限公司空防、消防、机坪运行、车辆及通行证门禁等管理规定，并接受项目单位监督。</w:t>
      </w:r>
    </w:p>
    <w:p>
      <w:pPr>
        <w:pStyle w:val="2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（五）其他要求</w:t>
      </w:r>
    </w:p>
    <w:p>
      <w:pPr>
        <w:spacing w:line="360" w:lineRule="auto"/>
        <w:ind w:firstLine="560" w:firstLineChars="200"/>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工期及售后服务</w:t>
      </w:r>
    </w:p>
    <w:p>
      <w:pPr>
        <w:spacing w:line="360" w:lineRule="auto"/>
        <w:ind w:firstLine="560" w:firstLineChars="200"/>
        <w:rPr>
          <w:rFonts w:ascii="仿宋_GB2312" w:hAnsi="宋体" w:eastAsia="仿宋_GB2312" w:cs="Arial"/>
          <w:bCs/>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1.工期：自合同签订之日起，产品供货期不得超过</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olor w:val="000000" w:themeColor="text1"/>
          <w:sz w:val="28"/>
          <w:szCs w:val="28"/>
          <w:highlight w:val="none"/>
          <w14:textFill>
            <w14:solidFill>
              <w14:schemeClr w14:val="tx1"/>
            </w14:solidFill>
          </w14:textFill>
        </w:rPr>
        <w:t>0日历天。</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bCs/>
          <w:color w:val="000000" w:themeColor="text1"/>
          <w:sz w:val="28"/>
          <w:szCs w:val="28"/>
          <w:highlight w:val="none"/>
          <w14:textFill>
            <w14:solidFill>
              <w14:schemeClr w14:val="tx1"/>
            </w14:solidFill>
          </w14:textFill>
        </w:rPr>
        <w:t>2</w:t>
      </w:r>
      <w:r>
        <w:rPr>
          <w:rFonts w:ascii="仿宋_GB2312" w:hAnsi="宋体" w:eastAsia="仿宋_GB2312" w:cs="Arial"/>
          <w:bCs/>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质保期：自验收合格之日起1年。</w:t>
      </w:r>
    </w:p>
    <w:p>
      <w:pPr>
        <w:widowControl/>
        <w:spacing w:line="360" w:lineRule="auto"/>
        <w:ind w:firstLine="560" w:firstLineChars="200"/>
        <w:jc w:val="left"/>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响应时间：</w:t>
      </w:r>
      <w:r>
        <w:rPr>
          <w:rFonts w:hint="eastAsia" w:ascii="仿宋_GB2312" w:hAnsi="等线" w:eastAsia="仿宋_GB2312"/>
          <w:color w:val="000000" w:themeColor="text1"/>
          <w:sz w:val="30"/>
          <w:szCs w:val="30"/>
          <w:highlight w:val="none"/>
          <w14:textFill>
            <w14:solidFill>
              <w14:schemeClr w14:val="tx1"/>
            </w14:solidFill>
          </w14:textFill>
        </w:rPr>
        <w:t>在质保期内，供应商提供的商品出现质量缺陷等情况，需派相关人员在3小时内赶到重庆江北国际机场进行处理，并在采购方要求的时间内完成退换货等相关操作。</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项目通过验收，支付合同金额的9</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7</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，剩余</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3</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作为质保金，待质保期满，无质量问题后支付</w:t>
      </w:r>
      <w:r>
        <w:rPr>
          <w:rFonts w:hint="eastAsia" w:ascii="仿宋_GB2312" w:hAnsi="宋体" w:eastAsia="仿宋_GB2312"/>
          <w:color w:val="000000"/>
          <w:sz w:val="28"/>
          <w:szCs w:val="28"/>
          <w:highlight w:val="none"/>
        </w:rPr>
        <w:t>。</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付款前供应商需开具发票，若供应商提供增值税普通发票，采购方支付不含增值税金额，若供应商提供增值税专用发票，采购方实际支付金额=不含增值税金额+增值税税额。</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2</w:t>
      </w:r>
      <w:r>
        <w:rPr>
          <w:rFonts w:ascii="仿宋_GB2312" w:hAnsi="仿宋" w:eastAsia="仿宋_GB2312"/>
          <w:color w:val="000000" w:themeColor="text1"/>
          <w:sz w:val="28"/>
          <w:szCs w:val="28"/>
          <w:highlight w:val="none"/>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供应商需具有独立法人资格，且合法存续，无不良记录。</w:t>
      </w:r>
    </w:p>
    <w:p>
      <w:pPr>
        <w:spacing w:line="360" w:lineRule="auto"/>
        <w:ind w:firstLine="560" w:firstLineChars="20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3.</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2019年1月1日-2021年10月31日，具有向大型交通枢纽、商场、企事业单位提供本合同相关机电或照明或暖通或水利材料供货业绩不低于3个，且单个合同金额不低于10万元。（提供合同或订单、发票复印件）</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4</w:t>
      </w:r>
      <w:r>
        <w:rPr>
          <w:rFonts w:hint="eastAsia" w:ascii="仿宋_GB2312" w:eastAsia="仿宋_GB2312"/>
          <w:color w:val="000000" w:themeColor="text1"/>
          <w:sz w:val="28"/>
          <w:szCs w:val="28"/>
          <w:highlight w:val="none"/>
          <w14:textFill>
            <w14:solidFill>
              <w14:schemeClr w14:val="tx1"/>
            </w14:solidFill>
          </w14:textFill>
        </w:rPr>
        <w:t>.本项目不接受联合体，不得分包、转包。</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成交标准</w:t>
      </w: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限价</w:t>
      </w:r>
    </w:p>
    <w:p>
      <w:pPr>
        <w:spacing w:line="360" w:lineRule="auto"/>
        <w:ind w:firstLine="560" w:firstLineChars="200"/>
        <w:rPr>
          <w:rFonts w:hint="eastAsia" w:ascii="仿宋_GB2312" w:hAnsi="宋体" w:eastAsia="仿宋_GB2312"/>
          <w:bCs/>
          <w:color w:val="000000" w:themeColor="text1"/>
          <w:sz w:val="28"/>
          <w:szCs w:val="28"/>
          <w:highlight w:val="none"/>
          <w:lang w:eastAsia="zh-CN"/>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本项目最高</w:t>
      </w:r>
      <w:r>
        <w:rPr>
          <w:rFonts w:hint="eastAsia" w:ascii="仿宋_GB2312" w:hAnsi="宋体" w:eastAsia="仿宋_GB2312"/>
          <w:bCs/>
          <w:color w:val="000000" w:themeColor="text1"/>
          <w:sz w:val="28"/>
          <w:szCs w:val="28"/>
          <w:highlight w:val="none"/>
          <w:lang w:eastAsia="zh-CN"/>
          <w14:textFill>
            <w14:solidFill>
              <w14:schemeClr w14:val="tx1"/>
            </w14:solidFill>
          </w14:textFill>
        </w:rPr>
        <w:t>总</w:t>
      </w:r>
      <w:r>
        <w:rPr>
          <w:rFonts w:hint="eastAsia" w:ascii="仿宋_GB2312" w:hAnsi="宋体" w:eastAsia="仿宋_GB2312"/>
          <w:bCs/>
          <w:color w:val="000000" w:themeColor="text1"/>
          <w:sz w:val="28"/>
          <w:szCs w:val="28"/>
          <w:highlight w:val="none"/>
          <w14:textFill>
            <w14:solidFill>
              <w14:schemeClr w14:val="tx1"/>
            </w14:solidFill>
          </w14:textFill>
        </w:rPr>
        <w:t>限价（不含增值税金额）为</w:t>
      </w:r>
      <w:r>
        <w:rPr>
          <w:rFonts w:hint="eastAsia" w:ascii="仿宋_GB2312" w:hAnsi="宋体" w:eastAsia="仿宋_GB2312"/>
          <w:bCs/>
          <w:color w:val="000000" w:themeColor="text1"/>
          <w:sz w:val="28"/>
          <w:szCs w:val="28"/>
          <w:highlight w:val="none"/>
          <w:u w:val="single"/>
          <w:lang w:val="en-US" w:eastAsia="zh-CN"/>
          <w14:textFill>
            <w14:solidFill>
              <w14:schemeClr w14:val="tx1"/>
            </w14:solidFill>
          </w14:textFill>
        </w:rPr>
        <w:t>33.37</w:t>
      </w:r>
      <w:r>
        <w:rPr>
          <w:rFonts w:hint="eastAsia" w:ascii="仿宋_GB2312" w:hAnsi="宋体" w:eastAsia="仿宋_GB2312"/>
          <w:bCs/>
          <w:color w:val="000000" w:themeColor="text1"/>
          <w:sz w:val="28"/>
          <w:szCs w:val="28"/>
          <w:highlight w:val="none"/>
          <w14:textFill>
            <w14:solidFill>
              <w14:schemeClr w14:val="tx1"/>
            </w14:solidFill>
          </w14:textFill>
        </w:rPr>
        <w:t>万元（大写金额：</w:t>
      </w:r>
      <w:r>
        <w:rPr>
          <w:rFonts w:hint="eastAsia" w:ascii="仿宋_GB2312" w:hAnsi="宋体" w:eastAsia="仿宋_GB2312"/>
          <w:bCs/>
          <w:color w:val="000000" w:themeColor="text1"/>
          <w:sz w:val="28"/>
          <w:szCs w:val="28"/>
          <w:highlight w:val="none"/>
          <w:u w:val="single"/>
          <w:lang w:eastAsia="zh-CN"/>
          <w14:textFill>
            <w14:solidFill>
              <w14:schemeClr w14:val="tx1"/>
            </w14:solidFill>
          </w14:textFill>
        </w:rPr>
        <w:t>叁拾叁万叁仟柒佰</w:t>
      </w:r>
      <w:r>
        <w:rPr>
          <w:rFonts w:hint="eastAsia" w:ascii="仿宋_GB2312" w:hAnsi="宋体" w:eastAsia="仿宋_GB2312"/>
          <w:bCs/>
          <w:color w:val="000000" w:themeColor="text1"/>
          <w:sz w:val="28"/>
          <w:szCs w:val="28"/>
          <w:highlight w:val="none"/>
          <w14:textFill>
            <w14:solidFill>
              <w14:schemeClr w14:val="tx1"/>
            </w14:solidFill>
          </w14:textFill>
        </w:rPr>
        <w:t>元整），</w:t>
      </w:r>
      <w:r>
        <w:rPr>
          <w:rFonts w:hint="eastAsia" w:ascii="仿宋_GB2312" w:hAnsi="宋体" w:eastAsia="仿宋_GB2312"/>
          <w:bCs/>
          <w:color w:val="000000" w:themeColor="text1"/>
          <w:sz w:val="28"/>
          <w:szCs w:val="28"/>
          <w:highlight w:val="none"/>
          <w:lang w:eastAsia="zh-CN"/>
          <w14:textFill>
            <w14:solidFill>
              <w14:schemeClr w14:val="tx1"/>
            </w14:solidFill>
          </w14:textFill>
        </w:rPr>
        <w:t>分部限价见下表：</w:t>
      </w:r>
    </w:p>
    <w:tbl>
      <w:tblPr>
        <w:tblStyle w:val="11"/>
        <w:tblW w:w="7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33"/>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分部限价（万元，</w:t>
            </w:r>
            <w:r>
              <w:rPr>
                <w:rFonts w:hint="eastAsia" w:ascii="Times New Roman" w:hAnsi="Times New Roman" w:eastAsia="宋体" w:cs="Times New Roman"/>
                <w:b w:val="0"/>
                <w:bCs w:val="0"/>
                <w:color w:val="auto"/>
                <w:kern w:val="2"/>
                <w:sz w:val="21"/>
                <w:szCs w:val="24"/>
                <w:highlight w:val="none"/>
                <w:lang w:val="en-US" w:eastAsia="zh-CN" w:bidi="ar-SA"/>
              </w:rPr>
              <w:t>不含税</w:t>
            </w:r>
            <w:r>
              <w:rPr>
                <w:rFonts w:hint="eastAsia" w:cs="Times New Roman"/>
                <w:b w:val="0"/>
                <w:bCs w:val="0"/>
                <w:color w:val="auto"/>
                <w:kern w:val="2"/>
                <w:sz w:val="21"/>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第一部分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6.27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第二部分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21.72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第三部分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第四部分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第五部分</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总限价</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 xml:space="preserve">33.37 </w:t>
            </w:r>
          </w:p>
        </w:tc>
      </w:tr>
    </w:tbl>
    <w:p>
      <w:pPr>
        <w:spacing w:line="360" w:lineRule="auto"/>
        <w:ind w:firstLine="560" w:firstLineChars="200"/>
        <w:rPr>
          <w:rFonts w:hint="eastAsia" w:ascii="仿宋_GB2312" w:hAnsi="宋体" w:eastAsia="仿宋_GB2312"/>
          <w:bCs/>
          <w:color w:val="000000" w:themeColor="text1"/>
          <w:sz w:val="28"/>
          <w:szCs w:val="28"/>
          <w:highlight w:val="yellow"/>
          <w14:textFill>
            <w14:solidFill>
              <w14:schemeClr w14:val="tx1"/>
            </w14:solidFill>
          </w14:textFill>
        </w:rPr>
      </w:pPr>
      <w:r>
        <w:rPr>
          <w:rFonts w:hint="eastAsia" w:ascii="仿宋_GB2312" w:hAnsi="宋体" w:eastAsia="仿宋_GB2312"/>
          <w:bCs/>
          <w:color w:val="000000" w:themeColor="text1"/>
          <w:sz w:val="28"/>
          <w:szCs w:val="28"/>
          <w:highlight w:val="yellow"/>
          <w14:textFill>
            <w14:solidFill>
              <w14:schemeClr w14:val="tx1"/>
            </w14:solidFill>
          </w14:textFill>
        </w:rPr>
        <w:t>报价超过最高</w:t>
      </w:r>
      <w:r>
        <w:rPr>
          <w:rFonts w:hint="eastAsia" w:ascii="仿宋_GB2312" w:hAnsi="宋体" w:eastAsia="仿宋_GB2312"/>
          <w:bCs/>
          <w:color w:val="000000" w:themeColor="text1"/>
          <w:sz w:val="28"/>
          <w:szCs w:val="28"/>
          <w:highlight w:val="yellow"/>
          <w:lang w:eastAsia="zh-CN"/>
          <w14:textFill>
            <w14:solidFill>
              <w14:schemeClr w14:val="tx1"/>
            </w14:solidFill>
          </w14:textFill>
        </w:rPr>
        <w:t>总</w:t>
      </w:r>
      <w:r>
        <w:rPr>
          <w:rFonts w:hint="eastAsia" w:ascii="仿宋_GB2312" w:hAnsi="宋体" w:eastAsia="仿宋_GB2312"/>
          <w:bCs/>
          <w:color w:val="000000" w:themeColor="text1"/>
          <w:sz w:val="28"/>
          <w:szCs w:val="28"/>
          <w:highlight w:val="yellow"/>
          <w14:textFill>
            <w14:solidFill>
              <w14:schemeClr w14:val="tx1"/>
            </w14:solidFill>
          </w14:textFill>
        </w:rPr>
        <w:t>限价</w:t>
      </w:r>
      <w:r>
        <w:rPr>
          <w:rFonts w:hint="eastAsia" w:ascii="仿宋_GB2312" w:hAnsi="宋体" w:eastAsia="仿宋_GB2312"/>
          <w:bCs/>
          <w:color w:val="000000" w:themeColor="text1"/>
          <w:sz w:val="28"/>
          <w:szCs w:val="28"/>
          <w:highlight w:val="yellow"/>
          <w:lang w:eastAsia="zh-CN"/>
          <w14:textFill>
            <w14:solidFill>
              <w14:schemeClr w14:val="tx1"/>
            </w14:solidFill>
          </w14:textFill>
        </w:rPr>
        <w:t>或分部报价超过分部限价</w:t>
      </w:r>
      <w:r>
        <w:rPr>
          <w:rFonts w:hint="eastAsia" w:ascii="仿宋_GB2312" w:hAnsi="宋体" w:eastAsia="仿宋_GB2312"/>
          <w:bCs/>
          <w:color w:val="000000" w:themeColor="text1"/>
          <w:sz w:val="28"/>
          <w:szCs w:val="28"/>
          <w:highlight w:val="yellow"/>
          <w14:textFill>
            <w14:solidFill>
              <w14:schemeClr w14:val="tx1"/>
            </w14:solidFill>
          </w14:textFill>
        </w:rPr>
        <w:t>，</w:t>
      </w:r>
      <w:r>
        <w:rPr>
          <w:rFonts w:hint="eastAsia" w:ascii="仿宋_GB2312" w:hAnsi="宋体" w:eastAsia="仿宋_GB2312"/>
          <w:bCs/>
          <w:color w:val="000000" w:themeColor="text1"/>
          <w:sz w:val="28"/>
          <w:szCs w:val="28"/>
          <w:highlight w:val="yellow"/>
          <w:lang w:eastAsia="zh-CN"/>
          <w14:textFill>
            <w14:solidFill>
              <w14:schemeClr w14:val="tx1"/>
            </w14:solidFill>
          </w14:textFill>
        </w:rPr>
        <w:t>均</w:t>
      </w:r>
      <w:r>
        <w:rPr>
          <w:rFonts w:hint="eastAsia" w:ascii="仿宋_GB2312" w:hAnsi="宋体" w:eastAsia="仿宋_GB2312"/>
          <w:bCs/>
          <w:color w:val="000000" w:themeColor="text1"/>
          <w:sz w:val="28"/>
          <w:szCs w:val="28"/>
          <w:highlight w:val="yellow"/>
          <w14:textFill>
            <w14:solidFill>
              <w14:schemeClr w14:val="tx1"/>
            </w14:solidFill>
          </w14:textFill>
        </w:rPr>
        <w:t>将取消竞争性比选响应方的竞争性比选资格。</w:t>
      </w:r>
    </w:p>
    <w:p>
      <w:pPr>
        <w:pStyle w:val="2"/>
        <w:rPr>
          <w:color w:val="auto"/>
          <w:highlight w:val="none"/>
        </w:rPr>
      </w:pP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本次</w:t>
      </w:r>
      <w:r>
        <w:rPr>
          <w:rFonts w:hint="eastAsia" w:ascii="仿宋_GB2312" w:eastAsia="仿宋_GB2312"/>
          <w:color w:val="000000" w:themeColor="text1"/>
          <w:sz w:val="28"/>
          <w:szCs w:val="28"/>
          <w:highlight w:val="none"/>
          <w14:textFill>
            <w14:solidFill>
              <w14:schemeClr w14:val="tx1"/>
            </w14:solidFill>
          </w14:textFill>
        </w:rPr>
        <w:t>竞争性比选</w:t>
      </w:r>
      <w:r>
        <w:rPr>
          <w:rFonts w:hint="eastAsia" w:ascii="仿宋_GB2312" w:hAnsi="宋体" w:eastAsia="仿宋_GB2312"/>
          <w:bCs/>
          <w:color w:val="000000" w:themeColor="text1"/>
          <w:sz w:val="28"/>
          <w:szCs w:val="28"/>
          <w:highlight w:val="none"/>
          <w14:textFill>
            <w14:solidFill>
              <w14:schemeClr w14:val="tx1"/>
            </w14:solidFill>
          </w14:textFill>
        </w:rPr>
        <w:t>成交供应商确定办法采用</w:t>
      </w:r>
      <w:r>
        <w:rPr>
          <w:rFonts w:hint="eastAsia" w:ascii="仿宋_GB2312" w:hAnsi="宋体" w:eastAsia="仿宋_GB2312"/>
          <w:b/>
          <w:bCs/>
          <w:color w:val="000000" w:themeColor="text1"/>
          <w:sz w:val="28"/>
          <w:szCs w:val="28"/>
          <w:highlight w:val="none"/>
          <w:u w:val="single"/>
          <w14:textFill>
            <w14:solidFill>
              <w14:schemeClr w14:val="tx1"/>
            </w14:solidFill>
          </w14:textFill>
        </w:rPr>
        <w:t>经评审的最低价法</w:t>
      </w:r>
      <w:r>
        <w:rPr>
          <w:rFonts w:hint="eastAsia" w:ascii="仿宋_GB2312" w:hAnsi="宋体" w:eastAsia="仿宋_GB2312"/>
          <w:bCs/>
          <w:color w:val="000000" w:themeColor="text1"/>
          <w:sz w:val="28"/>
          <w:szCs w:val="28"/>
          <w:highlight w:val="none"/>
          <w14:textFill>
            <w14:solidFill>
              <w14:schemeClr w14:val="tx1"/>
            </w14:solidFill>
          </w14:textFill>
        </w:rPr>
        <w:t>成交，以各供应商不含税报价为依据，请各供应商按照报价要求进行报价。</w:t>
      </w: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具体竞争性</w:t>
      </w:r>
      <w:r>
        <w:rPr>
          <w:rFonts w:hint="eastAsia" w:ascii="仿宋_GB2312" w:eastAsia="仿宋_GB2312"/>
          <w:color w:val="000000" w:themeColor="text1"/>
          <w:sz w:val="28"/>
          <w:szCs w:val="28"/>
          <w:highlight w:val="none"/>
          <w14:textFill>
            <w14:solidFill>
              <w14:schemeClr w14:val="tx1"/>
            </w14:solidFill>
          </w14:textFill>
        </w:rPr>
        <w:t>比选</w:t>
      </w:r>
      <w:r>
        <w:rPr>
          <w:rFonts w:hint="eastAsia" w:ascii="仿宋_GB2312" w:hAnsi="宋体" w:eastAsia="仿宋_GB2312" w:cs="宋体"/>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3.项目重新竞争性比选时，经评审有有效比选人的，应当按规定程序，根据符合采购需求、质量和服务，且以报价最低的原则确定成交候选人。</w:t>
      </w:r>
    </w:p>
    <w:p>
      <w:pPr>
        <w:pStyle w:val="2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highlight w:val="none"/>
          <w14:textFill>
            <w14:solidFill>
              <w14:schemeClr w14:val="tx1"/>
            </w14:solidFill>
          </w14:textFill>
        </w:rPr>
      </w:pPr>
      <w:r>
        <w:rPr>
          <w:rFonts w:hint="eastAsia" w:ascii="仿宋_GB2312" w:hAnsi="仿宋" w:eastAsia="仿宋_GB2312"/>
          <w:color w:val="000000" w:themeColor="text1"/>
          <w:kern w:val="0"/>
          <w:sz w:val="28"/>
          <w:szCs w:val="28"/>
          <w:highlight w:val="none"/>
          <w14:textFill>
            <w14:solidFill>
              <w14:schemeClr w14:val="tx1"/>
            </w14:solidFill>
          </w14:textFill>
        </w:rPr>
        <w:t>1</w:t>
      </w:r>
      <w:r>
        <w:rPr>
          <w:rFonts w:ascii="仿宋_GB2312" w:hAnsi="仿宋" w:eastAsia="仿宋_GB2312"/>
          <w:color w:val="000000" w:themeColor="text1"/>
          <w:kern w:val="0"/>
          <w:sz w:val="28"/>
          <w:szCs w:val="28"/>
          <w:highlight w:val="none"/>
          <w14:textFill>
            <w14:solidFill>
              <w14:schemeClr w14:val="tx1"/>
            </w14:solidFill>
          </w14:textFill>
        </w:rPr>
        <w:t>.</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highlight w:val="none"/>
          <w14:textFill>
            <w14:solidFill>
              <w14:schemeClr w14:val="tx1"/>
            </w14:solidFill>
          </w14:textFill>
        </w:rPr>
      </w:pPr>
      <w:r>
        <w:rPr>
          <w:rFonts w:hint="eastAsia" w:ascii="仿宋_GB2312" w:hAnsi="仿宋" w:eastAsia="仿宋_GB2312"/>
          <w:b/>
          <w:color w:val="000000" w:themeColor="text1"/>
          <w:kern w:val="0"/>
          <w:sz w:val="28"/>
          <w:szCs w:val="28"/>
          <w:highlight w:val="none"/>
          <w14:textFill>
            <w14:solidFill>
              <w14:schemeClr w14:val="tx1"/>
            </w14:solidFill>
          </w14:textFill>
        </w:rPr>
        <w:t>2</w:t>
      </w:r>
      <w:r>
        <w:rPr>
          <w:rFonts w:ascii="仿宋_GB2312" w:hAnsi="仿宋" w:eastAsia="仿宋_GB2312"/>
          <w:b/>
          <w:color w:val="000000" w:themeColor="text1"/>
          <w:kern w:val="0"/>
          <w:sz w:val="28"/>
          <w:szCs w:val="28"/>
          <w:highlight w:val="none"/>
          <w14:textFill>
            <w14:solidFill>
              <w14:schemeClr w14:val="tx1"/>
            </w14:solidFill>
          </w14:textFill>
        </w:rPr>
        <w:t>.</w:t>
      </w:r>
      <w:r>
        <w:rPr>
          <w:rFonts w:hint="eastAsia" w:ascii="仿宋_GB2312" w:hAnsi="仿宋" w:eastAsia="仿宋_GB2312"/>
          <w:b/>
          <w:color w:val="000000" w:themeColor="text1"/>
          <w:kern w:val="0"/>
          <w:sz w:val="28"/>
          <w:szCs w:val="28"/>
          <w:highlight w:val="none"/>
          <w14:textFill>
            <w14:solidFill>
              <w14:schemeClr w14:val="tx1"/>
            </w14:solidFill>
          </w14:textFill>
        </w:rPr>
        <w:t>响应</w:t>
      </w:r>
      <w:r>
        <w:rPr>
          <w:rFonts w:ascii="仿宋_GB2312" w:hAnsi="仿宋" w:eastAsia="仿宋_GB2312"/>
          <w:b/>
          <w:color w:val="000000" w:themeColor="text1"/>
          <w:kern w:val="0"/>
          <w:sz w:val="28"/>
          <w:szCs w:val="28"/>
          <w:highlight w:val="none"/>
          <w14:textFill>
            <w14:solidFill>
              <w14:schemeClr w14:val="tx1"/>
            </w14:solidFill>
          </w14:textFill>
        </w:rPr>
        <w:t>文件中</w:t>
      </w:r>
      <w:r>
        <w:rPr>
          <w:rFonts w:hint="eastAsia" w:ascii="仿宋_GB2312" w:hAnsi="仿宋" w:eastAsia="仿宋_GB2312"/>
          <w:b/>
          <w:color w:val="000000" w:themeColor="text1"/>
          <w:kern w:val="0"/>
          <w:sz w:val="28"/>
          <w:szCs w:val="28"/>
          <w:highlight w:val="none"/>
          <w14:textFill>
            <w14:solidFill>
              <w14:schemeClr w14:val="tx1"/>
            </w14:solidFill>
          </w14:textFill>
        </w:rPr>
        <w:t>报价须四舍五入</w:t>
      </w:r>
      <w:r>
        <w:rPr>
          <w:rFonts w:ascii="仿宋_GB2312" w:hAnsi="仿宋" w:eastAsia="仿宋_GB2312"/>
          <w:b/>
          <w:color w:val="000000" w:themeColor="text1"/>
          <w:kern w:val="0"/>
          <w:sz w:val="28"/>
          <w:szCs w:val="28"/>
          <w:highlight w:val="none"/>
          <w14:textFill>
            <w14:solidFill>
              <w14:schemeClr w14:val="tx1"/>
            </w14:solidFill>
          </w14:textFill>
        </w:rPr>
        <w:t>保留到</w:t>
      </w:r>
      <w:r>
        <w:rPr>
          <w:rFonts w:hint="eastAsia" w:ascii="仿宋_GB2312" w:hAnsi="仿宋" w:eastAsia="仿宋_GB2312"/>
          <w:b/>
          <w:color w:val="000000" w:themeColor="text1"/>
          <w:kern w:val="0"/>
          <w:sz w:val="28"/>
          <w:szCs w:val="28"/>
          <w:highlight w:val="none"/>
          <w14:textFill>
            <w14:solidFill>
              <w14:schemeClr w14:val="tx1"/>
            </w14:solidFill>
          </w14:textFill>
        </w:rPr>
        <w:t>“</w:t>
      </w:r>
      <w:r>
        <w:rPr>
          <w:rFonts w:ascii="仿宋_GB2312" w:hAnsi="仿宋" w:eastAsia="仿宋_GB2312"/>
          <w:b/>
          <w:color w:val="000000" w:themeColor="text1"/>
          <w:kern w:val="0"/>
          <w:sz w:val="28"/>
          <w:szCs w:val="28"/>
          <w:highlight w:val="none"/>
          <w14:textFill>
            <w14:solidFill>
              <w14:schemeClr w14:val="tx1"/>
            </w14:solidFill>
          </w14:textFill>
        </w:rPr>
        <w:t>分</w:t>
      </w:r>
      <w:r>
        <w:rPr>
          <w:rFonts w:hint="eastAsia" w:ascii="仿宋_GB2312" w:hAnsi="仿宋" w:eastAsia="仿宋_GB2312"/>
          <w:b/>
          <w:color w:val="000000" w:themeColor="text1"/>
          <w:kern w:val="0"/>
          <w:sz w:val="28"/>
          <w:szCs w:val="28"/>
          <w:highlight w:val="none"/>
          <w14:textFill>
            <w14:solidFill>
              <w14:schemeClr w14:val="tx1"/>
            </w14:solidFill>
          </w14:textFill>
        </w:rPr>
        <w:t>”；</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highlight w:val="none"/>
          <w14:textFill>
            <w14:solidFill>
              <w14:schemeClr w14:val="tx1"/>
            </w14:solidFill>
          </w14:textFill>
        </w:rPr>
      </w:pPr>
      <w:r>
        <w:rPr>
          <w:rFonts w:ascii="仿宋_GB2312" w:hAnsi="仿宋" w:eastAsia="仿宋_GB2312"/>
          <w:color w:val="000000" w:themeColor="text1"/>
          <w:kern w:val="0"/>
          <w:sz w:val="28"/>
          <w:szCs w:val="28"/>
          <w:highlight w:val="none"/>
          <w14:textFill>
            <w14:solidFill>
              <w14:schemeClr w14:val="tx1"/>
            </w14:solidFill>
          </w14:textFill>
        </w:rPr>
        <w:t>3.</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hint="eastAsia"/>
          <w:color w:val="auto"/>
          <w:highlight w:val="none"/>
          <w:lang w:eastAsia="zh-CN"/>
        </w:rPr>
      </w:pPr>
      <w:r>
        <w:rPr>
          <w:rFonts w:hint="eastAsia" w:ascii="仿宋_GB2312" w:hAnsi="仿宋" w:eastAsia="仿宋_GB2312"/>
          <w:color w:val="auto"/>
          <w:kern w:val="0"/>
          <w:sz w:val="28"/>
          <w:szCs w:val="28"/>
          <w:highlight w:val="none"/>
        </w:rPr>
        <w:t>4.响应文件中不含增值税报价与含增值税报价不一致时，以价低者为准</w:t>
      </w:r>
      <w:r>
        <w:rPr>
          <w:rFonts w:hint="eastAsia" w:ascii="仿宋_GB2312" w:hAnsi="仿宋" w:eastAsia="仿宋_GB2312"/>
          <w:color w:val="auto"/>
          <w:kern w:val="0"/>
          <w:sz w:val="28"/>
          <w:szCs w:val="28"/>
          <w:highlight w:val="none"/>
          <w:lang w:eastAsia="zh-CN"/>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yellow"/>
          <w:lang w:val="en-US" w:eastAsia="zh-CN"/>
        </w:rPr>
        <w:t>5.</w:t>
      </w:r>
      <w:r>
        <w:rPr>
          <w:rFonts w:hint="eastAsia" w:ascii="仿宋_GB2312" w:hAnsi="仿宋" w:eastAsia="仿宋_GB2312"/>
          <w:color w:val="auto"/>
          <w:kern w:val="0"/>
          <w:sz w:val="28"/>
          <w:szCs w:val="28"/>
          <w:highlight w:val="yellow"/>
        </w:rPr>
        <w:t>响应文件中</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w:t>
      </w:r>
      <w:r>
        <w:rPr>
          <w:rFonts w:hint="eastAsia" w:ascii="仿宋_GB2312" w:hAnsi="仿宋" w:eastAsia="仿宋_GB2312"/>
          <w:color w:val="auto"/>
          <w:kern w:val="0"/>
          <w:sz w:val="28"/>
          <w:szCs w:val="28"/>
          <w:highlight w:val="yellow"/>
          <w:lang w:eastAsia="zh-CN"/>
        </w:rPr>
        <w:t>中的单价</w:t>
      </w:r>
      <w:r>
        <w:rPr>
          <w:rFonts w:hint="eastAsia" w:ascii="仿宋_GB2312" w:hAnsi="仿宋" w:eastAsia="仿宋_GB2312"/>
          <w:color w:val="auto"/>
          <w:kern w:val="0"/>
          <w:sz w:val="28"/>
          <w:szCs w:val="28"/>
          <w:highlight w:val="yellow"/>
          <w:lang w:val="en-US" w:eastAsia="zh-CN"/>
        </w:rPr>
        <w:t>*数量与总价不一致的，以分部小计为准调整单价；</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分项报价明细表与报价函不一致的，以报价函为准。</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竞争性比选文件及相关资料于</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21年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2</w:t>
      </w:r>
      <w:r>
        <w:rPr>
          <w:rFonts w:hint="eastAsia" w:ascii="仿宋" w:hAnsi="仿宋" w:eastAsia="仿宋"/>
          <w:color w:val="000000" w:themeColor="text1"/>
          <w:sz w:val="28"/>
          <w:szCs w:val="28"/>
          <w:highlight w:val="none"/>
          <w:u w:val="single"/>
          <w14:textFill>
            <w14:solidFill>
              <w14:schemeClr w14:val="tx1"/>
            </w14:solidFill>
          </w14:textFill>
        </w:rPr>
        <w:t>日</w:t>
      </w:r>
      <w:r>
        <w:rPr>
          <w:rFonts w:ascii="仿宋" w:hAnsi="仿宋" w:eastAsia="仿宋"/>
          <w:color w:val="000000" w:themeColor="text1"/>
          <w:sz w:val="28"/>
          <w:szCs w:val="28"/>
          <w:highlight w:val="none"/>
          <w:u w:val="single"/>
          <w14:textFill>
            <w14:solidFill>
              <w14:schemeClr w14:val="tx1"/>
            </w14:solidFill>
          </w14:textFill>
        </w:rPr>
        <w:t>09</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30-</w:t>
      </w:r>
      <w:r>
        <w:rPr>
          <w:rFonts w:hint="eastAsia" w:ascii="仿宋" w:hAnsi="仿宋" w:eastAsia="仿宋"/>
          <w:color w:val="000000" w:themeColor="text1"/>
          <w:sz w:val="28"/>
          <w:szCs w:val="28"/>
          <w:highlight w:val="none"/>
          <w:u w:val="single"/>
          <w14:textFill>
            <w14:solidFill>
              <w14:schemeClr w14:val="tx1"/>
            </w14:solidFill>
          </w14:textFill>
        </w:rPr>
        <w:t>16:</w:t>
      </w:r>
      <w:r>
        <w:rPr>
          <w:rFonts w:ascii="仿宋" w:hAnsi="仿宋" w:eastAsia="仿宋"/>
          <w:color w:val="000000" w:themeColor="text1"/>
          <w:sz w:val="28"/>
          <w:szCs w:val="28"/>
          <w:highlight w:val="none"/>
          <w:u w:val="singl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时，在重庆机场集团有限公司动力能源保障部采购办公室（机场东路3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ascii="仿宋_GB2312" w:hAnsi="宋体" w:eastAsia="仿宋_GB2312"/>
          <w:b/>
          <w:color w:val="000000" w:themeColor="text1"/>
          <w:sz w:val="28"/>
          <w:szCs w:val="28"/>
          <w:highlight w:val="none"/>
          <w:u w:val="single"/>
          <w14:textFill>
            <w14:solidFill>
              <w14:schemeClr w14:val="tx1"/>
            </w14:solidFill>
          </w14:textFill>
        </w:rPr>
        <w:t>0</w:t>
      </w:r>
      <w:r>
        <w:rPr>
          <w:rFonts w:hint="eastAsia" w:ascii="仿宋_GB2312" w:hAnsi="宋体" w:eastAsia="仿宋_GB2312"/>
          <w:b/>
          <w:color w:val="000000" w:themeColor="text1"/>
          <w:sz w:val="28"/>
          <w:szCs w:val="28"/>
          <w:highlight w:val="none"/>
          <w:u w:val="single"/>
          <w14:textFill>
            <w14:solidFill>
              <w14:schemeClr w14:val="tx1"/>
            </w14:solidFill>
          </w14:textFill>
        </w:rPr>
        <w:t>21年</w:t>
      </w:r>
      <w:r>
        <w:rPr>
          <w:rFonts w:hint="eastAsia" w:ascii="仿宋_GB2312" w:hAnsi="宋体" w:eastAsia="仿宋_GB2312"/>
          <w:b/>
          <w:color w:val="auto"/>
          <w:sz w:val="28"/>
          <w:szCs w:val="28"/>
          <w:highlight w:val="none"/>
          <w:u w:val="single"/>
          <w:lang w:val="en-US" w:eastAsia="zh-CN"/>
        </w:rPr>
        <w:t>12</w:t>
      </w:r>
      <w:r>
        <w:rPr>
          <w:rFonts w:hint="eastAsia" w:ascii="仿宋_GB2312" w:hAnsi="宋体" w:eastAsia="仿宋_GB2312"/>
          <w:b/>
          <w:color w:val="000000" w:themeColor="text1"/>
          <w:sz w:val="28"/>
          <w:szCs w:val="28"/>
          <w:highlight w:val="none"/>
          <w:u w:val="single"/>
          <w14:textFill>
            <w14:solidFill>
              <w14:schemeClr w14:val="tx1"/>
            </w14:solidFill>
          </w14:textFill>
        </w:rPr>
        <w:t>月</w:t>
      </w:r>
      <w:r>
        <w:rPr>
          <w:rFonts w:hint="eastAsia" w:ascii="仿宋_GB2312" w:hAnsi="宋体" w:eastAsia="仿宋_GB2312"/>
          <w:b/>
          <w:color w:val="auto"/>
          <w:sz w:val="28"/>
          <w:szCs w:val="28"/>
          <w:highlight w:val="none"/>
          <w:u w:val="single"/>
          <w:lang w:val="en-US" w:eastAsia="zh-CN"/>
        </w:rPr>
        <w:t>3</w:t>
      </w:r>
      <w:r>
        <w:rPr>
          <w:rFonts w:hint="eastAsia" w:ascii="仿宋_GB2312" w:hAnsi="宋体" w:eastAsia="仿宋_GB2312"/>
          <w:b/>
          <w:color w:val="000000" w:themeColor="text1"/>
          <w:sz w:val="28"/>
          <w:szCs w:val="28"/>
          <w:highlight w:val="none"/>
          <w:u w:val="single"/>
          <w14:textFill>
            <w14:solidFill>
              <w14:schemeClr w14:val="tx1"/>
            </w14:solidFill>
          </w14:textFill>
        </w:rPr>
        <w:t>日</w:t>
      </w:r>
      <w:r>
        <w:rPr>
          <w:rFonts w:hint="eastAsia" w:ascii="仿宋_GB2312" w:hAnsi="宋体" w:eastAsia="仿宋_GB2312"/>
          <w:b/>
          <w:color w:val="auto"/>
          <w:sz w:val="28"/>
          <w:szCs w:val="28"/>
          <w:highlight w:val="none"/>
          <w:u w:val="single"/>
          <w:lang w:eastAsia="zh-CN"/>
        </w:rPr>
        <w:t>1</w:t>
      </w:r>
      <w:r>
        <w:rPr>
          <w:rFonts w:hint="eastAsia" w:ascii="仿宋_GB2312" w:hAnsi="宋体" w:eastAsia="仿宋_GB2312"/>
          <w:b/>
          <w:color w:val="auto"/>
          <w:sz w:val="28"/>
          <w:szCs w:val="28"/>
          <w:highlight w:val="none"/>
          <w:u w:val="single"/>
          <w:lang w:val="en-US" w:eastAsia="zh-CN"/>
        </w:rPr>
        <w:t>0</w:t>
      </w:r>
      <w:r>
        <w:rPr>
          <w:rFonts w:hint="eastAsia" w:ascii="仿宋_GB2312" w:hAnsi="宋体" w:eastAsia="仿宋_GB2312"/>
          <w:b/>
          <w:color w:val="000000" w:themeColor="text1"/>
          <w:sz w:val="28"/>
          <w:szCs w:val="28"/>
          <w:highlight w:val="none"/>
          <w:u w:val="single"/>
          <w14:textFill>
            <w14:solidFill>
              <w14:schemeClr w14:val="tx1"/>
            </w14:solidFill>
          </w14:textFill>
        </w:rPr>
        <w:t>时</w:t>
      </w:r>
      <w:r>
        <w:rPr>
          <w:rFonts w:hint="eastAsia" w:ascii="仿宋_GB2312" w:hAnsi="宋体" w:eastAsia="仿宋_GB2312"/>
          <w:b/>
          <w:color w:val="000000" w:themeColor="text1"/>
          <w:sz w:val="28"/>
          <w:szCs w:val="28"/>
          <w:highlight w:val="none"/>
          <w14:textFill>
            <w14:solidFill>
              <w14:schemeClr w14:val="tx1"/>
            </w14:solidFill>
          </w14:textFill>
        </w:rPr>
        <w:t>踏勘现场。（无论报价单位是否踏勘，报价一经递交，均视为已踏勘）。</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竞争性比选有效期：</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bCs/>
          <w:color w:val="auto"/>
          <w:kern w:val="0"/>
          <w:sz w:val="28"/>
          <w:szCs w:val="28"/>
          <w:highlight w:val="none"/>
          <w:u w:val="single"/>
          <w:lang w:eastAsia="zh-CN"/>
        </w:rPr>
        <w:t>9</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0  </w:t>
      </w:r>
      <w:r>
        <w:rPr>
          <w:rFonts w:hint="eastAsia" w:ascii="仿宋" w:hAnsi="仿宋" w:eastAsia="仿宋"/>
          <w:b/>
          <w:bCs/>
          <w:color w:val="000000" w:themeColor="text1"/>
          <w:kern w:val="0"/>
          <w:sz w:val="28"/>
          <w:szCs w:val="28"/>
          <w:highlight w:val="none"/>
          <w14:textFill>
            <w14:solidFill>
              <w14:schemeClr w14:val="tx1"/>
            </w14:solidFill>
          </w14:textFill>
        </w:rPr>
        <w:t>日历天</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21年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8</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auto"/>
          <w:sz w:val="28"/>
          <w:szCs w:val="28"/>
          <w:highlight w:val="none"/>
          <w:u w:val="single"/>
          <w:lang w:val="en-US" w:eastAsia="zh-CN"/>
        </w:rPr>
        <w:t>14</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auto"/>
          <w:sz w:val="28"/>
          <w:szCs w:val="28"/>
          <w:highlight w:val="none"/>
          <w:lang w:val="en-US" w:eastAsia="zh-CN"/>
        </w:rPr>
        <w:t>30分</w:t>
      </w:r>
      <w:r>
        <w:rPr>
          <w:rFonts w:hint="eastAsia" w:ascii="仿宋" w:hAnsi="仿宋" w:eastAsia="仿宋"/>
          <w:color w:val="000000" w:themeColor="text1"/>
          <w:sz w:val="28"/>
          <w:szCs w:val="28"/>
          <w:highlight w:val="none"/>
          <w14:textFill>
            <w14:solidFill>
              <w14:schemeClr w14:val="tx1"/>
            </w14:solidFill>
          </w14:textFill>
        </w:rPr>
        <w:t>在重庆机场集团公司动力能源保障部（机场东路3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。对未被选中的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不通知、不解释。若竞争性比选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履约保证金：无</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报价及响应</w:t>
      </w:r>
      <w:r>
        <w:rPr>
          <w:rFonts w:ascii="仿宋" w:hAnsi="仿宋" w:eastAsia="仿宋"/>
          <w:b/>
          <w:bCs/>
          <w:color w:val="000000" w:themeColor="text1"/>
          <w:kern w:val="0"/>
          <w:sz w:val="28"/>
          <w:szCs w:val="28"/>
          <w:highlight w:val="none"/>
          <w14:textFill>
            <w14:solidFill>
              <w14:schemeClr w14:val="tx1"/>
            </w14:solidFill>
          </w14:textFill>
        </w:rPr>
        <w:t>文件编制</w:t>
      </w:r>
      <w:r>
        <w:rPr>
          <w:rFonts w:hint="eastAsia" w:ascii="仿宋" w:hAnsi="仿宋" w:eastAsia="仿宋"/>
          <w:b/>
          <w:bCs/>
          <w:color w:val="000000" w:themeColor="text1"/>
          <w:kern w:val="0"/>
          <w:sz w:val="28"/>
          <w:szCs w:val="28"/>
          <w:highlight w:val="none"/>
          <w14:textFill>
            <w14:solidFill>
              <w14:schemeClr w14:val="tx1"/>
            </w14:solidFill>
          </w14:textFill>
        </w:rPr>
        <w:t>要求</w:t>
      </w:r>
    </w:p>
    <w:p>
      <w:pPr>
        <w:pStyle w:val="2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2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2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highlight w:val="none"/>
          <w:lang w:val="zh-CN"/>
          <w14:textFill>
            <w14:solidFill>
              <w14:schemeClr w14:val="tx1"/>
            </w14:solidFill>
          </w14:textFill>
        </w:rPr>
        <w:t>相关资质证书（复印件）、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themeColor="text1"/>
          <w:sz w:val="28"/>
          <w:szCs w:val="28"/>
          <w:highlight w:val="none"/>
          <w:lang w:val="zh-CN"/>
          <w14:textFill>
            <w14:solidFill>
              <w14:schemeClr w14:val="tx1"/>
            </w14:solidFill>
          </w14:textFill>
        </w:rPr>
        <w:t>鲜章的</w:t>
      </w:r>
      <w:r>
        <w:rPr>
          <w:rFonts w:hint="eastAsia" w:ascii="仿宋" w:hAnsi="仿宋" w:eastAsia="仿宋"/>
          <w:color w:val="000000" w:themeColor="text1"/>
          <w:sz w:val="28"/>
          <w:szCs w:val="28"/>
          <w:highlight w:val="none"/>
          <w:lang w:val="zh-CN"/>
          <w14:textFill>
            <w14:solidFill>
              <w14:schemeClr w14:val="tx1"/>
            </w14:solidFill>
          </w14:textFill>
        </w:rPr>
        <w:t>法定代表人及</w:t>
      </w:r>
      <w:r>
        <w:rPr>
          <w:rFonts w:ascii="仿宋" w:hAnsi="仿宋" w:eastAsia="仿宋"/>
          <w:color w:val="000000" w:themeColor="text1"/>
          <w:sz w:val="28"/>
          <w:szCs w:val="28"/>
          <w:highlight w:val="none"/>
          <w:lang w:val="zh-CN"/>
          <w14:textFill>
            <w14:solidFill>
              <w14:schemeClr w14:val="tx1"/>
            </w14:solidFill>
          </w14:textFill>
        </w:rPr>
        <w:t>被授权人</w:t>
      </w:r>
      <w:r>
        <w:rPr>
          <w:rFonts w:hint="eastAsia" w:ascii="仿宋" w:hAnsi="仿宋" w:eastAsia="仿宋"/>
          <w:color w:val="000000" w:themeColor="text1"/>
          <w:sz w:val="28"/>
          <w:szCs w:val="28"/>
          <w:highlight w:val="none"/>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以上</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_GB2312" w:eastAsia="仿宋_GB2312"/>
          <w:b/>
          <w:color w:val="000000" w:themeColor="text1"/>
          <w:sz w:val="28"/>
          <w:szCs w:val="28"/>
          <w:highlight w:val="none"/>
          <w:lang w:val="zh-CN"/>
          <w14:textFill>
            <w14:solidFill>
              <w14:schemeClr w14:val="tx1"/>
            </w14:solidFill>
          </w14:textFill>
        </w:rPr>
        <w:t>要求原件备查，复印件均</w:t>
      </w:r>
      <w:r>
        <w:rPr>
          <w:rFonts w:ascii="仿宋_GB2312" w:eastAsia="仿宋_GB2312"/>
          <w:b/>
          <w:color w:val="000000" w:themeColor="text1"/>
          <w:sz w:val="28"/>
          <w:szCs w:val="28"/>
          <w:highlight w:val="none"/>
          <w:lang w:val="zh-CN"/>
          <w14:textFill>
            <w14:solidFill>
              <w14:schemeClr w14:val="tx1"/>
            </w14:solidFill>
          </w14:textFill>
        </w:rPr>
        <w:t>需</w:t>
      </w:r>
      <w:r>
        <w:rPr>
          <w:rFonts w:hint="eastAsia" w:ascii="仿宋_GB2312" w:eastAsia="仿宋_GB2312"/>
          <w:b/>
          <w:color w:val="000000" w:themeColor="text1"/>
          <w:sz w:val="28"/>
          <w:szCs w:val="28"/>
          <w:highlight w:val="none"/>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份，正本文件内签字和盖章须为原件。副本可为正本的复印件。</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竞争性比选响应文件作废条款</w:t>
      </w:r>
    </w:p>
    <w:p>
      <w:pPr>
        <w:pStyle w:val="23"/>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hint="eastAsia" w:ascii="仿宋" w:hAnsi="仿宋" w:eastAsia="仿宋"/>
          <w:color w:val="auto"/>
          <w:sz w:val="28"/>
          <w:szCs w:val="28"/>
          <w:highlight w:val="none"/>
          <w:u w:val="single"/>
          <w:lang w:val="en-US" w:eastAsia="zh-CN"/>
        </w:rPr>
        <w:t>12</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8</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14</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30分</w:t>
      </w:r>
      <w:r>
        <w:rPr>
          <w:rFonts w:hint="eastAsia" w:ascii="仿宋" w:hAnsi="仿宋" w:eastAsia="仿宋"/>
          <w:b/>
          <w:color w:val="000000" w:themeColor="text1"/>
          <w:kern w:val="0"/>
          <w:sz w:val="28"/>
          <w:szCs w:val="28"/>
          <w:highlight w:val="none"/>
          <w14:textFill>
            <w14:solidFill>
              <w14:schemeClr w14:val="tx1"/>
            </w14:solidFill>
          </w14:textFill>
        </w:rPr>
        <w:t>前送到重庆机场有限公司动力能源保障部采购办公室（机场东路3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装入其自备的文件袋中，密封并在袋上加盖竞争性比选响应人单位鲜公章。</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竞争性比选响应文件散装或者活页装订的；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竞争性比选响应文件中报价函部分、授权部分等无法定代表人签字（签章）或签字人无有效授权书的；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资质不符或超出经营范围竞争性比选的；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有串通竞争性比选或弄虚作假或有其他违法行为的；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竞争性比选有效期不足的；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竞争性比选响应文件未按要求编制，内容不全或关键字迹模糊、无法辨认的；</w:t>
      </w:r>
    </w:p>
    <w:p>
      <w:pPr>
        <w:pStyle w:val="2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评审委员会审查发现竞争性比选响应文件未能对竞争性比选文件提出的所有实质性要求和条件作出响应的。</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十一、联系方式</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pStyle w:val="2"/>
        <w:rPr>
          <w:rFonts w:ascii="仿宋_GB2312" w:hAnsi="宋体" w:eastAsia="仿宋_GB2312"/>
          <w:color w:val="000000" w:themeColor="text1"/>
          <w:sz w:val="28"/>
          <w:szCs w:val="28"/>
          <w:highlight w:val="none"/>
          <w14:textFill>
            <w14:solidFill>
              <w14:schemeClr w14:val="tx1"/>
            </w14:solidFill>
          </w14:textFill>
        </w:rPr>
      </w:pPr>
    </w:p>
    <w:p>
      <w:pPr>
        <w:rPr>
          <w:rFonts w:ascii="仿宋_GB2312" w:hAnsi="宋体" w:eastAsia="仿宋_GB2312"/>
          <w:color w:val="000000" w:themeColor="text1"/>
          <w:sz w:val="28"/>
          <w:szCs w:val="28"/>
          <w:highlight w:val="none"/>
          <w14:textFill>
            <w14:solidFill>
              <w14:schemeClr w14:val="tx1"/>
            </w14:solidFill>
          </w14:textFill>
        </w:rPr>
      </w:pPr>
    </w:p>
    <w:p>
      <w:pPr>
        <w:rPr>
          <w:rFonts w:hint="eastAsia"/>
          <w:color w:val="auto"/>
          <w:highlight w:val="none"/>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项目竞争性比选文件的全部内容，愿意以人民币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（大写）</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不含增值税税额的总报价，增值税率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年   月   日</w:t>
      </w:r>
    </w:p>
    <w:p>
      <w:pPr>
        <w:rPr>
          <w:rFonts w:hint="eastAsia" w:ascii="宋体" w:hAnsi="宋体" w:eastAsia="宋体" w:cs="宋体"/>
          <w:i w:val="0"/>
          <w:color w:val="auto"/>
          <w:sz w:val="24"/>
          <w:szCs w:val="24"/>
          <w:highlight w:val="none"/>
          <w:u w:val="none"/>
        </w:rPr>
        <w:sectPr>
          <w:footerReference r:id="rId3" w:type="default"/>
          <w:pgSz w:w="11906" w:h="16838"/>
          <w:pgMar w:top="1080" w:right="1440" w:bottom="1080" w:left="1440" w:header="851" w:footer="992" w:gutter="0"/>
          <w:cols w:space="720" w:num="1"/>
          <w:docGrid w:type="linesAndChars" w:linePitch="312" w:charSpace="0"/>
        </w:sectPr>
      </w:pPr>
    </w:p>
    <w:tbl>
      <w:tblPr>
        <w:tblStyle w:val="11"/>
        <w:tblW w:w="15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600"/>
        <w:gridCol w:w="2289"/>
        <w:gridCol w:w="5550"/>
        <w:gridCol w:w="495"/>
        <w:gridCol w:w="780"/>
        <w:gridCol w:w="960"/>
        <w:gridCol w:w="1200"/>
        <w:gridCol w:w="1185"/>
        <w:gridCol w:w="9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275" w:type="dxa"/>
          <w:trHeight w:val="1200" w:hRule="atLeast"/>
        </w:trPr>
        <w:tc>
          <w:tcPr>
            <w:tcW w:w="600" w:type="dxa"/>
            <w:tcBorders>
              <w:top w:val="nil"/>
              <w:left w:val="nil"/>
              <w:bottom w:val="nil"/>
              <w:right w:val="nil"/>
            </w:tcBorders>
            <w:shd w:val="clear" w:color="auto" w:fill="auto"/>
            <w:tcMar>
              <w:top w:w="12" w:type="dxa"/>
              <w:left w:w="12" w:type="dxa"/>
              <w:right w:w="12" w:type="dxa"/>
            </w:tcMar>
            <w:vAlign w:val="center"/>
          </w:tcPr>
          <w:p>
            <w:pPr>
              <w:pStyle w:val="2"/>
              <w:rPr>
                <w:rFonts w:hint="eastAsia"/>
                <w:color w:val="auto"/>
                <w:highlight w:val="none"/>
              </w:rPr>
            </w:pPr>
          </w:p>
        </w:tc>
        <w:tc>
          <w:tcPr>
            <w:tcW w:w="13059"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28"/>
                <w:szCs w:val="28"/>
                <w:highlight w:val="none"/>
                <w:u w:val="none"/>
                <w:lang w:val="en-US" w:eastAsia="zh-CN" w:bidi="ar"/>
              </w:rPr>
              <w:t>分项报价明细表</w:t>
            </w:r>
          </w:p>
        </w:tc>
        <w:tc>
          <w:tcPr>
            <w:tcW w:w="9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序号 </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名称 </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规格型号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单位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数量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 xml:space="preserve"> 单价 （元）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金额</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w:t>
            </w:r>
            <w:r>
              <w:rPr>
                <w:rFonts w:hint="eastAsia" w:ascii="宋体" w:hAnsi="宋体" w:cs="宋体"/>
                <w:i w:val="0"/>
                <w:color w:val="000000"/>
                <w:kern w:val="0"/>
                <w:sz w:val="22"/>
                <w:szCs w:val="22"/>
                <w:highlight w:val="none"/>
                <w:u w:val="none"/>
                <w:lang w:val="en-US" w:eastAsia="zh-CN" w:bidi="ar"/>
              </w:rPr>
              <w:t>元，</w:t>
            </w:r>
            <w:r>
              <w:rPr>
                <w:rFonts w:hint="eastAsia" w:ascii="宋体" w:hAnsi="宋体" w:eastAsia="宋体" w:cs="宋体"/>
                <w:i w:val="0"/>
                <w:color w:val="000000"/>
                <w:kern w:val="0"/>
                <w:sz w:val="22"/>
                <w:szCs w:val="22"/>
                <w:highlight w:val="none"/>
                <w:u w:val="none"/>
                <w:lang w:val="en-US" w:eastAsia="zh-CN" w:bidi="ar"/>
              </w:rPr>
              <w:t xml:space="preserve">含税） </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分项含税小计（元）</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分项不含税小计（元）</w:t>
            </w:r>
            <w:r>
              <w:rPr>
                <w:rFonts w:hint="eastAsia" w:ascii="宋体" w:hAnsi="宋体" w:eastAsia="宋体" w:cs="宋体"/>
                <w:i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一</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不锈钢自吸泵</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明珠泵业，25FBZ-13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消毒粉</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永荣牌，型号：YR-808，20kg/桶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自吸水泵</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奥海纳，型号：T43-220，220v，扬程30m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工具架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尺寸cm：200*50*200，三层加厚型，承重350kg</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卡簧</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陆惠昌，φ5、6、8、9、10、11、12、13、14、15、16、17、20、22、25，外卡套装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卡簧钳</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得力，7寸，内外卡簧钳4件套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套筒扳手</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世达，09002，52件6.3mm系列套筒组</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泡腾含氯消毒片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品牌：中光 1gX100片/瓶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马桶除垢剂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好宜家，大桶5KG/桶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食用碘盐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晶心</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拖把</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普通拖把，耐用型</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风机电机轴承</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瑞典SKF，212ZZC3、6213ZZ，各2套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锂基润滑剂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长城尚博，通用锂基润滑剂1号，15kg/桶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垃圾桶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240L，圆形铁质，挂车专用，带盖带三个轮子，铁皮厚度2.0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8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交流接触器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正泰，CJX2-32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热继电器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施耐德，LRD3365C</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采样桶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透明有机玻璃，2L，加厚，带胶管、绳子、止水夹、保险扣</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进出口阀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GM隔膜计量泵进出口阀，DN15de20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6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隔膜片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米顿罗计量泵膜片，GM0050PL1MNN配套膜片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鼠标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无线鼠标，罗技，M170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控制变压器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德力西，BK-50容量50va频率50/60hz符合标准JB/T5555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钢卷尺</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世达，5米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6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百叶轮打磨片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80目，菱丰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切割片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世达，110mm*1.6*22.23mm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切割片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世达，180mm*20mm*1.8mm*40T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砂轮片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世达，55403，80目</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管道连接修补器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铸鸿机械，DN100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板式修补器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铸鸿机械，适用范围90-109mm，dn100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压力表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上海申安，型号：LDZF-30KB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安全阀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上海申安，型号：LDZF-30KB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工业盐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晶心  50Kg/包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900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一次性医用口罩</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振德，10只/袋</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齿轮油</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山东章晃机械工业，三叶罗茨鼓风机专用齿轮油，3.5L/桶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水杨酸钠</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沪试，AR 99.5～100.3%，250g/瓶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硝普钠</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奥克林，AR 99.0%，25g/瓶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布氏漏斗抽滤套装</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康玻，500ml抽滤瓶、80mm漏斗、漏斗托</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玻璃烧杯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蜀牛，型号：3000ml</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二</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部</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紫外线杀菌灯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北京四通 40w 1.2m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紫外线杀菌灯电子镇流器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通用型18w-36w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塑料变径接头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20内丝变16外丝</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热水器专用保养粉</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格科</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应急蘑菇灯灯罩</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直径26mm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气囊</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TOTO</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气动按钮</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MB008W-Q7 （蓝色白色）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FCSS  RO膜元件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 UF-701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低水位开关</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史密斯热水器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电子阳极棒</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史密斯热水器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饮水机电磁阀 出水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整流器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3AAA T8-36*2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线卡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12mm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线卡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20mm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LED感应头灯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神火 HL05-D黑色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继电器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欧姆龙14脚  220V 3A 线圈AC24V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小便器排水阀垫圈</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TOTO</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镇流器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3AAA  36WX1  T8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19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单眼冷热水洗手盆龙头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九牧32006黑色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射灯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雷士  35W  黄光</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射灯灯头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雷士  35W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龙头电源适配器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TP-LINK  DC 9V 0.85A升级款</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金卤灯镇流器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飞利浦  150W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堵漏王快干水泥</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2KG每包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LED吸顶灯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 xml:space="preserve">飞利浦Certafux DLM ES1500/865CLC CNG1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扎带3×250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扎带3×200 500/包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饮水机进水电磁阀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饮水机出水电磁阀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29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手电筒</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神火AJ01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饮水机加压马达</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7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饮水机水位器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 高中低一套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空开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ABB 4P 24A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活性炭滤芯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贺众UF-55C-1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7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LED面板灯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音浮 IF-IPL03024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冷热水三通阀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沐锐 4分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LED日光灯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音浮 T8 IF-ITU08018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LED日光灯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音浮 T5 IF-ITU10015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600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编程电缆</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西门子S7-200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电源车应急灯线控器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电源模块</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ABB CP-E 24/0.75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面板灯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300*1200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工业内窥镜</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腾驰500万高清摄像头H15S(硬线）5米+配套wifi</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整流器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凯朗特T5-28*2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LED双头射灯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宝星 QR21-2*12W 5700K</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45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LED嵌入式花天灯</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6w 白光</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三</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强力方形磁铁</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1mmx20mmx10mm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外丝直接</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DN25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快速接头密封圈，申菱，直径260  </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快速接头密封圈，申菱，直径260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NSK轴承（带轴承座）</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UKP213D1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冷却塔风机皮带</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富士SPB3800 5V1500 V-BELT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焊锡热缩接线端子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SST-41 20只/盒</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墙面修补膏</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250g</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插入式电磁流量计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KROHNE科隆 DWM2000/0/0/C/2/2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插入式电磁流量计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KROHNE科隆 DWM2000II/0/0/C/2/2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不锈钢淋浴软管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混水阀</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淋浴 暗装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空调器风扇用电容运转塑封电动机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YYR20-4A8-PG/20W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四</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配电箱柜锁</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Style w:val="29"/>
                <w:color w:val="auto"/>
                <w:highlight w:val="none"/>
                <w:lang w:val="en-US" w:eastAsia="zh-CN" w:bidi="ar"/>
              </w:rPr>
              <w:t>配电箱柜锁偏舌转头锁</w:t>
            </w:r>
            <w:r>
              <w:rPr>
                <w:rFonts w:hint="eastAsia" w:ascii="宋体" w:hAnsi="宋体" w:eastAsia="宋体" w:cs="宋体"/>
                <w:i w:val="0"/>
                <w:color w:val="000000"/>
                <w:kern w:val="0"/>
                <w:sz w:val="20"/>
                <w:szCs w:val="20"/>
                <w:highlight w:val="none"/>
                <w:u w:val="none"/>
                <w:lang w:val="en-US" w:eastAsia="zh-CN" w:bidi="ar"/>
              </w:rPr>
              <w:t>L47 L36（各100个） H25 外直径27，内直径18+16.5 一把钥匙通开</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200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散热风扇</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百瑞Bi-Sonic风机 5E-230B 230V 46W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50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塑壳断路器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ABB S2N Iu=160A Ue=690V UIMP=6KV</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电动操作机构</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ABB S2N 电动操作机构</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5"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5"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第五部分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散热风扇   220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联想原装IBM服务器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1247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不含税合计（元）</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247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含税合计（元）</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bl>
    <w:p>
      <w:pPr>
        <w:rPr>
          <w:rFonts w:ascii="仿宋" w:hAnsi="仿宋" w:eastAsia="仿宋"/>
          <w:color w:val="auto"/>
          <w:sz w:val="28"/>
          <w:szCs w:val="28"/>
          <w:highlight w:val="none"/>
        </w:rPr>
        <w:sectPr>
          <w:pgSz w:w="16838" w:h="11906" w:orient="landscape"/>
          <w:pgMar w:top="1440" w:right="1080" w:bottom="1440" w:left="1080" w:header="851" w:footer="992" w:gutter="0"/>
          <w:cols w:space="720" w:num="1"/>
          <w:docGrid w:type="linesAndChars" w:linePitch="312" w:charSpace="0"/>
        </w:sectPr>
      </w:pPr>
    </w:p>
    <w:p>
      <w:pPr>
        <w:pStyle w:val="2"/>
        <w:rPr>
          <w:color w:val="auto"/>
          <w:highlight w:val="none"/>
        </w:rPr>
      </w:pPr>
    </w:p>
    <w:p>
      <w:pPr>
        <w:widowControl/>
        <w:jc w:val="left"/>
        <w:rPr>
          <w:rFonts w:ascii="仿宋" w:hAnsi="仿宋" w:eastAsia="仿宋"/>
          <w:color w:val="000000" w:themeColor="text1"/>
          <w:szCs w:val="21"/>
          <w:highlight w:val="none"/>
          <w14:textFill>
            <w14:solidFill>
              <w14:schemeClr w14:val="tx1"/>
            </w14:solidFill>
          </w14:textFill>
        </w:rPr>
      </w:pPr>
    </w:p>
    <w:p>
      <w:pPr>
        <w:widowControl/>
        <w:jc w:val="left"/>
        <w:rPr>
          <w:rFonts w:ascii="仿宋" w:hAnsi="仿宋" w:eastAsia="仿宋"/>
          <w:color w:val="000000" w:themeColor="text1"/>
          <w:szCs w:val="21"/>
          <w:highlight w:val="none"/>
          <w14:textFill>
            <w14:solidFill>
              <w14:schemeClr w14:val="tx1"/>
            </w14:solidFill>
          </w14:textFill>
        </w:rPr>
      </w:pP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_GB2312" w:eastAsia="仿宋_GB2312"/>
          <w:b/>
          <w:color w:val="000000" w:themeColor="text1"/>
          <w:sz w:val="44"/>
          <w:szCs w:val="44"/>
          <w:highlight w:val="none"/>
          <w14:textFill>
            <w14:solidFill>
              <w14:schemeClr w14:val="tx1"/>
            </w14:solidFill>
          </w14:textFill>
        </w:rPr>
      </w:pPr>
      <w:r>
        <w:rPr>
          <w:rFonts w:ascii="仿宋_GB2312" w:eastAsia="仿宋_GB2312"/>
          <w:b/>
          <w:color w:val="000000" w:themeColor="text1"/>
          <w:sz w:val="44"/>
          <w:szCs w:val="44"/>
          <w:highlight w:val="none"/>
          <w14:textFill>
            <w14:solidFill>
              <w14:schemeClr w14:val="tx1"/>
            </w14:solidFill>
          </w14:textFill>
        </w:rPr>
        <w:br w:type="page"/>
      </w:r>
    </w:p>
    <w:p>
      <w:pPr>
        <w:spacing w:after="156" w:afterLines="50" w:line="360" w:lineRule="auto"/>
        <w:ind w:right="964" w:firstLine="600" w:firstLineChars="200"/>
        <w:jc w:val="right"/>
        <w:rPr>
          <w:rFonts w:ascii="黑体" w:hAnsi="黑体" w:eastAsia="黑体" w:cs="宋体"/>
          <w:color w:val="000000"/>
          <w:sz w:val="24"/>
          <w:szCs w:val="30"/>
          <w:highlight w:val="none"/>
        </w:rPr>
      </w:pPr>
      <w:r>
        <w:rPr>
          <w:rFonts w:ascii="仿宋_GB2312" w:hAnsi="仿宋" w:eastAsia="仿宋_GB2312" w:cs="宋体"/>
          <w:color w:val="000000"/>
          <w:sz w:val="30"/>
          <w:szCs w:val="30"/>
          <w:highlight w:val="none"/>
        </w:rPr>
        <w:t xml:space="preserve">       </w:t>
      </w:r>
      <w:r>
        <w:rPr>
          <w:rFonts w:hint="eastAsia" w:ascii="黑体" w:hAnsi="黑体" w:eastAsia="黑体" w:cs="宋体"/>
          <w:color w:val="000000"/>
          <w:sz w:val="24"/>
          <w:szCs w:val="30"/>
          <w:highlight w:val="none"/>
        </w:rPr>
        <w:t>合同编号：CQA</w:t>
      </w:r>
    </w:p>
    <w:p>
      <w:pPr>
        <w:spacing w:after="156" w:afterLines="50" w:line="360" w:lineRule="auto"/>
        <w:ind w:firstLine="420" w:firstLineChars="200"/>
        <w:jc w:val="center"/>
        <w:rPr>
          <w:rFonts w:ascii="仿宋" w:hAnsi="仿宋" w:eastAsia="仿宋"/>
          <w:b/>
          <w:color w:val="000000"/>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000000"/>
          <w:sz w:val="32"/>
          <w:szCs w:val="32"/>
          <w:highlight w:val="none"/>
        </w:rPr>
      </w:pPr>
      <w:r>
        <w:rPr>
          <w:rFonts w:ascii="等线" w:hAnsi="等线" w:eastAsia="等线"/>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000000"/>
          <w:sz w:val="32"/>
          <w:szCs w:val="32"/>
          <w:highlight w:val="none"/>
        </w:rPr>
      </w:pPr>
      <w:r>
        <w:rPr>
          <w:rFonts w:hint="eastAsia" w:ascii="宋体" w:hAnsi="宋体" w:eastAsia="仿宋_GB2312" w:cs="宋体"/>
          <w:b/>
          <w:color w:val="000000"/>
          <w:sz w:val="32"/>
          <w:szCs w:val="32"/>
          <w:highlight w:val="none"/>
        </w:rPr>
        <w:t xml:space="preserve">                  </w:t>
      </w:r>
    </w:p>
    <w:p>
      <w:pPr>
        <w:snapToGrid w:val="0"/>
        <w:spacing w:before="100" w:beforeAutospacing="1" w:after="100" w:afterAutospacing="1" w:line="360" w:lineRule="auto"/>
        <w:ind w:firstLine="2600" w:firstLineChars="500"/>
        <w:rPr>
          <w:rFonts w:ascii="黑体" w:hAnsi="黑体" w:eastAsia="黑体"/>
          <w:color w:val="000000"/>
          <w:sz w:val="52"/>
          <w:szCs w:val="52"/>
          <w:highlight w:val="none"/>
        </w:rPr>
      </w:pPr>
      <w:r>
        <w:rPr>
          <w:rFonts w:hint="eastAsia" w:ascii="黑体" w:hAnsi="黑体" w:eastAsia="黑体" w:cs="宋体"/>
          <w:color w:val="000000"/>
          <w:sz w:val="52"/>
          <w:szCs w:val="52"/>
          <w:highlight w:val="none"/>
        </w:rPr>
        <w:t>采购框架协议</w:t>
      </w:r>
    </w:p>
    <w:p>
      <w:pPr>
        <w:snapToGrid w:val="0"/>
        <w:spacing w:before="100" w:beforeAutospacing="1" w:after="100" w:afterAutospacing="1" w:line="360" w:lineRule="auto"/>
        <w:ind w:firstLine="420" w:firstLineChars="200"/>
        <w:rPr>
          <w:rFonts w:ascii="宋体" w:hAnsi="宋体" w:cs="宋体"/>
          <w:b/>
          <w:color w:val="000000"/>
          <w:sz w:val="32"/>
          <w:szCs w:val="32"/>
          <w:highlight w:val="none"/>
        </w:rPr>
      </w:pPr>
      <w:r>
        <w:rPr>
          <w:rFonts w:ascii="等线" w:hAnsi="等线" w:eastAsia="等线" w:cs="宋体"/>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rPr>
          <w:rFonts w:ascii="等线" w:hAnsi="等线" w:eastAsia="等线"/>
          <w:b/>
          <w:color w:val="auto"/>
          <w:sz w:val="44"/>
          <w:highlight w:val="none"/>
        </w:rPr>
      </w:pPr>
      <w:r>
        <w:rPr>
          <w:rFonts w:hint="eastAsia" w:ascii="仿宋_GB2312" w:hAnsi="宋体"/>
          <w:b/>
          <w:color w:val="FF0000"/>
          <w:sz w:val="44"/>
          <w:highlight w:val="none"/>
        </w:rPr>
        <w:t>（本合同为签订模板，具体内容以前文为准）</w:t>
      </w: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00" w:firstLineChars="200"/>
        <w:jc w:val="center"/>
        <w:rPr>
          <w:rFonts w:ascii="黑体" w:hAnsi="黑体" w:eastAsia="黑体" w:cs="宋体"/>
          <w:color w:val="000000"/>
          <w:sz w:val="30"/>
          <w:szCs w:val="30"/>
          <w:highlight w:val="none"/>
        </w:rPr>
      </w:pPr>
      <w:r>
        <w:rPr>
          <w:rFonts w:hint="eastAsia" w:ascii="黑体" w:hAnsi="黑体" w:eastAsia="黑体" w:cs="宋体"/>
          <w:color w:val="000000"/>
          <w:sz w:val="30"/>
          <w:szCs w:val="30"/>
          <w:highlight w:val="none"/>
        </w:rPr>
        <w:t>甲方：重庆机场集团有限公司</w:t>
      </w:r>
    </w:p>
    <w:p>
      <w:pPr>
        <w:snapToGrid w:val="0"/>
        <w:spacing w:line="360" w:lineRule="auto"/>
        <w:ind w:firstLine="600" w:firstLineChars="200"/>
        <w:rPr>
          <w:rFonts w:ascii="黑体" w:hAnsi="黑体" w:eastAsia="黑体" w:cs="宋体"/>
          <w:b/>
          <w:bCs/>
          <w:color w:val="000000"/>
          <w:sz w:val="30"/>
          <w:szCs w:val="30"/>
          <w:highlight w:val="none"/>
          <w:u w:val="single"/>
        </w:rPr>
      </w:pPr>
      <w:r>
        <w:rPr>
          <w:rFonts w:hint="eastAsia" w:ascii="黑体" w:hAnsi="黑体" w:eastAsia="黑体" w:cs="宋体"/>
          <w:color w:val="000000"/>
          <w:sz w:val="30"/>
          <w:szCs w:val="30"/>
          <w:highlight w:val="none"/>
        </w:rPr>
        <w:t xml:space="preserve">            </w:t>
      </w:r>
      <w:r>
        <w:rPr>
          <w:rFonts w:ascii="黑体" w:hAnsi="黑体" w:eastAsia="黑体" w:cs="宋体"/>
          <w:color w:val="000000"/>
          <w:sz w:val="30"/>
          <w:szCs w:val="30"/>
          <w:highlight w:val="none"/>
        </w:rPr>
        <w:t xml:space="preserve">   </w:t>
      </w:r>
      <w:r>
        <w:rPr>
          <w:rFonts w:hint="eastAsia" w:ascii="黑体" w:hAnsi="黑体" w:eastAsia="黑体" w:cs="宋体"/>
          <w:color w:val="000000"/>
          <w:sz w:val="30"/>
          <w:szCs w:val="30"/>
          <w:highlight w:val="none"/>
        </w:rPr>
        <w:t>乙方：</w:t>
      </w:r>
      <w:r>
        <w:rPr>
          <w:rFonts w:hint="eastAsia" w:ascii="黑体" w:hAnsi="黑体" w:eastAsia="黑体" w:cs="宋体"/>
          <w:bCs/>
          <w:color w:val="000000"/>
          <w:sz w:val="30"/>
          <w:szCs w:val="30"/>
          <w:highlight w:val="none"/>
          <w:u w:val="single"/>
        </w:rPr>
        <w:t xml:space="preserve">                 </w:t>
      </w:r>
      <w:r>
        <w:rPr>
          <w:rFonts w:hint="eastAsia" w:ascii="黑体" w:hAnsi="黑体" w:eastAsia="黑体" w:cs="宋体"/>
          <w:b/>
          <w:bCs/>
          <w:color w:val="000000"/>
          <w:sz w:val="30"/>
          <w:szCs w:val="30"/>
          <w:highlight w:val="none"/>
          <w:u w:val="single"/>
        </w:rPr>
        <w:t xml:space="preserve">   </w:t>
      </w:r>
    </w:p>
    <w:p>
      <w:pPr>
        <w:spacing w:line="520" w:lineRule="exact"/>
        <w:ind w:firstLine="640" w:firstLineChars="200"/>
        <w:jc w:val="center"/>
        <w:rPr>
          <w:rFonts w:ascii="黑体" w:hAnsi="黑体" w:eastAsia="黑体"/>
          <w:b/>
          <w:bCs/>
          <w:color w:val="000000"/>
          <w:sz w:val="32"/>
          <w:szCs w:val="32"/>
          <w:highlight w:val="none"/>
        </w:rPr>
      </w:pPr>
    </w:p>
    <w:p>
      <w:pPr>
        <w:widowControl/>
        <w:spacing w:line="360" w:lineRule="auto"/>
        <w:ind w:firstLine="640" w:firstLineChars="200"/>
        <w:jc w:val="left"/>
        <w:rPr>
          <w:rFonts w:ascii="黑体" w:hAnsi="黑体" w:eastAsia="黑体" w:cs="宋体"/>
          <w:b/>
          <w:bCs/>
          <w:color w:val="000000"/>
          <w:sz w:val="32"/>
          <w:szCs w:val="32"/>
          <w:highlight w:val="none"/>
        </w:rPr>
      </w:pPr>
    </w:p>
    <w:p>
      <w:pPr>
        <w:pStyle w:val="2"/>
        <w:jc w:val="both"/>
        <w:rPr>
          <w:color w:val="auto"/>
          <w:highlight w:val="none"/>
        </w:rPr>
      </w:pPr>
    </w:p>
    <w:p>
      <w:pPr>
        <w:rPr>
          <w:color w:val="auto"/>
          <w:highlight w:val="none"/>
        </w:rPr>
      </w:pPr>
    </w:p>
    <w:p>
      <w:pPr>
        <w:tabs>
          <w:tab w:val="right" w:pos="7700"/>
        </w:tabs>
        <w:spacing w:line="360" w:lineRule="auto"/>
        <w:jc w:val="left"/>
        <w:rPr>
          <w:rFonts w:ascii="宋体" w:hAnsi="宋体" w:cs="宋体"/>
          <w:bCs/>
          <w:color w:val="000000"/>
          <w:sz w:val="28"/>
          <w:szCs w:val="28"/>
          <w:highlight w:val="none"/>
        </w:rPr>
      </w:pPr>
    </w:p>
    <w:p>
      <w:pPr>
        <w:tabs>
          <w:tab w:val="right" w:pos="7700"/>
        </w:tabs>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甲方：重庆机场集团有限公司</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560" w:firstLineChars="200"/>
        <w:jc w:val="left"/>
        <w:rPr>
          <w:rFonts w:ascii="宋体" w:hAnsi="宋体" w:cs="宋体"/>
          <w:bCs/>
          <w:color w:val="000000"/>
          <w:sz w:val="28"/>
          <w:szCs w:val="28"/>
          <w:highlight w:val="none"/>
        </w:rPr>
      </w:pP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乙方：</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600" w:firstLineChars="200"/>
        <w:rPr>
          <w:rFonts w:ascii="Calibri" w:hAnsi="Calibri" w:eastAsia="仿宋_GB2312"/>
          <w:color w:val="000000"/>
          <w:sz w:val="30"/>
          <w:szCs w:val="30"/>
          <w:highlight w:val="none"/>
        </w:rPr>
      </w:pP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 xml:space="preserve">根据《中华人民共和国合同法》及相关法律法规规定，经双方协商，一致同意就甲方向乙方采购 </w:t>
      </w:r>
      <w:r>
        <w:rPr>
          <w:rFonts w:ascii="仿宋_GB2312" w:hAnsi="仿宋" w:eastAsia="仿宋_GB2312" w:cs="宋体"/>
          <w:i/>
          <w:iCs/>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0" w:name="_Toc24700706"/>
      <w:r>
        <w:rPr>
          <w:rFonts w:hint="eastAsia" w:ascii="Arial" w:hAnsi="Arial" w:eastAsia="黑体"/>
          <w:bCs/>
          <w:color w:val="000000"/>
          <w:sz w:val="32"/>
          <w:szCs w:val="32"/>
          <w:highlight w:val="none"/>
        </w:rPr>
        <w:t>第一条 采购的内容和范围</w:t>
      </w:r>
      <w:bookmarkEnd w:id="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1.1甲方向乙方采购的内容是：</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 xml:space="preserve">  。</w:t>
      </w:r>
    </w:p>
    <w:p>
      <w:pPr>
        <w:spacing w:line="360" w:lineRule="auto"/>
        <w:ind w:firstLine="600" w:firstLineChars="200"/>
        <w:rPr>
          <w:rFonts w:ascii="仿宋_GB2312" w:hAnsi="仿宋" w:eastAsia="仿宋_GB2312" w:cs="宋体"/>
          <w:color w:val="FF0000"/>
          <w:sz w:val="30"/>
          <w:szCs w:val="30"/>
          <w:highlight w:val="none"/>
        </w:rPr>
      </w:pPr>
      <w:r>
        <w:rPr>
          <w:rFonts w:hint="eastAsia" w:ascii="仿宋_GB2312" w:hAnsi="仿宋" w:eastAsia="仿宋_GB2312" w:cs="宋体"/>
          <w:color w:val="FF0000"/>
          <w:sz w:val="30"/>
          <w:szCs w:val="30"/>
          <w:highlight w:val="none"/>
        </w:rPr>
        <w:t>（可列表说明）</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 w:name="_Toc24700707"/>
      <w:r>
        <w:rPr>
          <w:rFonts w:hint="eastAsia" w:ascii="Arial" w:hAnsi="Arial" w:eastAsia="黑体"/>
          <w:bCs/>
          <w:color w:val="000000"/>
          <w:sz w:val="32"/>
          <w:szCs w:val="32"/>
          <w:highlight w:val="none"/>
        </w:rPr>
        <w:t>第二条  合同期限</w:t>
      </w:r>
      <w:bookmarkEnd w:id="1"/>
    </w:p>
    <w:p>
      <w:pPr>
        <w:spacing w:line="360" w:lineRule="auto"/>
        <w:ind w:left="1020" w:leftChars="200" w:hanging="600" w:hanging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本合同期限为</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年，自</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日起始至</w:t>
      </w:r>
    </w:p>
    <w:p>
      <w:pPr>
        <w:spacing w:line="360" w:lineRule="auto"/>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日止。</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2" w:name="_Toc24700708"/>
      <w:r>
        <w:rPr>
          <w:rFonts w:hint="eastAsia" w:ascii="Arial" w:hAnsi="Arial" w:eastAsia="黑体"/>
          <w:bCs/>
          <w:color w:val="000000"/>
          <w:sz w:val="32"/>
          <w:szCs w:val="32"/>
          <w:highlight w:val="none"/>
        </w:rPr>
        <w:t>第三条 合同价款</w:t>
      </w:r>
      <w:bookmarkEnd w:id="2"/>
    </w:p>
    <w:p>
      <w:pPr>
        <w:spacing w:line="360" w:lineRule="auto"/>
        <w:ind w:firstLine="600" w:firstLineChars="200"/>
        <w:rPr>
          <w:rFonts w:ascii="仿宋_GB2312" w:hAnsi="仿宋" w:eastAsia="仿宋_GB2312" w:cs="宋体"/>
          <w:color w:val="FF0000"/>
          <w:sz w:val="30"/>
          <w:szCs w:val="30"/>
          <w:highlight w:val="none"/>
        </w:rPr>
      </w:pPr>
      <w:r>
        <w:rPr>
          <w:rFonts w:hint="eastAsia" w:ascii="仿宋_GB2312" w:hAnsi="仿宋" w:eastAsia="仿宋_GB2312" w:cs="宋体"/>
          <w:color w:val="000000"/>
          <w:sz w:val="30"/>
          <w:szCs w:val="30"/>
          <w:highlight w:val="none"/>
        </w:rPr>
        <w:t>3.1 合同价款是指甲方向乙方实施采购应当向乙方支付的采购费用。具体标准</w:t>
      </w:r>
      <w:r>
        <w:rPr>
          <w:rFonts w:hint="eastAsia" w:ascii="仿宋_GB2312" w:hAnsi="仿宋" w:eastAsia="仿宋_GB2312" w:cs="宋体"/>
          <w:color w:val="FF0000"/>
          <w:sz w:val="30"/>
          <w:szCs w:val="30"/>
          <w:highlight w:val="none"/>
        </w:rPr>
        <w:t>（不含增值税）</w:t>
      </w:r>
      <w:r>
        <w:rPr>
          <w:rFonts w:hint="eastAsia" w:ascii="仿宋_GB2312" w:hAnsi="仿宋" w:eastAsia="仿宋_GB2312" w:cs="宋体"/>
          <w:color w:val="000000"/>
          <w:sz w:val="30"/>
          <w:szCs w:val="30"/>
          <w:highlight w:val="none"/>
        </w:rPr>
        <w:t>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FF0000"/>
          <w:sz w:val="30"/>
          <w:szCs w:val="30"/>
          <w:highlight w:val="none"/>
          <w:lang w:eastAsia="zh-CN"/>
        </w:rPr>
        <w:t>，增值税税率</w:t>
      </w:r>
      <w:r>
        <w:rPr>
          <w:rFonts w:hint="eastAsia" w:ascii="仿宋_GB2312" w:hAnsi="仿宋" w:eastAsia="仿宋_GB2312" w:cs="宋体"/>
          <w:color w:val="FF0000"/>
          <w:sz w:val="30"/>
          <w:szCs w:val="30"/>
          <w:highlight w:val="none"/>
          <w:u w:val="single"/>
          <w:lang w:eastAsia="zh-CN"/>
        </w:rPr>
        <w:t>：</w:t>
      </w:r>
      <w:r>
        <w:rPr>
          <w:rFonts w:hint="eastAsia" w:ascii="仿宋_GB2312" w:hAnsi="仿宋" w:eastAsia="仿宋_GB2312" w:cs="宋体"/>
          <w:color w:val="FF0000"/>
          <w:sz w:val="30"/>
          <w:szCs w:val="30"/>
          <w:highlight w:val="none"/>
          <w:u w:val="single"/>
          <w:lang w:val="en-US" w:eastAsia="zh-CN"/>
        </w:rPr>
        <w:t xml:space="preserve">  %</w:t>
      </w:r>
      <w:r>
        <w:rPr>
          <w:rFonts w:hint="eastAsia" w:ascii="仿宋_GB2312" w:hAnsi="仿宋" w:eastAsia="仿宋_GB2312" w:cs="宋体"/>
          <w:color w:val="FF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3.2合同价款包含：</w:t>
      </w:r>
      <w:r>
        <w:rPr>
          <w:rFonts w:hint="eastAsia" w:ascii="仿宋_GB2312" w:hAnsi="仿宋" w:eastAsia="仿宋_GB2312" w:cs="宋体"/>
          <w:color w:val="000000"/>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000000"/>
          <w:sz w:val="30"/>
          <w:szCs w:val="30"/>
          <w:highlight w:val="none"/>
          <w:u w:val="single"/>
          <w:lang w:eastAsia="zh-CN"/>
        </w:rPr>
        <w:t>等一切</w:t>
      </w:r>
      <w:r>
        <w:rPr>
          <w:rFonts w:hint="eastAsia" w:ascii="仿宋_GB2312" w:hAnsi="仿宋" w:eastAsia="仿宋_GB2312" w:cs="宋体"/>
          <w:color w:val="000000"/>
          <w:sz w:val="30"/>
          <w:szCs w:val="30"/>
          <w:highlight w:val="none"/>
          <w:u w:val="single"/>
        </w:rPr>
        <w:t>费用</w:t>
      </w:r>
      <w:r>
        <w:rPr>
          <w:rFonts w:hint="eastAsia"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000000"/>
          <w:sz w:val="32"/>
          <w:szCs w:val="32"/>
          <w:highlight w:val="none"/>
          <w:lang w:eastAsia="zh-CN"/>
        </w:rPr>
      </w:pPr>
      <w:bookmarkStart w:id="3" w:name="_Toc24700709"/>
      <w:r>
        <w:rPr>
          <w:rFonts w:hint="eastAsia" w:ascii="Arial" w:hAnsi="Arial" w:eastAsia="黑体"/>
          <w:bCs/>
          <w:color w:val="000000"/>
          <w:sz w:val="32"/>
          <w:szCs w:val="32"/>
          <w:highlight w:val="none"/>
        </w:rPr>
        <w:t xml:space="preserve">第四条 </w:t>
      </w:r>
      <w:bookmarkEnd w:id="3"/>
      <w:r>
        <w:rPr>
          <w:rFonts w:hint="eastAsia" w:ascii="Arial" w:hAnsi="Arial" w:eastAsia="黑体"/>
          <w:bCs/>
          <w:color w:val="000000"/>
          <w:sz w:val="32"/>
          <w:szCs w:val="32"/>
          <w:highlight w:val="none"/>
          <w:lang w:eastAsia="zh-CN"/>
        </w:rPr>
        <w:t>支付方式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4.1乙方按约完成供货并经甲方验收合格后，乙方提出采购费用支付的</w:t>
      </w:r>
      <w:r>
        <w:rPr>
          <w:rFonts w:hint="eastAsia" w:ascii="仿宋_GB2312" w:hAnsi="仿宋" w:eastAsia="仿宋_GB2312" w:cs="宋体"/>
          <w:color w:val="000000"/>
          <w:sz w:val="30"/>
          <w:szCs w:val="30"/>
          <w:highlight w:val="none"/>
          <w:lang w:eastAsia="zh-CN"/>
        </w:rPr>
        <w:t>书面</w:t>
      </w:r>
      <w:r>
        <w:rPr>
          <w:rFonts w:hint="eastAsia" w:ascii="仿宋_GB2312" w:hAnsi="仿宋" w:eastAsia="仿宋_GB2312" w:cs="宋体"/>
          <w:color w:val="000000"/>
          <w:sz w:val="30"/>
          <w:szCs w:val="30"/>
          <w:highlight w:val="none"/>
        </w:rPr>
        <w:t>申请，经甲方确认后</w:t>
      </w:r>
      <w:r>
        <w:rPr>
          <w:rFonts w:hint="eastAsia" w:ascii="仿宋_GB2312" w:hAnsi="仿宋" w:eastAsia="仿宋_GB2312" w:cs="宋体"/>
          <w:color w:val="000000"/>
          <w:sz w:val="30"/>
          <w:szCs w:val="30"/>
          <w:highlight w:val="none"/>
          <w:u w:val="single"/>
          <w:lang w:val="en-US" w:eastAsia="zh-CN"/>
        </w:rPr>
        <w:t>45</w:t>
      </w:r>
      <w:r>
        <w:rPr>
          <w:rFonts w:hint="eastAsia" w:ascii="仿宋_GB2312" w:hAnsi="仿宋" w:eastAsia="仿宋_GB2312" w:cs="宋体"/>
          <w:color w:val="000000"/>
          <w:sz w:val="30"/>
          <w:szCs w:val="30"/>
          <w:highlight w:val="none"/>
        </w:rPr>
        <w:t>个工作日内支付</w:t>
      </w:r>
      <w:r>
        <w:rPr>
          <w:rFonts w:hint="eastAsia" w:ascii="仿宋_GB2312" w:hAnsi="仿宋" w:eastAsia="仿宋_GB2312" w:cs="宋体"/>
          <w:color w:val="000000"/>
          <w:sz w:val="30"/>
          <w:szCs w:val="30"/>
          <w:highlight w:val="none"/>
          <w:lang w:val="en-US" w:eastAsia="zh-CN"/>
        </w:rPr>
        <w:t>97%合同款，待质保期结束，且无质量问题，支付尾款。</w:t>
      </w:r>
      <w:r>
        <w:rPr>
          <w:rFonts w:hint="eastAsia"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FF0000"/>
          <w:sz w:val="30"/>
          <w:szCs w:val="30"/>
          <w:highlight w:val="none"/>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000000"/>
          <w:sz w:val="30"/>
          <w:szCs w:val="30"/>
          <w:highlight w:val="none"/>
        </w:rPr>
      </w:pP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4" w:name="_Toc24700710"/>
      <w:r>
        <w:rPr>
          <w:rFonts w:hint="eastAsia" w:ascii="Arial" w:hAnsi="Arial" w:eastAsia="黑体"/>
          <w:bCs/>
          <w:color w:val="000000"/>
          <w:sz w:val="32"/>
          <w:szCs w:val="32"/>
          <w:highlight w:val="none"/>
        </w:rPr>
        <w:t>第五条 陈述与保证</w:t>
      </w:r>
      <w:bookmarkEnd w:id="4"/>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000000"/>
          <w:sz w:val="30"/>
          <w:szCs w:val="30"/>
          <w:highlight w:val="none"/>
          <w:lang w:eastAsia="zh-CN"/>
        </w:rPr>
        <w:t>整装</w:t>
      </w:r>
      <w:r>
        <w:rPr>
          <w:rFonts w:hint="eastAsia" w:ascii="仿宋_GB2312" w:hAnsi="仿宋" w:eastAsia="仿宋_GB2312" w:cs="宋体"/>
          <w:color w:val="000000"/>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5.2 乙方承诺所供产品或服务的质量保证期为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5.3 因产品质量瑕疵或缺陷导致的甲方或第三人损害的，乙方承担赔偿责任。</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5" w:name="_Toc24700711"/>
      <w:r>
        <w:rPr>
          <w:rFonts w:hint="eastAsia" w:ascii="Arial" w:hAnsi="Arial" w:eastAsia="黑体"/>
          <w:bCs/>
          <w:color w:val="000000"/>
          <w:sz w:val="32"/>
          <w:szCs w:val="32"/>
          <w:highlight w:val="none"/>
        </w:rPr>
        <w:t>第六条 交付与验收</w:t>
      </w:r>
      <w:bookmarkEnd w:id="5"/>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000000"/>
          <w:sz w:val="30"/>
          <w:szCs w:val="30"/>
          <w:highlight w:val="none"/>
          <w:lang w:eastAsia="zh-CN"/>
        </w:rPr>
        <w:t>到指定地点或货架</w:t>
      </w:r>
      <w:r>
        <w:rPr>
          <w:rFonts w:hint="eastAsia" w:ascii="仿宋_GB2312" w:hAnsi="仿宋" w:eastAsia="仿宋_GB2312" w:cs="宋体"/>
          <w:color w:val="000000"/>
          <w:sz w:val="30"/>
          <w:szCs w:val="30"/>
          <w:highlight w:val="none"/>
        </w:rPr>
        <w:t>交货。</w:t>
      </w:r>
    </w:p>
    <w:p>
      <w:pPr>
        <w:spacing w:line="360" w:lineRule="auto"/>
        <w:ind w:firstLine="600" w:firstLineChars="200"/>
        <w:jc w:val="left"/>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6.2 验收标准</w:t>
      </w:r>
      <w:r>
        <w:rPr>
          <w:rFonts w:hint="eastAsia" w:ascii="仿宋_GB2312" w:hAnsi="仿宋" w:eastAsia="仿宋_GB2312" w:cs="宋体"/>
          <w:color w:val="000000"/>
          <w:sz w:val="30"/>
          <w:szCs w:val="30"/>
          <w:highlight w:val="none"/>
          <w:u w:val="single"/>
        </w:rPr>
        <w:t>：</w:t>
      </w:r>
      <w:r>
        <w:rPr>
          <w:rFonts w:hint="eastAsia" w:ascii="仿宋_GB2312" w:hAnsi="仿宋" w:eastAsia="仿宋_GB2312" w:cs="宋体"/>
          <w:color w:val="000000"/>
          <w:sz w:val="30"/>
          <w:szCs w:val="30"/>
          <w:highlight w:val="none"/>
          <w:u w:val="single"/>
          <w:lang w:eastAsia="zh-CN"/>
        </w:rPr>
        <w:t>货物数量齐全，外观完整，产品均在使用期限内。</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6" w:name="_Toc24700712"/>
      <w:r>
        <w:rPr>
          <w:rFonts w:hint="eastAsia" w:ascii="Arial" w:hAnsi="Arial" w:eastAsia="黑体"/>
          <w:bCs/>
          <w:color w:val="000000"/>
          <w:sz w:val="32"/>
          <w:szCs w:val="32"/>
          <w:highlight w:val="none"/>
        </w:rPr>
        <w:t>第七条 履约保证金</w:t>
      </w:r>
      <w:bookmarkEnd w:id="6"/>
    </w:p>
    <w:p>
      <w:pPr>
        <w:spacing w:line="360" w:lineRule="auto"/>
        <w:ind w:firstLine="600" w:firstLineChars="200"/>
        <w:rPr>
          <w:rFonts w:hint="eastAsia" w:ascii="仿宋_GB2312" w:hAnsi="仿宋" w:eastAsia="仿宋_GB2312" w:cs="宋体"/>
          <w:color w:val="000000"/>
          <w:sz w:val="30"/>
          <w:szCs w:val="30"/>
          <w:highlight w:val="none"/>
          <w:lang w:eastAsia="zh-CN"/>
        </w:rPr>
      </w:pPr>
      <w:bookmarkStart w:id="7" w:name="_Toc24700713"/>
      <w:r>
        <w:rPr>
          <w:rFonts w:hint="eastAsia" w:ascii="仿宋_GB2312" w:hAnsi="仿宋" w:eastAsia="仿宋_GB2312" w:cs="宋体"/>
          <w:color w:val="000000"/>
          <w:sz w:val="30"/>
          <w:szCs w:val="30"/>
          <w:highlight w:val="none"/>
          <w:lang w:eastAsia="zh-CN"/>
        </w:rPr>
        <w:t>本项目不收取履约保证金。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r>
        <w:rPr>
          <w:rFonts w:hint="eastAsia" w:ascii="Arial" w:hAnsi="Arial" w:eastAsia="黑体"/>
          <w:bCs/>
          <w:color w:val="000000"/>
          <w:sz w:val="32"/>
          <w:szCs w:val="32"/>
          <w:highlight w:val="none"/>
        </w:rPr>
        <w:t>第八条  双方权利与义务</w:t>
      </w:r>
      <w:bookmarkEnd w:id="7"/>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8.1甲方应按约定向乙方支付采购费用；</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8.2甲方超出本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8.4 甲方有权对乙方履行本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8" w:name="_Toc24700714"/>
      <w:r>
        <w:rPr>
          <w:rFonts w:hint="eastAsia" w:ascii="Arial" w:hAnsi="Arial" w:eastAsia="黑体"/>
          <w:bCs/>
          <w:color w:val="000000"/>
          <w:sz w:val="32"/>
          <w:szCs w:val="32"/>
          <w:highlight w:val="none"/>
        </w:rPr>
        <w:t>第九条  违约责任</w:t>
      </w:r>
      <w:bookmarkEnd w:id="8"/>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9</w:t>
      </w: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lang w:eastAsia="zh-CN"/>
        </w:rPr>
        <w:t>若因</w:t>
      </w:r>
      <w:r>
        <w:rPr>
          <w:rFonts w:ascii="仿宋_GB2312" w:hAnsi="仿宋" w:eastAsia="仿宋_GB2312" w:cs="宋体"/>
          <w:color w:val="000000"/>
          <w:sz w:val="30"/>
          <w:szCs w:val="30"/>
          <w:highlight w:val="none"/>
        </w:rPr>
        <w:t>乙方</w:t>
      </w:r>
      <w:r>
        <w:rPr>
          <w:rFonts w:hint="eastAsia" w:ascii="仿宋_GB2312" w:hAnsi="仿宋" w:eastAsia="仿宋_GB2312" w:cs="宋体"/>
          <w:color w:val="000000"/>
          <w:sz w:val="30"/>
          <w:szCs w:val="30"/>
          <w:highlight w:val="none"/>
          <w:lang w:eastAsia="zh-CN"/>
        </w:rPr>
        <w:t>原因</w:t>
      </w:r>
      <w:r>
        <w:rPr>
          <w:rFonts w:ascii="仿宋_GB2312" w:hAnsi="仿宋" w:eastAsia="仿宋_GB2312" w:cs="宋体"/>
          <w:color w:val="000000"/>
          <w:sz w:val="30"/>
          <w:szCs w:val="30"/>
          <w:highlight w:val="none"/>
        </w:rPr>
        <w:t>逾期交</w:t>
      </w:r>
      <w:r>
        <w:rPr>
          <w:rFonts w:hint="eastAsia" w:ascii="仿宋_GB2312" w:hAnsi="仿宋" w:eastAsia="仿宋_GB2312" w:cs="宋体"/>
          <w:color w:val="000000"/>
          <w:sz w:val="30"/>
          <w:szCs w:val="30"/>
          <w:highlight w:val="none"/>
        </w:rPr>
        <w:t>货</w:t>
      </w:r>
      <w:r>
        <w:rPr>
          <w:rFonts w:ascii="仿宋_GB2312" w:hAnsi="仿宋" w:eastAsia="仿宋_GB2312" w:cs="宋体"/>
          <w:color w:val="000000"/>
          <w:sz w:val="30"/>
          <w:szCs w:val="30"/>
          <w:highlight w:val="none"/>
        </w:rPr>
        <w:t>，乙方应向甲方偿付逾期违约金。逾期违约金按</w:t>
      </w:r>
      <w:r>
        <w:rPr>
          <w:rFonts w:hint="eastAsia" w:ascii="仿宋_GB2312" w:hAnsi="仿宋" w:eastAsia="仿宋_GB2312" w:cs="宋体"/>
          <w:color w:val="000000"/>
          <w:sz w:val="30"/>
          <w:szCs w:val="30"/>
          <w:highlight w:val="none"/>
        </w:rPr>
        <w:t>照</w:t>
      </w:r>
      <w:r>
        <w:rPr>
          <w:rFonts w:hint="eastAsia" w:ascii="仿宋_GB2312" w:hAnsi="仿宋" w:eastAsia="仿宋_GB2312" w:cs="宋体"/>
          <w:color w:val="000000"/>
          <w:sz w:val="30"/>
          <w:szCs w:val="30"/>
          <w:highlight w:val="none"/>
          <w:u w:val="single"/>
          <w:lang w:eastAsia="zh-CN"/>
        </w:rPr>
        <w:t>本合同价款的</w:t>
      </w:r>
      <w:r>
        <w:rPr>
          <w:rFonts w:hint="eastAsia" w:ascii="仿宋_GB2312" w:hAnsi="仿宋" w:eastAsia="仿宋_GB2312" w:cs="宋体"/>
          <w:color w:val="000000"/>
          <w:sz w:val="30"/>
          <w:szCs w:val="30"/>
          <w:highlight w:val="none"/>
          <w:u w:val="single"/>
          <w:lang w:val="en-US" w:eastAsia="zh-CN"/>
        </w:rPr>
        <w:t>0.5%*逾期天数</w:t>
      </w:r>
      <w:r>
        <w:rPr>
          <w:rFonts w:hint="eastAsia" w:ascii="仿宋_GB2312" w:hAnsi="仿宋" w:eastAsia="仿宋_GB2312" w:cs="宋体"/>
          <w:color w:val="000000"/>
          <w:sz w:val="30"/>
          <w:szCs w:val="30"/>
          <w:highlight w:val="none"/>
        </w:rPr>
        <w:t>计算。</w:t>
      </w:r>
      <w:r>
        <w:rPr>
          <w:rFonts w:ascii="仿宋_GB2312" w:hAnsi="仿宋" w:eastAsia="仿宋_GB2312" w:cs="宋体"/>
          <w:color w:val="000000"/>
          <w:sz w:val="30"/>
          <w:szCs w:val="30"/>
          <w:highlight w:val="none"/>
        </w:rPr>
        <w:t>违约金尚不能补偿对方损失时，有权向对方追索实际损失的赔偿金。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9" w:name="_Toc24700715"/>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w:t>
      </w:r>
      <w:r>
        <w:rPr>
          <w:rFonts w:ascii="Arial" w:hAnsi="Arial" w:eastAsia="黑体"/>
          <w:bCs/>
          <w:color w:val="000000"/>
          <w:sz w:val="32"/>
          <w:szCs w:val="32"/>
          <w:highlight w:val="none"/>
        </w:rPr>
        <w:t>条 不可抗力</w:t>
      </w:r>
      <w:bookmarkEnd w:id="9"/>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.2 </w:t>
      </w:r>
      <w:r>
        <w:rPr>
          <w:rFonts w:hint="eastAsia" w:ascii="仿宋_GB2312" w:hAnsi="仿宋" w:eastAsia="仿宋_GB2312" w:cs="宋体"/>
          <w:color w:val="000000"/>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highlight w:val="none"/>
        </w:rPr>
        <w:t>30个工作日内据实结算完毕。迟</w:t>
      </w:r>
      <w:r>
        <w:rPr>
          <w:rFonts w:hint="eastAsia" w:ascii="仿宋_GB2312" w:hAnsi="仿宋" w:eastAsia="仿宋_GB2312" w:cs="宋体"/>
          <w:color w:val="000000"/>
          <w:sz w:val="30"/>
          <w:szCs w:val="30"/>
          <w:highlight w:val="none"/>
        </w:rPr>
        <w:t>延履行后发生不可抗力的，不能免除违约责任。</w:t>
      </w:r>
      <w:r>
        <w:rPr>
          <w:rFonts w:ascii="仿宋_GB2312" w:hAnsi="仿宋" w:eastAsia="仿宋_GB2312" w:cs="宋体"/>
          <w:color w:val="000000"/>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0" w:name="_Toc24700716"/>
      <w:r>
        <w:rPr>
          <w:rFonts w:hint="eastAsia" w:ascii="Arial" w:hAnsi="Arial" w:eastAsia="黑体"/>
          <w:bCs/>
          <w:color w:val="000000"/>
          <w:sz w:val="32"/>
          <w:szCs w:val="32"/>
          <w:highlight w:val="none"/>
        </w:rPr>
        <w:t>第十一条 通知条款</w:t>
      </w:r>
      <w:bookmarkEnd w:id="1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甲方指定的联系方式：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乙方指定的联系方式：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1" w:name="_Toc24700717"/>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十二</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保密条款</w:t>
      </w:r>
      <w:bookmarkEnd w:id="11"/>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2" w:name="_Toc24700718"/>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十三</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合同争议的解决方式</w:t>
      </w:r>
      <w:bookmarkEnd w:id="12"/>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若在合同履行过程中发生争议，甲乙双方应当友好协商解决，协商不成，按以下第（</w:t>
      </w:r>
      <w:r>
        <w:rPr>
          <w:rFonts w:hint="eastAsia" w:ascii="仿宋_GB2312" w:hAnsi="仿宋" w:eastAsia="仿宋_GB2312" w:cs="宋体"/>
          <w:color w:val="000000"/>
          <w:sz w:val="30"/>
          <w:szCs w:val="30"/>
          <w:highlight w:val="none"/>
          <w:lang w:eastAsia="zh-CN"/>
        </w:rPr>
        <w:t>二</w:t>
      </w:r>
      <w:r>
        <w:rPr>
          <w:rFonts w:ascii="仿宋_GB2312" w:hAnsi="仿宋" w:eastAsia="仿宋_GB2312" w:cs="宋体"/>
          <w:color w:val="000000"/>
          <w:sz w:val="30"/>
          <w:szCs w:val="30"/>
          <w:highlight w:val="none"/>
        </w:rPr>
        <w:t>） 种方式解决：</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（二）向</w:t>
      </w:r>
      <w:r>
        <w:rPr>
          <w:rFonts w:ascii="仿宋_GB2312" w:hAnsi="仿宋" w:eastAsia="仿宋_GB2312" w:cs="宋体"/>
          <w:color w:val="000000"/>
          <w:sz w:val="30"/>
          <w:szCs w:val="30"/>
          <w:highlight w:val="none"/>
        </w:rPr>
        <w:t>甲方所在地人民法院起诉。</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3" w:name="_Toc24700719"/>
      <w:r>
        <w:rPr>
          <w:rFonts w:hint="eastAsia" w:ascii="Arial" w:hAnsi="Arial" w:eastAsia="黑体"/>
          <w:bCs/>
          <w:color w:val="000000"/>
          <w:sz w:val="32"/>
          <w:szCs w:val="32"/>
          <w:highlight w:val="none"/>
        </w:rPr>
        <w:t xml:space="preserve">第十四条 </w:t>
      </w:r>
      <w:r>
        <w:rPr>
          <w:rFonts w:ascii="Arial" w:hAnsi="Arial" w:eastAsia="黑体"/>
          <w:bCs/>
          <w:color w:val="000000"/>
          <w:sz w:val="32"/>
          <w:szCs w:val="32"/>
          <w:highlight w:val="none"/>
        </w:rPr>
        <w:t>合同的变更和解除</w:t>
      </w:r>
      <w:bookmarkEnd w:id="13"/>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.1 本合同履行过程中，如果合同履行条件发生变化</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.2 经双方协商一致，并达成书面合同后，本合同可以解除</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双方应就合同解除的后果在解约合同中一并做出约定。</w:t>
      </w:r>
      <w:r>
        <w:rPr>
          <w:rFonts w:hint="eastAsia" w:ascii="仿宋_GB2312" w:hAnsi="仿宋" w:eastAsia="仿宋_GB2312" w:cs="宋体"/>
          <w:color w:val="000000"/>
          <w:sz w:val="30"/>
          <w:szCs w:val="30"/>
          <w:highlight w:val="none"/>
        </w:rPr>
        <w:t>一方也可根据合同约定单方行使合同解除权</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4" w:name="_Toc24700720"/>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十五</w:t>
      </w:r>
      <w:r>
        <w:rPr>
          <w:rFonts w:ascii="Arial" w:hAnsi="Arial" w:eastAsia="黑体"/>
          <w:bCs/>
          <w:color w:val="000000"/>
          <w:sz w:val="32"/>
          <w:szCs w:val="32"/>
          <w:highlight w:val="none"/>
        </w:rPr>
        <w:t>条 合同生效及其他</w:t>
      </w:r>
      <w:bookmarkEnd w:id="14"/>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乙方和甲方约定合同内容双方法人代表人或授权代表签字并加盖公司公章或合同专用章后生效</w:t>
      </w:r>
      <w:r>
        <w:rPr>
          <w:rFonts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w:t>
      </w:r>
      <w:r>
        <w:rPr>
          <w:rFonts w:hint="eastAsia" w:ascii="仿宋_GB2312" w:hAnsi="仿宋" w:eastAsia="仿宋_GB2312" w:cs="宋体"/>
          <w:color w:val="000000"/>
          <w:sz w:val="30"/>
          <w:szCs w:val="30"/>
          <w:highlight w:val="none"/>
        </w:rPr>
        <w:t>2</w:t>
      </w:r>
      <w:r>
        <w:rPr>
          <w:rFonts w:ascii="仿宋_GB2312" w:hAnsi="仿宋" w:eastAsia="仿宋_GB2312" w:cs="宋体"/>
          <w:color w:val="000000"/>
          <w:sz w:val="30"/>
          <w:szCs w:val="30"/>
          <w:highlight w:val="none"/>
        </w:rPr>
        <w:t xml:space="preserve"> 本合同一式</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份，甲方执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份，乙方执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w:t>
      </w:r>
      <w:r>
        <w:rPr>
          <w:rFonts w:hint="eastAsia" w:ascii="仿宋_GB2312" w:hAnsi="仿宋" w:eastAsia="仿宋_GB2312" w:cs="宋体"/>
          <w:color w:val="000000"/>
          <w:sz w:val="30"/>
          <w:szCs w:val="30"/>
          <w:highlight w:val="none"/>
        </w:rPr>
        <w:t>，具有同等法律效力</w:t>
      </w:r>
      <w:r>
        <w:rPr>
          <w:rFonts w:ascii="仿宋_GB2312" w:hAnsi="仿宋" w:eastAsia="仿宋_GB2312" w:cs="宋体"/>
          <w:color w:val="000000"/>
          <w:sz w:val="30"/>
          <w:szCs w:val="30"/>
          <w:highlight w:val="none"/>
        </w:rPr>
        <w:t>。</w:t>
      </w: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甲方（盖章）：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乙方（盖章）：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签订地点：</w:t>
      </w:r>
    </w:p>
    <w:p>
      <w:pPr>
        <w:pStyle w:val="2"/>
        <w:rPr>
          <w:color w:val="auto"/>
          <w:highlight w:val="none"/>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sectPr>
      <w:footerReference r:id="rId4"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180E"/>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00"/>
    <w:rsid w:val="00191380"/>
    <w:rsid w:val="00192AF6"/>
    <w:rsid w:val="00196FD2"/>
    <w:rsid w:val="001A5BA2"/>
    <w:rsid w:val="001A750C"/>
    <w:rsid w:val="001C452E"/>
    <w:rsid w:val="001D0060"/>
    <w:rsid w:val="001E04F7"/>
    <w:rsid w:val="001E0DD3"/>
    <w:rsid w:val="001E1667"/>
    <w:rsid w:val="001E3875"/>
    <w:rsid w:val="001E57E5"/>
    <w:rsid w:val="001E5838"/>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4677"/>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1523A"/>
    <w:rsid w:val="00520BFB"/>
    <w:rsid w:val="0052266E"/>
    <w:rsid w:val="0054079F"/>
    <w:rsid w:val="00542D5D"/>
    <w:rsid w:val="00547E31"/>
    <w:rsid w:val="00550BF1"/>
    <w:rsid w:val="00564602"/>
    <w:rsid w:val="00566ECB"/>
    <w:rsid w:val="00574395"/>
    <w:rsid w:val="005766B4"/>
    <w:rsid w:val="0058393D"/>
    <w:rsid w:val="00584F1E"/>
    <w:rsid w:val="005863EB"/>
    <w:rsid w:val="00587823"/>
    <w:rsid w:val="00587A8E"/>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B3BF2"/>
    <w:rsid w:val="007C0BAE"/>
    <w:rsid w:val="007C1F70"/>
    <w:rsid w:val="007E0D23"/>
    <w:rsid w:val="007E19FA"/>
    <w:rsid w:val="007E4029"/>
    <w:rsid w:val="007F0083"/>
    <w:rsid w:val="008137A3"/>
    <w:rsid w:val="0081544B"/>
    <w:rsid w:val="0082012C"/>
    <w:rsid w:val="0083146A"/>
    <w:rsid w:val="00833172"/>
    <w:rsid w:val="00833390"/>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263"/>
    <w:rsid w:val="00AD1B3B"/>
    <w:rsid w:val="00AD3C9F"/>
    <w:rsid w:val="00AD460B"/>
    <w:rsid w:val="00AD5218"/>
    <w:rsid w:val="00AE0B21"/>
    <w:rsid w:val="00AE107C"/>
    <w:rsid w:val="00AE1E61"/>
    <w:rsid w:val="00AF0BC1"/>
    <w:rsid w:val="00AF1739"/>
    <w:rsid w:val="00AF6F3E"/>
    <w:rsid w:val="00B02F96"/>
    <w:rsid w:val="00B05B2C"/>
    <w:rsid w:val="00B07E47"/>
    <w:rsid w:val="00B158FF"/>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95F36"/>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5349"/>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037E"/>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067CD"/>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C224D8"/>
    <w:rsid w:val="06EA53BE"/>
    <w:rsid w:val="078C7E49"/>
    <w:rsid w:val="089F2064"/>
    <w:rsid w:val="09357C52"/>
    <w:rsid w:val="09784596"/>
    <w:rsid w:val="0A4128CC"/>
    <w:rsid w:val="0AA62A3A"/>
    <w:rsid w:val="0C602DAE"/>
    <w:rsid w:val="0CBF1C3D"/>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1256EC"/>
    <w:rsid w:val="16706AA1"/>
    <w:rsid w:val="179557FD"/>
    <w:rsid w:val="17987612"/>
    <w:rsid w:val="17C1228E"/>
    <w:rsid w:val="17E30F01"/>
    <w:rsid w:val="18211F2F"/>
    <w:rsid w:val="18C630DC"/>
    <w:rsid w:val="19010836"/>
    <w:rsid w:val="197C4F26"/>
    <w:rsid w:val="19E0001D"/>
    <w:rsid w:val="1A382BA3"/>
    <w:rsid w:val="1A656149"/>
    <w:rsid w:val="1B1B12CE"/>
    <w:rsid w:val="1B604E10"/>
    <w:rsid w:val="1BB26125"/>
    <w:rsid w:val="1BF5550D"/>
    <w:rsid w:val="1C2D30C9"/>
    <w:rsid w:val="1C2E1471"/>
    <w:rsid w:val="1C396B78"/>
    <w:rsid w:val="1CDA02E6"/>
    <w:rsid w:val="1D001212"/>
    <w:rsid w:val="1D8E361C"/>
    <w:rsid w:val="1E371DA8"/>
    <w:rsid w:val="1E7F37CE"/>
    <w:rsid w:val="1E807EE5"/>
    <w:rsid w:val="1F2A1286"/>
    <w:rsid w:val="1F344700"/>
    <w:rsid w:val="1FDA40DD"/>
    <w:rsid w:val="1FEB26DF"/>
    <w:rsid w:val="20871E46"/>
    <w:rsid w:val="20B03662"/>
    <w:rsid w:val="212D69FF"/>
    <w:rsid w:val="21DA1E47"/>
    <w:rsid w:val="22372DAB"/>
    <w:rsid w:val="22436F24"/>
    <w:rsid w:val="22954336"/>
    <w:rsid w:val="22BD2EC0"/>
    <w:rsid w:val="233E5E03"/>
    <w:rsid w:val="23783B82"/>
    <w:rsid w:val="23F44062"/>
    <w:rsid w:val="248A0F69"/>
    <w:rsid w:val="24FF0154"/>
    <w:rsid w:val="250D6816"/>
    <w:rsid w:val="25F65132"/>
    <w:rsid w:val="26495518"/>
    <w:rsid w:val="26642C2D"/>
    <w:rsid w:val="26C551C9"/>
    <w:rsid w:val="273A061B"/>
    <w:rsid w:val="27A53421"/>
    <w:rsid w:val="28195BA6"/>
    <w:rsid w:val="28B8002B"/>
    <w:rsid w:val="28B8621D"/>
    <w:rsid w:val="2A016C6B"/>
    <w:rsid w:val="2A230E1B"/>
    <w:rsid w:val="2A54084B"/>
    <w:rsid w:val="2AB651E5"/>
    <w:rsid w:val="2ACD24FD"/>
    <w:rsid w:val="2AF4532D"/>
    <w:rsid w:val="2B367F3A"/>
    <w:rsid w:val="2D3F3389"/>
    <w:rsid w:val="2D864F87"/>
    <w:rsid w:val="2D954AC7"/>
    <w:rsid w:val="30BC5D88"/>
    <w:rsid w:val="30BE5C0A"/>
    <w:rsid w:val="31243E19"/>
    <w:rsid w:val="31577B3D"/>
    <w:rsid w:val="31D66A4E"/>
    <w:rsid w:val="31F72331"/>
    <w:rsid w:val="32DD25AA"/>
    <w:rsid w:val="33885122"/>
    <w:rsid w:val="33B57AF6"/>
    <w:rsid w:val="356E76FF"/>
    <w:rsid w:val="360E3DFD"/>
    <w:rsid w:val="37165596"/>
    <w:rsid w:val="38004A1C"/>
    <w:rsid w:val="3848196C"/>
    <w:rsid w:val="38C03DD3"/>
    <w:rsid w:val="3976345B"/>
    <w:rsid w:val="39D17654"/>
    <w:rsid w:val="39EB1183"/>
    <w:rsid w:val="3A6050BC"/>
    <w:rsid w:val="3A7A2A0F"/>
    <w:rsid w:val="3AB17D79"/>
    <w:rsid w:val="3B0E1741"/>
    <w:rsid w:val="3BDB2171"/>
    <w:rsid w:val="3C3B6390"/>
    <w:rsid w:val="3C5073DC"/>
    <w:rsid w:val="3CB052D8"/>
    <w:rsid w:val="3D60019B"/>
    <w:rsid w:val="3D6876D5"/>
    <w:rsid w:val="3F0639EB"/>
    <w:rsid w:val="3F1E793B"/>
    <w:rsid w:val="3F203902"/>
    <w:rsid w:val="3F2C7E18"/>
    <w:rsid w:val="3F9C6BD5"/>
    <w:rsid w:val="3F9D7BA8"/>
    <w:rsid w:val="405E07DC"/>
    <w:rsid w:val="408B511D"/>
    <w:rsid w:val="409E27CE"/>
    <w:rsid w:val="41194300"/>
    <w:rsid w:val="412E42F8"/>
    <w:rsid w:val="413A2AB2"/>
    <w:rsid w:val="41B65EC5"/>
    <w:rsid w:val="425F1F43"/>
    <w:rsid w:val="428C0DE7"/>
    <w:rsid w:val="42F0405B"/>
    <w:rsid w:val="435035D8"/>
    <w:rsid w:val="43AC5AF0"/>
    <w:rsid w:val="43DC60EF"/>
    <w:rsid w:val="4410450A"/>
    <w:rsid w:val="4459564F"/>
    <w:rsid w:val="44AE284D"/>
    <w:rsid w:val="44AF5A4F"/>
    <w:rsid w:val="45004613"/>
    <w:rsid w:val="45093FA9"/>
    <w:rsid w:val="45922750"/>
    <w:rsid w:val="45B67D59"/>
    <w:rsid w:val="45C16F0F"/>
    <w:rsid w:val="45FB0E31"/>
    <w:rsid w:val="464C30F1"/>
    <w:rsid w:val="46E0157B"/>
    <w:rsid w:val="47545A08"/>
    <w:rsid w:val="481A0AB7"/>
    <w:rsid w:val="482179F4"/>
    <w:rsid w:val="48296430"/>
    <w:rsid w:val="482F185E"/>
    <w:rsid w:val="4872612F"/>
    <w:rsid w:val="48D42B38"/>
    <w:rsid w:val="490F6DC9"/>
    <w:rsid w:val="49270B4E"/>
    <w:rsid w:val="497F4582"/>
    <w:rsid w:val="498F68F9"/>
    <w:rsid w:val="4A981808"/>
    <w:rsid w:val="4B116AA8"/>
    <w:rsid w:val="4B13154B"/>
    <w:rsid w:val="4B153885"/>
    <w:rsid w:val="4B3E6C8C"/>
    <w:rsid w:val="4C3F20F8"/>
    <w:rsid w:val="4D6B0605"/>
    <w:rsid w:val="4EA5147F"/>
    <w:rsid w:val="4EB57A89"/>
    <w:rsid w:val="4EEF7B4A"/>
    <w:rsid w:val="4F0F3BCD"/>
    <w:rsid w:val="4F6E5238"/>
    <w:rsid w:val="4F8662CB"/>
    <w:rsid w:val="4F99713F"/>
    <w:rsid w:val="50D34CF2"/>
    <w:rsid w:val="5162688D"/>
    <w:rsid w:val="51BD7E67"/>
    <w:rsid w:val="51D01CED"/>
    <w:rsid w:val="521C4028"/>
    <w:rsid w:val="52787D79"/>
    <w:rsid w:val="52A04BF7"/>
    <w:rsid w:val="52B455B7"/>
    <w:rsid w:val="52DB4270"/>
    <w:rsid w:val="530A1FAD"/>
    <w:rsid w:val="533066E0"/>
    <w:rsid w:val="542E4F3F"/>
    <w:rsid w:val="54EC479A"/>
    <w:rsid w:val="559E539F"/>
    <w:rsid w:val="55E43E22"/>
    <w:rsid w:val="55F9159D"/>
    <w:rsid w:val="57A71AC0"/>
    <w:rsid w:val="580E4C35"/>
    <w:rsid w:val="592C572C"/>
    <w:rsid w:val="59B118A3"/>
    <w:rsid w:val="59E7564B"/>
    <w:rsid w:val="5A632916"/>
    <w:rsid w:val="5BD822A2"/>
    <w:rsid w:val="5C81179D"/>
    <w:rsid w:val="5CA1620D"/>
    <w:rsid w:val="5E0602B3"/>
    <w:rsid w:val="5E4466CA"/>
    <w:rsid w:val="5E9A77A4"/>
    <w:rsid w:val="5F847D27"/>
    <w:rsid w:val="5FB06356"/>
    <w:rsid w:val="5FB1564D"/>
    <w:rsid w:val="601A64CE"/>
    <w:rsid w:val="60681418"/>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5D2778"/>
    <w:rsid w:val="6AC764AF"/>
    <w:rsid w:val="6B823BFF"/>
    <w:rsid w:val="6B827130"/>
    <w:rsid w:val="6BA537CD"/>
    <w:rsid w:val="6BE72370"/>
    <w:rsid w:val="6C82187F"/>
    <w:rsid w:val="6CBB1003"/>
    <w:rsid w:val="6D304977"/>
    <w:rsid w:val="6D3F2877"/>
    <w:rsid w:val="6E0932FE"/>
    <w:rsid w:val="6E330B54"/>
    <w:rsid w:val="6E6322D0"/>
    <w:rsid w:val="6E7578B1"/>
    <w:rsid w:val="6EFB225F"/>
    <w:rsid w:val="6EFF2EBA"/>
    <w:rsid w:val="6F12208A"/>
    <w:rsid w:val="6F221C48"/>
    <w:rsid w:val="6F2269C8"/>
    <w:rsid w:val="701B4627"/>
    <w:rsid w:val="70FC70D9"/>
    <w:rsid w:val="711C32B6"/>
    <w:rsid w:val="71691C92"/>
    <w:rsid w:val="71770C0D"/>
    <w:rsid w:val="71C205AB"/>
    <w:rsid w:val="74190DDA"/>
    <w:rsid w:val="74277064"/>
    <w:rsid w:val="74370548"/>
    <w:rsid w:val="74C15EB9"/>
    <w:rsid w:val="74DA6FAD"/>
    <w:rsid w:val="75391A72"/>
    <w:rsid w:val="758D0F38"/>
    <w:rsid w:val="759951ED"/>
    <w:rsid w:val="75DD22A0"/>
    <w:rsid w:val="76B5538F"/>
    <w:rsid w:val="76FA00CF"/>
    <w:rsid w:val="772D00BF"/>
    <w:rsid w:val="77886B90"/>
    <w:rsid w:val="77D5047C"/>
    <w:rsid w:val="78285CF0"/>
    <w:rsid w:val="78421E77"/>
    <w:rsid w:val="78C37FE4"/>
    <w:rsid w:val="78FC4B3F"/>
    <w:rsid w:val="796A571A"/>
    <w:rsid w:val="79D824D6"/>
    <w:rsid w:val="79E43803"/>
    <w:rsid w:val="7A415C17"/>
    <w:rsid w:val="7A433BB5"/>
    <w:rsid w:val="7AB945E7"/>
    <w:rsid w:val="7C6D73B3"/>
    <w:rsid w:val="7C8C462F"/>
    <w:rsid w:val="7CCC022A"/>
    <w:rsid w:val="7DF61BB7"/>
    <w:rsid w:val="7E1E6164"/>
    <w:rsid w:val="7E507B67"/>
    <w:rsid w:val="7E571709"/>
    <w:rsid w:val="7E634408"/>
    <w:rsid w:val="7E6459CD"/>
    <w:rsid w:val="7F3238A8"/>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Plain Text"/>
    <w:basedOn w:val="1"/>
    <w:link w:val="24"/>
    <w:qFormat/>
    <w:uiPriority w:val="0"/>
    <w:rPr>
      <w:rFonts w:ascii="宋体" w:hAnsi="Courier New" w:cs="金山简魏碑"/>
      <w:szCs w:val="21"/>
    </w:r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框文本 字符"/>
    <w:basedOn w:val="10"/>
    <w:link w:val="5"/>
    <w:semiHidden/>
    <w:qFormat/>
    <w:locked/>
    <w:uiPriority w:val="99"/>
    <w:rPr>
      <w:rFonts w:ascii="Times New Roman" w:hAnsi="Times New Roman"/>
      <w:kern w:val="2"/>
      <w:sz w:val="18"/>
    </w:rPr>
  </w:style>
  <w:style w:type="character" w:customStyle="1" w:styleId="14">
    <w:name w:val="页脚 字符"/>
    <w:basedOn w:val="10"/>
    <w:link w:val="6"/>
    <w:qFormat/>
    <w:locked/>
    <w:uiPriority w:val="99"/>
    <w:rPr>
      <w:sz w:val="18"/>
    </w:rPr>
  </w:style>
  <w:style w:type="character" w:customStyle="1" w:styleId="15">
    <w:name w:val="页眉 字符"/>
    <w:basedOn w:val="10"/>
    <w:link w:val="7"/>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Body text (2)1"/>
    <w:basedOn w:val="1"/>
    <w:link w:val="22"/>
    <w:qFormat/>
    <w:uiPriority w:val="99"/>
    <w:pPr>
      <w:shd w:val="clear" w:color="auto" w:fill="FFFFFF"/>
      <w:spacing w:before="1020" w:line="619" w:lineRule="exact"/>
      <w:jc w:val="left"/>
    </w:pPr>
    <w:rPr>
      <w:rFonts w:ascii="MingLiU" w:hAnsi="Calibri" w:eastAsia="MingLiU"/>
      <w:sz w:val="30"/>
      <w:szCs w:val="30"/>
    </w:rPr>
  </w:style>
  <w:style w:type="character" w:customStyle="1" w:styleId="22">
    <w:name w:val="Body text (2)_"/>
    <w:link w:val="21"/>
    <w:qFormat/>
    <w:uiPriority w:val="99"/>
    <w:rPr>
      <w:rFonts w:ascii="MingLiU" w:eastAsia="MingLiU"/>
      <w:kern w:val="2"/>
      <w:sz w:val="30"/>
      <w:szCs w:val="30"/>
      <w:shd w:val="clear" w:color="auto" w:fill="FFFFFF"/>
    </w:rPr>
  </w:style>
  <w:style w:type="paragraph" w:styleId="23">
    <w:name w:val="List Paragraph"/>
    <w:basedOn w:val="1"/>
    <w:qFormat/>
    <w:uiPriority w:val="99"/>
    <w:pPr>
      <w:ind w:firstLine="420" w:firstLineChars="200"/>
    </w:pPr>
  </w:style>
  <w:style w:type="character" w:customStyle="1" w:styleId="24">
    <w:name w:val="纯文本 字符"/>
    <w:basedOn w:val="10"/>
    <w:link w:val="4"/>
    <w:qFormat/>
    <w:uiPriority w:val="0"/>
    <w:rPr>
      <w:rFonts w:ascii="宋体" w:hAnsi="Courier New" w:cs="金山简魏碑"/>
      <w:kern w:val="2"/>
      <w:sz w:val="21"/>
      <w:szCs w:val="21"/>
    </w:rPr>
  </w:style>
  <w:style w:type="character" w:customStyle="1" w:styleId="25">
    <w:name w:val="font01"/>
    <w:basedOn w:val="10"/>
    <w:qFormat/>
    <w:uiPriority w:val="0"/>
    <w:rPr>
      <w:rFonts w:hint="eastAsia" w:ascii="仿宋" w:hAnsi="仿宋" w:eastAsia="仿宋" w:cs="仿宋"/>
      <w:color w:val="000000"/>
      <w:sz w:val="28"/>
      <w:szCs w:val="28"/>
      <w:u w:val="none"/>
    </w:rPr>
  </w:style>
  <w:style w:type="character" w:customStyle="1" w:styleId="26">
    <w:name w:val="font81"/>
    <w:basedOn w:val="10"/>
    <w:qFormat/>
    <w:uiPriority w:val="0"/>
    <w:rPr>
      <w:rFonts w:hint="eastAsia" w:ascii="仿宋" w:hAnsi="仿宋" w:eastAsia="仿宋" w:cs="仿宋"/>
      <w:color w:val="808080"/>
      <w:sz w:val="28"/>
      <w:szCs w:val="28"/>
      <w:u w:val="none"/>
    </w:rPr>
  </w:style>
  <w:style w:type="character" w:customStyle="1" w:styleId="27">
    <w:name w:val="font61"/>
    <w:basedOn w:val="10"/>
    <w:qFormat/>
    <w:uiPriority w:val="0"/>
    <w:rPr>
      <w:rFonts w:hint="eastAsia" w:ascii="仿宋" w:hAnsi="仿宋" w:eastAsia="仿宋" w:cs="仿宋"/>
      <w:color w:val="000000"/>
      <w:sz w:val="28"/>
      <w:szCs w:val="28"/>
      <w:u w:val="none"/>
    </w:rPr>
  </w:style>
  <w:style w:type="character" w:customStyle="1" w:styleId="28">
    <w:name w:val="font71"/>
    <w:basedOn w:val="10"/>
    <w:qFormat/>
    <w:uiPriority w:val="0"/>
    <w:rPr>
      <w:rFonts w:hint="eastAsia" w:ascii="仿宋" w:hAnsi="仿宋" w:eastAsia="仿宋" w:cs="仿宋"/>
      <w:color w:val="FF0000"/>
      <w:sz w:val="28"/>
      <w:szCs w:val="28"/>
      <w:u w:val="none"/>
    </w:rPr>
  </w:style>
  <w:style w:type="character" w:customStyle="1" w:styleId="29">
    <w:name w:val="font101"/>
    <w:basedOn w:val="10"/>
    <w:qFormat/>
    <w:uiPriority w:val="0"/>
    <w:rPr>
      <w:rFonts w:hint="eastAsia" w:ascii="宋体" w:hAnsi="宋体" w:eastAsia="宋体" w:cs="宋体"/>
      <w:color w:val="000000"/>
      <w:sz w:val="18"/>
      <w:szCs w:val="18"/>
      <w:u w:val="none"/>
    </w:rPr>
  </w:style>
  <w:style w:type="character" w:customStyle="1" w:styleId="30">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1422</Words>
  <Characters>8111</Characters>
  <Lines>67</Lines>
  <Paragraphs>19</Paragraphs>
  <TotalTime>1</TotalTime>
  <ScaleCrop>false</ScaleCrop>
  <LinksUpToDate>false</LinksUpToDate>
  <CharactersWithSpaces>9514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2021-11-30T01:55:00Z</cp:lastPrinted>
  <dcterms:modified xsi:type="dcterms:W3CDTF">2021-12-03T04:37:13Z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