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电视机采购项目比选文件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67" w:firstLineChars="896"/>
        <w:jc w:val="both"/>
        <w:rPr>
          <w:rFonts w:hint="eastAsia" w:ascii="方正小标宋简体" w:eastAsia="方正小标宋简体"/>
          <w:sz w:val="32"/>
          <w:szCs w:val="32"/>
        </w:rPr>
      </w:pPr>
      <w:r>
        <w:rPr>
          <w:rFonts w:hint="eastAsia" w:ascii="方正小标宋简体" w:eastAsia="方正小标宋简体"/>
          <w:sz w:val="32"/>
          <w:szCs w:val="32"/>
        </w:rPr>
        <w:t>二〇二一年十一月</w:t>
      </w:r>
    </w:p>
    <w:p>
      <w:pPr>
        <w:pStyle w:val="2"/>
      </w:pP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电视机项目比选文件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重庆空港贵宾服务有限公司对采购</w:t>
      </w:r>
      <w:bookmarkStart w:id="0" w:name="_Hlk85723994"/>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航站楼要客区及两舱贵宾室厅房电视机</w:t>
      </w:r>
      <w:bookmarkEnd w:id="0"/>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1.1.2本项目可接受代理商投标（一个品牌片仅限授权一个代理商），</w:t>
      </w:r>
      <w:r>
        <w:rPr>
          <w:rFonts w:hint="eastAsia" w:ascii="方正仿宋_GBK" w:hAnsi="仿宋" w:eastAsia="方正仿宋_GBK" w:cs="仿宋"/>
          <w:sz w:val="28"/>
          <w:szCs w:val="28"/>
        </w:rPr>
        <w:t>具有有效的营业执照，且经营范围涉及电器销售等相关内容</w:t>
      </w:r>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1.2.1项目简介：提供T2、T3航站楼要客区及两舱贵宾室厅房电视机，同时提供包含运输、安装、后期维护等项目所需的费用。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1.2.2本项目的产品需求及技术要求：</w:t>
      </w:r>
    </w:p>
    <w:p>
      <w:pPr>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.2.2.1</w:t>
      </w:r>
      <w:r>
        <w:rPr>
          <w:rFonts w:hint="eastAsia" w:ascii="方正仿宋_GBK" w:hAnsi="方正仿宋_GBK" w:eastAsia="方正仿宋_GBK" w:cs="方正仿宋_GBK"/>
          <w:sz w:val="28"/>
          <w:szCs w:val="28"/>
        </w:rPr>
        <w:t>电视技术要求</w:t>
      </w:r>
    </w:p>
    <w:p>
      <w:pPr>
        <w:spacing w:line="400" w:lineRule="exact"/>
        <w:ind w:firstLine="420"/>
        <w:jc w:val="left"/>
        <w:rPr>
          <w:rFonts w:ascii="方正仿宋_GBK" w:hAnsi="方正仿宋_GBK" w:eastAsia="方正仿宋_GBK" w:cs="方正仿宋_GBK"/>
          <w:sz w:val="28"/>
          <w:szCs w:val="28"/>
        </w:rPr>
      </w:pPr>
    </w:p>
    <w:tbl>
      <w:tblPr>
        <w:tblStyle w:val="22"/>
        <w:tblW w:w="9193" w:type="dxa"/>
        <w:jc w:val="center"/>
        <w:tblInd w:w="0" w:type="dxa"/>
        <w:tblLayout w:type="fixed"/>
        <w:tblCellMar>
          <w:top w:w="0" w:type="dxa"/>
          <w:left w:w="108" w:type="dxa"/>
          <w:bottom w:w="0" w:type="dxa"/>
          <w:right w:w="108" w:type="dxa"/>
        </w:tblCellMar>
      </w:tblPr>
      <w:tblGrid>
        <w:gridCol w:w="1011"/>
        <w:gridCol w:w="6943"/>
        <w:gridCol w:w="1239"/>
      </w:tblGrid>
      <w:tr>
        <w:tblPrEx>
          <w:tblLayout w:type="fixed"/>
          <w:tblCellMar>
            <w:top w:w="0" w:type="dxa"/>
            <w:left w:w="108" w:type="dxa"/>
            <w:bottom w:w="0" w:type="dxa"/>
            <w:right w:w="108" w:type="dxa"/>
          </w:tblCellMar>
        </w:tblPrEx>
        <w:trPr>
          <w:trHeight w:val="402" w:hRule="atLeast"/>
          <w:jc w:val="center"/>
        </w:trPr>
        <w:tc>
          <w:tcPr>
            <w:tcW w:w="10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序号</w:t>
            </w:r>
          </w:p>
        </w:tc>
        <w:tc>
          <w:tcPr>
            <w:tcW w:w="6943"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技术要求</w:t>
            </w:r>
          </w:p>
        </w:tc>
        <w:tc>
          <w:tcPr>
            <w:tcW w:w="1239"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数量（台）</w:t>
            </w:r>
          </w:p>
        </w:tc>
      </w:tr>
      <w:tr>
        <w:tblPrEx>
          <w:tblLayout w:type="fixed"/>
          <w:tblCellMar>
            <w:top w:w="0" w:type="dxa"/>
            <w:left w:w="108" w:type="dxa"/>
            <w:bottom w:w="0" w:type="dxa"/>
            <w:right w:w="108" w:type="dxa"/>
          </w:tblCellMar>
        </w:tblPrEx>
        <w:trPr>
          <w:trHeight w:val="343" w:hRule="atLeast"/>
          <w:jc w:val="center"/>
        </w:trPr>
        <w:tc>
          <w:tcPr>
            <w:tcW w:w="1011" w:type="dxa"/>
            <w:tcBorders>
              <w:top w:val="nil"/>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01</w:t>
            </w:r>
          </w:p>
        </w:tc>
        <w:tc>
          <w:tcPr>
            <w:tcW w:w="6943" w:type="dxa"/>
            <w:tcBorders>
              <w:top w:val="nil"/>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11) 支持频道禁用、上电开机、USB一键克隆等。</w:t>
            </w:r>
          </w:p>
        </w:tc>
        <w:tc>
          <w:tcPr>
            <w:tcW w:w="1239" w:type="dxa"/>
            <w:tcBorders>
              <w:top w:val="nil"/>
              <w:left w:val="nil"/>
              <w:bottom w:val="single" w:color="auto" w:sz="4" w:space="0"/>
              <w:right w:val="single" w:color="auto" w:sz="4" w:space="0"/>
            </w:tcBorders>
            <w:vAlign w:val="center"/>
          </w:tcPr>
          <w:p>
            <w:pPr>
              <w:widowControl/>
              <w:jc w:val="center"/>
              <w:rPr>
                <w:rFonts w:hAnsi="宋体"/>
                <w:szCs w:val="21"/>
              </w:rPr>
            </w:pPr>
            <w:r>
              <w:rPr>
                <w:rFonts w:hAnsi="宋体"/>
                <w:szCs w:val="21"/>
              </w:rPr>
              <w:t>8</w:t>
            </w:r>
            <w:r>
              <w:rPr>
                <w:rFonts w:hint="eastAsia" w:hAnsi="宋体"/>
                <w:szCs w:val="21"/>
              </w:rPr>
              <w:t>2</w:t>
            </w:r>
          </w:p>
          <w:p>
            <w:pPr>
              <w:widowControl/>
              <w:jc w:val="center"/>
              <w:rPr>
                <w:rFonts w:hAnsi="宋体"/>
                <w:szCs w:val="21"/>
              </w:rPr>
            </w:pPr>
            <w:r>
              <w:rPr>
                <w:rFonts w:hint="eastAsia" w:hAnsi="宋体"/>
                <w:szCs w:val="21"/>
              </w:rPr>
              <w:t>（7</w:t>
            </w:r>
            <w:r>
              <w:rPr>
                <w:rFonts w:hAnsi="宋体"/>
                <w:szCs w:val="21"/>
              </w:rPr>
              <w:t>5</w:t>
            </w:r>
            <w:r>
              <w:rPr>
                <w:rFonts w:hint="eastAsia" w:hAnsi="宋体"/>
                <w:szCs w:val="21"/>
              </w:rPr>
              <w:t>英寸2台，每台不含税限价不高于7</w:t>
            </w:r>
            <w:r>
              <w:rPr>
                <w:rFonts w:hAnsi="宋体"/>
                <w:szCs w:val="21"/>
              </w:rPr>
              <w:t>500</w:t>
            </w:r>
            <w:r>
              <w:rPr>
                <w:rFonts w:hint="eastAsia" w:hAnsi="宋体"/>
                <w:szCs w:val="21"/>
              </w:rPr>
              <w:t>元，5</w:t>
            </w:r>
            <w:r>
              <w:rPr>
                <w:rFonts w:hAnsi="宋体"/>
                <w:szCs w:val="21"/>
              </w:rPr>
              <w:t>5</w:t>
            </w:r>
            <w:r>
              <w:rPr>
                <w:rFonts w:hint="eastAsia" w:hAnsi="宋体"/>
                <w:szCs w:val="21"/>
              </w:rPr>
              <w:t>英寸7</w:t>
            </w:r>
            <w:r>
              <w:rPr>
                <w:rFonts w:hAnsi="宋体"/>
                <w:szCs w:val="21"/>
              </w:rPr>
              <w:t>2</w:t>
            </w:r>
            <w:r>
              <w:rPr>
                <w:rFonts w:hint="eastAsia" w:hAnsi="宋体"/>
                <w:szCs w:val="21"/>
              </w:rPr>
              <w:t>台，每台不含税限价不高于</w:t>
            </w:r>
            <w:r>
              <w:rPr>
                <w:rFonts w:hAnsi="宋体"/>
                <w:szCs w:val="21"/>
              </w:rPr>
              <w:t>2650</w:t>
            </w:r>
            <w:r>
              <w:rPr>
                <w:rFonts w:hint="eastAsia" w:hAnsi="宋体"/>
                <w:szCs w:val="21"/>
              </w:rPr>
              <w:t>元，4</w:t>
            </w:r>
            <w:r>
              <w:rPr>
                <w:rFonts w:hAnsi="宋体"/>
                <w:szCs w:val="21"/>
              </w:rPr>
              <w:t>3</w:t>
            </w:r>
            <w:r>
              <w:rPr>
                <w:rFonts w:hint="eastAsia" w:hAnsi="宋体"/>
                <w:szCs w:val="21"/>
              </w:rPr>
              <w:t>英寸8台，每台不含税限价不高于</w:t>
            </w:r>
            <w:r>
              <w:rPr>
                <w:rFonts w:hAnsi="宋体"/>
                <w:szCs w:val="21"/>
              </w:rPr>
              <w:t>2200</w:t>
            </w:r>
            <w:r>
              <w:rPr>
                <w:rFonts w:hint="eastAsia" w:hAnsi="宋体"/>
                <w:szCs w:val="21"/>
              </w:rPr>
              <w:t>元）</w:t>
            </w:r>
          </w:p>
          <w:p>
            <w:pPr>
              <w:widowControl/>
              <w:jc w:val="center"/>
              <w:rPr>
                <w:rFonts w:hint="eastAsia" w:hAnsi="宋体"/>
                <w:szCs w:val="21"/>
              </w:rPr>
            </w:pPr>
          </w:p>
        </w:tc>
      </w:tr>
    </w:tbl>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由于不同品牌电视机的尺寸有着一些差异，故电视机最终尺寸还需根据最终确定的电视机品牌而定。</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本项目的报价应包括：投标人按照电视技术要求提供所投标包全部货物。所报全费用综合单价为产品的价格，包括但不限于人工、运输、装卸、保险、管理、利润、风险、税金等相关一切费用。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电视机项目最高限价（不含税）为人民币</w:t>
      </w:r>
      <w:r>
        <w:rPr>
          <w:rFonts w:ascii="方正仿宋_GBK" w:hAnsi="方正仿宋_GBK" w:eastAsia="方正仿宋_GBK" w:cs="方正仿宋_GBK"/>
          <w:sz w:val="28"/>
          <w:szCs w:val="28"/>
        </w:rPr>
        <w:t>22.34</w:t>
      </w:r>
      <w:r>
        <w:rPr>
          <w:rFonts w:hint="eastAsia" w:ascii="方正仿宋_GBK" w:hAnsi="方正仿宋_GBK" w:eastAsia="方正仿宋_GBK" w:cs="方正仿宋_GBK"/>
          <w:sz w:val="28"/>
          <w:szCs w:val="28"/>
        </w:rPr>
        <w:t>万元（大写金额：贰拾贰万叁仟肆佰元整），超过最高限价，将取消比选响应方的比选资格。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1.2.4</w:t>
      </w:r>
      <w:r>
        <w:rPr>
          <w:rFonts w:hint="eastAsia" w:ascii="方正仿宋_GBK" w:hAnsi="方正仿宋_GBK" w:eastAsia="方正仿宋_GBK" w:cs="方正仿宋_GBK"/>
          <w:kern w:val="0"/>
          <w:sz w:val="28"/>
          <w:szCs w:val="28"/>
        </w:rPr>
        <w:t>投标人必须根据比选文件报出唯一投标单价和投标总价，多方案、多报价的投标文件将不被接受。</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ascii="方正仿宋_GBK" w:hAnsi="方正仿宋_GBK" w:eastAsia="方正仿宋_GBK" w:cs="方正仿宋_GBK"/>
          <w:kern w:val="0"/>
          <w:sz w:val="28"/>
          <w:szCs w:val="28"/>
        </w:rPr>
        <w:t>1.2.5</w:t>
      </w:r>
      <w:r>
        <w:rPr>
          <w:rFonts w:hint="eastAsia" w:ascii="方正仿宋_GBK" w:hAnsi="方正仿宋_GBK" w:eastAsia="方正仿宋_GBK" w:cs="方正仿宋_GBK"/>
          <w:kern w:val="0"/>
          <w:sz w:val="28"/>
          <w:szCs w:val="28"/>
        </w:rPr>
        <w:t>投标人只能按清单所列的数量进行报价，不得作任何改变。</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经营范围涉及电器销售等相关内容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15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15</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9</w:t>
            </w:r>
            <w:r>
              <w:rPr>
                <w:rFonts w:hint="eastAsia" w:ascii="方正仿宋_GBK" w:hAnsi="仿宋" w:eastAsia="方正仿宋_GBK" w:cs="仿宋"/>
                <w:sz w:val="24"/>
              </w:rPr>
              <w:t>年1月1日以来（含）投标人在国内签订的相同或类似项目供货业绩。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单个项目合同规模人民币200万元以上的业绩得</w:t>
            </w:r>
            <w:r>
              <w:rPr>
                <w:rFonts w:ascii="方正仿宋_GBK" w:hAnsi="仿宋" w:eastAsia="方正仿宋_GBK" w:cs="仿宋"/>
                <w:sz w:val="24"/>
              </w:rPr>
              <w:t>1</w:t>
            </w:r>
            <w:r>
              <w:rPr>
                <w:rFonts w:hint="eastAsia" w:ascii="方正仿宋_GBK" w:hAnsi="仿宋" w:eastAsia="方正仿宋_GBK" w:cs="仿宋"/>
                <w:sz w:val="24"/>
              </w:rPr>
              <w:t>分;人民币500万元以上的得</w:t>
            </w:r>
            <w:r>
              <w:rPr>
                <w:rFonts w:ascii="方正仿宋_GBK" w:hAnsi="仿宋" w:eastAsia="方正仿宋_GBK" w:cs="仿宋"/>
                <w:sz w:val="24"/>
              </w:rPr>
              <w:t>2</w:t>
            </w:r>
            <w:r>
              <w:rPr>
                <w:rFonts w:hint="eastAsia" w:ascii="方正仿宋_GBK" w:hAnsi="仿宋" w:eastAsia="方正仿宋_GBK" w:cs="仿宋"/>
                <w:sz w:val="24"/>
              </w:rPr>
              <w:t>分，该项最高得分不超过</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投标人具备但不包含以下证书：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1）★所投产品生产厂商需提供ISO9001质量管理体系认证、GB/T28001职业健康管理体系认证、ISO14001环境管理体系认证及高新技术企业认证书。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2）★所投产品有合格的3C、检测报告,节能认证等，可提供认定报告复印件加盖原厂公章（证书上制造商与生产企业名称必须一致）；</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3）所投品牌企业获“全国质量诚信品牌优秀示范企业”可提供相关证书；获“绿色供应链试点企业”可提供相关证书；获得市级以上“质量标杆”可提供相关证书；获“消费者服务满意诚信企业”，可提供相关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4）所投产品通过拥有数字地面信号且获得国家级科技技术奖，可提供相关证书；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★为必需满足项目</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每个证书得</w:t>
            </w:r>
            <w:r>
              <w:rPr>
                <w:rFonts w:ascii="方正仿宋_GBK" w:hAnsi="仿宋" w:eastAsia="方正仿宋_GBK" w:cs="仿宋"/>
                <w:sz w:val="24"/>
              </w:rPr>
              <w:t>2</w:t>
            </w:r>
            <w:r>
              <w:rPr>
                <w:rFonts w:hint="eastAsia" w:ascii="方正仿宋_GBK" w:hAnsi="仿宋" w:eastAsia="方正仿宋_GBK" w:cs="仿宋"/>
                <w:sz w:val="24"/>
              </w:rPr>
              <w:t>分，最高分1</w:t>
            </w:r>
            <w:r>
              <w:rPr>
                <w:rFonts w:ascii="方正仿宋_GBK" w:hAnsi="仿宋" w:eastAsia="方正仿宋_GBK" w:cs="仿宋"/>
                <w:sz w:val="24"/>
              </w:rPr>
              <w:t>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35</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技术性能</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22</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ascii="方正仿宋_GBK" w:hAnsi="仿宋" w:eastAsia="方正仿宋_GBK" w:cs="仿宋"/>
                <w:sz w:val="24"/>
              </w:rPr>
              <w:t>43</w:t>
            </w:r>
            <w:r>
              <w:rPr>
                <w:rFonts w:hint="eastAsia" w:ascii="方正仿宋_GBK" w:hAnsi="仿宋" w:eastAsia="方正仿宋_GBK" w:cs="仿宋"/>
                <w:sz w:val="24"/>
              </w:rPr>
              <w:t>英寸、55英寸、7</w:t>
            </w:r>
            <w:r>
              <w:rPr>
                <w:rFonts w:ascii="方正仿宋_GBK" w:hAnsi="仿宋" w:eastAsia="方正仿宋_GBK" w:cs="仿宋"/>
                <w:sz w:val="24"/>
              </w:rPr>
              <w:t>5</w:t>
            </w:r>
            <w:r>
              <w:rPr>
                <w:rFonts w:hint="eastAsia" w:ascii="方正仿宋_GBK" w:hAnsi="仿宋" w:eastAsia="方正仿宋_GBK" w:cs="仿宋"/>
                <w:sz w:val="24"/>
              </w:rPr>
              <w:t>英寸电视均为超高清商用电视，分辨率3840*2160，6</w:t>
            </w:r>
            <w:r>
              <w:rPr>
                <w:rFonts w:ascii="方正仿宋_GBK" w:hAnsi="仿宋" w:eastAsia="方正仿宋_GBK" w:cs="仿宋"/>
                <w:sz w:val="24"/>
              </w:rPr>
              <w:t>0</w:t>
            </w:r>
            <w:r>
              <w:rPr>
                <w:rFonts w:hint="eastAsia" w:ascii="方正仿宋_GBK" w:hAnsi="仿宋" w:eastAsia="方正仿宋_GBK" w:cs="仿宋"/>
                <w:sz w:val="24"/>
              </w:rPr>
              <w:t>hz。</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全部满足得 2 分；每缺一项扣0</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2.操作系统：Android智能操作系统，4核高性能处理器，</w:t>
            </w:r>
            <w:r>
              <w:rPr>
                <w:rFonts w:ascii="方正仿宋_GBK" w:hAnsi="仿宋" w:eastAsia="方正仿宋_GBK" w:cs="仿宋"/>
                <w:sz w:val="24"/>
              </w:rPr>
              <w:t>2</w:t>
            </w:r>
            <w:r>
              <w:rPr>
                <w:rFonts w:hint="eastAsia" w:ascii="方正仿宋_GBK" w:hAnsi="仿宋" w:eastAsia="方正仿宋_GBK" w:cs="仿宋"/>
                <w:sz w:val="24"/>
              </w:rPr>
              <w:t>G DDR3主内存，内置1</w:t>
            </w:r>
            <w:r>
              <w:rPr>
                <w:rFonts w:ascii="方正仿宋_GBK" w:hAnsi="仿宋" w:eastAsia="方正仿宋_GBK" w:cs="仿宋"/>
                <w:sz w:val="24"/>
              </w:rPr>
              <w:t>6</w:t>
            </w:r>
            <w:r>
              <w:rPr>
                <w:rFonts w:hint="eastAsia" w:ascii="方正仿宋_GBK" w:hAnsi="仿宋" w:eastAsia="方正仿宋_GBK" w:cs="仿宋"/>
                <w:sz w:val="24"/>
              </w:rPr>
              <w:t>G大容量闪存，内置wifi无线模块。</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 xml:space="preserve">全部满足得 </w:t>
            </w:r>
            <w:r>
              <w:rPr>
                <w:rFonts w:ascii="方正仿宋_GBK" w:hAnsi="仿宋" w:eastAsia="方正仿宋_GBK" w:cs="仿宋"/>
                <w:sz w:val="24"/>
              </w:rPr>
              <w:t>2</w:t>
            </w:r>
            <w:r>
              <w:rPr>
                <w:rFonts w:hint="eastAsia" w:ascii="方正仿宋_GBK" w:hAnsi="仿宋" w:eastAsia="方正仿宋_GBK" w:cs="仿宋"/>
                <w:sz w:val="24"/>
              </w:rPr>
              <w:t>分；每缺一项扣</w:t>
            </w:r>
            <w:r>
              <w:rPr>
                <w:rFonts w:ascii="方正仿宋_GBK" w:hAnsi="仿宋" w:eastAsia="方正仿宋_GBK" w:cs="仿宋"/>
                <w:sz w:val="24"/>
              </w:rPr>
              <w:t>0.5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3.端口：HDMI≥2、VGA≥1、AV-in≥1、同轴≥1、RF≥1、USB≥2、网口≥1。</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w:t>
            </w:r>
            <w:r>
              <w:rPr>
                <w:rFonts w:ascii="方正仿宋_GBK" w:hAnsi="仿宋" w:eastAsia="方正仿宋_GBK" w:cs="仿宋"/>
                <w:sz w:val="24"/>
              </w:rPr>
              <w:t>.</w:t>
            </w:r>
            <w:r>
              <w:rPr>
                <w:rFonts w:hint="eastAsia" w:ascii="方正仿宋_GBK" w:hAnsi="仿宋" w:eastAsia="方正仿宋_GBK" w:cs="仿宋"/>
                <w:sz w:val="24"/>
              </w:rPr>
              <w:t>采用动态背光技术、支持HDR10解码。</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全部满足得得</w:t>
            </w:r>
            <w:r>
              <w:rPr>
                <w:rFonts w:ascii="方正仿宋_GBK" w:hAnsi="仿宋" w:eastAsia="方正仿宋_GBK" w:cs="仿宋"/>
                <w:sz w:val="24"/>
              </w:rPr>
              <w:t>2</w:t>
            </w:r>
            <w:r>
              <w:rPr>
                <w:rFonts w:hint="eastAsia" w:ascii="方正仿宋_GBK" w:hAnsi="仿宋" w:eastAsia="方正仿宋_GBK" w:cs="仿宋"/>
                <w:sz w:val="24"/>
              </w:rPr>
              <w:t>分；每缺一项扣</w:t>
            </w:r>
            <w:r>
              <w:rPr>
                <w:rFonts w:ascii="方正仿宋_GBK" w:hAnsi="仿宋" w:eastAsia="方正仿宋_GBK" w:cs="仿宋"/>
                <w:sz w:val="24"/>
              </w:rPr>
              <w:t>1</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6.支持在线替换开机画面、动画、视频；搭载第三方运用；支持远程控制开关机；支持第三方APK适配对接。</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7.</w:t>
            </w:r>
            <w:r>
              <w:rPr>
                <w:rFonts w:hint="eastAsia" w:ascii="方正仿宋_GBK" w:hAnsi="仿宋" w:eastAsia="方正仿宋_GBK" w:cs="仿宋"/>
                <w:sz w:val="24"/>
              </w:rPr>
              <w:t>支持语音控制、支持语音遥控器，可自行设置密码锁定遥控，可一键设置信号源，可一键直达主页。</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8.支持外接WIFI蓝牙二合一，无须单独连接，且带有无线网络记忆功能。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9</w:t>
            </w:r>
            <w:r>
              <w:rPr>
                <w:rFonts w:ascii="方正仿宋_GBK" w:hAnsi="仿宋" w:eastAsia="方正仿宋_GBK" w:cs="仿宋"/>
                <w:sz w:val="24"/>
              </w:rPr>
              <w:t>.</w:t>
            </w:r>
            <w:r>
              <w:rPr>
                <w:rFonts w:hint="eastAsia" w:ascii="方正仿宋_GBK" w:hAnsi="仿宋" w:eastAsia="方正仿宋_GBK" w:cs="仿宋"/>
                <w:sz w:val="24"/>
              </w:rPr>
              <w:t>支持DVB-C清流信号播放、支持HDMI的CEC功能，可反向控制设备及电视、支持HDMI ARC功能。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10</w:t>
            </w:r>
            <w:r>
              <w:rPr>
                <w:rFonts w:ascii="方正仿宋_GBK" w:hAnsi="仿宋" w:eastAsia="方正仿宋_GBK" w:cs="仿宋"/>
                <w:sz w:val="24"/>
              </w:rPr>
              <w:t>.</w:t>
            </w:r>
            <w:r>
              <w:rPr>
                <w:rFonts w:hint="eastAsia" w:ascii="方正仿宋_GBK" w:hAnsi="仿宋" w:eastAsia="方正仿宋_GBK" w:cs="仿宋"/>
                <w:sz w:val="24"/>
              </w:rPr>
              <w:t>手机投屏电视功能，可按需开/关闭投屏功能。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11</w:t>
            </w:r>
            <w:r>
              <w:rPr>
                <w:rFonts w:ascii="方正仿宋_GBK" w:hAnsi="仿宋" w:eastAsia="方正仿宋_GBK" w:cs="仿宋"/>
                <w:sz w:val="24"/>
              </w:rPr>
              <w:t>.</w:t>
            </w:r>
            <w:r>
              <w:rPr>
                <w:rFonts w:hint="eastAsia" w:ascii="方正仿宋_GBK" w:hAnsi="仿宋" w:eastAsia="方正仿宋_GBK" w:cs="仿宋"/>
                <w:sz w:val="24"/>
              </w:rPr>
              <w:t>支持频道禁用、上电开机、USB一键克隆等。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全部满足得</w:t>
            </w:r>
            <w:r>
              <w:rPr>
                <w:rFonts w:ascii="方正仿宋_GBK" w:hAnsi="仿宋" w:eastAsia="方正仿宋_GBK" w:cs="仿宋"/>
                <w:sz w:val="24"/>
              </w:rPr>
              <w:t>2</w:t>
            </w:r>
            <w:r>
              <w:rPr>
                <w:rFonts w:hint="eastAsia" w:ascii="方正仿宋_GBK" w:hAnsi="仿宋" w:eastAsia="方正仿宋_GBK" w:cs="仿宋"/>
                <w:sz w:val="24"/>
              </w:rPr>
              <w:t>分；每缺一项扣0</w:t>
            </w:r>
            <w:r>
              <w:rPr>
                <w:rFonts w:ascii="方正仿宋_GBK" w:hAnsi="仿宋" w:eastAsia="方正仿宋_GBK" w:cs="仿宋"/>
                <w:sz w:val="24"/>
              </w:rPr>
              <w:t>.5</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外形美观和现场装修风格匹配</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（满分3分）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提供的所有电视机颜色一致，外形美观，能匹配现场装修风格得3分；颜色一致，外形一般得1分，颜色不一致，外形不美观不得分。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售后方案及服务水平</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所投产品具有健全的送货、安装调试、售后、维修保养等服务能力及针对项目的售后服务和宣传推广专项方案。（包括产品故障维修服务响应快等）</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8</w:t>
            </w:r>
            <w:r>
              <w:rPr>
                <w:rFonts w:hint="eastAsia" w:ascii="方正仿宋_GBK" w:hAnsi="仿宋" w:eastAsia="方正仿宋_GBK" w:cs="仿宋"/>
                <w:sz w:val="24"/>
              </w:rPr>
              <w:t>分；优良得</w:t>
            </w:r>
            <w:r>
              <w:rPr>
                <w:rFonts w:ascii="方正仿宋_GBK" w:hAnsi="仿宋" w:eastAsia="方正仿宋_GBK" w:cs="仿宋"/>
                <w:sz w:val="24"/>
              </w:rPr>
              <w:t>4</w:t>
            </w:r>
            <w:r>
              <w:rPr>
                <w:rFonts w:hint="eastAsia" w:ascii="方正仿宋_GBK" w:hAnsi="仿宋" w:eastAsia="方正仿宋_GBK" w:cs="仿宋"/>
                <w:sz w:val="24"/>
              </w:rPr>
              <w:t>分；一般得</w:t>
            </w:r>
            <w:r>
              <w:rPr>
                <w:rFonts w:ascii="方正仿宋_GBK" w:hAnsi="仿宋" w:eastAsia="方正仿宋_GBK" w:cs="仿宋"/>
                <w:sz w:val="24"/>
              </w:rPr>
              <w:t>1</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质保期需单独备注，3年质保（含）以上得</w:t>
            </w:r>
            <w:r>
              <w:rPr>
                <w:rFonts w:ascii="方正仿宋_GBK" w:hAnsi="仿宋" w:eastAsia="方正仿宋_GBK" w:cs="仿宋"/>
                <w:sz w:val="24"/>
              </w:rPr>
              <w:t>2</w:t>
            </w:r>
            <w:r>
              <w:rPr>
                <w:rFonts w:hint="eastAsia" w:ascii="方正仿宋_GBK" w:hAnsi="仿宋" w:eastAsia="方正仿宋_GBK" w:cs="仿宋"/>
                <w:sz w:val="24"/>
              </w:rPr>
              <w:t>分，2年质保得</w:t>
            </w:r>
            <w:r>
              <w:rPr>
                <w:rFonts w:ascii="方正仿宋_GBK" w:hAnsi="仿宋" w:eastAsia="方正仿宋_GBK" w:cs="仿宋"/>
                <w:sz w:val="24"/>
              </w:rPr>
              <w:t>1</w:t>
            </w:r>
            <w:r>
              <w:rPr>
                <w:rFonts w:hint="eastAsia" w:ascii="方正仿宋_GBK" w:hAnsi="仿宋" w:eastAsia="方正仿宋_GBK" w:cs="仿宋"/>
                <w:sz w:val="24"/>
              </w:rPr>
              <w:t>分，1年质保不得分。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29</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1" w:name="_Hlk83556547"/>
      <w:r>
        <w:rPr>
          <w:rFonts w:hint="eastAsia" w:ascii="方正仿宋_GBK" w:hAnsi="仿宋" w:eastAsia="方正仿宋_GBK" w:cs="仿宋"/>
          <w:kern w:val="0"/>
          <w:sz w:val="28"/>
          <w:szCs w:val="28"/>
        </w:rPr>
        <w:t>项目比选响应保证金：项目比选响应保证金收取</w:t>
      </w:r>
      <w:r>
        <w:rPr>
          <w:rFonts w:ascii="方正仿宋_GBK" w:hAnsi="仿宋" w:eastAsia="方正仿宋_GBK" w:cs="仿宋"/>
          <w:kern w:val="0"/>
          <w:sz w:val="28"/>
          <w:szCs w:val="28"/>
        </w:rPr>
        <w:t>10000</w:t>
      </w:r>
      <w:r>
        <w:rPr>
          <w:rFonts w:hint="eastAsia" w:ascii="方正仿宋_GBK" w:hAnsi="仿宋" w:eastAsia="方正仿宋_GBK" w:cs="仿宋"/>
          <w:kern w:val="0"/>
          <w:sz w:val="28"/>
          <w:szCs w:val="28"/>
        </w:rPr>
        <w:t>元，</w:t>
      </w:r>
      <w:bookmarkEnd w:id="1"/>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20000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技术部分。列明技术性能和售后方案。（格式自拟）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u w:val="single"/>
          <w:lang w:val="zh-CN"/>
        </w:rPr>
        <w:t>日下午</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8</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8</w:t>
      </w:r>
      <w:bookmarkStart w:id="17" w:name="_GoBack"/>
      <w:bookmarkEnd w:id="17"/>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804"/>
      </w:pPr>
    </w:p>
    <w:p>
      <w:pPr>
        <w:spacing w:after="156" w:afterLines="50"/>
        <w:ind w:right="964" w:firstLine="600"/>
        <w:jc w:val="right"/>
      </w:pPr>
      <w:r>
        <w:t xml:space="preserve"> </w:t>
      </w: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电视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2" w:name="_Toc25588100"/>
      <w:r>
        <w:rPr>
          <w:rFonts w:hint="eastAsia" w:ascii="方正仿宋_GBK" w:eastAsia="方正仿宋_GBK"/>
          <w:sz w:val="28"/>
          <w:szCs w:val="28"/>
        </w:rPr>
        <w:t>第一条 采购的内容和范围</w:t>
      </w:r>
      <w:bookmarkEnd w:id="2"/>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T</w:t>
      </w:r>
      <w:r>
        <w:rPr>
          <w:rFonts w:ascii="方正仿宋_GBK" w:eastAsia="方正仿宋_GBK"/>
          <w:color w:val="auto"/>
          <w:sz w:val="28"/>
          <w:szCs w:val="28"/>
          <w:u w:val="single"/>
        </w:rPr>
        <w:t>2</w:t>
      </w:r>
      <w:r>
        <w:rPr>
          <w:rFonts w:hint="eastAsia" w:ascii="方正仿宋_GBK" w:eastAsia="方正仿宋_GBK"/>
          <w:color w:val="auto"/>
          <w:sz w:val="28"/>
          <w:szCs w:val="28"/>
          <w:u w:val="single"/>
        </w:rPr>
        <w:t>、T</w:t>
      </w:r>
      <w:r>
        <w:rPr>
          <w:rFonts w:ascii="方正仿宋_GBK" w:eastAsia="方正仿宋_GBK"/>
          <w:color w:val="auto"/>
          <w:sz w:val="28"/>
          <w:szCs w:val="28"/>
          <w:u w:val="single"/>
        </w:rPr>
        <w:t>3</w:t>
      </w:r>
      <w:r>
        <w:rPr>
          <w:rFonts w:hint="eastAsia" w:ascii="方正仿宋_GBK" w:eastAsia="方正仿宋_GBK"/>
          <w:color w:val="auto"/>
          <w:sz w:val="28"/>
          <w:szCs w:val="28"/>
          <w:u w:val="single"/>
        </w:rPr>
        <w:t xml:space="preserve">要客区及两舱贵宾室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3" w:name="_Toc24700707"/>
      <w:r>
        <w:rPr>
          <w:rFonts w:hint="eastAsia" w:ascii="方正仿宋_GBK" w:eastAsia="方正仿宋_GBK"/>
          <w:sz w:val="28"/>
          <w:szCs w:val="28"/>
        </w:rPr>
        <w:t>第二条 合同期限</w:t>
      </w:r>
      <w:bookmarkEnd w:id="3"/>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4" w:name="_Toc24700708"/>
      <w:r>
        <w:rPr>
          <w:rFonts w:hint="eastAsia" w:ascii="方正仿宋_GBK" w:eastAsia="方正仿宋_GBK"/>
          <w:sz w:val="28"/>
          <w:szCs w:val="28"/>
        </w:rPr>
        <w:t>第三条 合同价款</w:t>
      </w:r>
      <w:bookmarkEnd w:id="4"/>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合同价款包含：</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5" w:name="_Toc24700709"/>
      <w:r>
        <w:rPr>
          <w:rFonts w:hint="eastAsia" w:ascii="方正仿宋_GBK" w:eastAsia="方正仿宋_GBK"/>
          <w:sz w:val="28"/>
          <w:szCs w:val="28"/>
        </w:rPr>
        <w:t>第四条 采购方式及费用结算</w:t>
      </w:r>
      <w:bookmarkEnd w:id="5"/>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6" w:name="_Toc24700710"/>
      <w:r>
        <w:rPr>
          <w:rFonts w:hint="eastAsia" w:ascii="方正仿宋_GBK" w:eastAsia="方正仿宋_GBK"/>
          <w:sz w:val="28"/>
          <w:szCs w:val="28"/>
        </w:rPr>
        <w:t>第五条 陈述与保证</w:t>
      </w:r>
      <w:bookmarkEnd w:id="6"/>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7" w:name="_Toc24700711"/>
      <w:r>
        <w:rPr>
          <w:rFonts w:hint="eastAsia" w:ascii="方正仿宋_GBK" w:eastAsia="方正仿宋_GBK"/>
          <w:sz w:val="28"/>
          <w:szCs w:val="28"/>
        </w:rPr>
        <w:t>第六条 交付与验收</w:t>
      </w:r>
      <w:bookmarkEnd w:id="7"/>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8" w:name="_Toc24700712"/>
      <w:r>
        <w:rPr>
          <w:rFonts w:hint="eastAsia" w:ascii="方正仿宋_GBK" w:eastAsia="方正仿宋_GBK"/>
          <w:sz w:val="28"/>
          <w:szCs w:val="28"/>
        </w:rPr>
        <w:t>第七条 履约保证金</w:t>
      </w:r>
      <w:bookmarkEnd w:id="8"/>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9" w:name="_Toc24700713"/>
      <w:r>
        <w:rPr>
          <w:rFonts w:hint="eastAsia" w:ascii="方正仿宋_GBK" w:eastAsia="方正仿宋_GBK"/>
          <w:sz w:val="28"/>
          <w:szCs w:val="28"/>
        </w:rPr>
        <w:t>第八条  双方权利与义务</w:t>
      </w:r>
      <w:bookmarkEnd w:id="9"/>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10" w:name="_Toc24700714"/>
      <w:r>
        <w:rPr>
          <w:rFonts w:hint="eastAsia" w:ascii="方正仿宋_GBK" w:eastAsia="方正仿宋_GBK"/>
          <w:sz w:val="28"/>
          <w:szCs w:val="28"/>
        </w:rPr>
        <w:t>第九条  违约责任</w:t>
      </w:r>
      <w:bookmarkEnd w:id="10"/>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1" w:name="_Toc24700715"/>
      <w:r>
        <w:rPr>
          <w:rFonts w:hint="eastAsia" w:ascii="方正仿宋_GBK" w:eastAsia="方正仿宋_GBK"/>
          <w:sz w:val="28"/>
          <w:szCs w:val="28"/>
        </w:rPr>
        <w:t>第十条 不可抗力</w:t>
      </w:r>
      <w:bookmarkEnd w:id="11"/>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2" w:name="_Toc24700716"/>
      <w:r>
        <w:rPr>
          <w:rFonts w:hint="eastAsia" w:ascii="方正仿宋_GBK" w:eastAsia="方正仿宋_GBK"/>
          <w:sz w:val="28"/>
          <w:szCs w:val="28"/>
        </w:rPr>
        <w:t>第十一条 通知条款</w:t>
      </w:r>
      <w:bookmarkEnd w:id="12"/>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3" w:name="_Toc24700717"/>
      <w:r>
        <w:rPr>
          <w:rFonts w:hint="eastAsia" w:ascii="方正仿宋_GBK" w:eastAsia="方正仿宋_GBK"/>
          <w:sz w:val="28"/>
          <w:szCs w:val="28"/>
        </w:rPr>
        <w:t>第十二条 保密条款</w:t>
      </w:r>
      <w:bookmarkEnd w:id="13"/>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4" w:name="_Toc24700718"/>
      <w:r>
        <w:rPr>
          <w:rFonts w:hint="eastAsia" w:ascii="方正仿宋_GBK" w:eastAsia="方正仿宋_GBK"/>
          <w:sz w:val="28"/>
          <w:szCs w:val="28"/>
        </w:rPr>
        <w:t>第十三条 合同争议的解决方式</w:t>
      </w:r>
      <w:bookmarkEnd w:id="14"/>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w:t>
      </w:r>
      <w:r>
        <w:rPr>
          <w:rFonts w:hint="eastAsia" w:ascii="方正仿宋_GBK" w:eastAsia="方正仿宋_GBK"/>
          <w:sz w:val="28"/>
          <w:szCs w:val="28"/>
          <w:lang w:eastAsia="zh-CN"/>
        </w:rPr>
        <w:t>二</w:t>
      </w:r>
      <w:r>
        <w:rPr>
          <w:rFonts w:hint="eastAsia" w:ascii="方正仿宋_GBK" w:eastAsia="方正仿宋_GBK"/>
          <w:sz w:val="28"/>
          <w:szCs w:val="28"/>
        </w:rPr>
        <w:t>）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5" w:name="_Toc24700719"/>
      <w:r>
        <w:rPr>
          <w:rFonts w:hint="eastAsia" w:ascii="方正仿宋_GBK" w:eastAsia="方正仿宋_GBK"/>
          <w:sz w:val="28"/>
          <w:szCs w:val="28"/>
        </w:rPr>
        <w:t>第十四条 合同的变更和解除</w:t>
      </w:r>
      <w:bookmarkEnd w:id="15"/>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6" w:name="_Toc24700720"/>
      <w:r>
        <w:rPr>
          <w:rFonts w:hint="eastAsia" w:ascii="方正仿宋_GBK" w:eastAsia="方正仿宋_GBK"/>
          <w:sz w:val="28"/>
          <w:szCs w:val="28"/>
        </w:rPr>
        <w:t>第十五条 合同生效及其他</w:t>
      </w:r>
      <w:bookmarkEnd w:id="16"/>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11045" w:type="dxa"/>
        <w:jc w:val="center"/>
        <w:tblInd w:w="0" w:type="dxa"/>
        <w:tblLayout w:type="fixed"/>
        <w:tblCellMar>
          <w:top w:w="0" w:type="dxa"/>
          <w:left w:w="108" w:type="dxa"/>
          <w:bottom w:w="0" w:type="dxa"/>
          <w:right w:w="108" w:type="dxa"/>
        </w:tblCellMar>
      </w:tblPr>
      <w:tblGrid>
        <w:gridCol w:w="1259"/>
        <w:gridCol w:w="6119"/>
        <w:gridCol w:w="1115"/>
        <w:gridCol w:w="1276"/>
        <w:gridCol w:w="1276"/>
      </w:tblGrid>
      <w:tr>
        <w:tblPrEx>
          <w:tblLayout w:type="fixed"/>
          <w:tblCellMar>
            <w:top w:w="0" w:type="dxa"/>
            <w:left w:w="108" w:type="dxa"/>
            <w:bottom w:w="0" w:type="dxa"/>
            <w:right w:w="108" w:type="dxa"/>
          </w:tblCellMar>
        </w:tblPrEx>
        <w:trPr>
          <w:trHeight w:val="402" w:hRule="atLeast"/>
          <w:jc w:val="center"/>
        </w:trPr>
        <w:tc>
          <w:tcPr>
            <w:tcW w:w="12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szCs w:val="21"/>
              </w:rPr>
            </w:pPr>
            <w:r>
              <w:rPr>
                <w:rFonts w:hint="eastAsia" w:hAnsi="宋体"/>
                <w:szCs w:val="21"/>
              </w:rPr>
              <w:t>序号</w:t>
            </w:r>
          </w:p>
        </w:tc>
        <w:tc>
          <w:tcPr>
            <w:tcW w:w="6119"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技术要求</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数量（台）</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单价（不含税）</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r>
              <w:rPr>
                <w:rFonts w:hint="eastAsia" w:hAnsi="宋体"/>
                <w:szCs w:val="21"/>
              </w:rPr>
              <w:t>总价（不含税）</w:t>
            </w:r>
          </w:p>
        </w:tc>
      </w:tr>
      <w:tr>
        <w:tblPrEx>
          <w:tblLayout w:type="fixed"/>
          <w:tblCellMar>
            <w:top w:w="0" w:type="dxa"/>
            <w:left w:w="108" w:type="dxa"/>
            <w:bottom w:w="0" w:type="dxa"/>
            <w:right w:w="108" w:type="dxa"/>
          </w:tblCellMar>
        </w:tblPrEx>
        <w:trPr>
          <w:trHeight w:val="343" w:hRule="atLeast"/>
          <w:jc w:val="center"/>
        </w:trPr>
        <w:tc>
          <w:tcPr>
            <w:tcW w:w="1259" w:type="dxa"/>
            <w:tcBorders>
              <w:top w:val="nil"/>
              <w:left w:val="single" w:color="auto" w:sz="4" w:space="0"/>
              <w:bottom w:val="nil"/>
              <w:right w:val="single" w:color="auto" w:sz="4" w:space="0"/>
            </w:tcBorders>
            <w:vAlign w:val="center"/>
          </w:tcPr>
          <w:p>
            <w:pPr>
              <w:widowControl/>
              <w:jc w:val="center"/>
              <w:rPr>
                <w:rFonts w:hAnsi="宋体"/>
                <w:szCs w:val="21"/>
              </w:rPr>
            </w:pPr>
            <w:r>
              <w:rPr>
                <w:rFonts w:hint="eastAsia" w:hAnsi="宋体"/>
                <w:szCs w:val="21"/>
              </w:rPr>
              <w:t>01</w:t>
            </w:r>
          </w:p>
          <w:p>
            <w:pPr>
              <w:pStyle w:val="2"/>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英寸</w:t>
            </w:r>
          </w:p>
        </w:tc>
        <w:tc>
          <w:tcPr>
            <w:tcW w:w="6119" w:type="dxa"/>
            <w:tcBorders>
              <w:top w:val="nil"/>
              <w:left w:val="nil"/>
              <w:bottom w:val="nil"/>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11) 支持频道禁用、上电开机、USB一键克隆等。</w:t>
            </w:r>
          </w:p>
        </w:tc>
        <w:tc>
          <w:tcPr>
            <w:tcW w:w="1115" w:type="dxa"/>
            <w:tcBorders>
              <w:top w:val="nil"/>
              <w:left w:val="nil"/>
              <w:bottom w:val="nil"/>
              <w:right w:val="single" w:color="auto" w:sz="4" w:space="0"/>
            </w:tcBorders>
            <w:vAlign w:val="center"/>
          </w:tcPr>
          <w:p>
            <w:pPr>
              <w:widowControl/>
              <w:jc w:val="center"/>
              <w:rPr>
                <w:rFonts w:hAnsi="宋体"/>
                <w:szCs w:val="21"/>
              </w:rPr>
            </w:pPr>
            <w:r>
              <w:rPr>
                <w:rFonts w:hint="eastAsia" w:hAnsi="宋体"/>
                <w:szCs w:val="21"/>
              </w:rPr>
              <w:t>2</w:t>
            </w:r>
          </w:p>
        </w:tc>
        <w:tc>
          <w:tcPr>
            <w:tcW w:w="1276" w:type="dxa"/>
            <w:tcBorders>
              <w:top w:val="nil"/>
              <w:left w:val="nil"/>
              <w:bottom w:val="nil"/>
              <w:right w:val="single" w:color="auto" w:sz="4" w:space="0"/>
            </w:tcBorders>
          </w:tcPr>
          <w:p>
            <w:pPr>
              <w:widowControl/>
              <w:jc w:val="center"/>
              <w:rPr>
                <w:rFonts w:hAnsi="宋体"/>
                <w:szCs w:val="21"/>
              </w:rPr>
            </w:pPr>
          </w:p>
        </w:tc>
        <w:tc>
          <w:tcPr>
            <w:tcW w:w="1276" w:type="dxa"/>
            <w:tcBorders>
              <w:top w:val="nil"/>
              <w:left w:val="nil"/>
              <w:bottom w:val="nil"/>
              <w:right w:val="single" w:color="auto" w:sz="4" w:space="0"/>
            </w:tcBorders>
          </w:tcPr>
          <w:p>
            <w:pPr>
              <w:widowControl/>
              <w:jc w:val="center"/>
              <w:rPr>
                <w:rFonts w:hAnsi="宋体"/>
                <w:szCs w:val="21"/>
              </w:rPr>
            </w:pPr>
          </w:p>
        </w:tc>
      </w:tr>
      <w:tr>
        <w:tblPrEx>
          <w:tblLayout w:type="fixed"/>
          <w:tblCellMar>
            <w:top w:w="0" w:type="dxa"/>
            <w:left w:w="108" w:type="dxa"/>
            <w:bottom w:w="0" w:type="dxa"/>
            <w:right w:w="108" w:type="dxa"/>
          </w:tblCellMar>
        </w:tblPrEx>
        <w:trPr>
          <w:trHeight w:val="343"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2</w:t>
            </w:r>
          </w:p>
          <w:p>
            <w:pPr>
              <w:pStyle w:val="2"/>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w:t>
            </w:r>
            <w:r>
              <w:rPr>
                <w:rFonts w:asciiTheme="minorEastAsia" w:hAnsiTheme="minorEastAsia" w:eastAsiaTheme="minorEastAsia"/>
                <w:b w:val="0"/>
                <w:bCs w:val="0"/>
                <w:sz w:val="21"/>
                <w:szCs w:val="21"/>
              </w:rPr>
              <w:t>5</w:t>
            </w:r>
            <w:r>
              <w:rPr>
                <w:rFonts w:hint="eastAsia" w:asciiTheme="minorEastAsia" w:hAnsiTheme="minorEastAsia" w:eastAsiaTheme="minorEastAsia"/>
                <w:b w:val="0"/>
                <w:bCs w:val="0"/>
                <w:sz w:val="21"/>
                <w:szCs w:val="21"/>
              </w:rPr>
              <w:t>英寸</w:t>
            </w:r>
          </w:p>
        </w:tc>
        <w:tc>
          <w:tcPr>
            <w:tcW w:w="611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szCs w:val="21"/>
              </w:rPr>
            </w:pPr>
            <w:r>
              <w:rPr>
                <w:rFonts w:hint="eastAsia" w:ascii="宋体" w:hAnsi="宋体" w:cs="宋体"/>
                <w:szCs w:val="21"/>
              </w:rPr>
              <w:t>11) 支持频道禁用、上电开机、USB一键克隆等。</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7</w:t>
            </w:r>
            <w:r>
              <w:rPr>
                <w:rFonts w:hAnsi="宋体"/>
                <w:szCs w:val="21"/>
              </w:rPr>
              <w:t>2</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r>
      <w:tr>
        <w:tblPrEx>
          <w:tblLayout w:type="fixed"/>
          <w:tblCellMar>
            <w:top w:w="0" w:type="dxa"/>
            <w:left w:w="108" w:type="dxa"/>
            <w:bottom w:w="0" w:type="dxa"/>
            <w:right w:w="108" w:type="dxa"/>
          </w:tblCellMar>
        </w:tblPrEx>
        <w:trPr>
          <w:trHeight w:val="343"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Cs w:val="21"/>
              </w:rPr>
            </w:pPr>
            <w:r>
              <w:rPr>
                <w:rFonts w:hint="eastAsia" w:hAnsi="宋体"/>
                <w:szCs w:val="21"/>
              </w:rPr>
              <w:t>0</w:t>
            </w:r>
            <w:r>
              <w:rPr>
                <w:rFonts w:hAnsi="宋体"/>
                <w:szCs w:val="21"/>
              </w:rPr>
              <w:t>3</w:t>
            </w:r>
          </w:p>
          <w:p>
            <w:pPr>
              <w:widowControl/>
              <w:jc w:val="center"/>
              <w:rPr>
                <w:rFonts w:hAnsi="宋体"/>
                <w:szCs w:val="21"/>
              </w:rPr>
            </w:pPr>
            <w:r>
              <w:rPr>
                <w:rFonts w:hint="eastAsia"/>
              </w:rPr>
              <w:t>4</w:t>
            </w:r>
            <w:r>
              <w:t>3</w:t>
            </w:r>
            <w:r>
              <w:rPr>
                <w:rFonts w:hint="eastAsia"/>
              </w:rPr>
              <w:t>英寸</w:t>
            </w:r>
          </w:p>
        </w:tc>
        <w:tc>
          <w:tcPr>
            <w:tcW w:w="6119"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1）★超高清商用电视；分辨率3840*2160@60hz；</w:t>
            </w:r>
          </w:p>
          <w:p>
            <w:pPr>
              <w:spacing w:line="360" w:lineRule="auto"/>
              <w:rPr>
                <w:rFonts w:ascii="宋体" w:hAnsi="宋体" w:cs="宋体"/>
                <w:szCs w:val="21"/>
              </w:rPr>
            </w:pPr>
            <w:r>
              <w:rPr>
                <w:rFonts w:hint="eastAsia" w:ascii="宋体" w:hAnsi="宋体" w:cs="宋体"/>
                <w:szCs w:val="21"/>
              </w:rPr>
              <w:t>2）操作系统：Android智能操作系统，4核高性能处理器,2G,DDR3，内置16G大容量闪存，内置wifi无线模块</w:t>
            </w:r>
          </w:p>
          <w:p>
            <w:pPr>
              <w:spacing w:line="360" w:lineRule="auto"/>
              <w:rPr>
                <w:rFonts w:ascii="宋体" w:hAnsi="宋体" w:cs="宋体"/>
                <w:szCs w:val="21"/>
              </w:rPr>
            </w:pPr>
            <w:r>
              <w:rPr>
                <w:rFonts w:hint="eastAsia" w:ascii="宋体" w:hAnsi="宋体" w:cs="宋体"/>
                <w:szCs w:val="21"/>
              </w:rPr>
              <w:t>3）端口： HDMI≥2、VGA≥1、AV-in≥1、同轴≥1、RF≥1、USB≥2、网口≥1</w:t>
            </w:r>
          </w:p>
          <w:p>
            <w:pPr>
              <w:spacing w:line="360" w:lineRule="auto"/>
              <w:rPr>
                <w:rFonts w:ascii="宋体" w:hAnsi="宋体" w:cs="宋体"/>
                <w:szCs w:val="21"/>
              </w:rPr>
            </w:pPr>
            <w:r>
              <w:rPr>
                <w:rFonts w:hint="eastAsia" w:ascii="宋体" w:hAnsi="宋体" w:cs="宋体"/>
                <w:szCs w:val="21"/>
              </w:rPr>
              <w:t>4）具有高清视频处理功能，确保输出的画质高清晰；具有3D数字降噪处理技术将不重叠的信息(即噪波)自动滤出从而显示出纯净细腻的画面；具备画面显示色彩提升技术对图像的彩色分量在不同的亮度层次上对色调、饱和度分别单独的进行调节，完美还原图像真实色彩；</w:t>
            </w:r>
          </w:p>
          <w:p>
            <w:pPr>
              <w:spacing w:line="360" w:lineRule="auto"/>
              <w:rPr>
                <w:rFonts w:ascii="宋体" w:hAnsi="宋体" w:cs="宋体"/>
                <w:szCs w:val="21"/>
              </w:rPr>
            </w:pPr>
            <w:r>
              <w:rPr>
                <w:rFonts w:hint="eastAsia" w:ascii="宋体" w:hAnsi="宋体" w:cs="宋体"/>
                <w:szCs w:val="21"/>
              </w:rPr>
              <w:t>5）采用动态背光技术、支持HDR10解码 ；</w:t>
            </w:r>
          </w:p>
          <w:p>
            <w:pPr>
              <w:spacing w:line="360" w:lineRule="auto"/>
              <w:rPr>
                <w:rFonts w:ascii="宋体" w:hAnsi="宋体" w:cs="宋体"/>
                <w:szCs w:val="21"/>
              </w:rPr>
            </w:pPr>
            <w:r>
              <w:rPr>
                <w:rFonts w:hint="eastAsia" w:ascii="宋体" w:hAnsi="宋体" w:cs="宋体"/>
                <w:szCs w:val="21"/>
              </w:rPr>
              <w:t>6）★支持在线替换开机画面、动画、视频；搭载第三方运用；支持远程控制开关机；支持第三方APK适配对接；</w:t>
            </w:r>
          </w:p>
          <w:p>
            <w:pPr>
              <w:spacing w:line="360" w:lineRule="auto"/>
              <w:rPr>
                <w:rFonts w:ascii="宋体" w:hAnsi="宋体" w:cs="宋体"/>
                <w:szCs w:val="21"/>
              </w:rPr>
            </w:pPr>
            <w:r>
              <w:rPr>
                <w:rFonts w:hint="eastAsia" w:ascii="宋体" w:hAnsi="宋体" w:cs="宋体"/>
                <w:szCs w:val="21"/>
              </w:rPr>
              <w:t>7）★支持语音控制、支持语音遥控器，可自行设置密码锁定遥控，可一键设置信号源，可一键直达主页</w:t>
            </w:r>
          </w:p>
          <w:p>
            <w:pPr>
              <w:spacing w:line="360" w:lineRule="auto"/>
              <w:rPr>
                <w:rFonts w:ascii="宋体" w:hAnsi="宋体" w:cs="宋体"/>
                <w:szCs w:val="21"/>
              </w:rPr>
            </w:pPr>
            <w:r>
              <w:rPr>
                <w:rFonts w:hint="eastAsia" w:ascii="宋体" w:hAnsi="宋体" w:cs="宋体"/>
                <w:szCs w:val="21"/>
              </w:rPr>
              <w:t>8）支持外接WIFI蓝牙二合一，无须单独连接，且带有无线网络记忆功能；</w:t>
            </w:r>
          </w:p>
          <w:p>
            <w:pPr>
              <w:spacing w:line="360" w:lineRule="auto"/>
              <w:rPr>
                <w:rFonts w:ascii="宋体" w:hAnsi="宋体" w:cs="宋体"/>
                <w:szCs w:val="21"/>
              </w:rPr>
            </w:pPr>
            <w:r>
              <w:rPr>
                <w:rFonts w:hint="eastAsia" w:ascii="宋体" w:hAnsi="宋体" w:cs="宋体"/>
                <w:szCs w:val="21"/>
              </w:rPr>
              <w:t>9）支持DVB-C清流信号播放、支持HDMI的CEC功能，可反向控制设备及电视、支持HDMI ARC功能；</w:t>
            </w:r>
          </w:p>
          <w:p>
            <w:pPr>
              <w:spacing w:line="360" w:lineRule="auto"/>
              <w:rPr>
                <w:rFonts w:ascii="宋体" w:hAnsi="宋体" w:cs="宋体"/>
                <w:szCs w:val="21"/>
              </w:rPr>
            </w:pPr>
            <w:r>
              <w:rPr>
                <w:rFonts w:hint="eastAsia" w:ascii="宋体" w:hAnsi="宋体" w:cs="宋体"/>
                <w:szCs w:val="21"/>
              </w:rPr>
              <w:t xml:space="preserve">10）手机投屏电视功能，可按需开/关闭投屏功能； </w:t>
            </w:r>
          </w:p>
          <w:p>
            <w:pPr>
              <w:spacing w:line="360" w:lineRule="auto"/>
              <w:rPr>
                <w:rFonts w:ascii="宋体" w:hAnsi="宋体" w:cs="宋体"/>
                <w:szCs w:val="21"/>
              </w:rPr>
            </w:pPr>
            <w:r>
              <w:rPr>
                <w:rFonts w:hint="eastAsia" w:ascii="宋体" w:hAnsi="宋体" w:cs="宋体"/>
                <w:szCs w:val="21"/>
              </w:rPr>
              <w:t>11) 支持频道禁用、上电开机、USB一键克隆等。</w:t>
            </w:r>
          </w:p>
        </w:tc>
        <w:tc>
          <w:tcPr>
            <w:tcW w:w="1115" w:type="dxa"/>
            <w:tcBorders>
              <w:top w:val="single" w:color="auto" w:sz="4" w:space="0"/>
              <w:left w:val="nil"/>
              <w:bottom w:val="single" w:color="auto" w:sz="4" w:space="0"/>
              <w:right w:val="single" w:color="auto" w:sz="4" w:space="0"/>
            </w:tcBorders>
            <w:vAlign w:val="center"/>
          </w:tcPr>
          <w:p>
            <w:pPr>
              <w:widowControl/>
              <w:jc w:val="center"/>
              <w:rPr>
                <w:rFonts w:hAnsi="宋体"/>
                <w:szCs w:val="21"/>
              </w:rPr>
            </w:pPr>
            <w:r>
              <w:rPr>
                <w:rFonts w:hint="eastAsia" w:hAnsi="宋体"/>
                <w:szCs w:val="21"/>
              </w:rPr>
              <w:t>8</w:t>
            </w: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hAnsi="宋体"/>
                <w:szCs w:val="21"/>
              </w:rPr>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请充分考虑各项费用因素，包括所供设备费（支架、配件等）、装卸费、安装费、售后服务费、税金等所有费用。报价一经报出，不得更改。</w:t>
      </w:r>
    </w:p>
    <w:p>
      <w:pPr>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56B"/>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007B"/>
    <w:rsid w:val="00072744"/>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333B"/>
    <w:rsid w:val="000C50F3"/>
    <w:rsid w:val="000C633A"/>
    <w:rsid w:val="000D521A"/>
    <w:rsid w:val="000E2F2F"/>
    <w:rsid w:val="000E5E1E"/>
    <w:rsid w:val="000F2CE5"/>
    <w:rsid w:val="000F3310"/>
    <w:rsid w:val="000F4E07"/>
    <w:rsid w:val="00103882"/>
    <w:rsid w:val="00106E21"/>
    <w:rsid w:val="001213C1"/>
    <w:rsid w:val="00122A86"/>
    <w:rsid w:val="00126337"/>
    <w:rsid w:val="00126A08"/>
    <w:rsid w:val="00127577"/>
    <w:rsid w:val="00127708"/>
    <w:rsid w:val="0013184B"/>
    <w:rsid w:val="00136086"/>
    <w:rsid w:val="00140784"/>
    <w:rsid w:val="001421B8"/>
    <w:rsid w:val="001429B7"/>
    <w:rsid w:val="00146445"/>
    <w:rsid w:val="001505AE"/>
    <w:rsid w:val="00150869"/>
    <w:rsid w:val="00154FE5"/>
    <w:rsid w:val="001559E7"/>
    <w:rsid w:val="001563FB"/>
    <w:rsid w:val="00163E7C"/>
    <w:rsid w:val="00172F0A"/>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B7"/>
    <w:rsid w:val="001C452E"/>
    <w:rsid w:val="001D0060"/>
    <w:rsid w:val="001D125C"/>
    <w:rsid w:val="001E04F7"/>
    <w:rsid w:val="001E0DD3"/>
    <w:rsid w:val="001E3079"/>
    <w:rsid w:val="001E7299"/>
    <w:rsid w:val="001F0559"/>
    <w:rsid w:val="001F2E0C"/>
    <w:rsid w:val="001F52E9"/>
    <w:rsid w:val="001F7E2E"/>
    <w:rsid w:val="00202960"/>
    <w:rsid w:val="00202EEA"/>
    <w:rsid w:val="00205CAE"/>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B3C2F"/>
    <w:rsid w:val="002B75E8"/>
    <w:rsid w:val="002C46DA"/>
    <w:rsid w:val="002C52F9"/>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272A7"/>
    <w:rsid w:val="00332769"/>
    <w:rsid w:val="00332BF8"/>
    <w:rsid w:val="00333793"/>
    <w:rsid w:val="00333BD0"/>
    <w:rsid w:val="00340E6F"/>
    <w:rsid w:val="0034710B"/>
    <w:rsid w:val="00347BDE"/>
    <w:rsid w:val="00351066"/>
    <w:rsid w:val="003534A4"/>
    <w:rsid w:val="0035797B"/>
    <w:rsid w:val="00357C50"/>
    <w:rsid w:val="00360EB4"/>
    <w:rsid w:val="00366333"/>
    <w:rsid w:val="00370602"/>
    <w:rsid w:val="003723A5"/>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0114"/>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649A"/>
    <w:rsid w:val="004D79C1"/>
    <w:rsid w:val="004E45E3"/>
    <w:rsid w:val="004E5FA6"/>
    <w:rsid w:val="004F2FAB"/>
    <w:rsid w:val="004F303F"/>
    <w:rsid w:val="004F307F"/>
    <w:rsid w:val="004F3384"/>
    <w:rsid w:val="004F3F16"/>
    <w:rsid w:val="004F6B0B"/>
    <w:rsid w:val="00500BE2"/>
    <w:rsid w:val="00503E67"/>
    <w:rsid w:val="0051423E"/>
    <w:rsid w:val="0051620C"/>
    <w:rsid w:val="00520DBA"/>
    <w:rsid w:val="0052266E"/>
    <w:rsid w:val="00522678"/>
    <w:rsid w:val="00530816"/>
    <w:rsid w:val="00534EB0"/>
    <w:rsid w:val="00546661"/>
    <w:rsid w:val="00550189"/>
    <w:rsid w:val="00550BF1"/>
    <w:rsid w:val="00550C66"/>
    <w:rsid w:val="00566ECB"/>
    <w:rsid w:val="0057122D"/>
    <w:rsid w:val="005766B4"/>
    <w:rsid w:val="00582675"/>
    <w:rsid w:val="0058393D"/>
    <w:rsid w:val="005863EB"/>
    <w:rsid w:val="00591811"/>
    <w:rsid w:val="005919B7"/>
    <w:rsid w:val="005B2C03"/>
    <w:rsid w:val="005B5E40"/>
    <w:rsid w:val="005B623B"/>
    <w:rsid w:val="005B6DF6"/>
    <w:rsid w:val="005B72F8"/>
    <w:rsid w:val="005C4CBA"/>
    <w:rsid w:val="005C7814"/>
    <w:rsid w:val="005C79AE"/>
    <w:rsid w:val="005E467A"/>
    <w:rsid w:val="005F4938"/>
    <w:rsid w:val="005F4A5B"/>
    <w:rsid w:val="006019BF"/>
    <w:rsid w:val="006078C9"/>
    <w:rsid w:val="00610FB7"/>
    <w:rsid w:val="00610FBA"/>
    <w:rsid w:val="00614554"/>
    <w:rsid w:val="00622C32"/>
    <w:rsid w:val="00626931"/>
    <w:rsid w:val="006331B5"/>
    <w:rsid w:val="00643353"/>
    <w:rsid w:val="00644082"/>
    <w:rsid w:val="006448B9"/>
    <w:rsid w:val="00645A99"/>
    <w:rsid w:val="00646279"/>
    <w:rsid w:val="0064646F"/>
    <w:rsid w:val="0064740A"/>
    <w:rsid w:val="00653540"/>
    <w:rsid w:val="00653F81"/>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6D83"/>
    <w:rsid w:val="006E7700"/>
    <w:rsid w:val="006E7EC8"/>
    <w:rsid w:val="006F0D23"/>
    <w:rsid w:val="006F573C"/>
    <w:rsid w:val="006F6085"/>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7268"/>
    <w:rsid w:val="007C1F70"/>
    <w:rsid w:val="007C2F5A"/>
    <w:rsid w:val="007D5127"/>
    <w:rsid w:val="007E0AA4"/>
    <w:rsid w:val="007E0D23"/>
    <w:rsid w:val="007E19FA"/>
    <w:rsid w:val="007E2E6A"/>
    <w:rsid w:val="007E4029"/>
    <w:rsid w:val="007F0083"/>
    <w:rsid w:val="007F559E"/>
    <w:rsid w:val="008137A3"/>
    <w:rsid w:val="00814A40"/>
    <w:rsid w:val="0081544B"/>
    <w:rsid w:val="00825E3E"/>
    <w:rsid w:val="008320EF"/>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D4CF3"/>
    <w:rsid w:val="008E2C9F"/>
    <w:rsid w:val="00900264"/>
    <w:rsid w:val="00904FC0"/>
    <w:rsid w:val="00926100"/>
    <w:rsid w:val="009325DE"/>
    <w:rsid w:val="00941604"/>
    <w:rsid w:val="0094189A"/>
    <w:rsid w:val="00941BE2"/>
    <w:rsid w:val="00942835"/>
    <w:rsid w:val="00942CCC"/>
    <w:rsid w:val="00945917"/>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E3719"/>
    <w:rsid w:val="009E4D3B"/>
    <w:rsid w:val="009F1A57"/>
    <w:rsid w:val="009F6F06"/>
    <w:rsid w:val="00A079DB"/>
    <w:rsid w:val="00A12488"/>
    <w:rsid w:val="00A279E1"/>
    <w:rsid w:val="00A307C5"/>
    <w:rsid w:val="00A321D3"/>
    <w:rsid w:val="00A37788"/>
    <w:rsid w:val="00A51639"/>
    <w:rsid w:val="00A6310E"/>
    <w:rsid w:val="00A64B28"/>
    <w:rsid w:val="00A6743C"/>
    <w:rsid w:val="00A70F36"/>
    <w:rsid w:val="00A73E6F"/>
    <w:rsid w:val="00A74F64"/>
    <w:rsid w:val="00A76A01"/>
    <w:rsid w:val="00A81671"/>
    <w:rsid w:val="00A912E2"/>
    <w:rsid w:val="00A9211E"/>
    <w:rsid w:val="00AA3DFD"/>
    <w:rsid w:val="00AA4C4C"/>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2FCA"/>
    <w:rsid w:val="00B83591"/>
    <w:rsid w:val="00BA0571"/>
    <w:rsid w:val="00BA1401"/>
    <w:rsid w:val="00BA1D26"/>
    <w:rsid w:val="00BB07FB"/>
    <w:rsid w:val="00BB0CC3"/>
    <w:rsid w:val="00BC4195"/>
    <w:rsid w:val="00BD0642"/>
    <w:rsid w:val="00BE1EB9"/>
    <w:rsid w:val="00BE72AF"/>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033C"/>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1686"/>
    <w:rsid w:val="00CB6FDC"/>
    <w:rsid w:val="00CC2123"/>
    <w:rsid w:val="00CC2C5D"/>
    <w:rsid w:val="00CC4219"/>
    <w:rsid w:val="00CC6961"/>
    <w:rsid w:val="00CC6DA7"/>
    <w:rsid w:val="00CD5A23"/>
    <w:rsid w:val="00CE6BE6"/>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80CA9"/>
    <w:rsid w:val="00D81DC5"/>
    <w:rsid w:val="00D83800"/>
    <w:rsid w:val="00D94DD4"/>
    <w:rsid w:val="00D95B98"/>
    <w:rsid w:val="00DA1CBE"/>
    <w:rsid w:val="00DB06FB"/>
    <w:rsid w:val="00DB73DB"/>
    <w:rsid w:val="00DD4FFC"/>
    <w:rsid w:val="00DD6002"/>
    <w:rsid w:val="00DE3E4B"/>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A390A"/>
    <w:rsid w:val="00EB0F23"/>
    <w:rsid w:val="00EB2A4E"/>
    <w:rsid w:val="00EC4E18"/>
    <w:rsid w:val="00ED086E"/>
    <w:rsid w:val="00ED7FB9"/>
    <w:rsid w:val="00EE616E"/>
    <w:rsid w:val="00EF37E9"/>
    <w:rsid w:val="00F01D1A"/>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2AC2"/>
    <w:rsid w:val="00F62E33"/>
    <w:rsid w:val="00F642FD"/>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DEE1CD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42713C"/>
    <w:rsid w:val="49905EE9"/>
    <w:rsid w:val="4BBF48B2"/>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2251</Words>
  <Characters>12837</Characters>
  <Lines>106</Lines>
  <Paragraphs>30</Paragraphs>
  <TotalTime>1733</TotalTime>
  <ScaleCrop>false</ScaleCrop>
  <LinksUpToDate>false</LinksUpToDate>
  <CharactersWithSpaces>15058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2021-11-15T08:55:00Z</cp:lastPrinted>
  <dcterms:modified xsi:type="dcterms:W3CDTF">2021-11-29T03:02:46Z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