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auto"/>
          <w:sz w:val="52"/>
          <w:szCs w:val="52"/>
          <w:highlight w:val="none"/>
        </w:rPr>
      </w:pPr>
    </w:p>
    <w:p>
      <w:pPr>
        <w:jc w:val="center"/>
        <w:rPr>
          <w:rFonts w:ascii="仿宋_GB2312" w:eastAsia="仿宋_GB2312"/>
          <w:b/>
          <w:color w:val="auto"/>
          <w:sz w:val="52"/>
          <w:szCs w:val="52"/>
          <w:highlight w:val="none"/>
        </w:rPr>
      </w:pPr>
    </w:p>
    <w:p>
      <w:pPr>
        <w:jc w:val="center"/>
        <w:rPr>
          <w:rFonts w:ascii="方正小标宋_GBK" w:eastAsia="方正小标宋_GBK"/>
          <w:color w:val="auto"/>
          <w:sz w:val="52"/>
          <w:szCs w:val="52"/>
          <w:highlight w:val="none"/>
        </w:rPr>
      </w:pPr>
      <w:r>
        <w:rPr>
          <w:rFonts w:hint="eastAsia" w:ascii="方正小标宋_GBK" w:eastAsia="方正小标宋_GBK"/>
          <w:color w:val="auto"/>
          <w:sz w:val="52"/>
          <w:szCs w:val="52"/>
          <w:highlight w:val="none"/>
        </w:rPr>
        <w:t>重庆机场集团有限公司</w:t>
      </w:r>
    </w:p>
    <w:p>
      <w:pPr>
        <w:adjustRightInd w:val="0"/>
        <w:snapToGrid w:val="0"/>
        <w:jc w:val="center"/>
        <w:rPr>
          <w:rFonts w:hint="eastAsia" w:ascii="方正小标宋_GBK" w:hAnsi="仿宋" w:eastAsia="方正小标宋_GBK" w:cs="方正小标宋简体"/>
          <w:bCs/>
          <w:color w:val="auto"/>
          <w:sz w:val="44"/>
          <w:szCs w:val="44"/>
          <w:highlight w:val="none"/>
        </w:rPr>
      </w:pPr>
    </w:p>
    <w:p>
      <w:pPr>
        <w:adjustRightInd w:val="0"/>
        <w:snapToGrid w:val="0"/>
        <w:jc w:val="center"/>
        <w:rPr>
          <w:rFonts w:hint="eastAsia" w:ascii="方正小标宋_GBK" w:hAnsi="仿宋" w:eastAsia="方正小标宋_GBK" w:cs="方正小标宋简体"/>
          <w:bCs/>
          <w:color w:val="auto"/>
          <w:w w:val="90"/>
          <w:sz w:val="44"/>
          <w:szCs w:val="44"/>
          <w:highlight w:val="none"/>
        </w:rPr>
      </w:pPr>
      <w:r>
        <w:rPr>
          <w:rFonts w:hint="eastAsia" w:ascii="方正小标宋_GBK" w:hAnsi="仿宋" w:eastAsia="方正小标宋_GBK" w:cs="方正小标宋简体"/>
          <w:bCs/>
          <w:color w:val="auto"/>
          <w:w w:val="90"/>
          <w:sz w:val="44"/>
          <w:szCs w:val="44"/>
          <w:highlight w:val="none"/>
        </w:rPr>
        <w:t>重庆机场</w:t>
      </w:r>
      <w:r>
        <w:rPr>
          <w:rFonts w:hint="eastAsia" w:ascii="方正小标宋_GBK" w:hAnsi="仿宋" w:eastAsia="方正小标宋_GBK" w:cs="方正小标宋简体"/>
          <w:bCs/>
          <w:color w:val="auto"/>
          <w:w w:val="90"/>
          <w:sz w:val="44"/>
          <w:szCs w:val="44"/>
          <w:highlight w:val="none"/>
          <w:lang w:val="en-US" w:eastAsia="zh-CN"/>
        </w:rPr>
        <w:t>4A统一安全管理</w:t>
      </w:r>
      <w:r>
        <w:rPr>
          <w:rFonts w:hint="eastAsia" w:ascii="方正小标宋_GBK" w:hAnsi="仿宋" w:eastAsia="方正小标宋_GBK" w:cs="方正小标宋简体"/>
          <w:bCs/>
          <w:color w:val="auto"/>
          <w:w w:val="90"/>
          <w:sz w:val="44"/>
          <w:szCs w:val="44"/>
          <w:highlight w:val="none"/>
        </w:rPr>
        <w:t>平台</w:t>
      </w:r>
    </w:p>
    <w:p>
      <w:pPr>
        <w:adjustRightInd w:val="0"/>
        <w:snapToGrid w:val="0"/>
        <w:jc w:val="center"/>
        <w:rPr>
          <w:rFonts w:hint="eastAsia" w:ascii="方正小标宋_GBK" w:hAnsi="仿宋" w:eastAsia="方正小标宋_GBK" w:cs="方正小标宋简体"/>
          <w:bCs/>
          <w:color w:val="auto"/>
          <w:w w:val="90"/>
          <w:sz w:val="44"/>
          <w:szCs w:val="44"/>
          <w:highlight w:val="none"/>
          <w:lang w:val="en-US" w:eastAsia="zh-CN"/>
        </w:rPr>
      </w:pPr>
      <w:r>
        <w:rPr>
          <w:rFonts w:hint="eastAsia" w:ascii="方正小标宋_GBK" w:hAnsi="仿宋" w:eastAsia="方正小标宋_GBK" w:cs="方正小标宋简体"/>
          <w:bCs/>
          <w:color w:val="auto"/>
          <w:w w:val="90"/>
          <w:sz w:val="44"/>
          <w:szCs w:val="44"/>
          <w:highlight w:val="none"/>
        </w:rPr>
        <w:t>升级</w:t>
      </w:r>
      <w:r>
        <w:rPr>
          <w:rFonts w:hint="eastAsia" w:ascii="方正小标宋_GBK" w:hAnsi="仿宋" w:eastAsia="方正小标宋_GBK" w:cs="方正小标宋简体"/>
          <w:bCs/>
          <w:color w:val="auto"/>
          <w:w w:val="90"/>
          <w:sz w:val="44"/>
          <w:szCs w:val="44"/>
          <w:highlight w:val="none"/>
          <w:lang w:val="en-US" w:eastAsia="zh-CN"/>
        </w:rPr>
        <w:t>扩容</w:t>
      </w:r>
      <w:r>
        <w:rPr>
          <w:rFonts w:hint="eastAsia" w:ascii="方正小标宋_GBK" w:hAnsi="仿宋" w:eastAsia="方正小标宋_GBK" w:cs="方正小标宋简体"/>
          <w:bCs/>
          <w:color w:val="auto"/>
          <w:w w:val="90"/>
          <w:sz w:val="44"/>
          <w:szCs w:val="44"/>
          <w:highlight w:val="none"/>
        </w:rPr>
        <w:t>项目</w:t>
      </w:r>
      <w:r>
        <w:rPr>
          <w:rFonts w:hint="eastAsia" w:ascii="方正小标宋_GBK" w:hAnsi="仿宋" w:eastAsia="方正小标宋_GBK" w:cs="方正小标宋简体"/>
          <w:bCs/>
          <w:color w:val="auto"/>
          <w:w w:val="90"/>
          <w:sz w:val="44"/>
          <w:szCs w:val="44"/>
          <w:highlight w:val="none"/>
          <w:lang w:eastAsia="zh-CN"/>
        </w:rPr>
        <w:t>（</w:t>
      </w:r>
      <w:r>
        <w:rPr>
          <w:rFonts w:hint="eastAsia" w:ascii="方正小标宋_GBK" w:hAnsi="仿宋" w:eastAsia="方正小标宋_GBK" w:cs="方正小标宋简体"/>
          <w:bCs/>
          <w:color w:val="auto"/>
          <w:w w:val="90"/>
          <w:sz w:val="44"/>
          <w:szCs w:val="44"/>
          <w:highlight w:val="none"/>
          <w:lang w:val="en-US" w:eastAsia="zh-CN"/>
        </w:rPr>
        <w:t>第二次</w:t>
      </w:r>
      <w:r>
        <w:rPr>
          <w:rFonts w:hint="eastAsia" w:ascii="方正小标宋_GBK" w:hAnsi="仿宋" w:eastAsia="方正小标宋_GBK" w:cs="方正小标宋简体"/>
          <w:bCs/>
          <w:color w:val="auto"/>
          <w:w w:val="90"/>
          <w:sz w:val="44"/>
          <w:szCs w:val="44"/>
          <w:highlight w:val="none"/>
          <w:lang w:eastAsia="zh-CN"/>
        </w:rPr>
        <w:t>）</w:t>
      </w:r>
    </w:p>
    <w:p>
      <w:pPr>
        <w:adjustRightInd w:val="0"/>
        <w:snapToGrid w:val="0"/>
        <w:jc w:val="center"/>
        <w:rPr>
          <w:rFonts w:ascii="方正小标宋_GBK" w:hAnsi="仿宋" w:eastAsia="方正小标宋_GBK" w:cs="方正小标宋简体"/>
          <w:bCs/>
          <w:color w:val="auto"/>
          <w:sz w:val="44"/>
          <w:szCs w:val="44"/>
          <w:highlight w:val="none"/>
        </w:rPr>
      </w:pPr>
      <w:r>
        <w:rPr>
          <w:rFonts w:hint="eastAsia" w:ascii="方正小标宋_GBK" w:hAnsi="仿宋" w:eastAsia="方正小标宋_GBK" w:cs="方正小标宋简体"/>
          <w:bCs/>
          <w:color w:val="auto"/>
          <w:sz w:val="44"/>
          <w:szCs w:val="44"/>
          <w:highlight w:val="none"/>
        </w:rPr>
        <w:t>比选采购文件</w:t>
      </w:r>
    </w:p>
    <w:p>
      <w:pPr>
        <w:autoSpaceDE w:val="0"/>
        <w:autoSpaceDN w:val="0"/>
        <w:adjustRightInd w:val="0"/>
        <w:spacing w:line="360" w:lineRule="auto"/>
        <w:jc w:val="center"/>
        <w:rPr>
          <w:rFonts w:ascii="仿宋_GB2312" w:hAnsi="仿宋" w:eastAsia="仿宋_GB2312" w:cs="宋体"/>
          <w:b/>
          <w:bCs/>
          <w:color w:val="auto"/>
          <w:sz w:val="36"/>
          <w:szCs w:val="36"/>
          <w:highlight w:val="none"/>
          <w:lang w:val="zh-CN"/>
        </w:rPr>
      </w:pPr>
    </w:p>
    <w:p>
      <w:pPr>
        <w:autoSpaceDE w:val="0"/>
        <w:autoSpaceDN w:val="0"/>
        <w:adjustRightInd w:val="0"/>
        <w:spacing w:line="360" w:lineRule="auto"/>
        <w:jc w:val="center"/>
        <w:rPr>
          <w:rFonts w:ascii="仿宋_GB2312" w:hAnsi="仿宋" w:eastAsia="仿宋_GB2312" w:cs="宋体"/>
          <w:b/>
          <w:bCs/>
          <w:color w:val="auto"/>
          <w:sz w:val="36"/>
          <w:szCs w:val="36"/>
          <w:highlight w:val="none"/>
          <w:lang w:val="zh-CN"/>
        </w:rPr>
      </w:pPr>
      <w:r>
        <w:rPr>
          <w:rFonts w:hint="eastAsia" w:ascii="仿宋_GB2312" w:hAnsi="仿宋" w:eastAsia="仿宋_GB2312" w:cs="宋体"/>
          <w:b/>
          <w:bCs/>
          <w:color w:val="auto"/>
          <w:sz w:val="36"/>
          <w:szCs w:val="36"/>
          <w:highlight w:val="none"/>
          <w:lang w:val="zh-CN"/>
        </w:rPr>
        <w:t>比选方式</w:t>
      </w:r>
      <w:r>
        <w:rPr>
          <w:rFonts w:ascii="仿宋_GB2312" w:hAnsi="仿宋" w:eastAsia="仿宋_GB2312" w:cs="宋体"/>
          <w:b/>
          <w:bCs/>
          <w:color w:val="auto"/>
          <w:sz w:val="36"/>
          <w:szCs w:val="36"/>
          <w:highlight w:val="none"/>
          <w:lang w:val="zh-CN"/>
        </w:rPr>
        <w:t>—</w:t>
      </w:r>
      <w:r>
        <w:rPr>
          <w:rFonts w:hint="eastAsia" w:ascii="仿宋_GB2312" w:hAnsi="仿宋" w:eastAsia="仿宋_GB2312" w:cs="宋体"/>
          <w:b/>
          <w:bCs/>
          <w:color w:val="auto"/>
          <w:sz w:val="36"/>
          <w:szCs w:val="36"/>
          <w:highlight w:val="none"/>
          <w:lang w:val="zh-CN"/>
        </w:rPr>
        <w:t>综合评分法</w:t>
      </w:r>
    </w:p>
    <w:p>
      <w:pPr>
        <w:jc w:val="center"/>
        <w:rPr>
          <w:rFonts w:ascii="仿宋" w:hAnsi="仿宋" w:eastAsia="仿宋"/>
          <w:b/>
          <w:color w:val="auto"/>
          <w:sz w:val="32"/>
          <w:highlight w:val="none"/>
        </w:rPr>
      </w:pPr>
    </w:p>
    <w:p>
      <w:pPr>
        <w:jc w:val="center"/>
        <w:rPr>
          <w:rFonts w:ascii="仿宋" w:hAnsi="仿宋" w:eastAsia="仿宋"/>
          <w:b/>
          <w:color w:val="auto"/>
          <w:sz w:val="32"/>
          <w:highlight w:val="none"/>
        </w:rPr>
      </w:pPr>
    </w:p>
    <w:p>
      <w:pPr>
        <w:autoSpaceDE w:val="0"/>
        <w:autoSpaceDN w:val="0"/>
        <w:adjustRightInd w:val="0"/>
        <w:spacing w:line="360" w:lineRule="auto"/>
        <w:jc w:val="center"/>
        <w:rPr>
          <w:rFonts w:hint="eastAsia" w:ascii="仿宋_GB2312" w:hAnsi="仿宋" w:eastAsia="仿宋_GB2312" w:cs="宋体"/>
          <w:b/>
          <w:bCs/>
          <w:color w:val="auto"/>
          <w:sz w:val="36"/>
          <w:szCs w:val="36"/>
          <w:highlight w:val="none"/>
          <w:lang w:val="en-US" w:eastAsia="zh-CN"/>
        </w:rPr>
      </w:pPr>
      <w:r>
        <w:rPr>
          <w:rFonts w:hint="eastAsia" w:ascii="仿宋_GB2312" w:hAnsi="仿宋" w:eastAsia="仿宋_GB2312" w:cs="宋体"/>
          <w:b/>
          <w:bCs/>
          <w:color w:val="auto"/>
          <w:sz w:val="36"/>
          <w:szCs w:val="36"/>
          <w:highlight w:val="none"/>
          <w:lang w:val="zh-CN"/>
        </w:rPr>
        <w:t>编号：</w:t>
      </w:r>
      <w:r>
        <w:rPr>
          <w:rFonts w:hint="eastAsia" w:ascii="仿宋_GB2312" w:hAnsi="仿宋" w:eastAsia="仿宋_GB2312" w:cs="宋体"/>
          <w:b/>
          <w:bCs/>
          <w:color w:val="auto"/>
          <w:sz w:val="36"/>
          <w:szCs w:val="36"/>
          <w:highlight w:val="none"/>
          <w:lang w:val="en-US" w:eastAsia="zh-CN"/>
        </w:rPr>
        <w:t>服务 2021-046</w:t>
      </w:r>
    </w:p>
    <w:p>
      <w:pPr>
        <w:jc w:val="center"/>
        <w:rPr>
          <w:rFonts w:ascii="仿宋" w:hAnsi="仿宋" w:eastAsia="仿宋"/>
          <w:b/>
          <w:color w:val="auto"/>
          <w:sz w:val="32"/>
          <w:highlight w:val="none"/>
        </w:rPr>
      </w:pPr>
    </w:p>
    <w:p>
      <w:pPr>
        <w:jc w:val="center"/>
        <w:rPr>
          <w:rFonts w:ascii="仿宋" w:hAnsi="仿宋" w:eastAsia="仿宋"/>
          <w:b/>
          <w:color w:val="auto"/>
          <w:sz w:val="52"/>
          <w:highlight w:val="none"/>
        </w:rPr>
      </w:pPr>
    </w:p>
    <w:p>
      <w:pPr>
        <w:jc w:val="center"/>
        <w:rPr>
          <w:rFonts w:ascii="仿宋" w:hAnsi="仿宋" w:eastAsia="仿宋"/>
          <w:b/>
          <w:color w:val="auto"/>
          <w:sz w:val="52"/>
          <w:highlight w:val="none"/>
        </w:rPr>
      </w:pPr>
    </w:p>
    <w:p>
      <w:pPr>
        <w:autoSpaceDE w:val="0"/>
        <w:autoSpaceDN w:val="0"/>
        <w:adjustRightInd w:val="0"/>
        <w:spacing w:line="360" w:lineRule="auto"/>
        <w:jc w:val="center"/>
        <w:rPr>
          <w:rFonts w:ascii="仿宋_GB2312" w:hAnsi="仿宋" w:eastAsia="仿宋_GB2312" w:cs="宋体"/>
          <w:b/>
          <w:bCs/>
          <w:color w:val="auto"/>
          <w:sz w:val="32"/>
          <w:szCs w:val="32"/>
          <w:highlight w:val="none"/>
          <w:lang w:val="zh-CN"/>
        </w:rPr>
      </w:pPr>
      <w:r>
        <w:rPr>
          <w:rFonts w:hint="eastAsia" w:ascii="仿宋_GB2312" w:hAnsi="仿宋" w:eastAsia="仿宋_GB2312" w:cs="宋体"/>
          <w:b/>
          <w:bCs/>
          <w:color w:val="auto"/>
          <w:sz w:val="32"/>
          <w:szCs w:val="32"/>
          <w:highlight w:val="none"/>
          <w:lang w:val="zh-CN"/>
        </w:rPr>
        <w:t>重庆机场集团有限公司</w:t>
      </w:r>
    </w:p>
    <w:p>
      <w:pPr>
        <w:autoSpaceDE w:val="0"/>
        <w:autoSpaceDN w:val="0"/>
        <w:adjustRightInd w:val="0"/>
        <w:spacing w:line="360" w:lineRule="auto"/>
        <w:jc w:val="center"/>
        <w:rPr>
          <w:rFonts w:ascii="仿宋_GB2312" w:hAnsi="仿宋" w:eastAsia="仿宋_GB2312" w:cs="宋体"/>
          <w:b/>
          <w:bCs/>
          <w:color w:val="auto"/>
          <w:sz w:val="32"/>
          <w:szCs w:val="32"/>
          <w:highlight w:val="none"/>
          <w:lang w:val="zh-CN"/>
        </w:rPr>
      </w:pPr>
      <w:r>
        <w:rPr>
          <w:rFonts w:hint="eastAsia" w:ascii="仿宋_GB2312" w:hAnsi="仿宋" w:eastAsia="仿宋_GB2312" w:cs="宋体"/>
          <w:b/>
          <w:bCs/>
          <w:color w:val="auto"/>
          <w:sz w:val="32"/>
          <w:szCs w:val="32"/>
          <w:highlight w:val="none"/>
          <w:lang w:val="zh-CN"/>
        </w:rPr>
        <w:t>采购办公室（代章）</w:t>
      </w:r>
    </w:p>
    <w:p>
      <w:pPr>
        <w:rPr>
          <w:rFonts w:ascii="仿宋" w:hAnsi="仿宋" w:eastAsia="仿宋"/>
          <w:b/>
          <w:color w:val="auto"/>
          <w:sz w:val="32"/>
          <w:szCs w:val="32"/>
          <w:highlight w:val="none"/>
        </w:rPr>
      </w:pPr>
    </w:p>
    <w:p>
      <w:pPr>
        <w:autoSpaceDE w:val="0"/>
        <w:autoSpaceDN w:val="0"/>
        <w:adjustRightInd w:val="0"/>
        <w:spacing w:line="360" w:lineRule="auto"/>
        <w:jc w:val="center"/>
        <w:rPr>
          <w:rFonts w:ascii="仿宋_GB2312" w:hAnsi="仿宋" w:eastAsia="仿宋_GB2312" w:cs="宋体"/>
          <w:b/>
          <w:bCs/>
          <w:color w:val="auto"/>
          <w:sz w:val="32"/>
          <w:szCs w:val="32"/>
          <w:highlight w:val="none"/>
          <w:lang w:val="zh-CN"/>
        </w:rPr>
      </w:pPr>
      <w:r>
        <w:rPr>
          <w:rFonts w:hint="eastAsia" w:ascii="仿宋_GB2312" w:hAnsi="仿宋" w:eastAsia="仿宋_GB2312" w:cs="宋体"/>
          <w:b/>
          <w:bCs/>
          <w:color w:val="auto"/>
          <w:sz w:val="32"/>
          <w:szCs w:val="32"/>
          <w:highlight w:val="none"/>
          <w:lang w:val="zh-CN"/>
        </w:rPr>
        <w:t>二〇二一年</w:t>
      </w:r>
      <w:r>
        <w:rPr>
          <w:rFonts w:hint="eastAsia" w:ascii="仿宋_GB2312" w:hAnsi="仿宋" w:eastAsia="仿宋_GB2312" w:cs="宋体"/>
          <w:b/>
          <w:bCs/>
          <w:color w:val="auto"/>
          <w:sz w:val="32"/>
          <w:szCs w:val="32"/>
          <w:highlight w:val="none"/>
          <w:lang w:val="en-US" w:eastAsia="zh-CN"/>
        </w:rPr>
        <w:t>十一</w:t>
      </w:r>
      <w:r>
        <w:rPr>
          <w:rFonts w:hint="eastAsia" w:ascii="仿宋_GB2312" w:hAnsi="仿宋" w:eastAsia="仿宋_GB2312" w:cs="宋体"/>
          <w:b/>
          <w:bCs/>
          <w:color w:val="auto"/>
          <w:sz w:val="32"/>
          <w:szCs w:val="32"/>
          <w:highlight w:val="none"/>
          <w:lang w:val="zh-CN"/>
        </w:rPr>
        <w:t>月</w:t>
      </w:r>
    </w:p>
    <w:p>
      <w:pPr>
        <w:pStyle w:val="2"/>
        <w:outlineLvl w:val="9"/>
        <w:rPr>
          <w:color w:val="auto"/>
          <w:highlight w:val="none"/>
        </w:rPr>
      </w:pPr>
    </w:p>
    <w:p>
      <w:pPr>
        <w:rPr>
          <w:color w:val="auto"/>
          <w:highlight w:val="none"/>
        </w:rPr>
      </w:pPr>
    </w:p>
    <w:p>
      <w:pPr>
        <w:pStyle w:val="2"/>
        <w:rPr>
          <w:rFonts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目录</w:t>
      </w:r>
    </w:p>
    <w:p>
      <w:pPr>
        <w:rPr>
          <w:color w:val="auto"/>
          <w:highlight w:val="none"/>
        </w:rPr>
      </w:pPr>
    </w:p>
    <w:p>
      <w:pPr>
        <w:bidi w:val="0"/>
        <w:rPr>
          <w:color w:val="auto"/>
          <w:highlight w:val="none"/>
        </w:rPr>
      </w:pP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第一章  比选公告及响应人须知</w:t>
      </w: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第二章  比选评分办法</w:t>
      </w: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第三章  合同条款及格式</w:t>
      </w: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第四章  比选附件</w:t>
      </w:r>
    </w:p>
    <w:p>
      <w:pPr>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rPr>
          <w:color w:val="auto"/>
          <w:highlight w:val="none"/>
        </w:rPr>
      </w:pPr>
    </w:p>
    <w:p>
      <w:pPr>
        <w:pStyle w:val="2"/>
        <w:outlineLvl w:val="9"/>
        <w:rPr>
          <w:color w:val="auto"/>
          <w:highlight w:val="none"/>
        </w:rPr>
      </w:pPr>
    </w:p>
    <w:p>
      <w:pPr>
        <w:pStyle w:val="2"/>
        <w:rPr>
          <w:rFonts w:ascii="方正小标宋_GBK" w:hAnsi="方正小标宋_GBK" w:eastAsia="方正小标宋_GBK" w:cs="方正小标宋_GBK"/>
          <w:b w:val="0"/>
          <w:bCs w:val="0"/>
          <w:color w:val="auto"/>
          <w:sz w:val="44"/>
          <w:szCs w:val="44"/>
          <w:highlight w:val="none"/>
        </w:rPr>
      </w:pPr>
      <w:bookmarkStart w:id="54" w:name="_GoBack"/>
      <w:bookmarkEnd w:id="54"/>
      <w:r>
        <w:rPr>
          <w:rFonts w:hint="eastAsia" w:ascii="方正小标宋_GBK" w:hAnsi="方正小标宋_GBK" w:eastAsia="方正小标宋_GBK" w:cs="方正小标宋_GBK"/>
          <w:b w:val="0"/>
          <w:bCs w:val="0"/>
          <w:color w:val="auto"/>
          <w:sz w:val="44"/>
          <w:szCs w:val="44"/>
          <w:highlight w:val="none"/>
        </w:rPr>
        <w:t>第一章 比选公告及响应人须知</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我司决定于近期将对重庆机场4A</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认证Authentication、授权Authorization、账号Account、审计Audit</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统一安全管理平台升级扩容项目（第二次）进行比选采购。</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一、项目实施内容</w:t>
      </w:r>
    </w:p>
    <w:p>
      <w:pPr>
        <w:widowControl/>
        <w:spacing w:line="360" w:lineRule="auto"/>
        <w:ind w:firstLine="560" w:firstLineChars="200"/>
        <w:jc w:val="left"/>
        <w:outlineLvl w:val="2"/>
        <w:rPr>
          <w:rFonts w:hint="eastAsia" w:ascii="方正仿宋_GBK" w:hAnsi="方正仿宋_GBK" w:eastAsia="方正仿宋_GBK" w:cs="方正仿宋_GBK"/>
          <w:color w:val="auto"/>
          <w:sz w:val="28"/>
          <w:szCs w:val="28"/>
          <w:highlight w:val="none"/>
          <w:lang w:eastAsia="zh-CN"/>
        </w:rPr>
      </w:pP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项目名称：重庆机场4A统一安全管理平台升级扩容项目（第二次）</w:t>
      </w:r>
    </w:p>
    <w:p>
      <w:pPr>
        <w:widowControl/>
        <w:spacing w:line="360" w:lineRule="auto"/>
        <w:ind w:firstLine="560" w:firstLineChars="200"/>
        <w:jc w:val="left"/>
        <w:outlineLvl w:val="2"/>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2</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项目地点：重庆江北国际机场内</w:t>
      </w:r>
    </w:p>
    <w:p>
      <w:pPr>
        <w:widowControl/>
        <w:spacing w:line="360" w:lineRule="auto"/>
        <w:ind w:firstLine="560" w:firstLineChars="200"/>
        <w:jc w:val="left"/>
        <w:outlineLvl w:val="2"/>
        <w:rPr>
          <w:rFonts w:hint="eastAsia"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 xml:space="preserve">1.3 </w:t>
      </w:r>
      <w:r>
        <w:rPr>
          <w:rFonts w:hint="eastAsia" w:ascii="方正仿宋_GBK" w:hAnsi="方正仿宋_GBK" w:eastAsia="方正仿宋_GBK" w:cs="方正仿宋_GBK"/>
          <w:color w:val="auto"/>
          <w:sz w:val="28"/>
          <w:szCs w:val="28"/>
          <w:highlight w:val="none"/>
        </w:rPr>
        <w:t>项目内容：</w:t>
      </w:r>
    </w:p>
    <w:p>
      <w:pPr>
        <w:widowControl/>
        <w:spacing w:line="360" w:lineRule="auto"/>
        <w:ind w:firstLine="560" w:firstLineChars="200"/>
        <w:jc w:val="left"/>
        <w:rPr>
          <w:rFonts w:hint="eastAsia"/>
          <w:color w:val="auto"/>
          <w:highlight w:val="none"/>
        </w:rPr>
      </w:pPr>
      <w:r>
        <w:rPr>
          <w:rFonts w:hint="eastAsia" w:ascii="仿宋" w:hAnsi="仿宋" w:eastAsia="仿宋"/>
          <w:color w:val="auto"/>
          <w:sz w:val="28"/>
          <w:szCs w:val="28"/>
          <w:highlight w:val="none"/>
          <w:lang w:val="en-US" w:eastAsia="zh-CN"/>
        </w:rPr>
        <w:t>根据</w:t>
      </w:r>
      <w:r>
        <w:rPr>
          <w:rFonts w:hint="eastAsia" w:ascii="仿宋" w:hAnsi="仿宋" w:eastAsia="仿宋"/>
          <w:bCs/>
          <w:color w:val="auto"/>
          <w:sz w:val="28"/>
          <w:szCs w:val="28"/>
          <w:highlight w:val="none"/>
        </w:rPr>
        <w:t>重庆机场</w:t>
      </w:r>
      <w:r>
        <w:rPr>
          <w:rFonts w:hint="eastAsia" w:ascii="仿宋" w:hAnsi="仿宋" w:eastAsia="仿宋"/>
          <w:bCs/>
          <w:color w:val="auto"/>
          <w:sz w:val="28"/>
          <w:szCs w:val="28"/>
          <w:highlight w:val="none"/>
          <w:lang w:val="en-US" w:eastAsia="zh-CN"/>
        </w:rPr>
        <w:t>4A统一安全</w:t>
      </w:r>
      <w:r>
        <w:rPr>
          <w:rFonts w:hint="eastAsia" w:ascii="仿宋" w:hAnsi="仿宋" w:eastAsia="仿宋"/>
          <w:bCs/>
          <w:color w:val="auto"/>
          <w:sz w:val="28"/>
          <w:szCs w:val="28"/>
          <w:highlight w:val="none"/>
        </w:rPr>
        <w:t>管理平台升级</w:t>
      </w:r>
      <w:r>
        <w:rPr>
          <w:rFonts w:hint="eastAsia" w:ascii="仿宋" w:hAnsi="仿宋" w:eastAsia="仿宋"/>
          <w:bCs/>
          <w:color w:val="auto"/>
          <w:sz w:val="28"/>
          <w:szCs w:val="28"/>
          <w:highlight w:val="none"/>
          <w:lang w:val="en-US" w:eastAsia="zh-CN"/>
        </w:rPr>
        <w:t>扩容</w:t>
      </w:r>
      <w:r>
        <w:rPr>
          <w:rFonts w:hint="eastAsia" w:ascii="仿宋" w:hAnsi="仿宋" w:eastAsia="仿宋"/>
          <w:bCs/>
          <w:color w:val="auto"/>
          <w:sz w:val="28"/>
          <w:szCs w:val="28"/>
          <w:highlight w:val="none"/>
        </w:rPr>
        <w:t>项目建设</w:t>
      </w:r>
      <w:r>
        <w:rPr>
          <w:rFonts w:hint="eastAsia" w:ascii="仿宋" w:hAnsi="仿宋" w:eastAsia="仿宋"/>
          <w:bCs/>
          <w:color w:val="auto"/>
          <w:sz w:val="28"/>
          <w:szCs w:val="28"/>
          <w:highlight w:val="none"/>
          <w:lang w:eastAsia="zh-CN"/>
        </w:rPr>
        <w:t>需求，</w:t>
      </w:r>
      <w:r>
        <w:rPr>
          <w:rFonts w:hint="eastAsia" w:ascii="仿宋" w:hAnsi="仿宋" w:eastAsia="仿宋"/>
          <w:bCs/>
          <w:color w:val="auto"/>
          <w:sz w:val="28"/>
          <w:szCs w:val="28"/>
          <w:highlight w:val="none"/>
          <w:lang w:val="en-US" w:eastAsia="zh-CN"/>
        </w:rPr>
        <w:t>完成</w:t>
      </w:r>
      <w:r>
        <w:rPr>
          <w:rFonts w:hint="eastAsia" w:ascii="仿宋" w:hAnsi="仿宋" w:eastAsia="仿宋"/>
          <w:color w:val="auto"/>
          <w:sz w:val="28"/>
          <w:szCs w:val="28"/>
          <w:highlight w:val="none"/>
          <w:lang w:val="en-US" w:eastAsia="zh-CN"/>
        </w:rPr>
        <w:t>设备采购、平台部分功能迁移、新增IT资源纳管和部分业务功能优化等</w:t>
      </w:r>
      <w:r>
        <w:rPr>
          <w:rFonts w:hint="eastAsia" w:ascii="仿宋_GB2312" w:eastAsia="仿宋_GB2312"/>
          <w:color w:val="auto"/>
          <w:sz w:val="28"/>
          <w:szCs w:val="28"/>
          <w:highlight w:val="none"/>
        </w:rPr>
        <w:t>（详见附件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w:t>
      </w:r>
      <w:r>
        <w:rPr>
          <w:rFonts w:hint="eastAsia" w:ascii="仿宋" w:hAnsi="仿宋" w:eastAsia="仿宋"/>
          <w:color w:val="auto"/>
          <w:sz w:val="28"/>
          <w:szCs w:val="28"/>
          <w:highlight w:val="none"/>
        </w:rPr>
        <w:t>，并</w:t>
      </w:r>
      <w:r>
        <w:rPr>
          <w:rFonts w:ascii="仿宋" w:hAnsi="仿宋" w:eastAsia="仿宋"/>
          <w:color w:val="auto"/>
          <w:sz w:val="28"/>
          <w:szCs w:val="28"/>
          <w:highlight w:val="none"/>
        </w:rPr>
        <w:t>在质保期内</w:t>
      </w:r>
      <w:r>
        <w:rPr>
          <w:rFonts w:hint="eastAsia" w:ascii="仿宋" w:hAnsi="仿宋" w:eastAsia="仿宋"/>
          <w:color w:val="auto"/>
          <w:sz w:val="28"/>
          <w:szCs w:val="28"/>
          <w:highlight w:val="none"/>
        </w:rPr>
        <w:t>，对此次建设项目功能</w:t>
      </w:r>
      <w:r>
        <w:rPr>
          <w:rFonts w:ascii="仿宋" w:hAnsi="仿宋" w:eastAsia="仿宋"/>
          <w:color w:val="auto"/>
          <w:sz w:val="28"/>
          <w:szCs w:val="28"/>
          <w:highlight w:val="none"/>
        </w:rPr>
        <w:t>进行免费</w:t>
      </w:r>
      <w:r>
        <w:rPr>
          <w:rFonts w:hint="eastAsia" w:ascii="仿宋" w:hAnsi="仿宋" w:eastAsia="仿宋"/>
          <w:color w:val="auto"/>
          <w:sz w:val="28"/>
          <w:szCs w:val="28"/>
          <w:highlight w:val="none"/>
        </w:rPr>
        <w:t>优化。</w:t>
      </w:r>
    </w:p>
    <w:p>
      <w:pPr>
        <w:widowControl/>
        <w:spacing w:line="360" w:lineRule="auto"/>
        <w:ind w:firstLine="560" w:firstLineChars="200"/>
        <w:jc w:val="left"/>
        <w:outlineLvl w:val="2"/>
        <w:rPr>
          <w:rFonts w:hint="default" w:ascii="方正仿宋_GBK" w:hAnsi="方正仿宋_GBK" w:eastAsia="方正仿宋_GBK" w:cs="方正仿宋_GBK"/>
          <w:color w:val="auto"/>
          <w:sz w:val="28"/>
          <w:szCs w:val="28"/>
          <w:highlight w:val="none"/>
          <w:lang w:val="en-US"/>
        </w:rPr>
      </w:pP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项目</w:t>
      </w:r>
      <w:r>
        <w:rPr>
          <w:rFonts w:hint="eastAsia" w:ascii="方正仿宋_GBK" w:hAnsi="方正仿宋_GBK" w:eastAsia="方正仿宋_GBK" w:cs="方正仿宋_GBK"/>
          <w:color w:val="auto"/>
          <w:sz w:val="28"/>
          <w:szCs w:val="28"/>
          <w:highlight w:val="none"/>
          <w:lang w:eastAsia="zh-CN"/>
        </w:rPr>
        <w:t>硬件设备</w:t>
      </w:r>
      <w:r>
        <w:rPr>
          <w:rFonts w:hint="eastAsia" w:ascii="方正仿宋_GBK" w:hAnsi="方正仿宋_GBK" w:eastAsia="方正仿宋_GBK" w:cs="方正仿宋_GBK"/>
          <w:color w:val="auto"/>
          <w:sz w:val="28"/>
          <w:szCs w:val="28"/>
          <w:highlight w:val="none"/>
        </w:rPr>
        <w:t>采购清单：</w:t>
      </w:r>
      <w:r>
        <w:rPr>
          <w:rFonts w:hint="eastAsia" w:ascii="方正仿宋_GBK" w:hAnsi="方正仿宋_GBK" w:eastAsia="方正仿宋_GBK" w:cs="方正仿宋_GBK"/>
          <w:color w:val="auto"/>
          <w:sz w:val="28"/>
          <w:szCs w:val="28"/>
          <w:highlight w:val="none"/>
          <w:lang w:val="en-US" w:eastAsia="zh-CN"/>
        </w:rPr>
        <w:t>本项目采购4台X86服务器和1台磁盘存储设备（硬件设备配置要求详见附件5）。</w:t>
      </w:r>
    </w:p>
    <w:p>
      <w:pPr>
        <w:spacing w:line="360" w:lineRule="auto"/>
        <w:ind w:firstLine="560" w:firstLineChars="200"/>
        <w:outlineLvl w:val="2"/>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1.5 工期（或服务期）：合同签订之日起</w:t>
      </w:r>
      <w:r>
        <w:rPr>
          <w:rFonts w:hint="eastAsia" w:ascii="方正仿宋_GBK" w:hAnsi="方正仿宋_GBK" w:eastAsia="方正仿宋_GBK" w:cs="方正仿宋_GBK"/>
          <w:color w:val="auto"/>
          <w:sz w:val="28"/>
          <w:szCs w:val="28"/>
          <w:highlight w:val="none"/>
          <w:lang w:val="en-US" w:eastAsia="zh-CN"/>
        </w:rPr>
        <w:t>60</w:t>
      </w:r>
      <w:r>
        <w:rPr>
          <w:rFonts w:hint="eastAsia" w:ascii="方正仿宋_GBK" w:hAnsi="方正仿宋_GBK" w:eastAsia="方正仿宋_GBK" w:cs="方正仿宋_GBK"/>
          <w:color w:val="auto"/>
          <w:sz w:val="28"/>
          <w:szCs w:val="28"/>
          <w:highlight w:val="none"/>
        </w:rPr>
        <w:t>个日历天。</w:t>
      </w:r>
    </w:p>
    <w:p>
      <w:pPr>
        <w:spacing w:line="360" w:lineRule="auto"/>
        <w:ind w:firstLine="560" w:firstLineChars="200"/>
        <w:outlineLvl w:val="2"/>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1.6 质保期：</w:t>
      </w:r>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rPr>
        <w:t>年，从项目建设验收合格之日算起。</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二、比选响应人资格要求</w:t>
      </w:r>
    </w:p>
    <w:p>
      <w:pPr>
        <w:widowControl/>
        <w:spacing w:line="360" w:lineRule="auto"/>
        <w:ind w:firstLine="562" w:firstLineChars="200"/>
        <w:jc w:val="left"/>
        <w:outlineLvl w:val="2"/>
        <w:rPr>
          <w:rFonts w:ascii="方正仿宋_GBK" w:hAnsi="方正仿宋_GBK" w:eastAsia="方正仿宋_GBK" w:cs="方正仿宋_GBK"/>
          <w:b/>
          <w:color w:val="auto"/>
          <w:sz w:val="28"/>
          <w:szCs w:val="28"/>
          <w:highlight w:val="none"/>
        </w:rPr>
      </w:pPr>
      <w:r>
        <w:rPr>
          <w:rFonts w:ascii="方正仿宋_GBK" w:hAnsi="方正仿宋_GBK" w:eastAsia="方正仿宋_GBK" w:cs="方正仿宋_GBK"/>
          <w:b/>
          <w:color w:val="auto"/>
          <w:sz w:val="28"/>
          <w:szCs w:val="28"/>
          <w:highlight w:val="none"/>
        </w:rPr>
        <w:t>2.</w:t>
      </w:r>
      <w:r>
        <w:rPr>
          <w:rFonts w:hint="eastAsia" w:ascii="方正仿宋_GBK" w:hAnsi="方正仿宋_GBK" w:eastAsia="方正仿宋_GBK" w:cs="方正仿宋_GBK"/>
          <w:b/>
          <w:color w:val="auto"/>
          <w:sz w:val="28"/>
          <w:szCs w:val="28"/>
          <w:highlight w:val="none"/>
        </w:rPr>
        <w:t>1</w:t>
      </w:r>
      <w:r>
        <w:rPr>
          <w:rFonts w:ascii="方正仿宋_GBK" w:hAnsi="方正仿宋_GBK" w:eastAsia="方正仿宋_GBK" w:cs="方正仿宋_GBK"/>
          <w:b/>
          <w:color w:val="auto"/>
          <w:sz w:val="28"/>
          <w:szCs w:val="28"/>
          <w:highlight w:val="none"/>
        </w:rPr>
        <w:t xml:space="preserve"> </w:t>
      </w:r>
      <w:r>
        <w:rPr>
          <w:rFonts w:hint="eastAsia" w:ascii="方正仿宋_GBK" w:hAnsi="方正仿宋_GBK" w:eastAsia="方正仿宋_GBK" w:cs="方正仿宋_GBK"/>
          <w:b/>
          <w:color w:val="auto"/>
          <w:sz w:val="28"/>
          <w:szCs w:val="28"/>
          <w:highlight w:val="none"/>
        </w:rPr>
        <w:t>资格要求</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.1.1 在中华人民共和国依法注册，具有独立法人资格，具有有效营业执照（提供营业执照复印件加盖单位鲜公章）。</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rPr>
        <w:t>2.1.2 具备软件成熟度CMMI Level 3 及以上证书（提供的CMMI Level 3 及以上资质证明文件复印件并加盖单位鲜公章</w:t>
      </w:r>
      <w:r>
        <w:rPr>
          <w:rFonts w:hint="eastAsia" w:ascii="华文仿宋" w:hAnsi="华文仿宋" w:eastAsia="华文仿宋"/>
          <w:color w:val="auto"/>
          <w:sz w:val="28"/>
          <w:szCs w:val="28"/>
          <w:highlight w:val="none"/>
          <w:lang w:eastAsia="zh-CN"/>
        </w:rPr>
        <w:t>，</w:t>
      </w:r>
      <w:r>
        <w:rPr>
          <w:rFonts w:hint="eastAsia" w:ascii="华文仿宋" w:hAnsi="华文仿宋" w:eastAsia="华文仿宋"/>
          <w:color w:val="auto"/>
          <w:sz w:val="28"/>
          <w:szCs w:val="28"/>
          <w:highlight w:val="none"/>
          <w:lang w:val="en-US" w:eastAsia="zh-CN"/>
        </w:rPr>
        <w:t>原件备查</w:t>
      </w:r>
      <w:r>
        <w:rPr>
          <w:rFonts w:hint="eastAsia" w:ascii="华文仿宋" w:hAnsi="华文仿宋" w:eastAsia="华文仿宋"/>
          <w:color w:val="auto"/>
          <w:sz w:val="28"/>
          <w:szCs w:val="28"/>
          <w:highlight w:val="none"/>
        </w:rPr>
        <w:t>）。</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lang w:val="en-US" w:eastAsia="zh-CN"/>
        </w:rPr>
        <w:t>2.1.3 具备ISO27001信息安全管理体系认证（提供证书复印件加盖企业公章，原件备查）。</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rPr>
        <w:t>2.1</w:t>
      </w:r>
      <w:r>
        <w:rPr>
          <w:rFonts w:hint="eastAsia" w:ascii="华文仿宋" w:hAnsi="华文仿宋" w:eastAsia="华文仿宋"/>
          <w:color w:val="auto"/>
          <w:sz w:val="28"/>
          <w:szCs w:val="28"/>
          <w:highlight w:val="none"/>
          <w:lang w:val="en-US" w:eastAsia="zh-CN"/>
        </w:rPr>
        <w:t>.4</w:t>
      </w:r>
      <w:r>
        <w:rPr>
          <w:rFonts w:hint="eastAsia" w:ascii="华文仿宋" w:hAnsi="华文仿宋" w:eastAsia="华文仿宋"/>
          <w:color w:val="auto"/>
          <w:sz w:val="28"/>
          <w:szCs w:val="28"/>
          <w:highlight w:val="none"/>
        </w:rPr>
        <w:t xml:space="preserve"> 业绩要求</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rPr>
        <w:t>2018年1月1日（以合同签订时间为准）至今</w:t>
      </w:r>
      <w:r>
        <w:rPr>
          <w:rFonts w:hint="eastAsia" w:ascii="华文仿宋" w:hAnsi="华文仿宋" w:eastAsia="华文仿宋"/>
          <w:color w:val="auto"/>
          <w:sz w:val="28"/>
          <w:szCs w:val="28"/>
          <w:highlight w:val="none"/>
          <w:lang w:val="en-US" w:eastAsia="zh-CN"/>
        </w:rPr>
        <w:t>至少承担过1个单项合同金额60万元及以上的</w:t>
      </w:r>
      <w:r>
        <w:rPr>
          <w:rFonts w:hint="eastAsia" w:ascii="华文仿宋" w:hAnsi="华文仿宋" w:eastAsia="华文仿宋"/>
          <w:color w:val="auto"/>
          <w:sz w:val="28"/>
          <w:szCs w:val="28"/>
          <w:highlight w:val="none"/>
        </w:rPr>
        <w:t>4A</w:t>
      </w:r>
      <w:r>
        <w:rPr>
          <w:rFonts w:hint="eastAsia" w:ascii="华文仿宋" w:hAnsi="华文仿宋" w:eastAsia="华文仿宋"/>
          <w:color w:val="auto"/>
          <w:sz w:val="28"/>
          <w:szCs w:val="28"/>
          <w:highlight w:val="none"/>
          <w:lang w:val="en-US" w:eastAsia="zh-CN"/>
        </w:rPr>
        <w:t>统一安全管理平台或</w:t>
      </w:r>
      <w:r>
        <w:rPr>
          <w:rFonts w:hint="eastAsia" w:ascii="华文仿宋" w:hAnsi="华文仿宋" w:eastAsia="华文仿宋"/>
          <w:color w:val="auto"/>
          <w:sz w:val="28"/>
          <w:szCs w:val="28"/>
          <w:highlight w:val="none"/>
          <w:lang w:eastAsia="zh-CN"/>
        </w:rPr>
        <w:t>类似账（帐）号管理平台</w:t>
      </w:r>
      <w:r>
        <w:rPr>
          <w:rFonts w:hint="eastAsia" w:ascii="华文仿宋" w:hAnsi="华文仿宋" w:eastAsia="华文仿宋"/>
          <w:color w:val="auto"/>
          <w:sz w:val="28"/>
          <w:szCs w:val="28"/>
          <w:highlight w:val="none"/>
          <w:lang w:val="en-US" w:eastAsia="zh-CN"/>
        </w:rPr>
        <w:t>相关项目（须同时提供合同和对应增值税发票加盖公司鲜章，合同和发票原件备查）。</w:t>
      </w:r>
    </w:p>
    <w:p>
      <w:pPr>
        <w:widowControl/>
        <w:spacing w:line="360" w:lineRule="auto"/>
        <w:ind w:firstLine="562" w:firstLineChars="200"/>
        <w:jc w:val="left"/>
        <w:outlineLvl w:val="2"/>
        <w:rPr>
          <w:rFonts w:ascii="方正仿宋_GBK" w:hAnsi="方正仿宋_GBK" w:eastAsia="方正仿宋_GBK" w:cs="方正仿宋_GBK"/>
          <w:b/>
          <w:color w:val="auto"/>
          <w:sz w:val="28"/>
          <w:szCs w:val="28"/>
          <w:highlight w:val="none"/>
        </w:rPr>
      </w:pPr>
      <w:r>
        <w:rPr>
          <w:rFonts w:ascii="方正仿宋_GBK" w:hAnsi="方正仿宋_GBK" w:eastAsia="方正仿宋_GBK" w:cs="方正仿宋_GBK"/>
          <w:b/>
          <w:color w:val="auto"/>
          <w:sz w:val="28"/>
          <w:szCs w:val="28"/>
          <w:highlight w:val="none"/>
        </w:rPr>
        <w:t xml:space="preserve">2.2 </w:t>
      </w:r>
      <w:r>
        <w:rPr>
          <w:rFonts w:hint="eastAsia" w:ascii="方正仿宋_GBK" w:hAnsi="方正仿宋_GBK" w:eastAsia="方正仿宋_GBK" w:cs="方正仿宋_GBK"/>
          <w:b/>
          <w:color w:val="auto"/>
          <w:sz w:val="28"/>
          <w:szCs w:val="28"/>
          <w:highlight w:val="none"/>
        </w:rPr>
        <w:t>其他要求</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1 本次比选采购不接受联合体。</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2</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法定代表人为同一个人的两个及两个以上法人，母公司、全资子公司及其控股公司，以及其他形式有管理关系的投标人，都不得在同一采购项目中同时参与比选。</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2.2</w:t>
      </w:r>
      <w:r>
        <w:rPr>
          <w:rFonts w:hint="eastAsia" w:ascii="方正仿宋_GBK" w:hAnsi="方正仿宋_GBK" w:eastAsia="方正仿宋_GBK" w:cs="方正仿宋_GBK"/>
          <w:color w:val="auto"/>
          <w:sz w:val="28"/>
          <w:szCs w:val="28"/>
          <w:highlight w:val="none"/>
        </w:rPr>
        <w:t>.3</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信誉要求：①没有处于被责令停业，参与招标采购资格被取消，财产被接管、冻结，破产状态；②比选响应人没有进入采购人黑名单库；③具有履行合同所必需的设备和专业技术能力。</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2.2</w:t>
      </w:r>
      <w:r>
        <w:rPr>
          <w:rFonts w:hint="eastAsia" w:ascii="方正仿宋_GBK" w:hAnsi="方正仿宋_GBK" w:eastAsia="方正仿宋_GBK" w:cs="方正仿宋_GBK"/>
          <w:color w:val="auto"/>
          <w:sz w:val="28"/>
          <w:szCs w:val="28"/>
          <w:highlight w:val="none"/>
        </w:rPr>
        <w:t>.4</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比选响应人如提供虚假材料或未达到上述要求，采购人有权取消其比选资格或成交资格；提供虚假材料的，不予退还其比选响应保证金，并且将列入采购人黑名单库。</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三、项目技术要求</w:t>
      </w:r>
    </w:p>
    <w:p>
      <w:pPr>
        <w:widowControl/>
        <w:spacing w:line="360" w:lineRule="auto"/>
        <w:ind w:firstLine="560" w:firstLineChars="200"/>
        <w:jc w:val="left"/>
        <w:rPr>
          <w:rFonts w:hint="eastAsia" w:ascii="方正仿宋_GBK" w:hAnsi="方正仿宋_GBK" w:eastAsia="方正仿宋_GBK" w:cs="方正仿宋_GBK"/>
          <w:bCs w:val="0"/>
          <w:color w:val="auto"/>
          <w:kern w:val="2"/>
          <w:sz w:val="28"/>
          <w:szCs w:val="28"/>
          <w:highlight w:val="none"/>
          <w:lang w:val="en-US" w:eastAsia="zh-CN" w:bidi="ar-SA"/>
        </w:rPr>
      </w:pPr>
      <w:bookmarkStart w:id="0" w:name="_Toc957"/>
      <w:bookmarkStart w:id="1" w:name="_Toc31653"/>
      <w:r>
        <w:rPr>
          <w:rFonts w:hint="eastAsia" w:ascii="方正仿宋_GBK" w:hAnsi="方正仿宋_GBK" w:eastAsia="方正仿宋_GBK" w:cs="方正仿宋_GBK"/>
          <w:bCs w:val="0"/>
          <w:color w:val="auto"/>
          <w:kern w:val="2"/>
          <w:sz w:val="28"/>
          <w:szCs w:val="28"/>
          <w:highlight w:val="none"/>
          <w:lang w:val="en-US" w:eastAsia="zh-CN" w:bidi="ar-SA"/>
        </w:rPr>
        <w:t>3.1本次项目所采购的硬件设备性能参数不得低于附件5</w:t>
      </w:r>
      <w:r>
        <w:rPr>
          <w:rFonts w:hint="eastAsia" w:ascii="方正仿宋_GBK" w:hAnsi="方正仿宋_GBK" w:eastAsia="方正仿宋_GBK" w:cs="方正仿宋_GBK"/>
          <w:color w:val="auto"/>
          <w:sz w:val="28"/>
          <w:szCs w:val="28"/>
          <w:highlight w:val="none"/>
          <w:lang w:val="en-US" w:eastAsia="zh-CN"/>
        </w:rPr>
        <w:t>中所列的硬件设备性能参数</w:t>
      </w:r>
      <w:r>
        <w:rPr>
          <w:rFonts w:hint="eastAsia" w:ascii="方正仿宋_GBK" w:hAnsi="方正仿宋_GBK" w:eastAsia="方正仿宋_GBK" w:cs="方正仿宋_GBK"/>
          <w:bCs w:val="0"/>
          <w:color w:val="auto"/>
          <w:kern w:val="2"/>
          <w:sz w:val="28"/>
          <w:szCs w:val="28"/>
          <w:highlight w:val="none"/>
          <w:lang w:val="en-US" w:eastAsia="zh-CN" w:bidi="ar-SA"/>
        </w:rPr>
        <w:t>标准。</w:t>
      </w:r>
    </w:p>
    <w:p>
      <w:pPr>
        <w:widowControl/>
        <w:spacing w:line="360" w:lineRule="auto"/>
        <w:ind w:firstLine="560" w:firstLineChars="200"/>
        <w:jc w:val="left"/>
        <w:rPr>
          <w:rFonts w:hint="eastAsia" w:ascii="方正仿宋_GBK" w:hAnsi="方正仿宋_GBK" w:eastAsia="方正仿宋_GBK" w:cs="方正仿宋_GBK"/>
          <w:bCs w:val="0"/>
          <w:color w:val="auto"/>
          <w:kern w:val="2"/>
          <w:sz w:val="28"/>
          <w:szCs w:val="28"/>
          <w:highlight w:val="none"/>
          <w:lang w:val="en-US" w:eastAsia="zh-CN" w:bidi="ar-SA"/>
        </w:rPr>
      </w:pPr>
      <w:r>
        <w:rPr>
          <w:rFonts w:hint="eastAsia" w:ascii="方正仿宋_GBK" w:hAnsi="方正仿宋_GBK" w:eastAsia="方正仿宋_GBK" w:cs="方正仿宋_GBK"/>
          <w:bCs w:val="0"/>
          <w:color w:val="auto"/>
          <w:kern w:val="2"/>
          <w:sz w:val="28"/>
          <w:szCs w:val="28"/>
          <w:highlight w:val="none"/>
          <w:lang w:val="en-US" w:eastAsia="zh-CN" w:bidi="ar-SA"/>
        </w:rPr>
        <w:t>3.</w:t>
      </w:r>
      <w:bookmarkEnd w:id="0"/>
      <w:bookmarkEnd w:id="1"/>
      <w:r>
        <w:rPr>
          <w:rFonts w:hint="eastAsia" w:ascii="方正仿宋_GBK" w:hAnsi="方正仿宋_GBK" w:eastAsia="方正仿宋_GBK" w:cs="方正仿宋_GBK"/>
          <w:bCs w:val="0"/>
          <w:color w:val="auto"/>
          <w:kern w:val="2"/>
          <w:sz w:val="28"/>
          <w:szCs w:val="28"/>
          <w:highlight w:val="none"/>
          <w:lang w:val="en-US" w:eastAsia="zh-CN" w:bidi="ar-SA"/>
        </w:rPr>
        <w:t>2本次项目中所涉及的设备采购、平台部分功能迁移、新增IT资源纳管和部分业务功能优化等需满足《重庆机场4A统一安全管理平台升级扩容项目建设要求》（详见附件5）。</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四、比选响应人报价要求及项目最高限价</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4</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比选响应人的报价应包含为完成本项目供货及各阶段服务所发生的相应费用。包括但不限于完成本项目所需的人工费、设备费、物资费、样品鉴定费、证件办理费、保险费、风险费、措施费以及项目验收工作所产生的差旅费、会议费、专家指导费等为完成本项目所产生的一切费用（含增值税）。本项目报价为包干价，不再另行增加费用。报价的货币应为人民币。</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本项目</w:t>
      </w:r>
      <w:r>
        <w:rPr>
          <w:rFonts w:hint="eastAsia" w:ascii="方正仿宋_GBK" w:hAnsi="方正仿宋_GBK" w:eastAsia="方正仿宋_GBK" w:cs="方正仿宋_GBK"/>
          <w:color w:val="FF0000"/>
          <w:sz w:val="28"/>
          <w:szCs w:val="28"/>
          <w:highlight w:val="yellow"/>
        </w:rPr>
        <w:t>含增值税税额</w:t>
      </w:r>
      <w:r>
        <w:rPr>
          <w:rFonts w:hint="eastAsia" w:ascii="方正仿宋_GBK" w:hAnsi="方正仿宋_GBK" w:eastAsia="方正仿宋_GBK" w:cs="方正仿宋_GBK"/>
          <w:color w:val="auto"/>
          <w:sz w:val="28"/>
          <w:szCs w:val="28"/>
          <w:highlight w:val="none"/>
        </w:rPr>
        <w:t>的最高限价为人民币</w:t>
      </w:r>
      <w:r>
        <w:rPr>
          <w:rFonts w:hint="eastAsia" w:ascii="方正仿宋_GBK" w:hAnsi="方正仿宋_GBK" w:eastAsia="方正仿宋_GBK" w:cs="方正仿宋_GBK"/>
          <w:color w:val="auto"/>
          <w:sz w:val="28"/>
          <w:szCs w:val="28"/>
          <w:highlight w:val="none"/>
          <w:lang w:val="en-US" w:eastAsia="zh-CN"/>
        </w:rPr>
        <w:t>635000</w:t>
      </w:r>
      <w:r>
        <w:rPr>
          <w:rFonts w:hint="eastAsia" w:ascii="方正仿宋_GBK" w:hAnsi="方正仿宋_GBK" w:eastAsia="方正仿宋_GBK" w:cs="方正仿宋_GBK"/>
          <w:color w:val="auto"/>
          <w:sz w:val="28"/>
          <w:szCs w:val="28"/>
          <w:highlight w:val="none"/>
        </w:rPr>
        <w:t>元（大写金额：</w:t>
      </w:r>
      <w:r>
        <w:rPr>
          <w:rFonts w:hint="eastAsia" w:ascii="方正仿宋_GBK" w:hAnsi="方正仿宋_GBK" w:eastAsia="方正仿宋_GBK" w:cs="方正仿宋_GBK"/>
          <w:color w:val="auto"/>
          <w:sz w:val="28"/>
          <w:szCs w:val="28"/>
          <w:highlight w:val="none"/>
          <w:lang w:val="en-US" w:eastAsia="zh-CN"/>
        </w:rPr>
        <w:t>陆拾叁万伍仟</w:t>
      </w:r>
      <w:r>
        <w:rPr>
          <w:rFonts w:hint="eastAsia" w:ascii="方正仿宋_GBK" w:hAnsi="方正仿宋_GBK" w:eastAsia="方正仿宋_GBK" w:cs="方正仿宋_GBK"/>
          <w:color w:val="auto"/>
          <w:sz w:val="28"/>
          <w:szCs w:val="28"/>
          <w:highlight w:val="none"/>
        </w:rPr>
        <w:t>元整），报价超过最高限价，将取消比选响应方的比选资格。</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在修正范围内的以下情形不作为比选响应文件作废的依据：</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（1）比选响应文件中的大写金额与小写金额不一致的，以大写金额为准；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（3）总价金额与依据单价计算出的结果不一致的，以单价金额为准修正总价，但单价金额小数点有明显错误的除外。</w:t>
      </w:r>
    </w:p>
    <w:p>
      <w:pPr>
        <w:spacing w:line="360" w:lineRule="auto"/>
        <w:ind w:firstLine="562" w:firstLineChars="200"/>
        <w:outlineLvl w:val="1"/>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color w:val="auto"/>
          <w:sz w:val="28"/>
          <w:szCs w:val="28"/>
          <w:highlight w:val="none"/>
        </w:rPr>
        <w:t>五、</w:t>
      </w:r>
      <w:r>
        <w:rPr>
          <w:rFonts w:hint="eastAsia" w:ascii="方正仿宋_GBK" w:hAnsi="方正仿宋_GBK" w:eastAsia="方正仿宋_GBK" w:cs="方正仿宋_GBK"/>
          <w:b/>
          <w:bCs/>
          <w:color w:val="auto"/>
          <w:sz w:val="28"/>
          <w:szCs w:val="28"/>
          <w:highlight w:val="none"/>
        </w:rPr>
        <w:t>成交标准</w:t>
      </w:r>
    </w:p>
    <w:p>
      <w:pPr>
        <w:spacing w:line="360" w:lineRule="auto"/>
        <w:ind w:firstLine="560" w:firstLineChars="200"/>
        <w:rPr>
          <w:rFonts w:ascii="方正仿宋_GBK" w:hAnsi="方正仿宋_GBK" w:eastAsia="方正仿宋_GBK" w:cs="方正仿宋_GBK"/>
          <w:bCs/>
          <w:color w:val="auto"/>
          <w:sz w:val="28"/>
          <w:szCs w:val="28"/>
          <w:highlight w:val="none"/>
        </w:rPr>
      </w:pPr>
      <w:r>
        <w:rPr>
          <w:rFonts w:hint="eastAsia" w:ascii="方正仿宋_GBK" w:hAnsi="方正仿宋_GBK" w:eastAsia="方正仿宋_GBK" w:cs="方正仿宋_GBK"/>
          <w:bCs/>
          <w:color w:val="auto"/>
          <w:sz w:val="28"/>
          <w:szCs w:val="28"/>
          <w:highlight w:val="none"/>
        </w:rPr>
        <w:t>本次</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bCs/>
          <w:color w:val="auto"/>
          <w:sz w:val="28"/>
          <w:szCs w:val="28"/>
          <w:highlight w:val="none"/>
        </w:rPr>
        <w:t>成交人确定办法采用</w:t>
      </w:r>
      <w:r>
        <w:rPr>
          <w:rFonts w:hint="eastAsia" w:ascii="方正仿宋_GBK" w:hAnsi="方正仿宋_GBK" w:eastAsia="方正仿宋_GBK" w:cs="方正仿宋_GBK"/>
          <w:b/>
          <w:bCs/>
          <w:color w:val="auto"/>
          <w:sz w:val="28"/>
          <w:szCs w:val="28"/>
          <w:highlight w:val="none"/>
        </w:rPr>
        <w:t>经综合评分法评选的得分最高者</w:t>
      </w:r>
      <w:r>
        <w:rPr>
          <w:rFonts w:hint="eastAsia" w:ascii="方正仿宋_GBK" w:hAnsi="方正仿宋_GBK" w:eastAsia="方正仿宋_GBK" w:cs="方正仿宋_GBK"/>
          <w:bCs/>
          <w:color w:val="auto"/>
          <w:sz w:val="28"/>
          <w:szCs w:val="28"/>
          <w:highlight w:val="none"/>
        </w:rPr>
        <w:t>成交，即经采购方按规定组建的评审委员会评审，</w:t>
      </w:r>
      <w:r>
        <w:rPr>
          <w:rFonts w:hint="eastAsia" w:ascii="方正仿宋_GBK" w:hAnsi="方正仿宋_GBK" w:eastAsia="方正仿宋_GBK" w:cs="方正仿宋_GBK"/>
          <w:color w:val="auto"/>
          <w:kern w:val="0"/>
          <w:sz w:val="28"/>
          <w:szCs w:val="28"/>
          <w:highlight w:val="none"/>
        </w:rPr>
        <w:t>根据符合采购需求、质量和服务，且综合评价得分最高的原则确定成交候选人</w:t>
      </w:r>
      <w:r>
        <w:rPr>
          <w:rFonts w:hint="eastAsia" w:ascii="方正仿宋_GBK" w:hAnsi="方正仿宋_GBK" w:eastAsia="方正仿宋_GBK" w:cs="方正仿宋_GBK"/>
          <w:bCs/>
          <w:color w:val="auto"/>
          <w:sz w:val="28"/>
          <w:szCs w:val="28"/>
          <w:highlight w:val="none"/>
        </w:rPr>
        <w:t>（评分办法详见第二章）。</w:t>
      </w:r>
    </w:p>
    <w:p>
      <w:pPr>
        <w:widowControl/>
        <w:spacing w:line="360" w:lineRule="auto"/>
        <w:ind w:firstLine="560" w:firstLineChars="200"/>
        <w:jc w:val="left"/>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具体</w:t>
      </w:r>
      <w:r>
        <w:rPr>
          <w:rFonts w:hint="eastAsia" w:ascii="方正仿宋_GBK" w:hAnsi="方正仿宋_GBK" w:eastAsia="方正仿宋_GBK" w:cs="方正仿宋_GBK"/>
          <w:color w:val="auto"/>
          <w:sz w:val="28"/>
          <w:szCs w:val="28"/>
          <w:highlight w:val="none"/>
        </w:rPr>
        <w:t>比选规则</w:t>
      </w:r>
      <w:r>
        <w:rPr>
          <w:rFonts w:hint="eastAsia" w:ascii="方正仿宋_GBK" w:hAnsi="方正仿宋_GBK" w:eastAsia="方正仿宋_GBK" w:cs="方正仿宋_GBK"/>
          <w:color w:val="auto"/>
          <w:kern w:val="0"/>
          <w:sz w:val="28"/>
          <w:szCs w:val="28"/>
          <w:highlight w:val="none"/>
        </w:rPr>
        <w:t>如下：</w:t>
      </w:r>
    </w:p>
    <w:p>
      <w:pPr>
        <w:widowControl/>
        <w:spacing w:line="360" w:lineRule="auto"/>
        <w:ind w:firstLine="560" w:firstLineChars="200"/>
        <w:jc w:val="left"/>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5</w:t>
      </w:r>
      <w:r>
        <w:rPr>
          <w:rFonts w:hint="eastAsia" w:ascii="方正仿宋_GBK" w:hAnsi="方正仿宋_GBK" w:eastAsia="方正仿宋_GBK" w:cs="方正仿宋_GBK"/>
          <w:color w:val="auto"/>
          <w:kern w:val="0"/>
          <w:sz w:val="28"/>
          <w:szCs w:val="28"/>
          <w:highlight w:val="none"/>
        </w:rPr>
        <w:t>.1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color w:val="auto"/>
          <w:sz w:val="28"/>
          <w:szCs w:val="28"/>
          <w:highlight w:val="none"/>
        </w:rPr>
      </w:pPr>
      <w:r>
        <w:rPr>
          <w:rFonts w:ascii="方正仿宋_GBK" w:hAnsi="方正仿宋_GBK" w:eastAsia="方正仿宋_GBK" w:cs="方正仿宋_GBK"/>
          <w:color w:val="auto"/>
          <w:kern w:val="0"/>
          <w:sz w:val="28"/>
          <w:szCs w:val="28"/>
          <w:highlight w:val="none"/>
        </w:rPr>
        <w:t>5</w:t>
      </w:r>
      <w:r>
        <w:rPr>
          <w:rFonts w:hint="eastAsia" w:ascii="方正仿宋_GBK" w:hAnsi="方正仿宋_GBK" w:eastAsia="方正仿宋_GBK" w:cs="方正仿宋_GBK"/>
          <w:color w:val="auto"/>
          <w:kern w:val="0"/>
          <w:sz w:val="28"/>
          <w:szCs w:val="28"/>
          <w:highlight w:val="none"/>
        </w:rPr>
        <w:t>.2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auto"/>
          <w:sz w:val="28"/>
          <w:szCs w:val="28"/>
          <w:highlight w:val="none"/>
        </w:rPr>
        <w:t>审委员会可以继续评审。经评审后符合采购需求、质量和服务的比选响应人，按综合得分从高到低排序的原则确定1</w:t>
      </w:r>
      <w:r>
        <w:rPr>
          <w:rFonts w:ascii="方正仿宋_GBK" w:hAnsi="方正仿宋_GBK" w:eastAsia="方正仿宋_GBK" w:cs="方正仿宋_GBK"/>
          <w:bCs/>
          <w:color w:val="auto"/>
          <w:sz w:val="28"/>
          <w:szCs w:val="28"/>
          <w:highlight w:val="none"/>
        </w:rPr>
        <w:t>-</w:t>
      </w:r>
      <w:r>
        <w:rPr>
          <w:rFonts w:hint="eastAsia" w:ascii="方正仿宋_GBK" w:hAnsi="方正仿宋_GBK" w:eastAsia="方正仿宋_GBK" w:cs="方正仿宋_GBK"/>
          <w:bCs/>
          <w:color w:val="auto"/>
          <w:sz w:val="28"/>
          <w:szCs w:val="28"/>
          <w:highlight w:val="none"/>
        </w:rPr>
        <w:t>3名采购成交候选人。</w:t>
      </w:r>
    </w:p>
    <w:p>
      <w:pPr>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bCs/>
          <w:color w:val="auto"/>
          <w:sz w:val="28"/>
          <w:szCs w:val="28"/>
          <w:highlight w:val="none"/>
        </w:rPr>
        <w:t>5</w:t>
      </w:r>
      <w:r>
        <w:rPr>
          <w:rFonts w:hint="eastAsia" w:ascii="方正仿宋_GBK" w:hAnsi="方正仿宋_GBK" w:eastAsia="方正仿宋_GBK" w:cs="方正仿宋_GBK"/>
          <w:bCs/>
          <w:color w:val="auto"/>
          <w:sz w:val="28"/>
          <w:szCs w:val="28"/>
          <w:highlight w:val="none"/>
        </w:rPr>
        <w:t>.3 项目重新比选时，经评审有有效比选响应人的，应当按规定程序，根</w:t>
      </w:r>
      <w:r>
        <w:rPr>
          <w:rFonts w:hint="eastAsia" w:ascii="方正仿宋_GBK" w:hAnsi="方正仿宋_GBK" w:eastAsia="方正仿宋_GBK" w:cs="方正仿宋_GBK"/>
          <w:color w:val="auto"/>
          <w:kern w:val="0"/>
          <w:sz w:val="28"/>
          <w:szCs w:val="28"/>
          <w:highlight w:val="none"/>
        </w:rPr>
        <w:t>据符合采购需求、质量和服务，且</w:t>
      </w:r>
      <w:r>
        <w:rPr>
          <w:rFonts w:hint="eastAsia" w:ascii="方正仿宋_GBK" w:hAnsi="方正仿宋_GBK" w:eastAsia="方正仿宋_GBK" w:cs="方正仿宋_GBK"/>
          <w:bCs/>
          <w:color w:val="auto"/>
          <w:sz w:val="28"/>
          <w:szCs w:val="28"/>
          <w:highlight w:val="none"/>
        </w:rPr>
        <w:t>综合得分从高到低排序的原则确定1</w:t>
      </w:r>
      <w:r>
        <w:rPr>
          <w:rFonts w:ascii="方正仿宋_GBK" w:hAnsi="方正仿宋_GBK" w:eastAsia="方正仿宋_GBK" w:cs="方正仿宋_GBK"/>
          <w:bCs/>
          <w:color w:val="auto"/>
          <w:sz w:val="28"/>
          <w:szCs w:val="28"/>
          <w:highlight w:val="none"/>
        </w:rPr>
        <w:t>-</w:t>
      </w:r>
      <w:r>
        <w:rPr>
          <w:rFonts w:hint="eastAsia" w:ascii="方正仿宋_GBK" w:hAnsi="方正仿宋_GBK" w:eastAsia="方正仿宋_GBK" w:cs="方正仿宋_GBK"/>
          <w:bCs/>
          <w:color w:val="auto"/>
          <w:sz w:val="28"/>
          <w:szCs w:val="28"/>
          <w:highlight w:val="none"/>
        </w:rPr>
        <w:t>3名采购成交候选人</w:t>
      </w:r>
      <w:r>
        <w:rPr>
          <w:rFonts w:hint="eastAsia" w:ascii="方正仿宋_GBK" w:hAnsi="方正仿宋_GBK" w:eastAsia="方正仿宋_GBK" w:cs="方正仿宋_GBK"/>
          <w:color w:val="auto"/>
          <w:kern w:val="0"/>
          <w:sz w:val="28"/>
          <w:szCs w:val="28"/>
          <w:highlight w:val="none"/>
        </w:rPr>
        <w:t>。</w:t>
      </w:r>
    </w:p>
    <w:p>
      <w:pPr>
        <w:adjustRightInd w:val="0"/>
        <w:snapToGrid w:val="0"/>
        <w:spacing w:line="360" w:lineRule="auto"/>
        <w:ind w:firstLine="562" w:firstLineChars="200"/>
        <w:outlineLvl w:val="1"/>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六、比选采购文件的发布方式及时间</w:t>
      </w:r>
    </w:p>
    <w:p>
      <w:pPr>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r>
        <w:rPr>
          <w:rFonts w:ascii="方正仿宋_GBK" w:hAnsi="方正仿宋_GBK" w:eastAsia="方正仿宋_GBK" w:cs="方正仿宋_GBK"/>
          <w:color w:val="auto"/>
          <w:kern w:val="0"/>
          <w:sz w:val="28"/>
          <w:szCs w:val="28"/>
          <w:highlight w:val="none"/>
        </w:rPr>
        <w:t xml:space="preserve">.1 </w:t>
      </w:r>
      <w:r>
        <w:rPr>
          <w:rFonts w:hint="eastAsia" w:ascii="方正仿宋_GBK" w:hAnsi="方正仿宋_GBK" w:eastAsia="方正仿宋_GBK" w:cs="方正仿宋_GBK"/>
          <w:color w:val="auto"/>
          <w:kern w:val="0"/>
          <w:sz w:val="28"/>
          <w:szCs w:val="28"/>
          <w:highlight w:val="none"/>
        </w:rPr>
        <w:t>发布方式：比选采购文件及相关资料由重庆机场集团有限公司采购办公室（建设部）公开发布于重庆机场集团有限公司官方网站（www.cqa.cn）。</w:t>
      </w:r>
    </w:p>
    <w:p>
      <w:pPr>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r>
        <w:rPr>
          <w:rFonts w:ascii="方正仿宋_GBK" w:hAnsi="方正仿宋_GBK" w:eastAsia="方正仿宋_GBK" w:cs="方正仿宋_GBK"/>
          <w:color w:val="auto"/>
          <w:kern w:val="0"/>
          <w:sz w:val="28"/>
          <w:szCs w:val="28"/>
          <w:highlight w:val="none"/>
        </w:rPr>
        <w:t xml:space="preserve">.2 </w:t>
      </w:r>
      <w:r>
        <w:rPr>
          <w:rFonts w:hint="eastAsia" w:ascii="方正仿宋_GBK" w:hAnsi="方正仿宋_GBK" w:eastAsia="方正仿宋_GBK" w:cs="方正仿宋_GBK"/>
          <w:color w:val="auto"/>
          <w:kern w:val="0"/>
          <w:sz w:val="28"/>
          <w:szCs w:val="28"/>
          <w:highlight w:val="none"/>
        </w:rPr>
        <w:t>发布时间：</w:t>
      </w:r>
      <w:r>
        <w:rPr>
          <w:rFonts w:ascii="方正仿宋_GBK" w:hAnsi="方正仿宋_GBK" w:eastAsia="方正仿宋_GBK" w:cs="方正仿宋_GBK"/>
          <w:color w:val="auto"/>
          <w:kern w:val="0"/>
          <w:sz w:val="28"/>
          <w:szCs w:val="28"/>
          <w:highlight w:val="none"/>
        </w:rPr>
        <w:t xml:space="preserve"> </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23</w:t>
      </w:r>
      <w:r>
        <w:rPr>
          <w:rFonts w:hint="eastAsia" w:ascii="方正仿宋_GBK" w:hAnsi="方正仿宋_GBK" w:eastAsia="方正仿宋_GBK" w:cs="方正仿宋_GBK"/>
          <w:color w:val="auto"/>
          <w:kern w:val="0"/>
          <w:sz w:val="28"/>
          <w:szCs w:val="28"/>
          <w:highlight w:val="none"/>
        </w:rPr>
        <w:t>日。</w:t>
      </w:r>
      <w:bookmarkStart w:id="2" w:name="_Toc45632355"/>
    </w:p>
    <w:p>
      <w:pPr>
        <w:snapToGrid w:val="0"/>
        <w:spacing w:line="360" w:lineRule="auto"/>
        <w:ind w:firstLine="562" w:firstLineChars="200"/>
        <w:outlineLvl w:val="1"/>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七、对比选采购文件提出问题的截止时间及比选采购人澄清补遗时间</w:t>
      </w:r>
      <w:bookmarkEnd w:id="2"/>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7</w:t>
      </w:r>
      <w:r>
        <w:rPr>
          <w:rFonts w:hint="eastAsia" w:ascii="方正仿宋_GBK" w:hAnsi="方正仿宋_GBK" w:eastAsia="方正仿宋_GBK" w:cs="方正仿宋_GBK"/>
          <w:color w:val="auto"/>
          <w:kern w:val="0"/>
          <w:sz w:val="28"/>
          <w:szCs w:val="28"/>
          <w:highlight w:val="none"/>
        </w:rPr>
        <w:t>.1 比选响应人对比选采购文件如有疑问，须于</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25</w:t>
      </w:r>
      <w:r>
        <w:rPr>
          <w:rFonts w:hint="eastAsia" w:ascii="方正仿宋_GBK" w:hAnsi="方正仿宋_GBK" w:eastAsia="方正仿宋_GBK" w:cs="方正仿宋_GBK"/>
          <w:color w:val="auto"/>
          <w:kern w:val="0"/>
          <w:sz w:val="28"/>
          <w:szCs w:val="28"/>
          <w:highlight w:val="none"/>
        </w:rPr>
        <w:t>日17：00前将疑问函（加盖单位鲜公章的扫描件）以电子邮件形式发至比选采购人电子邮箱</w:t>
      </w:r>
      <w:r>
        <w:rPr>
          <w:rFonts w:hint="eastAsia" w:ascii="方正仿宋_GBK" w:hAnsi="方正仿宋_GBK" w:eastAsia="方正仿宋_GBK" w:cs="方正仿宋_GBK"/>
          <w:color w:val="auto"/>
          <w:kern w:val="0"/>
          <w:sz w:val="28"/>
          <w:szCs w:val="28"/>
          <w:highlight w:val="none"/>
          <w:lang w:val="en-US" w:eastAsia="zh-CN"/>
        </w:rPr>
        <w:t>50320784</w:t>
      </w:r>
      <w:r>
        <w:rPr>
          <w:rFonts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lang w:val="en-US" w:eastAsia="zh-CN"/>
        </w:rPr>
        <w:t>qq.com</w:t>
      </w:r>
      <w:r>
        <w:rPr>
          <w:rFonts w:hint="eastAsia" w:ascii="方正仿宋_GBK" w:hAnsi="方正仿宋_GBK" w:eastAsia="方正仿宋_GBK" w:cs="方正仿宋_GBK"/>
          <w:color w:val="auto"/>
          <w:kern w:val="0"/>
          <w:sz w:val="28"/>
          <w:szCs w:val="28"/>
          <w:highlight w:val="none"/>
        </w:rPr>
        <w:t>，并电话通知比选采购人，过期不再受理。采购人将在比选采购文件提问截止时间后及时组织答疑，答疑内容在重庆机场集团有限公司官方网站（www.cqa.cn）以公告形式发布。</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7</w:t>
      </w:r>
      <w:r>
        <w:rPr>
          <w:rFonts w:hint="eastAsia" w:ascii="方正仿宋_GBK" w:hAnsi="方正仿宋_GBK" w:eastAsia="方正仿宋_GBK" w:cs="方正仿宋_GBK"/>
          <w:color w:val="auto"/>
          <w:kern w:val="0"/>
          <w:sz w:val="28"/>
          <w:szCs w:val="28"/>
          <w:highlight w:val="none"/>
        </w:rPr>
        <w:t>.2 采购人对比选采购文件澄清、补遗的内容在</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29</w:t>
      </w:r>
      <w:r>
        <w:rPr>
          <w:rFonts w:hint="eastAsia" w:ascii="方正仿宋_GBK" w:hAnsi="方正仿宋_GBK" w:eastAsia="方正仿宋_GBK" w:cs="方正仿宋_GBK"/>
          <w:color w:val="auto"/>
          <w:kern w:val="0"/>
          <w:sz w:val="28"/>
          <w:szCs w:val="28"/>
          <w:highlight w:val="none"/>
        </w:rPr>
        <w:t>日17：00前在重庆机场集团有限公司官方网站（www.cqa.cn）以公告形式发布。</w:t>
      </w:r>
    </w:p>
    <w:p>
      <w:pPr>
        <w:adjustRightInd w:val="0"/>
        <w:snapToGrid w:val="0"/>
        <w:spacing w:line="360" w:lineRule="auto"/>
        <w:ind w:firstLine="562" w:firstLineChars="200"/>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注：各比选响应人应当随时关注重庆机场集团有限公司官方网站（www.cqa.cn）所发布的相关答疑、澄清或补遗资料，各比选响应人不管下载与否都将被视为已知晓。由此产生的一切后果由比选响应人自负。</w:t>
      </w:r>
    </w:p>
    <w:p>
      <w:pPr>
        <w:snapToGrid w:val="0"/>
        <w:spacing w:line="360" w:lineRule="auto"/>
        <w:ind w:firstLine="557" w:firstLineChars="198"/>
        <w:outlineLvl w:val="1"/>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kern w:val="0"/>
          <w:sz w:val="28"/>
          <w:szCs w:val="28"/>
          <w:highlight w:val="none"/>
        </w:rPr>
        <w:t>八、比选响应保证金及履约保证金</w:t>
      </w:r>
    </w:p>
    <w:p>
      <w:pPr>
        <w:adjustRightInd w:val="0"/>
        <w:snapToGrid w:val="0"/>
        <w:spacing w:line="360" w:lineRule="auto"/>
        <w:ind w:firstLine="560" w:firstLineChars="200"/>
        <w:outlineLvl w:val="2"/>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 比选响应保证金</w:t>
      </w:r>
    </w:p>
    <w:p>
      <w:pPr>
        <w:adjustRightInd w:val="0"/>
        <w:snapToGrid w:val="0"/>
        <w:spacing w:line="360" w:lineRule="auto"/>
        <w:ind w:firstLine="560" w:firstLineChars="20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8</w:t>
      </w:r>
      <w:r>
        <w:rPr>
          <w:rFonts w:ascii="方正仿宋_GBK" w:hAnsi="方正仿宋_GBK" w:eastAsia="方正仿宋_GBK" w:cs="方正仿宋_GBK"/>
          <w:color w:val="auto"/>
          <w:kern w:val="0"/>
          <w:sz w:val="28"/>
          <w:szCs w:val="28"/>
          <w:highlight w:val="none"/>
        </w:rPr>
        <w:t xml:space="preserve">.1.1 </w:t>
      </w:r>
      <w:r>
        <w:rPr>
          <w:rFonts w:hint="eastAsia" w:ascii="方正仿宋_GBK" w:hAnsi="方正仿宋_GBK" w:eastAsia="方正仿宋_GBK" w:cs="方正仿宋_GBK"/>
          <w:color w:val="auto"/>
          <w:kern w:val="0"/>
          <w:sz w:val="28"/>
          <w:szCs w:val="28"/>
          <w:highlight w:val="none"/>
        </w:rPr>
        <w:t>有意愿参与本项目比选的单位应按规定缴纳比选响应保证金（作投标保证金理解），本项目比选响应保证金金额为人民币</w:t>
      </w:r>
      <w:r>
        <w:rPr>
          <w:rFonts w:hint="eastAsia" w:ascii="方正仿宋_GBK" w:hAnsi="方正仿宋_GBK" w:eastAsia="方正仿宋_GBK" w:cs="方正仿宋_GBK"/>
          <w:color w:val="auto"/>
          <w:kern w:val="0"/>
          <w:sz w:val="28"/>
          <w:szCs w:val="28"/>
          <w:highlight w:val="none"/>
          <w:u w:val="single"/>
          <w:lang w:val="en-US" w:eastAsia="zh-CN"/>
        </w:rPr>
        <w:t>10000</w:t>
      </w:r>
      <w:r>
        <w:rPr>
          <w:rFonts w:hint="eastAsia" w:ascii="方正仿宋_GBK" w:hAnsi="方正仿宋_GBK" w:eastAsia="方正仿宋_GBK" w:cs="方正仿宋_GBK"/>
          <w:color w:val="auto"/>
          <w:kern w:val="0"/>
          <w:sz w:val="28"/>
          <w:szCs w:val="28"/>
          <w:highlight w:val="none"/>
          <w:u w:val="single"/>
        </w:rPr>
        <w:t xml:space="preserve"> </w:t>
      </w:r>
      <w:r>
        <w:rPr>
          <w:rFonts w:hint="eastAsia" w:ascii="方正仿宋_GBK" w:hAnsi="方正仿宋_GBK" w:eastAsia="方正仿宋_GBK" w:cs="方正仿宋_GBK"/>
          <w:color w:val="auto"/>
          <w:kern w:val="0"/>
          <w:sz w:val="28"/>
          <w:szCs w:val="28"/>
          <w:highlight w:val="none"/>
        </w:rPr>
        <w:t>元（大写金额：</w:t>
      </w:r>
      <w:r>
        <w:rPr>
          <w:rFonts w:hint="eastAsia" w:ascii="方正仿宋_GBK" w:hAnsi="方正仿宋_GBK" w:eastAsia="方正仿宋_GBK" w:cs="方正仿宋_GBK"/>
          <w:color w:val="auto"/>
          <w:kern w:val="0"/>
          <w:sz w:val="28"/>
          <w:szCs w:val="28"/>
          <w:highlight w:val="none"/>
          <w:lang w:val="en-US" w:eastAsia="zh-CN"/>
        </w:rPr>
        <w:t>壹万</w:t>
      </w:r>
      <w:r>
        <w:rPr>
          <w:rFonts w:hint="eastAsia" w:ascii="方正仿宋_GBK" w:hAnsi="方正仿宋_GBK" w:eastAsia="方正仿宋_GBK" w:cs="方正仿宋_GBK"/>
          <w:color w:val="auto"/>
          <w:kern w:val="0"/>
          <w:sz w:val="28"/>
          <w:szCs w:val="28"/>
          <w:highlight w:val="none"/>
        </w:rPr>
        <w:t>元整）。</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w:t>
      </w:r>
      <w:r>
        <w:rPr>
          <w:rFonts w:ascii="方正仿宋_GBK" w:hAnsi="方正仿宋_GBK" w:eastAsia="方正仿宋_GBK" w:cs="方正仿宋_GBK"/>
          <w:color w:val="auto"/>
          <w:kern w:val="0"/>
          <w:sz w:val="28"/>
          <w:szCs w:val="28"/>
          <w:highlight w:val="none"/>
        </w:rPr>
        <w:t>2</w:t>
      </w:r>
      <w:r>
        <w:rPr>
          <w:rFonts w:hint="eastAsia" w:ascii="方正仿宋_GBK" w:hAnsi="方正仿宋_GBK" w:eastAsia="方正仿宋_GBK" w:cs="方正仿宋_GBK"/>
          <w:color w:val="auto"/>
          <w:kern w:val="0"/>
          <w:sz w:val="28"/>
          <w:szCs w:val="28"/>
          <w:highlight w:val="none"/>
        </w:rPr>
        <w:t xml:space="preserve"> 提交时间：比选开始前</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w:t>
      </w:r>
      <w:r>
        <w:rPr>
          <w:rFonts w:ascii="方正仿宋_GBK" w:hAnsi="方正仿宋_GBK" w:eastAsia="方正仿宋_GBK" w:cs="方正仿宋_GBK"/>
          <w:color w:val="auto"/>
          <w:kern w:val="0"/>
          <w:sz w:val="28"/>
          <w:szCs w:val="28"/>
          <w:highlight w:val="none"/>
        </w:rPr>
        <w:t>3</w:t>
      </w:r>
      <w:r>
        <w:rPr>
          <w:rFonts w:hint="eastAsia" w:ascii="方正仿宋_GBK" w:hAnsi="方正仿宋_GBK" w:eastAsia="方正仿宋_GBK" w:cs="方正仿宋_GBK"/>
          <w:color w:val="auto"/>
          <w:kern w:val="0"/>
          <w:sz w:val="28"/>
          <w:szCs w:val="28"/>
          <w:highlight w:val="none"/>
        </w:rPr>
        <w:t xml:space="preserve"> 提交方式：比选响应人企业基本账户银行转账。比选响应人按要求缴纳比选响应保证金后，持相关银行转账证明材料在采购人财务部门（重庆市渝北区机场东二路19号重庆机场集团有限公司办公楼5楼）换取保证金收据，并将保证金收据复印件装入比选响应文件中。</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开户名：重庆机场集团有限公司</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开户银行：建设银行重庆渝北机场支行</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账号：5000 1083 8000 5000 0447</w:t>
      </w:r>
    </w:p>
    <w:p>
      <w:pPr>
        <w:adjustRightInd w:val="0"/>
        <w:snapToGrid w:val="0"/>
        <w:spacing w:line="360" w:lineRule="auto"/>
        <w:ind w:firstLine="562" w:firstLineChars="200"/>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注意：比选响应人在比选开始前递交比选响应文件时应出示采购人财务部门开具的项目比选保证金收据，否则，采购人将拒收比选响应文件。</w:t>
      </w:r>
    </w:p>
    <w:p>
      <w:pPr>
        <w:adjustRightInd w:val="0"/>
        <w:snapToGrid w:val="0"/>
        <w:spacing w:line="360" w:lineRule="auto"/>
        <w:ind w:left="1" w:firstLine="560" w:firstLineChars="200"/>
        <w:jc w:val="left"/>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w:t>
      </w:r>
      <w:r>
        <w:rPr>
          <w:rFonts w:ascii="方正仿宋_GBK" w:hAnsi="方正仿宋_GBK" w:eastAsia="方正仿宋_GBK" w:cs="方正仿宋_GBK"/>
          <w:color w:val="auto"/>
          <w:kern w:val="0"/>
          <w:sz w:val="28"/>
          <w:szCs w:val="28"/>
          <w:highlight w:val="none"/>
        </w:rPr>
        <w:t>4</w:t>
      </w:r>
      <w:r>
        <w:rPr>
          <w:rFonts w:hint="eastAsia" w:ascii="方正仿宋_GBK" w:hAnsi="方正仿宋_GBK" w:eastAsia="方正仿宋_GBK" w:cs="方正仿宋_GBK"/>
          <w:color w:val="auto"/>
          <w:kern w:val="0"/>
          <w:sz w:val="28"/>
          <w:szCs w:val="28"/>
          <w:highlight w:val="none"/>
        </w:rPr>
        <w:t xml:space="preserve"> 项目比选响应保证金的退还</w:t>
      </w:r>
    </w:p>
    <w:p>
      <w:pPr>
        <w:adjustRightInd w:val="0"/>
        <w:snapToGrid w:val="0"/>
        <w:spacing w:line="360" w:lineRule="auto"/>
        <w:ind w:left="1" w:firstLine="560" w:firstLineChars="200"/>
        <w:jc w:val="left"/>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成交候选人以外的单位提交的本项目比选响应保证金，在成交结果公示期结束且无异议后，由比选响应单位开具收据并加盖比选响应单位财务专用章，附比选响应单位账户信息一并递交至采购人处，采购人凭借该收据根据相关规定在20个工作日内将项目比选响应保证金以银行转账方式退还至比选响应人，本项目比选响应保证金递交期间不计利息。</w:t>
      </w:r>
    </w:p>
    <w:p>
      <w:pPr>
        <w:adjustRightInd w:val="0"/>
        <w:snapToGrid w:val="0"/>
        <w:spacing w:line="360" w:lineRule="auto"/>
        <w:ind w:left="1" w:firstLine="560" w:firstLineChars="200"/>
        <w:jc w:val="left"/>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成交候选人范围内的单位提交的本项目比选响应保证金，在本项目合同签订完成后退还，退还手续同上。</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highlight w:val="none"/>
        </w:rPr>
        <w:t>成交的比选人缴纳的比选响应保证金将转为</w:t>
      </w:r>
      <w:r>
        <w:rPr>
          <w:rFonts w:hint="eastAsia" w:ascii="方正仿宋_GBK" w:hAnsi="方正仿宋_GBK" w:eastAsia="方正仿宋_GBK" w:cs="方正仿宋_GBK"/>
          <w:color w:val="auto"/>
          <w:sz w:val="28"/>
          <w:szCs w:val="28"/>
          <w:highlight w:val="none"/>
        </w:rPr>
        <w:t>履约保证金的一部分。</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比选保证金退还办理地址：</w:t>
      </w:r>
      <w:r>
        <w:rPr>
          <w:rFonts w:hint="eastAsia" w:ascii="方正仿宋_GBK" w:hAnsi="方正仿宋_GBK" w:eastAsia="方正仿宋_GBK" w:cs="方正仿宋_GBK"/>
          <w:color w:val="auto"/>
          <w:kern w:val="0"/>
          <w:sz w:val="28"/>
          <w:szCs w:val="28"/>
          <w:highlight w:val="none"/>
        </w:rPr>
        <w:t>重庆机场集团有限公司建设部6</w:t>
      </w:r>
      <w:r>
        <w:rPr>
          <w:rFonts w:ascii="方正仿宋_GBK" w:hAnsi="方正仿宋_GBK" w:eastAsia="方正仿宋_GBK" w:cs="方正仿宋_GBK"/>
          <w:color w:val="auto"/>
          <w:kern w:val="0"/>
          <w:sz w:val="28"/>
          <w:szCs w:val="28"/>
          <w:highlight w:val="none"/>
        </w:rPr>
        <w:t>010</w:t>
      </w:r>
      <w:r>
        <w:rPr>
          <w:rFonts w:hint="eastAsia" w:ascii="方正仿宋_GBK" w:hAnsi="方正仿宋_GBK" w:eastAsia="方正仿宋_GBK" w:cs="方正仿宋_GBK"/>
          <w:color w:val="auto"/>
          <w:kern w:val="0"/>
          <w:sz w:val="28"/>
          <w:szCs w:val="28"/>
          <w:highlight w:val="none"/>
        </w:rPr>
        <w:t>室</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比选保证金退还联系电话：0</w:t>
      </w:r>
      <w:r>
        <w:rPr>
          <w:rFonts w:ascii="方正仿宋_GBK" w:hAnsi="方正仿宋_GBK" w:eastAsia="方正仿宋_GBK" w:cs="方正仿宋_GBK"/>
          <w:color w:val="auto"/>
          <w:sz w:val="28"/>
          <w:szCs w:val="28"/>
          <w:highlight w:val="none"/>
        </w:rPr>
        <w:t>23-</w:t>
      </w:r>
      <w:r>
        <w:rPr>
          <w:rFonts w:hint="eastAsia" w:ascii="方正仿宋_GBK" w:hAnsi="方正仿宋_GBK" w:eastAsia="方正仿宋_GBK" w:cs="方正仿宋_GBK"/>
          <w:color w:val="auto"/>
          <w:sz w:val="28"/>
          <w:szCs w:val="28"/>
          <w:highlight w:val="none"/>
        </w:rPr>
        <w:t>6</w:t>
      </w:r>
      <w:r>
        <w:rPr>
          <w:rFonts w:ascii="方正仿宋_GBK" w:hAnsi="方正仿宋_GBK" w:eastAsia="方正仿宋_GBK" w:cs="方正仿宋_GBK"/>
          <w:color w:val="auto"/>
          <w:sz w:val="28"/>
          <w:szCs w:val="28"/>
          <w:highlight w:val="none"/>
        </w:rPr>
        <w:t>7156808</w:t>
      </w:r>
      <w:r>
        <w:rPr>
          <w:rFonts w:hint="eastAsia" w:ascii="方正仿宋_GBK" w:hAnsi="方正仿宋_GBK" w:eastAsia="方正仿宋_GBK" w:cs="方正仿宋_GBK"/>
          <w:color w:val="auto"/>
          <w:sz w:val="28"/>
          <w:szCs w:val="28"/>
          <w:highlight w:val="none"/>
        </w:rPr>
        <w:t>。</w:t>
      </w:r>
    </w:p>
    <w:p>
      <w:pPr>
        <w:adjustRightInd w:val="0"/>
        <w:snapToGrid w:val="0"/>
        <w:spacing w:line="360" w:lineRule="auto"/>
        <w:ind w:left="1" w:firstLine="560" w:firstLineChars="200"/>
        <w:jc w:val="left"/>
        <w:outlineLvl w:val="2"/>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8</w:t>
      </w:r>
      <w:r>
        <w:rPr>
          <w:rFonts w:hint="eastAsia" w:ascii="方正仿宋_GBK" w:hAnsi="方正仿宋_GBK" w:eastAsia="方正仿宋_GBK" w:cs="方正仿宋_GBK"/>
          <w:color w:val="auto"/>
          <w:sz w:val="28"/>
          <w:szCs w:val="28"/>
          <w:highlight w:val="none"/>
        </w:rPr>
        <w:t>.2 履约保证金</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履约保证金为合同总价款的</w:t>
      </w:r>
      <w:r>
        <w:rPr>
          <w:rFonts w:hint="eastAsia" w:ascii="方正仿宋_GBK" w:hAnsi="方正仿宋_GBK" w:eastAsia="方正仿宋_GBK" w:cs="方正仿宋_GBK"/>
          <w:color w:val="auto"/>
          <w:sz w:val="28"/>
          <w:szCs w:val="28"/>
          <w:highlight w:val="none"/>
          <w:lang w:val="en-US" w:eastAsia="zh-CN"/>
        </w:rPr>
        <w:t>10%</w:t>
      </w:r>
      <w:r>
        <w:rPr>
          <w:rFonts w:hint="eastAsia" w:ascii="方正仿宋_GBK" w:hAnsi="方正仿宋_GBK" w:eastAsia="方正仿宋_GBK" w:cs="方正仿宋_GBK"/>
          <w:color w:val="auto"/>
          <w:sz w:val="28"/>
          <w:szCs w:val="28"/>
          <w:highlight w:val="none"/>
        </w:rPr>
        <w:t>，在收到成交通知书10日内足额缴纳，于履约结束后，一次性退还（不计利息）。</w:t>
      </w:r>
    </w:p>
    <w:p>
      <w:pPr>
        <w:widowControl/>
        <w:adjustRightInd w:val="0"/>
        <w:snapToGrid w:val="0"/>
        <w:spacing w:line="360" w:lineRule="auto"/>
        <w:ind w:firstLine="551" w:firstLineChars="196"/>
        <w:jc w:val="left"/>
        <w:textAlignment w:val="bottom"/>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九、比选响应有效期</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90天（自比选响应人提交比选响应文件截止之日起计算）。</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注：比选响应有效期作投标有效期理解。</w:t>
      </w:r>
    </w:p>
    <w:p>
      <w:pPr>
        <w:widowControl/>
        <w:adjustRightInd w:val="0"/>
        <w:snapToGrid w:val="0"/>
        <w:spacing w:line="360" w:lineRule="auto"/>
        <w:ind w:firstLine="551" w:firstLineChars="196"/>
        <w:jc w:val="left"/>
        <w:textAlignment w:val="bottom"/>
        <w:outlineLvl w:val="1"/>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十、比选响应</w:t>
      </w:r>
      <w:r>
        <w:rPr>
          <w:rFonts w:hint="eastAsia" w:ascii="方正仿宋_GBK" w:hAnsi="方正仿宋_GBK" w:eastAsia="方正仿宋_GBK" w:cs="方正仿宋_GBK"/>
          <w:b/>
          <w:color w:val="auto"/>
          <w:kern w:val="0"/>
          <w:sz w:val="28"/>
          <w:szCs w:val="28"/>
          <w:highlight w:val="none"/>
        </w:rPr>
        <w:t>文件的编制和提交</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.1</w:t>
      </w:r>
      <w:r>
        <w:rPr>
          <w:rFonts w:hint="eastAsia" w:ascii="方正仿宋_GBK" w:hAnsi="方正仿宋_GBK" w:eastAsia="方正仿宋_GBK" w:cs="方正仿宋_GBK"/>
          <w:color w:val="auto"/>
          <w:sz w:val="28"/>
          <w:highlight w:val="none"/>
        </w:rPr>
        <w:t>比选响应方</w:t>
      </w:r>
      <w:r>
        <w:rPr>
          <w:rFonts w:hint="eastAsia" w:ascii="方正仿宋_GBK" w:hAnsi="方正仿宋_GBK" w:eastAsia="方正仿宋_GBK" w:cs="方正仿宋_GBK"/>
          <w:color w:val="auto"/>
          <w:sz w:val="28"/>
          <w:szCs w:val="28"/>
          <w:highlight w:val="none"/>
          <w:lang w:val="zh-CN"/>
        </w:rPr>
        <w:t>应当按照</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采购文件的要求编制比选响应文件，比选响应文件应当对</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采购文件提出的采购清单、技术要求和条件作出实质性应答。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.2.1</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.2.2</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加盖公章的报价函及声明（格式按附件</w:t>
      </w:r>
      <w:r>
        <w:rPr>
          <w:rFonts w:hint="eastAsia"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lang w:val="zh-CN"/>
        </w:rPr>
        <w:t>）。</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w:t>
      </w:r>
      <w:r>
        <w:rPr>
          <w:rFonts w:hint="eastAsia" w:ascii="方正仿宋_GBK" w:hAnsi="方正仿宋_GBK" w:eastAsia="方正仿宋_GBK" w:cs="方正仿宋_GBK"/>
          <w:color w:val="auto"/>
          <w:sz w:val="28"/>
          <w:szCs w:val="28"/>
          <w:highlight w:val="none"/>
        </w:rPr>
        <w:t xml:space="preserve">3 </w:t>
      </w:r>
      <w:r>
        <w:rPr>
          <w:rFonts w:hint="eastAsia" w:ascii="方正仿宋_GBK" w:hAnsi="方正仿宋_GBK" w:eastAsia="方正仿宋_GBK" w:cs="方正仿宋_GBK"/>
          <w:color w:val="auto"/>
          <w:sz w:val="28"/>
          <w:szCs w:val="28"/>
          <w:highlight w:val="none"/>
          <w:lang w:val="zh-CN"/>
        </w:rPr>
        <w:t>报价部分。比选响应方应按照</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采购文件要求报出</w:t>
      </w:r>
      <w:r>
        <w:rPr>
          <w:rFonts w:hint="eastAsia" w:ascii="方正仿宋_GBK" w:hAnsi="方正仿宋_GBK" w:eastAsia="方正仿宋_GBK" w:cs="方正仿宋_GBK"/>
          <w:color w:val="auto"/>
          <w:sz w:val="28"/>
          <w:szCs w:val="28"/>
          <w:highlight w:val="none"/>
          <w:lang w:val="en-US" w:eastAsia="zh-CN"/>
        </w:rPr>
        <w:t>重庆机场4A统一安全管理平台升级扩容</w:t>
      </w:r>
      <w:r>
        <w:rPr>
          <w:rFonts w:hint="eastAsia" w:ascii="方正仿宋_GBK" w:hAnsi="方正仿宋_GBK" w:eastAsia="方正仿宋_GBK" w:cs="方正仿宋_GBK"/>
          <w:color w:val="auto"/>
          <w:sz w:val="28"/>
          <w:szCs w:val="28"/>
          <w:highlight w:val="none"/>
          <w:lang w:val="zh-CN" w:eastAsia="zh-CN"/>
        </w:rPr>
        <w:t>项目所需的各项费用，</w:t>
      </w:r>
      <w:r>
        <w:rPr>
          <w:rFonts w:hint="eastAsia" w:ascii="方正仿宋_GBK" w:hAnsi="方正仿宋_GBK" w:eastAsia="方正仿宋_GBK" w:cs="方正仿宋_GBK"/>
          <w:color w:val="auto"/>
          <w:sz w:val="28"/>
          <w:szCs w:val="28"/>
          <w:highlight w:val="none"/>
          <w:lang w:val="en-US" w:eastAsia="zh-CN"/>
        </w:rPr>
        <w:t>包括技术服务或</w:t>
      </w:r>
      <w:r>
        <w:rPr>
          <w:rFonts w:hint="eastAsia" w:ascii="方正仿宋_GBK" w:hAnsi="方正仿宋_GBK" w:eastAsia="方正仿宋_GBK" w:cs="方正仿宋_GBK"/>
          <w:color w:val="auto"/>
          <w:sz w:val="28"/>
          <w:szCs w:val="28"/>
          <w:highlight w:val="none"/>
          <w:lang w:val="zh-CN"/>
        </w:rPr>
        <w:t>货物的规格、单价、总价等详细内容，报价应包括拟提供货物的运输、相关税金和服务等全部费用，报价为含增值税税额的报价/不含增值税税额的报价，增值税税率单列。</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w:t>
      </w:r>
      <w:r>
        <w:rPr>
          <w:rFonts w:hint="eastAsia" w:ascii="方正仿宋_GBK" w:hAnsi="方正仿宋_GBK" w:eastAsia="方正仿宋_GBK" w:cs="方正仿宋_GBK"/>
          <w:color w:val="auto"/>
          <w:sz w:val="28"/>
          <w:szCs w:val="28"/>
          <w:highlight w:val="none"/>
        </w:rPr>
        <w:t xml:space="preserve">4 </w:t>
      </w:r>
      <w:r>
        <w:rPr>
          <w:rFonts w:hint="eastAsia" w:ascii="方正仿宋_GBK" w:hAnsi="方正仿宋_GBK" w:eastAsia="方正仿宋_GBK" w:cs="方正仿宋_GBK"/>
          <w:color w:val="auto"/>
          <w:sz w:val="28"/>
          <w:szCs w:val="28"/>
          <w:highlight w:val="none"/>
          <w:lang w:val="zh-CN"/>
        </w:rPr>
        <w:t>技术部分。</w:t>
      </w:r>
      <w:r>
        <w:rPr>
          <w:rFonts w:hint="eastAsia" w:ascii="仿宋" w:hAnsi="仿宋" w:eastAsia="仿宋"/>
          <w:color w:val="auto"/>
          <w:sz w:val="28"/>
          <w:szCs w:val="28"/>
          <w:highlight w:val="none"/>
          <w:lang w:val="zh-CN"/>
        </w:rPr>
        <w:t>主要包括项目建设计划</w:t>
      </w:r>
      <w:r>
        <w:rPr>
          <w:rFonts w:hint="eastAsia" w:ascii="仿宋" w:hAnsi="仿宋" w:eastAsia="仿宋"/>
          <w:color w:val="auto"/>
          <w:sz w:val="28"/>
          <w:szCs w:val="28"/>
          <w:highlight w:val="none"/>
          <w:lang w:val="en-US" w:eastAsia="zh-CN"/>
        </w:rPr>
        <w:t>和</w:t>
      </w:r>
      <w:r>
        <w:rPr>
          <w:rFonts w:hint="eastAsia" w:ascii="仿宋" w:hAnsi="仿宋" w:eastAsia="仿宋"/>
          <w:color w:val="auto"/>
          <w:sz w:val="28"/>
          <w:szCs w:val="28"/>
          <w:highlight w:val="none"/>
          <w:lang w:val="zh-CN"/>
        </w:rPr>
        <w:t>实施</w:t>
      </w:r>
      <w:r>
        <w:rPr>
          <w:rFonts w:hint="eastAsia" w:ascii="仿宋" w:hAnsi="仿宋" w:eastAsia="仿宋"/>
          <w:color w:val="auto"/>
          <w:sz w:val="28"/>
          <w:szCs w:val="28"/>
          <w:highlight w:val="none"/>
          <w:lang w:val="en-US" w:eastAsia="zh-CN"/>
        </w:rPr>
        <w:t>方案</w:t>
      </w:r>
      <w:r>
        <w:rPr>
          <w:rFonts w:hint="eastAsia" w:ascii="仿宋" w:hAnsi="仿宋" w:eastAsia="仿宋"/>
          <w:color w:val="auto"/>
          <w:sz w:val="28"/>
          <w:szCs w:val="28"/>
          <w:highlight w:val="none"/>
          <w:lang w:val="zh-CN"/>
        </w:rPr>
        <w:t>详细说明等，</w:t>
      </w:r>
      <w:r>
        <w:rPr>
          <w:rFonts w:hint="eastAsia" w:ascii="方正仿宋_GBK" w:hAnsi="方正仿宋_GBK" w:eastAsia="方正仿宋_GBK" w:cs="方正仿宋_GBK"/>
          <w:color w:val="auto"/>
          <w:sz w:val="28"/>
          <w:szCs w:val="28"/>
          <w:highlight w:val="none"/>
          <w:lang w:val="zh-CN"/>
        </w:rPr>
        <w:t>如果提供的</w:t>
      </w:r>
      <w:r>
        <w:rPr>
          <w:rFonts w:hint="eastAsia" w:ascii="方正仿宋_GBK" w:hAnsi="方正仿宋_GBK" w:eastAsia="方正仿宋_GBK" w:cs="方正仿宋_GBK"/>
          <w:color w:val="auto"/>
          <w:sz w:val="28"/>
          <w:szCs w:val="28"/>
          <w:highlight w:val="none"/>
          <w:lang w:val="en-US" w:eastAsia="zh-CN"/>
        </w:rPr>
        <w:t>方案</w:t>
      </w:r>
      <w:r>
        <w:rPr>
          <w:rFonts w:hint="eastAsia" w:ascii="方正仿宋_GBK" w:hAnsi="方正仿宋_GBK" w:eastAsia="方正仿宋_GBK" w:cs="方正仿宋_GBK"/>
          <w:color w:val="auto"/>
          <w:sz w:val="28"/>
          <w:szCs w:val="28"/>
          <w:highlight w:val="none"/>
          <w:lang w:val="zh-CN"/>
        </w:rPr>
        <w:t>和服务与</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采购文件要求有偏差，必须详细说明，</w:t>
      </w:r>
      <w:r>
        <w:rPr>
          <w:rFonts w:hint="eastAsia" w:ascii="方正仿宋_GBK" w:hAnsi="方正仿宋_GBK" w:eastAsia="方正仿宋_GBK" w:cs="方正仿宋_GBK"/>
          <w:color w:val="auto"/>
          <w:sz w:val="28"/>
          <w:szCs w:val="28"/>
          <w:highlight w:val="none"/>
        </w:rPr>
        <w:t>须经比选小组评定和采购人许可，才能作为供应商实质性响应。(表格自制)</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.2.5</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商务部分。主要包括三证合一的营业执照（复印件），法人代表委托书（原件）、制造商或代理商授权（或货物销售资格证明）文件以及所提供产品的合格证明、其它资格证明（如企业资信证明、质量体系认证等）以及服务承诺等。</w:t>
      </w:r>
    </w:p>
    <w:p>
      <w:pPr>
        <w:autoSpaceDE w:val="0"/>
        <w:autoSpaceDN w:val="0"/>
        <w:adjustRightInd w:val="0"/>
        <w:spacing w:line="360" w:lineRule="auto"/>
        <w:ind w:firstLine="630" w:firstLineChars="225"/>
        <w:rPr>
          <w:rFonts w:ascii="方正仿宋_GBK" w:hAnsi="方正仿宋_GBK" w:eastAsia="方正仿宋_GBK" w:cs="方正仿宋_GBK"/>
          <w:b/>
          <w:bCs/>
          <w:color w:val="auto"/>
          <w:sz w:val="28"/>
          <w:szCs w:val="28"/>
          <w:highlight w:val="none"/>
          <w:u w:val="singl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.2.6</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比选响应文件可合并装订成册，</w:t>
      </w:r>
      <w:r>
        <w:rPr>
          <w:rFonts w:hint="eastAsia" w:ascii="方正仿宋_GBK" w:hAnsi="方正仿宋_GBK" w:eastAsia="方正仿宋_GBK" w:cs="方正仿宋_GBK"/>
          <w:b/>
          <w:bCs/>
          <w:color w:val="auto"/>
          <w:sz w:val="28"/>
          <w:szCs w:val="28"/>
          <w:highlight w:val="none"/>
          <w:u w:val="single"/>
          <w:lang w:val="zh-CN"/>
        </w:rPr>
        <w:t>纸质文件一式2份，其中正本1份，副本1份；电子比选响应文件</w:t>
      </w:r>
      <w:r>
        <w:rPr>
          <w:rFonts w:hint="eastAsia" w:ascii="方正仿宋_GBK" w:hAnsi="方正仿宋_GBK" w:eastAsia="方正仿宋_GBK" w:cs="方正仿宋_GBK"/>
          <w:b/>
          <w:bCs/>
          <w:color w:val="auto"/>
          <w:sz w:val="28"/>
          <w:szCs w:val="28"/>
          <w:highlight w:val="none"/>
          <w:u w:val="single"/>
        </w:rPr>
        <w:t>1</w:t>
      </w:r>
      <w:r>
        <w:rPr>
          <w:rFonts w:hint="eastAsia" w:ascii="方正仿宋_GBK" w:hAnsi="方正仿宋_GBK" w:eastAsia="方正仿宋_GBK" w:cs="方正仿宋_GBK"/>
          <w:b/>
          <w:bCs/>
          <w:color w:val="auto"/>
          <w:sz w:val="28"/>
          <w:szCs w:val="28"/>
          <w:highlight w:val="none"/>
          <w:u w:val="single"/>
          <w:lang w:val="zh-CN"/>
        </w:rPr>
        <w:t>份（U盘形式）。</w:t>
      </w:r>
    </w:p>
    <w:p>
      <w:pPr>
        <w:autoSpaceDE w:val="0"/>
        <w:autoSpaceDN w:val="0"/>
        <w:adjustRightInd w:val="0"/>
        <w:spacing w:line="360" w:lineRule="auto"/>
        <w:ind w:firstLine="551" w:firstLineChars="196"/>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lang w:val="zh-CN"/>
        </w:rPr>
        <w:t>十一、比选响应文件作废条款</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.1 未按照规定交纳比选响应保证金的（若要求缴纳比选响应保证金）。</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.2 比选响应人的报价超过比选最高限价的。</w:t>
      </w:r>
    </w:p>
    <w:p>
      <w:pPr>
        <w:autoSpaceDE w:val="0"/>
        <w:autoSpaceDN w:val="0"/>
        <w:adjustRightInd w:val="0"/>
        <w:snapToGrid w:val="0"/>
        <w:spacing w:line="360" w:lineRule="auto"/>
        <w:ind w:firstLine="551" w:firstLineChars="197"/>
        <w:textAlignment w:val="bottom"/>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 xml:space="preserve">.3 </w:t>
      </w:r>
      <w:r>
        <w:rPr>
          <w:rFonts w:hint="eastAsia" w:ascii="方正仿宋_GBK" w:hAnsi="方正仿宋_GBK" w:eastAsia="方正仿宋_GBK" w:cs="方正仿宋_GBK"/>
          <w:color w:val="auto"/>
          <w:spacing w:val="-8"/>
          <w:sz w:val="28"/>
          <w:szCs w:val="28"/>
          <w:highlight w:val="none"/>
        </w:rPr>
        <w:t>比选响应文件</w:t>
      </w:r>
      <w:r>
        <w:rPr>
          <w:rFonts w:hint="eastAsia" w:ascii="方正仿宋_GBK" w:hAnsi="方正仿宋_GBK" w:eastAsia="方正仿宋_GBK" w:cs="方正仿宋_GBK"/>
          <w:color w:val="auto"/>
          <w:sz w:val="28"/>
          <w:szCs w:val="28"/>
          <w:highlight w:val="none"/>
        </w:rPr>
        <w:t>未装袋密封的。比选响应文件封面及密封袋</w:t>
      </w:r>
      <w:r>
        <w:rPr>
          <w:rFonts w:hint="eastAsia" w:ascii="方正仿宋_GBK" w:hAnsi="方正仿宋_GBK" w:eastAsia="方正仿宋_GBK" w:cs="方正仿宋_GBK"/>
          <w:color w:val="auto"/>
          <w:kern w:val="0"/>
          <w:sz w:val="28"/>
          <w:szCs w:val="28"/>
          <w:highlight w:val="none"/>
        </w:rPr>
        <w:t>封面上须注明“项目名称”、“项目编号”、“比选响应单位名称”，并加盖单位公章</w:t>
      </w:r>
      <w:r>
        <w:rPr>
          <w:rFonts w:hint="eastAsia" w:ascii="方正仿宋_GBK" w:hAnsi="方正仿宋_GBK" w:eastAsia="方正仿宋_GBK" w:cs="方正仿宋_GBK"/>
          <w:color w:val="auto"/>
          <w:spacing w:val="-8"/>
          <w:sz w:val="28"/>
          <w:szCs w:val="28"/>
          <w:highlight w:val="none"/>
        </w:rPr>
        <w:t>。</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 比选响应文件装订要求不符：</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.4.1 散装或者活页装订的；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.4.2 比选响应文件份数不足或未按要求提供电子U盘的；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.4.3 比选响应文件封面未标注正副本（密封袋封面无需标注正副本）。</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.5 比选响应文件中报价函部分、授权部分无法定代表人签字（签章）或签字人无有效授权书的。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.6 报价函部分未按规定的格式完整填写（增项填写不作为作废条款）。</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.7 评审委员会审查发现比选响应文件未能对比选文件提出的所有实质性要求和条件作出响应的。</w:t>
      </w:r>
    </w:p>
    <w:p>
      <w:pPr>
        <w:autoSpaceDE w:val="0"/>
        <w:autoSpaceDN w:val="0"/>
        <w:adjustRightInd w:val="0"/>
        <w:spacing w:line="360" w:lineRule="auto"/>
        <w:ind w:firstLine="548" w:firstLineChars="196"/>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.8 有串通比选、弄虚作假、失信处罚期未满以及有其他违法违规行为的。</w:t>
      </w:r>
    </w:p>
    <w:p>
      <w:pPr>
        <w:autoSpaceDE w:val="0"/>
        <w:autoSpaceDN w:val="0"/>
        <w:adjustRightInd w:val="0"/>
        <w:spacing w:line="360" w:lineRule="auto"/>
        <w:ind w:firstLine="551" w:firstLineChars="196"/>
        <w:outlineLvl w:val="1"/>
        <w:rPr>
          <w:rFonts w:ascii="方正仿宋_GBK" w:hAnsi="方正仿宋_GBK" w:eastAsia="方正仿宋_GBK" w:cs="方正仿宋_GBK"/>
          <w:b/>
          <w:color w:val="auto"/>
          <w:sz w:val="28"/>
          <w:szCs w:val="28"/>
          <w:highlight w:val="none"/>
          <w:lang w:val="zh-CN"/>
        </w:rPr>
      </w:pPr>
      <w:r>
        <w:rPr>
          <w:rFonts w:hint="eastAsia" w:ascii="方正仿宋_GBK" w:hAnsi="方正仿宋_GBK" w:eastAsia="方正仿宋_GBK" w:cs="方正仿宋_GBK"/>
          <w:b/>
          <w:color w:val="auto"/>
          <w:sz w:val="28"/>
          <w:szCs w:val="28"/>
          <w:highlight w:val="none"/>
          <w:lang w:val="zh-CN"/>
        </w:rPr>
        <w:t>十二、响应人违约等行为约束要求</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12.1</w:t>
      </w:r>
      <w:r>
        <w:rPr>
          <w:rFonts w:hint="eastAsia" w:ascii="方正仿宋_GBK" w:hAnsi="方正仿宋_GBK" w:eastAsia="方正仿宋_GBK" w:cs="方正仿宋_GBK"/>
          <w:color w:val="auto"/>
          <w:sz w:val="28"/>
          <w:szCs w:val="28"/>
          <w:highlight w:val="none"/>
        </w:rPr>
        <w:t xml:space="preserve"> 采购</w:t>
      </w:r>
      <w:r>
        <w:rPr>
          <w:rFonts w:ascii="方正仿宋_GBK" w:hAnsi="方正仿宋_GBK" w:eastAsia="方正仿宋_GBK" w:cs="方正仿宋_GBK"/>
          <w:color w:val="auto"/>
          <w:sz w:val="28"/>
          <w:szCs w:val="28"/>
          <w:highlight w:val="none"/>
        </w:rPr>
        <w:t>人将进一步核查</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响应文件中提供的材料，若在评审期间发现</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响应人提供了虚假资料，其</w:t>
      </w:r>
      <w:r>
        <w:rPr>
          <w:rFonts w:hint="eastAsia" w:ascii="方正仿宋_GBK" w:hAnsi="方正仿宋_GBK" w:eastAsia="方正仿宋_GBK" w:cs="方正仿宋_GBK"/>
          <w:color w:val="auto"/>
          <w:sz w:val="28"/>
          <w:szCs w:val="28"/>
          <w:highlight w:val="none"/>
        </w:rPr>
        <w:t>比选资格</w:t>
      </w:r>
      <w:r>
        <w:rPr>
          <w:rFonts w:ascii="方正仿宋_GBK" w:hAnsi="方正仿宋_GBK" w:eastAsia="方正仿宋_GBK" w:cs="方正仿宋_GBK"/>
          <w:color w:val="auto"/>
          <w:sz w:val="28"/>
          <w:szCs w:val="28"/>
          <w:highlight w:val="none"/>
        </w:rPr>
        <w:t>将被否决，其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响应保证金不予退还，并将被列入采购人黑名单；若在评审</w:t>
      </w:r>
      <w:r>
        <w:rPr>
          <w:rFonts w:hint="eastAsia" w:ascii="方正仿宋_GBK" w:hAnsi="方正仿宋_GBK" w:eastAsia="方正仿宋_GBK" w:cs="方正仿宋_GBK"/>
          <w:color w:val="auto"/>
          <w:sz w:val="28"/>
          <w:szCs w:val="28"/>
          <w:highlight w:val="none"/>
        </w:rPr>
        <w:t>结果</w:t>
      </w:r>
      <w:r>
        <w:rPr>
          <w:rFonts w:ascii="方正仿宋_GBK" w:hAnsi="方正仿宋_GBK" w:eastAsia="方正仿宋_GBK" w:cs="方正仿宋_GBK"/>
          <w:color w:val="auto"/>
          <w:sz w:val="28"/>
          <w:szCs w:val="28"/>
          <w:highlight w:val="none"/>
        </w:rPr>
        <w:t>公示期间发现</w:t>
      </w:r>
      <w:r>
        <w:rPr>
          <w:rFonts w:hint="eastAsia" w:ascii="方正仿宋_GBK" w:hAnsi="方正仿宋_GBK" w:eastAsia="方正仿宋_GBK" w:cs="方正仿宋_GBK"/>
          <w:color w:val="auto"/>
          <w:sz w:val="28"/>
          <w:szCs w:val="28"/>
          <w:highlight w:val="none"/>
        </w:rPr>
        <w:t>成交</w:t>
      </w:r>
      <w:r>
        <w:rPr>
          <w:rFonts w:ascii="方正仿宋_GBK" w:hAnsi="方正仿宋_GBK" w:eastAsia="方正仿宋_GBK" w:cs="方正仿宋_GBK"/>
          <w:color w:val="auto"/>
          <w:sz w:val="28"/>
          <w:szCs w:val="28"/>
          <w:highlight w:val="none"/>
        </w:rPr>
        <w:t>候选人在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响应时提供了虚假资料，</w:t>
      </w:r>
      <w:r>
        <w:rPr>
          <w:rFonts w:hint="eastAsia" w:ascii="方正仿宋_GBK" w:hAnsi="方正仿宋_GBK" w:eastAsia="方正仿宋_GBK" w:cs="方正仿宋_GBK"/>
          <w:color w:val="auto"/>
          <w:sz w:val="28"/>
          <w:szCs w:val="28"/>
          <w:highlight w:val="none"/>
        </w:rPr>
        <w:t>采购人将</w:t>
      </w:r>
      <w:r>
        <w:rPr>
          <w:rFonts w:ascii="方正仿宋_GBK" w:hAnsi="方正仿宋_GBK" w:eastAsia="方正仿宋_GBK" w:cs="方正仿宋_GBK"/>
          <w:color w:val="auto"/>
          <w:sz w:val="28"/>
          <w:szCs w:val="28"/>
          <w:highlight w:val="none"/>
        </w:rPr>
        <w:t>取消其成交资格</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其响应保证金不予退还</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并将被列入采购人黑名单；若在合同实施阶段发现承包人在</w:t>
      </w:r>
      <w:r>
        <w:rPr>
          <w:rFonts w:hint="eastAsia" w:ascii="方正仿宋_GBK" w:hAnsi="方正仿宋_GBK" w:eastAsia="方正仿宋_GBK" w:cs="方正仿宋_GBK"/>
          <w:color w:val="auto"/>
          <w:sz w:val="28"/>
          <w:szCs w:val="28"/>
          <w:highlight w:val="none"/>
        </w:rPr>
        <w:t>参与比选</w:t>
      </w:r>
      <w:r>
        <w:rPr>
          <w:rFonts w:ascii="方正仿宋_GBK" w:hAnsi="方正仿宋_GBK" w:eastAsia="方正仿宋_GBK" w:cs="方正仿宋_GBK"/>
          <w:color w:val="auto"/>
          <w:sz w:val="28"/>
          <w:szCs w:val="28"/>
          <w:highlight w:val="none"/>
        </w:rPr>
        <w:t>时提供了虚假资料，采购人</w:t>
      </w:r>
      <w:r>
        <w:rPr>
          <w:rFonts w:hint="eastAsia" w:ascii="方正仿宋_GBK" w:hAnsi="方正仿宋_GBK" w:eastAsia="方正仿宋_GBK" w:cs="方正仿宋_GBK"/>
          <w:color w:val="auto"/>
          <w:sz w:val="28"/>
          <w:szCs w:val="28"/>
          <w:highlight w:val="none"/>
        </w:rPr>
        <w:t>将</w:t>
      </w:r>
      <w:r>
        <w:rPr>
          <w:rFonts w:ascii="方正仿宋_GBK" w:hAnsi="方正仿宋_GBK" w:eastAsia="方正仿宋_GBK" w:cs="方正仿宋_GBK"/>
          <w:color w:val="auto"/>
          <w:sz w:val="28"/>
          <w:szCs w:val="28"/>
          <w:highlight w:val="none"/>
        </w:rPr>
        <w:t>按合同相关条款处罚，并将被列入采购人黑名单</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给采购人造成损失的，承包人</w:t>
      </w:r>
      <w:r>
        <w:rPr>
          <w:rFonts w:hint="eastAsia" w:ascii="方正仿宋_GBK" w:hAnsi="方正仿宋_GBK" w:eastAsia="方正仿宋_GBK" w:cs="方正仿宋_GBK"/>
          <w:color w:val="auto"/>
          <w:sz w:val="28"/>
          <w:szCs w:val="28"/>
          <w:highlight w:val="none"/>
        </w:rPr>
        <w:t>还应</w:t>
      </w:r>
      <w:r>
        <w:rPr>
          <w:rFonts w:ascii="方正仿宋_GBK" w:hAnsi="方正仿宋_GBK" w:eastAsia="方正仿宋_GBK" w:cs="方正仿宋_GBK"/>
          <w:color w:val="auto"/>
          <w:sz w:val="28"/>
          <w:szCs w:val="28"/>
          <w:highlight w:val="none"/>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12.2</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响应有效期内，</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响应人撤销</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响应文件的，其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12.3</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响应有效期内，</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响应人无故放弃成交候选人资格的，其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12.4</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成交人在收到成交通知书后，无正当理由不与采购人订立合同，在签订合同时向采购人提出附加条件，或者不按照采购文件要求提交履约保证金的，其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12.5</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评审期间若发现</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响应人有围标、串标或以他人名义参</w:t>
      </w:r>
      <w:r>
        <w:rPr>
          <w:rFonts w:hint="eastAsia" w:ascii="方正仿宋_GBK" w:hAnsi="方正仿宋_GBK" w:eastAsia="方正仿宋_GBK" w:cs="方正仿宋_GBK"/>
          <w:color w:val="auto"/>
          <w:sz w:val="28"/>
          <w:szCs w:val="28"/>
          <w:highlight w:val="none"/>
        </w:rPr>
        <w:t>与比选</w:t>
      </w:r>
      <w:r>
        <w:rPr>
          <w:rFonts w:ascii="方正仿宋_GBK" w:hAnsi="方正仿宋_GBK" w:eastAsia="方正仿宋_GBK" w:cs="方正仿宋_GBK"/>
          <w:color w:val="auto"/>
          <w:sz w:val="28"/>
          <w:szCs w:val="28"/>
          <w:highlight w:val="none"/>
        </w:rPr>
        <w:t>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响应将被否决，其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响应保证金不予退还，并将被列入采购人黑名单；若在评审</w:t>
      </w:r>
      <w:r>
        <w:rPr>
          <w:rFonts w:hint="eastAsia" w:ascii="方正仿宋_GBK" w:hAnsi="方正仿宋_GBK" w:eastAsia="方正仿宋_GBK" w:cs="方正仿宋_GBK"/>
          <w:color w:val="auto"/>
          <w:sz w:val="28"/>
          <w:szCs w:val="28"/>
          <w:highlight w:val="none"/>
        </w:rPr>
        <w:t>结果</w:t>
      </w:r>
      <w:r>
        <w:rPr>
          <w:rFonts w:ascii="方正仿宋_GBK" w:hAnsi="方正仿宋_GBK" w:eastAsia="方正仿宋_GBK" w:cs="方正仿宋_GBK"/>
          <w:color w:val="auto"/>
          <w:sz w:val="28"/>
          <w:szCs w:val="28"/>
          <w:highlight w:val="none"/>
        </w:rPr>
        <w:t>公示期间发现成交候选人有围标、串标或以他人名义参加</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的，采购人将取消其成交资格且其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响应保证金不予退还，并将被列入采购人黑名单；若在合同实施阶段发现承包人在</w:t>
      </w:r>
      <w:r>
        <w:rPr>
          <w:rFonts w:hint="eastAsia" w:ascii="方正仿宋_GBK" w:hAnsi="方正仿宋_GBK" w:eastAsia="方正仿宋_GBK" w:cs="方正仿宋_GBK"/>
          <w:color w:val="auto"/>
          <w:sz w:val="28"/>
          <w:szCs w:val="28"/>
          <w:highlight w:val="none"/>
        </w:rPr>
        <w:t>参与比选</w:t>
      </w:r>
      <w:r>
        <w:rPr>
          <w:rFonts w:ascii="方正仿宋_GBK" w:hAnsi="方正仿宋_GBK" w:eastAsia="方正仿宋_GBK" w:cs="方正仿宋_GBK"/>
          <w:color w:val="auto"/>
          <w:sz w:val="28"/>
          <w:szCs w:val="28"/>
          <w:highlight w:val="none"/>
        </w:rPr>
        <w:t>时有围标、串标或以他人名义参加</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的，采购人</w:t>
      </w:r>
      <w:r>
        <w:rPr>
          <w:rFonts w:hint="eastAsia" w:ascii="方正仿宋_GBK" w:hAnsi="方正仿宋_GBK" w:eastAsia="方正仿宋_GBK" w:cs="方正仿宋_GBK"/>
          <w:color w:val="auto"/>
          <w:sz w:val="28"/>
          <w:szCs w:val="28"/>
          <w:highlight w:val="none"/>
        </w:rPr>
        <w:t>将</w:t>
      </w:r>
      <w:r>
        <w:rPr>
          <w:rFonts w:ascii="方正仿宋_GBK" w:hAnsi="方正仿宋_GBK" w:eastAsia="方正仿宋_GBK" w:cs="方正仿宋_GBK"/>
          <w:color w:val="auto"/>
          <w:sz w:val="28"/>
          <w:szCs w:val="28"/>
          <w:highlight w:val="none"/>
        </w:rPr>
        <w:t>按合同相关条款处罚，并将被列入采购人黑名单，给采购人造成损失的，承包人</w:t>
      </w:r>
      <w:r>
        <w:rPr>
          <w:rFonts w:hint="eastAsia" w:ascii="方正仿宋_GBK" w:hAnsi="方正仿宋_GBK" w:eastAsia="方正仿宋_GBK" w:cs="方正仿宋_GBK"/>
          <w:color w:val="auto"/>
          <w:sz w:val="28"/>
          <w:szCs w:val="28"/>
          <w:highlight w:val="none"/>
        </w:rPr>
        <w:t>还应</w:t>
      </w:r>
      <w:r>
        <w:rPr>
          <w:rFonts w:ascii="方正仿宋_GBK" w:hAnsi="方正仿宋_GBK" w:eastAsia="方正仿宋_GBK" w:cs="方正仿宋_GBK"/>
          <w:color w:val="auto"/>
          <w:sz w:val="28"/>
          <w:szCs w:val="28"/>
          <w:highlight w:val="none"/>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注：黑名单有效期3年，被列入黑名单的单位在黑名单有效期内禁止参与采购人的项目。</w:t>
      </w:r>
    </w:p>
    <w:p>
      <w:pPr>
        <w:autoSpaceDE w:val="0"/>
        <w:autoSpaceDN w:val="0"/>
        <w:adjustRightInd w:val="0"/>
        <w:spacing w:line="360" w:lineRule="auto"/>
        <w:ind w:firstLine="551" w:firstLineChars="196"/>
        <w:outlineLvl w:val="1"/>
        <w:rPr>
          <w:rFonts w:ascii="方正仿宋_GBK" w:hAnsi="方正仿宋_GBK" w:eastAsia="方正仿宋_GBK" w:cs="方正仿宋_GBK"/>
          <w:b/>
          <w:color w:val="auto"/>
          <w:sz w:val="28"/>
          <w:szCs w:val="28"/>
          <w:highlight w:val="none"/>
          <w:lang w:val="zh-CN"/>
        </w:rPr>
      </w:pPr>
      <w:r>
        <w:rPr>
          <w:rFonts w:hint="eastAsia" w:ascii="方正仿宋_GBK" w:hAnsi="方正仿宋_GBK" w:eastAsia="方正仿宋_GBK" w:cs="方正仿宋_GBK"/>
          <w:b/>
          <w:color w:val="auto"/>
          <w:sz w:val="28"/>
          <w:szCs w:val="28"/>
          <w:highlight w:val="none"/>
          <w:lang w:val="zh-CN"/>
        </w:rPr>
        <w:t>十三、比选结果异议</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.2 异议提出人向采购人提起异议时，应当提交书面异议书。异议书应当包括下列内容：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.3 异议提出人对异议事项提出的请求和主张，有责任提供证据；只有自己陈述而不能提出其他相关证据的，采购人对其请求和主张不予支持。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.4 异议提出人不得虚假异议、恶意异议，不得以异议为名排挤竞争对手，阻碍干扰采购活动的正常进行。若出现该情况，视为无效异议，不再受理。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三）若是法人组织，由法定代表人递交结果异议函件时，函件未经法定代表人签字并加盖单位公章，并且未附法定代表人身份证明；若是法人组织，由委托代理人递交结果异议函件时，函件未经法定代表人和被授权的委托代理人签字并加盖单位公章，并且未附法定代表人身份证明和法定代表人授权书；若是非法人组织，该组织为某法人单位的分支机构，未由分支机构的上级法人授权并参照上述要求递交结果异议函件；若是其他情况的非法人组织，未经主要负责人及异议提出人本人签字并加盖公章（若有）。</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2" w:firstLineChars="200"/>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十四、监督部门</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重庆机场集团有限公司审计法务部</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地址：重庆机场集团有限公司办公楼</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电话：023-6715</w:t>
      </w:r>
      <w:r>
        <w:rPr>
          <w:rFonts w:ascii="方正仿宋_GBK" w:hAnsi="方正仿宋_GBK" w:eastAsia="方正仿宋_GBK" w:cs="方正仿宋_GBK"/>
          <w:color w:val="auto"/>
          <w:sz w:val="28"/>
          <w:szCs w:val="28"/>
          <w:highlight w:val="none"/>
        </w:rPr>
        <w:t>7345</w:t>
      </w:r>
    </w:p>
    <w:p>
      <w:pPr>
        <w:autoSpaceDE w:val="0"/>
        <w:autoSpaceDN w:val="0"/>
        <w:adjustRightInd w:val="0"/>
        <w:spacing w:line="360" w:lineRule="auto"/>
        <w:ind w:firstLine="562" w:firstLineChars="200"/>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十五、结果异议提交渠道</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正式结果异议函件应同步提交采购人及监督机构。</w:t>
      </w:r>
    </w:p>
    <w:p>
      <w:pPr>
        <w:autoSpaceDE w:val="0"/>
        <w:autoSpaceDN w:val="0"/>
        <w:adjustRightInd w:val="0"/>
        <w:snapToGrid w:val="0"/>
        <w:spacing w:line="360" w:lineRule="auto"/>
        <w:ind w:firstLine="551" w:firstLineChars="196"/>
        <w:textAlignment w:val="bottom"/>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十六、比选时间、地点及结果通知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 xml:space="preserve">.1 </w:t>
      </w:r>
      <w:r>
        <w:rPr>
          <w:rFonts w:hint="eastAsia" w:ascii="方正仿宋_GBK" w:hAnsi="方正仿宋_GBK" w:eastAsia="方正仿宋_GBK" w:cs="方正仿宋_GBK"/>
          <w:color w:val="auto"/>
          <w:sz w:val="28"/>
          <w:szCs w:val="28"/>
          <w:highlight w:val="none"/>
          <w:lang w:val="zh-CN"/>
        </w:rPr>
        <w:t>比选响应文件</w:t>
      </w:r>
      <w:r>
        <w:rPr>
          <w:rFonts w:hint="eastAsia" w:ascii="方正仿宋_GBK" w:hAnsi="方正仿宋_GBK" w:eastAsia="方正仿宋_GBK" w:cs="方正仿宋_GBK"/>
          <w:color w:val="auto"/>
          <w:kern w:val="0"/>
          <w:sz w:val="28"/>
          <w:szCs w:val="28"/>
          <w:highlight w:val="none"/>
        </w:rPr>
        <w:t>必须在</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12</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3</w:t>
      </w:r>
      <w:r>
        <w:rPr>
          <w:rFonts w:hint="eastAsia" w:ascii="方正仿宋_GBK" w:hAnsi="方正仿宋_GBK" w:eastAsia="方正仿宋_GBK" w:cs="方正仿宋_GBK"/>
          <w:color w:val="auto"/>
          <w:kern w:val="0"/>
          <w:sz w:val="28"/>
          <w:szCs w:val="28"/>
          <w:highlight w:val="none"/>
        </w:rPr>
        <w:t>日9:00至10:00时送到重庆机场有限公司办公楼</w:t>
      </w:r>
      <w:r>
        <w:rPr>
          <w:rFonts w:hint="eastAsia" w:ascii="方正仿宋_GBK" w:hAnsi="方正仿宋_GBK" w:eastAsia="方正仿宋_GBK" w:cs="方正仿宋_GBK"/>
          <w:color w:val="auto"/>
          <w:sz w:val="28"/>
          <w:szCs w:val="28"/>
          <w:highlight w:val="none"/>
        </w:rPr>
        <w:t>（重庆市渝北区机场东二路19号）</w:t>
      </w:r>
      <w:r>
        <w:rPr>
          <w:rFonts w:hint="eastAsia" w:ascii="方正仿宋_GBK" w:hAnsi="方正仿宋_GBK" w:eastAsia="方正仿宋_GBK" w:cs="方正仿宋_GBK"/>
          <w:color w:val="auto"/>
          <w:kern w:val="0"/>
          <w:sz w:val="28"/>
          <w:szCs w:val="28"/>
          <w:highlight w:val="none"/>
        </w:rPr>
        <w:t>6010室，过期不予受理。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 xml:space="preserve">.2  </w:t>
      </w:r>
      <w:r>
        <w:rPr>
          <w:rFonts w:hint="eastAsia" w:ascii="方正仿宋_GBK" w:hAnsi="方正仿宋_GBK" w:eastAsia="方正仿宋_GBK" w:cs="方正仿宋_GBK"/>
          <w:color w:val="auto"/>
          <w:sz w:val="28"/>
          <w:szCs w:val="28"/>
          <w:highlight w:val="none"/>
          <w:lang w:val="en-US" w:eastAsia="zh-CN"/>
        </w:rPr>
        <w:t>2021</w:t>
      </w:r>
      <w:r>
        <w:rPr>
          <w:rFonts w:hint="eastAsia" w:ascii="方正仿宋_GBK" w:hAnsi="方正仿宋_GBK" w:eastAsia="方正仿宋_GBK" w:cs="方正仿宋_GBK"/>
          <w:color w:val="auto"/>
          <w:sz w:val="28"/>
          <w:szCs w:val="28"/>
          <w:highlight w:val="none"/>
        </w:rPr>
        <w:t>年</w:t>
      </w:r>
      <w:r>
        <w:rPr>
          <w:rFonts w:hint="eastAsia" w:ascii="方正仿宋_GBK" w:hAnsi="方正仿宋_GBK" w:eastAsia="方正仿宋_GBK" w:cs="方正仿宋_GBK"/>
          <w:color w:val="auto"/>
          <w:sz w:val="28"/>
          <w:szCs w:val="28"/>
          <w:highlight w:val="none"/>
          <w:lang w:val="en-US" w:eastAsia="zh-CN"/>
        </w:rPr>
        <w:t>12</w:t>
      </w:r>
      <w:r>
        <w:rPr>
          <w:rFonts w:hint="eastAsia" w:ascii="方正仿宋_GBK" w:hAnsi="方正仿宋_GBK" w:eastAsia="方正仿宋_GBK" w:cs="方正仿宋_GBK"/>
          <w:color w:val="auto"/>
          <w:sz w:val="28"/>
          <w:szCs w:val="28"/>
          <w:highlight w:val="none"/>
        </w:rPr>
        <w:t>月</w:t>
      </w:r>
      <w:r>
        <w:rPr>
          <w:rFonts w:hint="eastAsia" w:ascii="方正仿宋_GBK" w:hAnsi="方正仿宋_GBK" w:eastAsia="方正仿宋_GBK" w:cs="方正仿宋_GBK"/>
          <w:color w:val="auto"/>
          <w:sz w:val="28"/>
          <w:szCs w:val="28"/>
          <w:highlight w:val="none"/>
          <w:lang w:val="en-US" w:eastAsia="zh-CN"/>
        </w:rPr>
        <w:t>3</w:t>
      </w:r>
      <w:r>
        <w:rPr>
          <w:rFonts w:hint="eastAsia" w:ascii="方正仿宋_GBK" w:hAnsi="方正仿宋_GBK" w:eastAsia="方正仿宋_GBK" w:cs="方正仿宋_GBK"/>
          <w:color w:val="auto"/>
          <w:sz w:val="28"/>
          <w:szCs w:val="28"/>
          <w:highlight w:val="none"/>
        </w:rPr>
        <w:t>日10:00时在重庆机场集团有限公司办公楼对本项目进行比选，各比选响应人须参加。</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注：比选开始前，各比选响应人须在重庆机场集团公司办公楼6010室等候通知具体比选地点。</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.3</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参加比选唱价会议的比选响应人的法定代表人或被授权的代理人应当随身携带本人身份证（原件）、采购人财务部门开具的项目比选保证金收据，法定代表人还应当随身携带法定代表人身份证明函件（原件），被授权的代理人还应当随身携带法定代表人授权委托书（原件），以备核验其合法身份。</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比选响应人若未派法定代表人或委托代理人出席比选唱价会议，视为该比选响应人默认比选唱价结果。</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.4 比选结果通知：拟成交结果将公示在重庆机场集团有限公司</w:t>
      </w:r>
      <w:r>
        <w:rPr>
          <w:rFonts w:hint="eastAsia" w:ascii="方正仿宋_GBK" w:hAnsi="方正仿宋_GBK" w:eastAsia="方正仿宋_GBK" w:cs="方正仿宋_GBK"/>
          <w:color w:val="auto"/>
          <w:kern w:val="0"/>
          <w:sz w:val="28"/>
          <w:szCs w:val="28"/>
          <w:highlight w:val="none"/>
        </w:rPr>
        <w:t>官方网站（www.cqa.cn）</w:t>
      </w:r>
      <w:r>
        <w:rPr>
          <w:rFonts w:hint="eastAsia" w:ascii="方正仿宋_GBK" w:hAnsi="方正仿宋_GBK" w:eastAsia="方正仿宋_GBK" w:cs="方正仿宋_GBK"/>
          <w:color w:val="auto"/>
          <w:sz w:val="28"/>
          <w:szCs w:val="28"/>
          <w:highlight w:val="none"/>
        </w:rPr>
        <w:t>，待结果确定后会及时通知，原则上只通知被选中的比选响应人，对未被选中的比选响应人不通知、不解释，响应文件不予退还。</w:t>
      </w:r>
    </w:p>
    <w:p>
      <w:pPr>
        <w:snapToGrid w:val="0"/>
        <w:spacing w:line="360" w:lineRule="auto"/>
        <w:ind w:firstLine="551" w:firstLineChars="196"/>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十七、采购人联系方式</w:t>
      </w:r>
    </w:p>
    <w:p>
      <w:pPr>
        <w:snapToGrid w:val="0"/>
        <w:spacing w:line="360" w:lineRule="auto"/>
        <w:ind w:firstLine="539"/>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采购人：重庆机场集团有限公司</w:t>
      </w:r>
    </w:p>
    <w:p>
      <w:pPr>
        <w:snapToGrid w:val="0"/>
        <w:spacing w:line="360" w:lineRule="auto"/>
        <w:ind w:firstLine="539"/>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rPr>
        <w:t>联系人：</w:t>
      </w:r>
      <w:r>
        <w:rPr>
          <w:rFonts w:hint="eastAsia" w:ascii="方正仿宋_GBK" w:hAnsi="方正仿宋_GBK" w:eastAsia="方正仿宋_GBK" w:cs="方正仿宋_GBK"/>
          <w:color w:val="auto"/>
          <w:sz w:val="28"/>
          <w:szCs w:val="28"/>
          <w:highlight w:val="none"/>
          <w:lang w:val="en-US" w:eastAsia="zh-CN"/>
        </w:rPr>
        <w:t>徐老师</w:t>
      </w:r>
    </w:p>
    <w:p>
      <w:pPr>
        <w:snapToGrid w:val="0"/>
        <w:spacing w:line="360" w:lineRule="auto"/>
        <w:ind w:firstLine="539"/>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rPr>
        <w:t>电话：</w:t>
      </w:r>
      <w:r>
        <w:rPr>
          <w:rFonts w:hint="eastAsia" w:ascii="方正仿宋_GBK" w:hAnsi="方正仿宋_GBK" w:eastAsia="方正仿宋_GBK" w:cs="方正仿宋_GBK"/>
          <w:color w:val="auto"/>
          <w:sz w:val="28"/>
          <w:szCs w:val="28"/>
          <w:highlight w:val="none"/>
          <w:lang w:val="en-US" w:eastAsia="zh-CN"/>
        </w:rPr>
        <w:t>023-67156808</w:t>
      </w:r>
    </w:p>
    <w:p>
      <w:pPr>
        <w:snapToGrid w:val="0"/>
        <w:spacing w:line="360" w:lineRule="auto"/>
        <w:ind w:firstLine="539"/>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电子邮箱：</w:t>
      </w:r>
    </w:p>
    <w:p>
      <w:pPr>
        <w:snapToGrid w:val="0"/>
        <w:spacing w:line="360" w:lineRule="auto"/>
        <w:ind w:firstLine="539"/>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邮编：401120</w:t>
      </w:r>
    </w:p>
    <w:p>
      <w:pP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br w:type="page"/>
      </w:r>
    </w:p>
    <w:p>
      <w:pPr>
        <w:spacing w:line="600" w:lineRule="exact"/>
        <w:jc w:val="center"/>
        <w:outlineLvl w:val="0"/>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第二章  比选评分办法</w:t>
      </w:r>
    </w:p>
    <w:p>
      <w:pPr>
        <w:widowControl/>
        <w:adjustRightInd w:val="0"/>
        <w:snapToGrid w:val="0"/>
        <w:spacing w:line="440" w:lineRule="exact"/>
        <w:ind w:firstLine="560" w:firstLineChars="200"/>
        <w:jc w:val="left"/>
        <w:textAlignment w:val="bottom"/>
        <w:rPr>
          <w:rFonts w:ascii="方正仿宋_GBK" w:hAnsi="方正仿宋_GBK" w:eastAsia="方正仿宋_GBK" w:cs="方正仿宋_GBK"/>
          <w:color w:val="auto"/>
          <w:sz w:val="28"/>
          <w:szCs w:val="28"/>
          <w:highlight w:val="none"/>
        </w:rPr>
      </w:pP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本次比选采取综合评分法。在经过初步审查后对符合本文件基本要求的比选响应人进行详细评审，总得分为经济、技术、商务三种评定因素分别按照相应分值计算分项得分后相加的总和，满分为100分，比选响应人得分最高者作为成交供应商，综合得分从高到底排名前1-3名的比选响应人作为成交候选人。</w:t>
      </w:r>
    </w:p>
    <w:tbl>
      <w:tblPr>
        <w:tblStyle w:val="17"/>
        <w:tblW w:w="9781"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1511"/>
        <w:gridCol w:w="992"/>
        <w:gridCol w:w="992"/>
        <w:gridCol w:w="5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88" w:lineRule="exact"/>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条款号</w:t>
            </w:r>
          </w:p>
        </w:tc>
        <w:tc>
          <w:tcPr>
            <w:tcW w:w="2503" w:type="dxa"/>
            <w:gridSpan w:val="2"/>
            <w:vAlign w:val="center"/>
          </w:tcPr>
          <w:p>
            <w:pPr>
              <w:tabs>
                <w:tab w:val="left" w:pos="1875"/>
              </w:tabs>
              <w:spacing w:line="388" w:lineRule="exact"/>
              <w:jc w:val="center"/>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条款内容</w:t>
            </w:r>
          </w:p>
        </w:tc>
        <w:tc>
          <w:tcPr>
            <w:tcW w:w="6143" w:type="dxa"/>
            <w:gridSpan w:val="2"/>
            <w:vAlign w:val="center"/>
          </w:tcPr>
          <w:p>
            <w:pPr>
              <w:tabs>
                <w:tab w:val="left" w:pos="1875"/>
              </w:tabs>
              <w:spacing w:line="388" w:lineRule="exact"/>
              <w:jc w:val="center"/>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60" w:lineRule="auto"/>
              <w:jc w:val="center"/>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p>
        </w:tc>
        <w:tc>
          <w:tcPr>
            <w:tcW w:w="2503" w:type="dxa"/>
            <w:gridSpan w:val="2"/>
            <w:tcBorders>
              <w:bottom w:val="single" w:color="auto" w:sz="4" w:space="0"/>
            </w:tcBorders>
            <w:vAlign w:val="center"/>
          </w:tcPr>
          <w:p>
            <w:pPr>
              <w:snapToGrid w:val="0"/>
              <w:jc w:val="center"/>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分值构成</w:t>
            </w:r>
          </w:p>
          <w:p>
            <w:pPr>
              <w:snapToGrid w:val="0"/>
              <w:jc w:val="center"/>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（总分100分）</w:t>
            </w:r>
          </w:p>
        </w:tc>
        <w:tc>
          <w:tcPr>
            <w:tcW w:w="6143" w:type="dxa"/>
            <w:gridSpan w:val="2"/>
            <w:tcBorders>
              <w:bottom w:val="single" w:color="auto" w:sz="4" w:space="0"/>
            </w:tcBorders>
            <w:vAlign w:val="center"/>
          </w:tcPr>
          <w:p>
            <w:pPr>
              <w:spacing w:line="400" w:lineRule="exact"/>
              <w:ind w:firstLine="240" w:firstLineChars="100"/>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总分=经济部分得分+商务部分得分+技术部分得分</w:t>
            </w:r>
          </w:p>
          <w:p>
            <w:pPr>
              <w:spacing w:line="400" w:lineRule="exact"/>
              <w:ind w:firstLine="240" w:firstLineChars="100"/>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 w:val="24"/>
                <w:highlight w:val="none"/>
              </w:rPr>
              <w:t>经济部分：60分；商务部分：</w:t>
            </w:r>
            <w:r>
              <w:rPr>
                <w:rFonts w:ascii="方正仿宋_GBK" w:hAnsi="方正仿宋_GBK" w:eastAsia="方正仿宋_GBK" w:cs="方正仿宋_GBK"/>
                <w:color w:val="auto"/>
                <w:sz w:val="24"/>
                <w:highlight w:val="none"/>
              </w:rPr>
              <w:t>20</w:t>
            </w:r>
            <w:r>
              <w:rPr>
                <w:rFonts w:hint="eastAsia" w:ascii="方正仿宋_GBK" w:hAnsi="方正仿宋_GBK" w:eastAsia="方正仿宋_GBK" w:cs="方正仿宋_GBK"/>
                <w:color w:val="auto"/>
                <w:sz w:val="24"/>
                <w:highlight w:val="none"/>
              </w:rPr>
              <w:t>；技术部分：2</w:t>
            </w:r>
            <w:r>
              <w:rPr>
                <w:rFonts w:ascii="方正仿宋_GBK" w:hAnsi="方正仿宋_GBK" w:eastAsia="方正仿宋_GBK" w:cs="方正仿宋_GBK"/>
                <w:color w:val="auto"/>
                <w:sz w:val="24"/>
                <w:highlight w:val="none"/>
              </w:rPr>
              <w:t>0</w:t>
            </w:r>
            <w:r>
              <w:rPr>
                <w:rFonts w:hint="eastAsia" w:ascii="方正仿宋_GBK" w:hAnsi="方正仿宋_GBK" w:eastAsia="方正仿宋_GBK" w:cs="方正仿宋_GBK"/>
                <w:color w:val="auto"/>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60" w:lineRule="exact"/>
              <w:jc w:val="center"/>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条款号</w:t>
            </w:r>
          </w:p>
        </w:tc>
        <w:tc>
          <w:tcPr>
            <w:tcW w:w="2503" w:type="dxa"/>
            <w:gridSpan w:val="2"/>
            <w:vAlign w:val="center"/>
          </w:tcPr>
          <w:p>
            <w:pPr>
              <w:spacing w:line="360" w:lineRule="exact"/>
              <w:jc w:val="center"/>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评审因素</w:t>
            </w:r>
          </w:p>
        </w:tc>
        <w:tc>
          <w:tcPr>
            <w:tcW w:w="992"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分值</w:t>
            </w:r>
          </w:p>
        </w:tc>
        <w:tc>
          <w:tcPr>
            <w:tcW w:w="5151" w:type="dxa"/>
            <w:tcBorders>
              <w:left w:val="single" w:color="auto" w:sz="4" w:space="0"/>
            </w:tcBorders>
            <w:shd w:val="clear" w:color="auto" w:fill="auto"/>
            <w:vAlign w:val="center"/>
          </w:tcPr>
          <w:p>
            <w:pPr>
              <w:snapToGrid w:val="0"/>
              <w:spacing w:line="360" w:lineRule="exact"/>
              <w:jc w:val="center"/>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2.1</w:t>
            </w:r>
          </w:p>
        </w:tc>
        <w:tc>
          <w:tcPr>
            <w:tcW w:w="2503" w:type="dxa"/>
            <w:gridSpan w:val="2"/>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经济部分评分标准</w:t>
            </w:r>
          </w:p>
        </w:tc>
        <w:tc>
          <w:tcPr>
            <w:tcW w:w="992"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60分</w:t>
            </w:r>
          </w:p>
        </w:tc>
        <w:tc>
          <w:tcPr>
            <w:tcW w:w="5151" w:type="dxa"/>
            <w:tcBorders>
              <w:left w:val="single" w:color="auto" w:sz="4" w:space="0"/>
            </w:tcBorders>
            <w:shd w:val="clear" w:color="auto" w:fill="auto"/>
            <w:vAlign w:val="center"/>
          </w:tcPr>
          <w:p>
            <w:pPr>
              <w:spacing w:line="360" w:lineRule="exact"/>
              <w:ind w:firstLine="480" w:firstLineChars="200"/>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Cs/>
                <w:color w:val="auto"/>
                <w:sz w:val="24"/>
                <w:highlight w:val="none"/>
              </w:rPr>
              <w:t>在比选人公布的最高限价以内的所有经初步评审合格的响应人的报价中去掉其中（有效报价不足六家（含）报价则不去掉）的最高价和最低价后进行算术平均，为比选评审基础报价。报价等于比选评审基础报价的，得60分；除60分情况以外的其他报价，按照以下标准计算分值：报价每高于比选评审基础报价的1%，扣1分；报价每低于比选评审基础报价的1%，扣</w:t>
            </w:r>
            <w:r>
              <w:rPr>
                <w:rFonts w:ascii="方正仿宋_GBK" w:hAnsi="方正仿宋_GBK" w:eastAsia="方正仿宋_GBK" w:cs="方正仿宋_GBK"/>
                <w:bCs/>
                <w:color w:val="auto"/>
                <w:sz w:val="24"/>
                <w:highlight w:val="none"/>
              </w:rPr>
              <w:t>0.5</w:t>
            </w:r>
            <w:r>
              <w:rPr>
                <w:rFonts w:hint="eastAsia" w:ascii="方正仿宋_GBK" w:hAnsi="方正仿宋_GBK" w:eastAsia="方正仿宋_GBK" w:cs="方正仿宋_GBK"/>
                <w:bCs/>
                <w:color w:val="auto"/>
                <w:sz w:val="24"/>
                <w:highlight w:val="none"/>
              </w:rPr>
              <w:t>分（不足1%，按1%处理）；以此类推直至扣完为止。（具体得分采用插入法计算，保留小数点后两位，第三位四舍五入。）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135" w:type="dxa"/>
            <w:vMerge w:val="restart"/>
            <w:vAlign w:val="center"/>
          </w:tcPr>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w:t>
            </w:r>
            <w:r>
              <w:rPr>
                <w:rFonts w:ascii="方正仿宋_GBK" w:hAnsi="方正仿宋_GBK" w:eastAsia="方正仿宋_GBK" w:cs="方正仿宋_GBK"/>
                <w:b/>
                <w:bCs/>
                <w:color w:val="auto"/>
                <w:sz w:val="28"/>
                <w:szCs w:val="28"/>
                <w:highlight w:val="none"/>
              </w:rPr>
              <w:t>.2</w:t>
            </w: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rPr>
                <w:rFonts w:ascii="方正仿宋_GBK" w:hAnsi="方正仿宋_GBK" w:eastAsia="方正仿宋_GBK" w:cs="方正仿宋_GBK"/>
                <w:b/>
                <w:bCs/>
                <w:color w:val="auto"/>
                <w:sz w:val="28"/>
                <w:szCs w:val="28"/>
                <w:highlight w:val="none"/>
              </w:rPr>
            </w:pPr>
          </w:p>
        </w:tc>
        <w:tc>
          <w:tcPr>
            <w:tcW w:w="1511" w:type="dxa"/>
            <w:vMerge w:val="restart"/>
            <w:tcBorders>
              <w:right w:val="single" w:color="auto" w:sz="4" w:space="0"/>
            </w:tcBorders>
            <w:vAlign w:val="center"/>
          </w:tcPr>
          <w:p>
            <w:pPr>
              <w:spacing w:line="400" w:lineRule="exact"/>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商务</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部分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评分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标准</w:t>
            </w:r>
          </w:p>
          <w:p>
            <w:pPr>
              <w:spacing w:line="400" w:lineRule="exact"/>
              <w:jc w:val="center"/>
              <w:rPr>
                <w:rFonts w:ascii="方正仿宋_GBK" w:hAnsi="方正仿宋_GBK" w:eastAsia="方正仿宋_GBK" w:cs="方正仿宋_GBK"/>
                <w:b/>
                <w:bCs/>
                <w:color w:val="auto"/>
                <w:sz w:val="28"/>
                <w:szCs w:val="28"/>
                <w:highlight w:val="none"/>
              </w:rPr>
            </w:pPr>
          </w:p>
        </w:tc>
        <w:tc>
          <w:tcPr>
            <w:tcW w:w="992" w:type="dxa"/>
            <w:tcBorders>
              <w:left w:val="single" w:color="auto" w:sz="4" w:space="0"/>
              <w:bottom w:val="single" w:color="auto" w:sz="4" w:space="0"/>
            </w:tcBorders>
            <w:vAlign w:val="center"/>
          </w:tcPr>
          <w:p>
            <w:pPr>
              <w:adjustRightInd w:val="0"/>
              <w:snapToGrid w:val="0"/>
              <w:spacing w:line="360" w:lineRule="exact"/>
              <w:rPr>
                <w:rFonts w:ascii="方正仿宋_GBK" w:hAnsi="方正仿宋_GBK" w:eastAsia="方正仿宋_GBK" w:cs="方正仿宋_GBK"/>
                <w:b/>
                <w:bCs/>
                <w:color w:val="auto"/>
                <w:sz w:val="28"/>
                <w:szCs w:val="28"/>
                <w:highlight w:val="none"/>
              </w:rPr>
            </w:pPr>
          </w:p>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类似业绩</w:t>
            </w: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rPr>
                <w:rFonts w:ascii="方正仿宋_GBK" w:hAnsi="方正仿宋_GBK" w:eastAsia="方正仿宋_GBK" w:cs="方正仿宋_GBK"/>
                <w:b/>
                <w:bCs/>
                <w:color w:val="auto"/>
                <w:sz w:val="28"/>
                <w:szCs w:val="28"/>
                <w:highlight w:val="none"/>
              </w:rPr>
            </w:pPr>
          </w:p>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1</w:t>
            </w:r>
            <w:r>
              <w:rPr>
                <w:rFonts w:ascii="方正仿宋_GBK" w:hAnsi="方正仿宋_GBK" w:eastAsia="方正仿宋_GBK" w:cs="方正仿宋_GBK"/>
                <w:b/>
                <w:bCs/>
                <w:color w:val="auto"/>
                <w:sz w:val="28"/>
                <w:szCs w:val="28"/>
                <w:highlight w:val="none"/>
              </w:rPr>
              <w:t>0</w:t>
            </w:r>
            <w:r>
              <w:rPr>
                <w:rFonts w:hint="eastAsia" w:ascii="方正仿宋_GBK" w:hAnsi="方正仿宋_GBK" w:eastAsia="方正仿宋_GBK" w:cs="方正仿宋_GBK"/>
                <w:b/>
                <w:bCs/>
                <w:color w:val="auto"/>
                <w:sz w:val="28"/>
                <w:szCs w:val="28"/>
                <w:highlight w:val="none"/>
              </w:rPr>
              <w:t>分</w:t>
            </w:r>
          </w:p>
        </w:tc>
        <w:tc>
          <w:tcPr>
            <w:tcW w:w="5151" w:type="dxa"/>
            <w:tcBorders>
              <w:left w:val="single" w:color="auto" w:sz="4" w:space="0"/>
              <w:bottom w:val="single" w:color="auto" w:sz="4" w:space="0"/>
            </w:tcBorders>
            <w:shd w:val="clear" w:color="auto" w:fill="auto"/>
            <w:vAlign w:val="center"/>
          </w:tcPr>
          <w:p>
            <w:p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2018年1月1日至今（项目时间以签订合同时</w:t>
            </w:r>
            <w:r>
              <w:rPr>
                <w:rFonts w:hint="eastAsia" w:ascii="方正仿宋_GBK" w:hAnsi="方正仿宋_GBK" w:eastAsia="方正仿宋_GBK" w:cs="方正仿宋_GBK"/>
                <w:bCs/>
                <w:color w:val="auto"/>
                <w:sz w:val="24"/>
                <w:highlight w:val="none"/>
                <w:shd w:val="clear"/>
              </w:rPr>
              <w:t>间为准），在满足资格审查要求的基础上，每增加1</w:t>
            </w:r>
            <w:r>
              <w:rPr>
                <w:rFonts w:hint="eastAsia" w:ascii="方正仿宋_GBK" w:hAnsi="方正仿宋_GBK" w:eastAsia="方正仿宋_GBK" w:cs="方正仿宋_GBK"/>
                <w:bCs/>
                <w:color w:val="auto"/>
                <w:sz w:val="24"/>
                <w:highlight w:val="none"/>
                <w:shd w:val="clear"/>
                <w:lang w:val="en-GB"/>
              </w:rPr>
              <w:t>个</w:t>
            </w:r>
            <w:r>
              <w:rPr>
                <w:rFonts w:hint="eastAsia" w:ascii="方正仿宋_GBK" w:hAnsi="方正仿宋_GBK" w:eastAsia="方正仿宋_GBK" w:cs="方正仿宋_GBK"/>
                <w:bCs/>
                <w:color w:val="auto"/>
                <w:sz w:val="24"/>
                <w:highlight w:val="none"/>
                <w:shd w:val="clear"/>
                <w:lang w:val="en-US" w:eastAsia="zh-CN"/>
              </w:rPr>
              <w:t>单项合同金额</w:t>
            </w:r>
            <w:r>
              <w:rPr>
                <w:rFonts w:hint="eastAsia" w:ascii="方正仿宋_GBK" w:hAnsi="方正仿宋_GBK" w:eastAsia="方正仿宋_GBK" w:cs="方正仿宋_GBK"/>
                <w:bCs/>
                <w:color w:val="auto"/>
                <w:sz w:val="24"/>
                <w:highlight w:val="none"/>
                <w:shd w:val="clear"/>
              </w:rPr>
              <w:t>100万</w:t>
            </w:r>
            <w:r>
              <w:rPr>
                <w:rFonts w:hint="eastAsia" w:ascii="方正仿宋_GBK" w:hAnsi="方正仿宋_GBK" w:eastAsia="方正仿宋_GBK" w:cs="方正仿宋_GBK"/>
                <w:bCs/>
                <w:color w:val="auto"/>
                <w:sz w:val="24"/>
                <w:highlight w:val="none"/>
                <w:shd w:val="clear"/>
                <w:lang w:val="en-US" w:eastAsia="zh-CN"/>
              </w:rPr>
              <w:t>元及</w:t>
            </w:r>
            <w:r>
              <w:rPr>
                <w:rFonts w:hint="eastAsia" w:ascii="方正仿宋_GBK" w:hAnsi="方正仿宋_GBK" w:eastAsia="方正仿宋_GBK" w:cs="方正仿宋_GBK"/>
                <w:bCs/>
                <w:color w:val="auto"/>
                <w:sz w:val="24"/>
                <w:highlight w:val="none"/>
                <w:shd w:val="clear"/>
              </w:rPr>
              <w:t>以上4A</w:t>
            </w:r>
            <w:r>
              <w:rPr>
                <w:rFonts w:hint="eastAsia" w:ascii="方正仿宋_GBK" w:hAnsi="方正仿宋_GBK" w:eastAsia="方正仿宋_GBK" w:cs="方正仿宋_GBK"/>
                <w:bCs/>
                <w:color w:val="auto"/>
                <w:sz w:val="24"/>
                <w:highlight w:val="none"/>
                <w:shd w:val="clear"/>
                <w:lang w:val="en-US" w:eastAsia="zh-CN"/>
              </w:rPr>
              <w:t>统一安全管理平台或</w:t>
            </w:r>
            <w:r>
              <w:rPr>
                <w:rFonts w:hint="eastAsia" w:ascii="方正仿宋_GBK" w:hAnsi="方正仿宋_GBK" w:eastAsia="方正仿宋_GBK" w:cs="方正仿宋_GBK"/>
                <w:bCs/>
                <w:color w:val="auto"/>
                <w:sz w:val="24"/>
                <w:highlight w:val="none"/>
                <w:shd w:val="clear"/>
                <w:lang w:eastAsia="zh-CN"/>
              </w:rPr>
              <w:t>类似账（帐）号管理平台</w:t>
            </w:r>
            <w:r>
              <w:rPr>
                <w:rFonts w:hint="eastAsia" w:ascii="方正仿宋_GBK" w:hAnsi="方正仿宋_GBK" w:eastAsia="方正仿宋_GBK" w:cs="方正仿宋_GBK"/>
                <w:bCs/>
                <w:color w:val="auto"/>
                <w:sz w:val="24"/>
                <w:highlight w:val="none"/>
                <w:shd w:val="clear"/>
                <w:lang w:val="en-US" w:eastAsia="zh-CN"/>
              </w:rPr>
              <w:t>相关项目</w:t>
            </w:r>
            <w:r>
              <w:rPr>
                <w:rFonts w:hint="eastAsia" w:ascii="方正仿宋_GBK" w:hAnsi="方正仿宋_GBK" w:eastAsia="方正仿宋_GBK" w:cs="方正仿宋_GBK"/>
                <w:bCs/>
                <w:color w:val="auto"/>
                <w:sz w:val="24"/>
                <w:highlight w:val="none"/>
                <w:shd w:val="clear"/>
              </w:rPr>
              <w:t>业绩得2分，本项最多得10分。业绩须提供合同复印件，并加盖鲜章</w:t>
            </w:r>
            <w:r>
              <w:rPr>
                <w:rFonts w:hint="eastAsia" w:ascii="方正仿宋_GBK" w:hAnsi="方正仿宋_GBK" w:eastAsia="方正仿宋_GBK" w:cs="方正仿宋_GBK"/>
                <w:bCs/>
                <w:color w:val="auto"/>
                <w:sz w:val="24"/>
                <w:highlight w:val="none"/>
                <w:shd w:val="clear"/>
                <w:lang w:val="en-US" w:eastAsia="zh-CN"/>
              </w:rPr>
              <w:t>，原件备查</w:t>
            </w:r>
            <w:r>
              <w:rPr>
                <w:rFonts w:hint="eastAsia" w:ascii="方正仿宋_GBK" w:hAnsi="方正仿宋_GBK" w:eastAsia="方正仿宋_GBK" w:cs="方正仿宋_GBK"/>
                <w:bCs/>
                <w:color w:val="auto"/>
                <w:sz w:val="24"/>
                <w:highlight w:val="none"/>
                <w:shd w:val="cle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Merge w:val="continue"/>
            <w:vAlign w:val="center"/>
          </w:tcPr>
          <w:p>
            <w:pPr>
              <w:spacing w:line="400" w:lineRule="exact"/>
              <w:rPr>
                <w:rFonts w:ascii="方正仿宋_GBK" w:hAnsi="方正仿宋_GBK" w:eastAsia="方正仿宋_GBK" w:cs="方正仿宋_GBK"/>
                <w:b/>
                <w:bCs/>
                <w:color w:val="auto"/>
                <w:sz w:val="28"/>
                <w:szCs w:val="28"/>
                <w:highlight w:val="none"/>
              </w:rPr>
            </w:pPr>
          </w:p>
        </w:tc>
        <w:tc>
          <w:tcPr>
            <w:tcW w:w="1511" w:type="dxa"/>
            <w:vMerge w:val="continue"/>
            <w:tcBorders>
              <w:right w:val="single" w:color="auto" w:sz="4" w:space="0"/>
            </w:tcBorders>
            <w:vAlign w:val="center"/>
          </w:tcPr>
          <w:p>
            <w:pPr>
              <w:spacing w:line="400" w:lineRule="exact"/>
              <w:jc w:val="center"/>
              <w:rPr>
                <w:rFonts w:ascii="方正仿宋_GBK" w:hAnsi="方正仿宋_GBK" w:eastAsia="方正仿宋_GBK" w:cs="方正仿宋_GBK"/>
                <w:b/>
                <w:bCs/>
                <w:color w:val="auto"/>
                <w:sz w:val="28"/>
                <w:szCs w:val="28"/>
                <w:highlight w:val="none"/>
              </w:rPr>
            </w:pPr>
          </w:p>
        </w:tc>
        <w:tc>
          <w:tcPr>
            <w:tcW w:w="992" w:type="dxa"/>
            <w:tcBorders>
              <w:left w:val="single" w:color="auto" w:sz="4" w:space="0"/>
              <w:bottom w:val="single" w:color="auto" w:sz="4" w:space="0"/>
            </w:tcBorders>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项目负责人业绩</w:t>
            </w: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ascii="方正仿宋_GBK" w:hAnsi="方正仿宋_GBK" w:eastAsia="方正仿宋_GBK" w:cs="方正仿宋_GBK"/>
                <w:b/>
                <w:bCs/>
                <w:color w:val="auto"/>
                <w:sz w:val="28"/>
                <w:szCs w:val="28"/>
                <w:highlight w:val="none"/>
              </w:rPr>
              <w:t>6</w:t>
            </w:r>
            <w:r>
              <w:rPr>
                <w:rFonts w:hint="eastAsia" w:ascii="方正仿宋_GBK" w:hAnsi="方正仿宋_GBK" w:eastAsia="方正仿宋_GBK" w:cs="方正仿宋_GBK"/>
                <w:b/>
                <w:bCs/>
                <w:color w:val="auto"/>
                <w:sz w:val="28"/>
                <w:szCs w:val="28"/>
                <w:highlight w:val="none"/>
              </w:rPr>
              <w:t>分</w:t>
            </w:r>
          </w:p>
        </w:tc>
        <w:tc>
          <w:tcPr>
            <w:tcW w:w="5151" w:type="dxa"/>
            <w:tcBorders>
              <w:left w:val="single" w:color="auto" w:sz="4" w:space="0"/>
              <w:bottom w:val="single" w:color="auto" w:sz="4" w:space="0"/>
            </w:tcBorders>
            <w:shd w:val="clear" w:color="auto" w:fill="auto"/>
            <w:vAlign w:val="center"/>
          </w:tcPr>
          <w:p>
            <w:pPr>
              <w:spacing w:line="360" w:lineRule="exact"/>
              <w:ind w:firstLine="480" w:firstLineChars="200"/>
              <w:rPr>
                <w:color w:val="auto"/>
                <w:highlight w:val="none"/>
              </w:rPr>
            </w:pPr>
            <w:r>
              <w:rPr>
                <w:rFonts w:hint="eastAsia" w:ascii="方正仿宋_GBK" w:hAnsi="方正仿宋_GBK" w:eastAsia="方正仿宋_GBK" w:cs="方正仿宋_GBK"/>
                <w:bCs/>
                <w:color w:val="auto"/>
                <w:sz w:val="24"/>
                <w:highlight w:val="none"/>
              </w:rPr>
              <w:t>201</w:t>
            </w:r>
            <w:r>
              <w:rPr>
                <w:rFonts w:ascii="方正仿宋_GBK" w:hAnsi="方正仿宋_GBK" w:eastAsia="方正仿宋_GBK" w:cs="方正仿宋_GBK"/>
                <w:bCs/>
                <w:color w:val="auto"/>
                <w:sz w:val="24"/>
                <w:highlight w:val="none"/>
              </w:rPr>
              <w:t>8</w:t>
            </w:r>
            <w:r>
              <w:rPr>
                <w:rFonts w:hint="eastAsia" w:ascii="方正仿宋_GBK" w:hAnsi="方正仿宋_GBK" w:eastAsia="方正仿宋_GBK" w:cs="方正仿宋_GBK"/>
                <w:bCs/>
                <w:color w:val="auto"/>
                <w:sz w:val="24"/>
                <w:highlight w:val="none"/>
              </w:rPr>
              <w:t>年1月1日至今（项目时间以签订合同时间为准），在满足资格审查要求的基础上，拟派项目负责人每增加1</w:t>
            </w:r>
            <w:r>
              <w:rPr>
                <w:rFonts w:hint="eastAsia" w:ascii="方正仿宋_GBK" w:hAnsi="方正仿宋_GBK" w:eastAsia="方正仿宋_GBK" w:cs="方正仿宋_GBK"/>
                <w:bCs/>
                <w:color w:val="auto"/>
                <w:sz w:val="24"/>
                <w:highlight w:val="none"/>
                <w:lang w:val="en-GB"/>
              </w:rPr>
              <w:t>个</w:t>
            </w:r>
            <w:r>
              <w:rPr>
                <w:rFonts w:hint="eastAsia" w:ascii="方正仿宋_GBK" w:hAnsi="方正仿宋_GBK" w:eastAsia="方正仿宋_GBK" w:cs="方正仿宋_GBK"/>
                <w:bCs/>
                <w:color w:val="auto"/>
                <w:sz w:val="24"/>
                <w:highlight w:val="none"/>
                <w:lang w:val="en-US" w:eastAsia="zh-CN"/>
              </w:rPr>
              <w:t>单项合同金额</w:t>
            </w:r>
            <w:r>
              <w:rPr>
                <w:rFonts w:hint="eastAsia" w:ascii="方正仿宋_GBK" w:hAnsi="方正仿宋_GBK" w:eastAsia="方正仿宋_GBK" w:cs="方正仿宋_GBK"/>
                <w:bCs/>
                <w:color w:val="auto"/>
                <w:sz w:val="24"/>
                <w:highlight w:val="none"/>
              </w:rPr>
              <w:t>100万</w:t>
            </w:r>
            <w:r>
              <w:rPr>
                <w:rFonts w:hint="eastAsia" w:ascii="方正仿宋_GBK" w:hAnsi="方正仿宋_GBK" w:eastAsia="方正仿宋_GBK" w:cs="方正仿宋_GBK"/>
                <w:bCs/>
                <w:color w:val="auto"/>
                <w:sz w:val="24"/>
                <w:highlight w:val="none"/>
                <w:lang w:val="en-US" w:eastAsia="zh-CN"/>
              </w:rPr>
              <w:t>元及</w:t>
            </w:r>
            <w:r>
              <w:rPr>
                <w:rFonts w:hint="eastAsia" w:ascii="方正仿宋_GBK" w:hAnsi="方正仿宋_GBK" w:eastAsia="方正仿宋_GBK" w:cs="方正仿宋_GBK"/>
                <w:bCs/>
                <w:color w:val="auto"/>
                <w:sz w:val="24"/>
                <w:highlight w:val="none"/>
              </w:rPr>
              <w:t>以上4A</w:t>
            </w:r>
            <w:r>
              <w:rPr>
                <w:rFonts w:hint="eastAsia" w:ascii="方正仿宋_GBK" w:hAnsi="方正仿宋_GBK" w:eastAsia="方正仿宋_GBK" w:cs="方正仿宋_GBK"/>
                <w:bCs/>
                <w:color w:val="auto"/>
                <w:sz w:val="24"/>
                <w:highlight w:val="none"/>
                <w:lang w:val="en-US" w:eastAsia="zh-CN"/>
              </w:rPr>
              <w:t>统一安全管理平台或</w:t>
            </w:r>
            <w:r>
              <w:rPr>
                <w:rFonts w:hint="eastAsia" w:ascii="方正仿宋_GBK" w:hAnsi="方正仿宋_GBK" w:eastAsia="方正仿宋_GBK" w:cs="方正仿宋_GBK"/>
                <w:bCs/>
                <w:color w:val="auto"/>
                <w:sz w:val="24"/>
                <w:highlight w:val="none"/>
                <w:lang w:eastAsia="zh-CN"/>
              </w:rPr>
              <w:t>类似账（帐）号管理平台</w:t>
            </w:r>
            <w:r>
              <w:rPr>
                <w:rFonts w:hint="eastAsia" w:ascii="方正仿宋_GBK" w:hAnsi="方正仿宋_GBK" w:eastAsia="方正仿宋_GBK" w:cs="方正仿宋_GBK"/>
                <w:bCs/>
                <w:color w:val="auto"/>
                <w:sz w:val="24"/>
                <w:highlight w:val="none"/>
                <w:lang w:val="en-US" w:eastAsia="zh-CN"/>
              </w:rPr>
              <w:t>相关项目</w:t>
            </w:r>
            <w:r>
              <w:rPr>
                <w:rFonts w:hint="eastAsia" w:ascii="方正仿宋_GBK" w:hAnsi="方正仿宋_GBK" w:eastAsia="方正仿宋_GBK" w:cs="方正仿宋_GBK"/>
                <w:bCs/>
                <w:color w:val="auto"/>
                <w:sz w:val="24"/>
                <w:highlight w:val="none"/>
              </w:rPr>
              <w:t>业绩得</w:t>
            </w:r>
            <w:r>
              <w:rPr>
                <w:rFonts w:ascii="方正仿宋_GBK" w:hAnsi="方正仿宋_GBK" w:eastAsia="方正仿宋_GBK" w:cs="方正仿宋_GBK"/>
                <w:bCs/>
                <w:color w:val="auto"/>
                <w:sz w:val="24"/>
                <w:highlight w:val="none"/>
              </w:rPr>
              <w:t>2</w:t>
            </w:r>
            <w:r>
              <w:rPr>
                <w:rFonts w:hint="eastAsia" w:ascii="方正仿宋_GBK" w:hAnsi="方正仿宋_GBK" w:eastAsia="方正仿宋_GBK" w:cs="方正仿宋_GBK"/>
                <w:bCs/>
                <w:color w:val="auto"/>
                <w:sz w:val="24"/>
                <w:highlight w:val="none"/>
              </w:rPr>
              <w:t>分，本项最多得</w:t>
            </w:r>
            <w:r>
              <w:rPr>
                <w:rFonts w:ascii="方正仿宋_GBK" w:hAnsi="方正仿宋_GBK" w:eastAsia="方正仿宋_GBK" w:cs="方正仿宋_GBK"/>
                <w:bCs/>
                <w:color w:val="auto"/>
                <w:sz w:val="24"/>
                <w:highlight w:val="none"/>
              </w:rPr>
              <w:t>6</w:t>
            </w:r>
            <w:r>
              <w:rPr>
                <w:rFonts w:hint="eastAsia" w:ascii="方正仿宋_GBK" w:hAnsi="方正仿宋_GBK" w:eastAsia="方正仿宋_GBK" w:cs="方正仿宋_GBK"/>
                <w:bCs/>
                <w:color w:val="auto"/>
                <w:sz w:val="24"/>
                <w:highlight w:val="none"/>
              </w:rPr>
              <w:t>分。业绩须提供合同复印件，并加盖鲜章。</w:t>
            </w:r>
            <w:r>
              <w:rPr>
                <w:rFonts w:ascii="方正仿宋_GBK" w:hAnsi="方正仿宋_GBK" w:eastAsia="方正仿宋_GBK" w:cs="方正仿宋_GBK"/>
                <w:bCs/>
                <w:color w:val="auto"/>
                <w:sz w:val="24"/>
                <w:highlight w:val="none"/>
              </w:rPr>
              <w:t>合同中未体现项目负责人</w:t>
            </w:r>
            <w:r>
              <w:rPr>
                <w:rFonts w:ascii="方正仿宋_GBK" w:hAnsi="方正仿宋_GBK" w:eastAsia="方正仿宋_GBK" w:cs="方正仿宋_GBK"/>
                <w:bCs/>
                <w:color w:val="auto"/>
                <w:sz w:val="24"/>
                <w:highlight w:val="none"/>
                <w:shd w:val="clear"/>
              </w:rPr>
              <w:t>姓名的，还须提供业主出具的证明资料复印件</w:t>
            </w:r>
            <w:r>
              <w:rPr>
                <w:rFonts w:hint="eastAsia" w:ascii="方正仿宋_GBK" w:hAnsi="方正仿宋_GBK" w:eastAsia="方正仿宋_GBK" w:cs="方正仿宋_GBK"/>
                <w:bCs/>
                <w:color w:val="auto"/>
                <w:sz w:val="24"/>
                <w:highlight w:val="none"/>
                <w:shd w:val="clear"/>
                <w:lang w:eastAsia="zh-CN"/>
              </w:rPr>
              <w:t>（</w:t>
            </w:r>
            <w:r>
              <w:rPr>
                <w:rFonts w:hint="eastAsia" w:ascii="方正仿宋_GBK" w:hAnsi="方正仿宋_GBK" w:eastAsia="方正仿宋_GBK" w:cs="方正仿宋_GBK"/>
                <w:bCs/>
                <w:color w:val="auto"/>
                <w:sz w:val="24"/>
                <w:highlight w:val="none"/>
                <w:shd w:val="clear"/>
                <w:lang w:val="en-US" w:eastAsia="zh-CN"/>
              </w:rPr>
              <w:t>原件备查</w:t>
            </w:r>
            <w:r>
              <w:rPr>
                <w:rFonts w:hint="eastAsia" w:ascii="方正仿宋_GBK" w:hAnsi="方正仿宋_GBK" w:eastAsia="方正仿宋_GBK" w:cs="方正仿宋_GBK"/>
                <w:bCs/>
                <w:color w:val="auto"/>
                <w:sz w:val="24"/>
                <w:highlight w:val="none"/>
                <w:shd w:val="clear"/>
                <w:lang w:eastAsia="zh-CN"/>
              </w:rPr>
              <w:t>）</w:t>
            </w:r>
            <w:r>
              <w:rPr>
                <w:rFonts w:hint="eastAsia" w:ascii="方正仿宋_GBK" w:hAnsi="方正仿宋_GBK" w:eastAsia="方正仿宋_GBK" w:cs="方正仿宋_GBK"/>
                <w:bCs/>
                <w:color w:val="auto"/>
                <w:sz w:val="24"/>
                <w:highlight w:val="none"/>
                <w:shd w:val="clear"/>
              </w:rPr>
              <w:t>，</w:t>
            </w:r>
            <w:r>
              <w:rPr>
                <w:rFonts w:hint="eastAsia" w:ascii="方正仿宋_GBK" w:hAnsi="方正仿宋_GBK" w:eastAsia="方正仿宋_GBK" w:cs="方正仿宋_GBK"/>
                <w:bCs/>
                <w:color w:val="auto"/>
                <w:sz w:val="24"/>
                <w:highlight w:val="none"/>
              </w:rPr>
              <w:t>以上文件均需要加盖鲜章。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Merge w:val="continue"/>
            <w:vAlign w:val="center"/>
          </w:tcPr>
          <w:p>
            <w:pPr>
              <w:spacing w:line="400" w:lineRule="exact"/>
              <w:rPr>
                <w:rFonts w:ascii="方正仿宋_GBK" w:hAnsi="方正仿宋_GBK" w:eastAsia="方正仿宋_GBK" w:cs="方正仿宋_GBK"/>
                <w:b/>
                <w:bCs/>
                <w:color w:val="auto"/>
                <w:sz w:val="28"/>
                <w:szCs w:val="28"/>
                <w:highlight w:val="none"/>
              </w:rPr>
            </w:pPr>
          </w:p>
        </w:tc>
        <w:tc>
          <w:tcPr>
            <w:tcW w:w="1511" w:type="dxa"/>
            <w:vMerge w:val="continue"/>
            <w:tcBorders>
              <w:right w:val="single" w:color="auto" w:sz="4" w:space="0"/>
            </w:tcBorders>
            <w:vAlign w:val="center"/>
          </w:tcPr>
          <w:p>
            <w:pPr>
              <w:spacing w:line="400" w:lineRule="exact"/>
              <w:jc w:val="center"/>
              <w:rPr>
                <w:rFonts w:ascii="方正仿宋_GBK" w:hAnsi="方正仿宋_GBK" w:eastAsia="方正仿宋_GBK" w:cs="方正仿宋_GBK"/>
                <w:b/>
                <w:bCs/>
                <w:color w:val="auto"/>
                <w:sz w:val="28"/>
                <w:szCs w:val="28"/>
                <w:highlight w:val="none"/>
              </w:rPr>
            </w:pPr>
          </w:p>
        </w:tc>
        <w:tc>
          <w:tcPr>
            <w:tcW w:w="992" w:type="dxa"/>
            <w:tcBorders>
              <w:left w:val="single" w:color="auto" w:sz="4" w:space="0"/>
              <w:bottom w:val="single" w:color="auto" w:sz="4" w:space="0"/>
            </w:tcBorders>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项目团队能力</w:t>
            </w: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ascii="方正仿宋_GBK" w:hAnsi="方正仿宋_GBK" w:eastAsia="方正仿宋_GBK" w:cs="方正仿宋_GBK"/>
                <w:b/>
                <w:bCs/>
                <w:color w:val="auto"/>
                <w:sz w:val="28"/>
                <w:szCs w:val="28"/>
                <w:highlight w:val="none"/>
              </w:rPr>
              <w:t>4</w:t>
            </w:r>
            <w:r>
              <w:rPr>
                <w:rFonts w:hint="eastAsia" w:ascii="方正仿宋_GBK" w:hAnsi="方正仿宋_GBK" w:eastAsia="方正仿宋_GBK" w:cs="方正仿宋_GBK"/>
                <w:b/>
                <w:bCs/>
                <w:color w:val="auto"/>
                <w:sz w:val="28"/>
                <w:szCs w:val="28"/>
                <w:highlight w:val="none"/>
              </w:rPr>
              <w:t>分</w:t>
            </w:r>
          </w:p>
        </w:tc>
        <w:tc>
          <w:tcPr>
            <w:tcW w:w="5151" w:type="dxa"/>
            <w:tcBorders>
              <w:left w:val="single" w:color="auto" w:sz="4" w:space="0"/>
              <w:bottom w:val="single" w:color="auto" w:sz="4" w:space="0"/>
            </w:tcBorders>
            <w:shd w:val="clear" w:color="auto" w:fill="auto"/>
            <w:vAlign w:val="center"/>
          </w:tcPr>
          <w:p>
            <w:pPr>
              <w:spacing w:line="360" w:lineRule="exact"/>
              <w:ind w:firstLine="480" w:firstLineChars="200"/>
              <w:rPr>
                <w:rFonts w:hint="eastAsia"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shd w:val="clear"/>
              </w:rPr>
              <w:t>拟投入本项目人员中</w:t>
            </w:r>
            <w:r>
              <w:rPr>
                <w:rFonts w:hint="eastAsia" w:ascii="方正仿宋_GBK" w:hAnsi="方正仿宋_GBK" w:eastAsia="方正仿宋_GBK" w:cs="方正仿宋_GBK"/>
                <w:bCs/>
                <w:color w:val="auto"/>
                <w:sz w:val="24"/>
                <w:highlight w:val="none"/>
                <w:shd w:val="clear"/>
                <w:lang w:eastAsia="zh-CN"/>
              </w:rPr>
              <w:t>，</w:t>
            </w:r>
            <w:r>
              <w:rPr>
                <w:rFonts w:hint="eastAsia" w:ascii="方正仿宋_GBK" w:hAnsi="方正仿宋_GBK" w:eastAsia="方正仿宋_GBK" w:cs="方正仿宋_GBK"/>
                <w:bCs/>
                <w:color w:val="auto"/>
                <w:sz w:val="24"/>
                <w:highlight w:val="none"/>
                <w:shd w:val="clear"/>
                <w:lang w:val="en-US" w:eastAsia="zh-CN"/>
              </w:rPr>
              <w:t>每</w:t>
            </w:r>
            <w:r>
              <w:rPr>
                <w:rFonts w:hint="eastAsia" w:ascii="方正仿宋_GBK" w:hAnsi="方正仿宋_GBK" w:eastAsia="方正仿宋_GBK" w:cs="方正仿宋_GBK"/>
                <w:bCs/>
                <w:color w:val="auto"/>
                <w:sz w:val="24"/>
                <w:highlight w:val="none"/>
                <w:shd w:val="clear"/>
              </w:rPr>
              <w:t>配备</w:t>
            </w:r>
            <w:r>
              <w:rPr>
                <w:rFonts w:hint="eastAsia" w:ascii="方正仿宋_GBK" w:hAnsi="方正仿宋_GBK" w:eastAsia="方正仿宋_GBK" w:cs="方正仿宋_GBK"/>
                <w:bCs/>
                <w:color w:val="auto"/>
                <w:sz w:val="24"/>
                <w:highlight w:val="none"/>
                <w:shd w:val="clear"/>
                <w:lang w:val="en-US" w:eastAsia="zh-CN"/>
              </w:rPr>
              <w:t>1名</w:t>
            </w:r>
            <w:r>
              <w:rPr>
                <w:rFonts w:hint="eastAsia" w:ascii="方正仿宋_GBK" w:hAnsi="方正仿宋_GBK" w:eastAsia="方正仿宋_GBK" w:cs="方正仿宋_GBK"/>
                <w:bCs/>
                <w:color w:val="auto"/>
                <w:sz w:val="24"/>
                <w:highlight w:val="none"/>
                <w:shd w:val="clear"/>
              </w:rPr>
              <w:t>取得IT网络安全或软件开发类资格人员</w:t>
            </w:r>
            <w:r>
              <w:rPr>
                <w:rFonts w:hint="eastAsia" w:ascii="方正仿宋_GBK" w:hAnsi="方正仿宋_GBK" w:eastAsia="方正仿宋_GBK" w:cs="方正仿宋_GBK"/>
                <w:bCs/>
                <w:color w:val="auto"/>
                <w:sz w:val="24"/>
                <w:highlight w:val="none"/>
                <w:shd w:val="clear"/>
                <w:lang w:val="en-US" w:eastAsia="zh-CN"/>
              </w:rPr>
              <w:t>得2分</w:t>
            </w:r>
            <w:r>
              <w:rPr>
                <w:rFonts w:hint="eastAsia" w:ascii="方正仿宋_GBK" w:hAnsi="方正仿宋_GBK" w:eastAsia="方正仿宋_GBK" w:cs="方正仿宋_GBK"/>
                <w:bCs/>
                <w:color w:val="auto"/>
                <w:sz w:val="24"/>
                <w:highlight w:val="none"/>
                <w:shd w:val="clear"/>
              </w:rPr>
              <w:t>，</w:t>
            </w:r>
            <w:r>
              <w:rPr>
                <w:rFonts w:hint="eastAsia" w:ascii="方正仿宋_GBK" w:hAnsi="方正仿宋_GBK" w:eastAsia="方正仿宋_GBK" w:cs="方正仿宋_GBK"/>
                <w:bCs/>
                <w:color w:val="auto"/>
                <w:sz w:val="24"/>
                <w:highlight w:val="none"/>
                <w:shd w:val="clear"/>
                <w:lang w:val="en-US" w:eastAsia="zh-CN"/>
              </w:rPr>
              <w:t>本项得分最多不超过4分，</w:t>
            </w:r>
            <w:r>
              <w:rPr>
                <w:rFonts w:hint="eastAsia" w:ascii="方正仿宋_GBK" w:hAnsi="方正仿宋_GBK" w:eastAsia="方正仿宋_GBK" w:cs="方正仿宋_GBK"/>
                <w:bCs/>
                <w:color w:val="auto"/>
                <w:sz w:val="24"/>
                <w:highlight w:val="none"/>
                <w:shd w:val="clear"/>
              </w:rPr>
              <w:t>证书包括人社部颁发的</w:t>
            </w:r>
            <w:r>
              <w:rPr>
                <w:rFonts w:hint="eastAsia" w:ascii="方正仿宋_GBK" w:hAnsi="方正仿宋_GBK" w:eastAsia="方正仿宋_GBK" w:cs="方正仿宋_GBK"/>
                <w:bCs/>
                <w:color w:val="auto"/>
                <w:sz w:val="24"/>
                <w:highlight w:val="none"/>
                <w:shd w:val="clear"/>
                <w:lang w:val="en-US" w:eastAsia="zh-CN"/>
              </w:rPr>
              <w:t>信息系统项目管理师证书</w:t>
            </w:r>
            <w:r>
              <w:rPr>
                <w:rFonts w:hint="eastAsia" w:ascii="方正仿宋_GBK" w:hAnsi="方正仿宋_GBK" w:eastAsia="方正仿宋_GBK" w:cs="方正仿宋_GBK"/>
                <w:bCs/>
                <w:color w:val="auto"/>
                <w:sz w:val="24"/>
                <w:highlight w:val="none"/>
                <w:shd w:val="clear"/>
              </w:rPr>
              <w:t>或国家测</w:t>
            </w:r>
            <w:r>
              <w:rPr>
                <w:rFonts w:hint="eastAsia" w:ascii="方正仿宋_GBK" w:hAnsi="方正仿宋_GBK" w:eastAsia="方正仿宋_GBK" w:cs="方正仿宋_GBK"/>
                <w:bCs/>
                <w:color w:val="auto"/>
                <w:sz w:val="24"/>
                <w:highlight w:val="none"/>
              </w:rPr>
              <w:t>评中心颁发的CISP</w:t>
            </w:r>
            <w:r>
              <w:rPr>
                <w:rFonts w:hint="eastAsia" w:ascii="方正仿宋_GBK" w:hAnsi="方正仿宋_GBK" w:eastAsia="方正仿宋_GBK" w:cs="方正仿宋_GBK"/>
                <w:bCs/>
                <w:color w:val="auto"/>
                <w:sz w:val="24"/>
                <w:highlight w:val="none"/>
                <w:lang w:val="en-US" w:eastAsia="zh-CN"/>
              </w:rPr>
              <w:t>证书</w:t>
            </w:r>
            <w:r>
              <w:rPr>
                <w:rFonts w:hint="eastAsia" w:ascii="方正仿宋_GBK" w:hAnsi="方正仿宋_GBK" w:eastAsia="方正仿宋_GBK" w:cs="方正仿宋_GBK"/>
                <w:bCs/>
                <w:color w:val="auto"/>
                <w:sz w:val="24"/>
                <w:highlight w:val="none"/>
              </w:rPr>
              <w:t>。</w:t>
            </w:r>
          </w:p>
          <w:p>
            <w:pPr>
              <w:spacing w:line="360" w:lineRule="exact"/>
              <w:ind w:firstLine="480" w:firstLineChars="200"/>
              <w:rPr>
                <w:color w:val="auto"/>
                <w:highlight w:val="none"/>
              </w:rPr>
            </w:pPr>
            <w:r>
              <w:rPr>
                <w:rFonts w:hint="eastAsia" w:ascii="方正仿宋_GBK" w:hAnsi="方正仿宋_GBK" w:eastAsia="方正仿宋_GBK" w:cs="方正仿宋_GBK"/>
                <w:bCs/>
                <w:color w:val="auto"/>
                <w:sz w:val="24"/>
                <w:highlight w:val="none"/>
              </w:rPr>
              <w:t>（提供资格证件复印件和投标人为其缴纳的2021年1月至2021年6月的养老保险证明复印件）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2.3</w:t>
            </w:r>
          </w:p>
        </w:tc>
        <w:tc>
          <w:tcPr>
            <w:tcW w:w="1511" w:type="dxa"/>
            <w:tcBorders>
              <w:right w:val="single" w:color="auto" w:sz="4" w:space="0"/>
            </w:tcBorders>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技术</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部分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评分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标准</w:t>
            </w:r>
          </w:p>
        </w:tc>
        <w:tc>
          <w:tcPr>
            <w:tcW w:w="992" w:type="dxa"/>
            <w:tcBorders>
              <w:left w:val="single" w:color="auto" w:sz="4" w:space="0"/>
              <w:bottom w:val="single" w:color="auto" w:sz="4" w:space="0"/>
            </w:tcBorders>
            <w:vAlign w:val="center"/>
          </w:tcPr>
          <w:p>
            <w:pPr>
              <w:adjustRightInd w:val="0"/>
              <w:snapToGrid w:val="0"/>
              <w:spacing w:line="360" w:lineRule="exact"/>
              <w:jc w:val="center"/>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硬件及</w:t>
            </w:r>
            <w:r>
              <w:rPr>
                <w:rFonts w:hint="eastAsia" w:ascii="宋体" w:hAnsi="宋体" w:cs="宋体"/>
                <w:b/>
                <w:bCs/>
                <w:color w:val="auto"/>
                <w:sz w:val="28"/>
                <w:szCs w:val="28"/>
                <w:highlight w:val="none"/>
              </w:rPr>
              <w:t>软件开发服务要求</w:t>
            </w:r>
          </w:p>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w:t>
            </w:r>
            <w:r>
              <w:rPr>
                <w:rFonts w:ascii="方正仿宋_GBK" w:hAnsi="方正仿宋_GBK" w:eastAsia="方正仿宋_GBK" w:cs="方正仿宋_GBK"/>
                <w:b/>
                <w:bCs/>
                <w:color w:val="auto"/>
                <w:sz w:val="28"/>
                <w:szCs w:val="28"/>
                <w:highlight w:val="none"/>
              </w:rPr>
              <w:t>0</w:t>
            </w:r>
          </w:p>
        </w:tc>
        <w:tc>
          <w:tcPr>
            <w:tcW w:w="5151" w:type="dxa"/>
            <w:tcBorders>
              <w:left w:val="single" w:color="auto" w:sz="4" w:space="0"/>
              <w:bottom w:val="single" w:color="auto" w:sz="4" w:space="0"/>
            </w:tcBorders>
            <w:shd w:val="clear" w:color="auto" w:fill="auto"/>
            <w:vAlign w:val="center"/>
          </w:tcPr>
          <w:p>
            <w:pPr>
              <w:numPr>
                <w:ilvl w:val="0"/>
                <w:numId w:val="1"/>
              </w:num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技术方案（1</w:t>
            </w:r>
            <w:r>
              <w:rPr>
                <w:rFonts w:ascii="方正仿宋_GBK" w:hAnsi="方正仿宋_GBK" w:eastAsia="方正仿宋_GBK" w:cs="方正仿宋_GBK"/>
                <w:bCs/>
                <w:color w:val="auto"/>
                <w:sz w:val="24"/>
                <w:highlight w:val="none"/>
              </w:rPr>
              <w:t>2</w:t>
            </w:r>
            <w:r>
              <w:rPr>
                <w:rFonts w:hint="eastAsia" w:ascii="方正仿宋_GBK" w:hAnsi="方正仿宋_GBK" w:eastAsia="方正仿宋_GBK" w:cs="方正仿宋_GBK"/>
                <w:bCs/>
                <w:color w:val="auto"/>
                <w:sz w:val="24"/>
                <w:highlight w:val="none"/>
              </w:rPr>
              <w:t>分）：</w:t>
            </w:r>
          </w:p>
          <w:p>
            <w:pPr>
              <w:shd w:val="clea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①文本形式。文本方案结构清晰、内容完整、表述准确、归纳凝练，较好的得</w:t>
            </w:r>
            <w:r>
              <w:rPr>
                <w:rFonts w:hint="eastAsia" w:ascii="方正仿宋_GBK" w:hAnsi="方正仿宋_GBK" w:eastAsia="方正仿宋_GBK" w:cs="方正仿宋_GBK"/>
                <w:bCs/>
                <w:color w:val="auto"/>
                <w:sz w:val="24"/>
                <w:highlight w:val="none"/>
                <w:lang w:val="en-US" w:eastAsia="zh-CN"/>
              </w:rPr>
              <w:t>1</w:t>
            </w:r>
            <w:r>
              <w:rPr>
                <w:rFonts w:hint="eastAsia" w:ascii="方正仿宋_GBK" w:hAnsi="方正仿宋_GBK" w:eastAsia="方正仿宋_GBK" w:cs="方正仿宋_GBK"/>
                <w:bCs/>
                <w:color w:val="auto"/>
                <w:sz w:val="24"/>
                <w:highlight w:val="none"/>
              </w:rPr>
              <w:t>-</w:t>
            </w:r>
            <w:r>
              <w:rPr>
                <w:rFonts w:hint="eastAsia" w:ascii="方正仿宋_GBK" w:hAnsi="方正仿宋_GBK" w:eastAsia="方正仿宋_GBK" w:cs="方正仿宋_GBK"/>
                <w:bCs/>
                <w:color w:val="auto"/>
                <w:sz w:val="24"/>
                <w:highlight w:val="none"/>
                <w:lang w:val="en-US" w:eastAsia="zh-CN"/>
              </w:rPr>
              <w:t>2</w:t>
            </w:r>
            <w:r>
              <w:rPr>
                <w:rFonts w:hint="eastAsia" w:ascii="方正仿宋_GBK" w:hAnsi="方正仿宋_GBK" w:eastAsia="方正仿宋_GBK" w:cs="方正仿宋_GBK"/>
                <w:bCs/>
                <w:color w:val="auto"/>
                <w:sz w:val="24"/>
                <w:highlight w:val="none"/>
              </w:rPr>
              <w:t>分，合格得0-</w:t>
            </w:r>
            <w:r>
              <w:rPr>
                <w:rFonts w:hint="eastAsia" w:ascii="方正仿宋_GBK" w:hAnsi="方正仿宋_GBK" w:eastAsia="方正仿宋_GBK" w:cs="方正仿宋_GBK"/>
                <w:bCs/>
                <w:color w:val="auto"/>
                <w:sz w:val="24"/>
                <w:highlight w:val="none"/>
                <w:lang w:val="en-US" w:eastAsia="zh-CN"/>
              </w:rPr>
              <w:t>1</w:t>
            </w:r>
            <w:r>
              <w:rPr>
                <w:rFonts w:hint="eastAsia" w:ascii="方正仿宋_GBK" w:hAnsi="方正仿宋_GBK" w:eastAsia="方正仿宋_GBK" w:cs="方正仿宋_GBK"/>
                <w:bCs/>
                <w:color w:val="auto"/>
                <w:sz w:val="24"/>
                <w:highlight w:val="none"/>
              </w:rPr>
              <w:t>分，较差得0分；</w:t>
            </w:r>
          </w:p>
          <w:p>
            <w:pPr>
              <w:shd w:val="clea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②文本内容。</w:t>
            </w:r>
            <w:r>
              <w:rPr>
                <w:rFonts w:hint="eastAsia" w:ascii="方正仿宋_GBK" w:hAnsi="方正仿宋_GBK" w:eastAsia="方正仿宋_GBK" w:cs="方正仿宋_GBK"/>
                <w:bCs/>
                <w:color w:val="auto"/>
                <w:sz w:val="24"/>
                <w:highlight w:val="none"/>
                <w:shd w:val="clear"/>
                <w:lang w:val="en-US" w:eastAsia="zh-CN"/>
              </w:rPr>
              <w:t>根据附件5《</w:t>
            </w:r>
            <w:r>
              <w:rPr>
                <w:rFonts w:hint="eastAsia" w:ascii="方正仿宋_GBK" w:hAnsi="方正仿宋_GBK" w:eastAsia="方正仿宋_GBK" w:cs="方正仿宋_GBK"/>
                <w:bCs/>
                <w:color w:val="auto"/>
                <w:sz w:val="24"/>
                <w:highlight w:val="none"/>
                <w:shd w:val="clear"/>
              </w:rPr>
              <w:t>重庆机场</w:t>
            </w:r>
            <w:r>
              <w:rPr>
                <w:rFonts w:hint="eastAsia" w:ascii="方正仿宋_GBK" w:hAnsi="方正仿宋_GBK" w:eastAsia="方正仿宋_GBK" w:cs="方正仿宋_GBK"/>
                <w:bCs/>
                <w:color w:val="auto"/>
                <w:sz w:val="24"/>
                <w:highlight w:val="none"/>
                <w:shd w:val="clear"/>
                <w:lang w:val="en-US" w:eastAsia="zh-CN"/>
              </w:rPr>
              <w:t>4A统一安全管理</w:t>
            </w:r>
            <w:r>
              <w:rPr>
                <w:rFonts w:hint="eastAsia" w:ascii="方正仿宋_GBK" w:hAnsi="方正仿宋_GBK" w:eastAsia="方正仿宋_GBK" w:cs="方正仿宋_GBK"/>
                <w:bCs/>
                <w:color w:val="auto"/>
                <w:sz w:val="24"/>
                <w:highlight w:val="none"/>
                <w:shd w:val="clear"/>
              </w:rPr>
              <w:t>平台升级</w:t>
            </w:r>
            <w:r>
              <w:rPr>
                <w:rFonts w:hint="eastAsia" w:ascii="方正仿宋_GBK" w:hAnsi="方正仿宋_GBK" w:eastAsia="方正仿宋_GBK" w:cs="方正仿宋_GBK"/>
                <w:bCs/>
                <w:color w:val="auto"/>
                <w:sz w:val="24"/>
                <w:highlight w:val="none"/>
                <w:shd w:val="clear"/>
                <w:lang w:val="en-US" w:eastAsia="zh-CN"/>
              </w:rPr>
              <w:t>扩容</w:t>
            </w:r>
            <w:r>
              <w:rPr>
                <w:rFonts w:hint="eastAsia" w:ascii="方正仿宋_GBK" w:hAnsi="方正仿宋_GBK" w:eastAsia="方正仿宋_GBK" w:cs="方正仿宋_GBK"/>
                <w:bCs/>
                <w:color w:val="auto"/>
                <w:sz w:val="24"/>
                <w:highlight w:val="none"/>
                <w:shd w:val="clear"/>
              </w:rPr>
              <w:t>项目建设要求</w:t>
            </w:r>
            <w:r>
              <w:rPr>
                <w:rFonts w:hint="eastAsia" w:ascii="方正仿宋_GBK" w:hAnsi="方正仿宋_GBK" w:eastAsia="方正仿宋_GBK" w:cs="方正仿宋_GBK"/>
                <w:bCs/>
                <w:color w:val="auto"/>
                <w:sz w:val="24"/>
                <w:highlight w:val="none"/>
                <w:shd w:val="clear"/>
                <w:lang w:val="en-US" w:eastAsia="zh-CN"/>
              </w:rPr>
              <w:t>》，</w:t>
            </w:r>
            <w:r>
              <w:rPr>
                <w:rFonts w:hint="eastAsia" w:ascii="方正仿宋_GBK" w:hAnsi="方正仿宋_GBK" w:eastAsia="方正仿宋_GBK" w:cs="方正仿宋_GBK"/>
                <w:bCs/>
                <w:color w:val="auto"/>
                <w:sz w:val="24"/>
                <w:highlight w:val="none"/>
              </w:rPr>
              <w:t>技术要求出现偏离的，每出现一条负偏离扣1分，直到</w:t>
            </w:r>
            <w:r>
              <w:rPr>
                <w:rFonts w:hint="eastAsia" w:ascii="方正仿宋_GBK" w:hAnsi="方正仿宋_GBK" w:eastAsia="方正仿宋_GBK" w:cs="方正仿宋_GBK"/>
                <w:bCs/>
                <w:color w:val="auto"/>
                <w:sz w:val="24"/>
                <w:highlight w:val="none"/>
                <w:lang w:val="en-US" w:eastAsia="zh-CN"/>
              </w:rPr>
              <w:t>10</w:t>
            </w:r>
            <w:r>
              <w:rPr>
                <w:rFonts w:hint="eastAsia" w:ascii="方正仿宋_GBK" w:hAnsi="方正仿宋_GBK" w:eastAsia="方正仿宋_GBK" w:cs="方正仿宋_GBK"/>
                <w:bCs/>
                <w:color w:val="auto"/>
                <w:sz w:val="24"/>
                <w:highlight w:val="none"/>
              </w:rPr>
              <w:t>分扣完为止；全部正偏离得</w:t>
            </w:r>
            <w:r>
              <w:rPr>
                <w:rFonts w:hint="eastAsia" w:ascii="方正仿宋_GBK" w:hAnsi="方正仿宋_GBK" w:eastAsia="方正仿宋_GBK" w:cs="方正仿宋_GBK"/>
                <w:bCs/>
                <w:color w:val="auto"/>
                <w:sz w:val="24"/>
                <w:highlight w:val="none"/>
                <w:lang w:val="en-US" w:eastAsia="zh-CN"/>
              </w:rPr>
              <w:t>10</w:t>
            </w:r>
            <w:r>
              <w:rPr>
                <w:rFonts w:hint="eastAsia" w:ascii="方正仿宋_GBK" w:hAnsi="方正仿宋_GBK" w:eastAsia="方正仿宋_GBK" w:cs="方正仿宋_GBK"/>
                <w:bCs/>
                <w:color w:val="auto"/>
                <w:sz w:val="24"/>
                <w:highlight w:val="none"/>
              </w:rPr>
              <w:t>分；负偏离标准为功能、性能、接口、容量等技术指标不满足或部分满足。</w:t>
            </w:r>
          </w:p>
          <w:p>
            <w:pPr>
              <w:numPr>
                <w:ilvl w:val="0"/>
                <w:numId w:val="2"/>
              </w:num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质量控制（4分）：</w:t>
            </w:r>
          </w:p>
          <w:p>
            <w:p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项目实施阶段划分及进度安排合理，阶段任务明确、时间节点清晰，有较强的业务水准与团队协作能力，较好的得2-4分，合格得0-2分，较差得0分。</w:t>
            </w:r>
          </w:p>
          <w:p>
            <w:pPr>
              <w:numPr>
                <w:ilvl w:val="0"/>
                <w:numId w:val="2"/>
              </w:num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后续支持（4分）：</w:t>
            </w:r>
          </w:p>
          <w:p>
            <w:p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后续支持服务承诺完善、措施具体可行，评委根据综合服务范围、服务方式，较好的得2-</w:t>
            </w:r>
            <w:r>
              <w:rPr>
                <w:rFonts w:ascii="方正仿宋_GBK" w:hAnsi="方正仿宋_GBK" w:eastAsia="方正仿宋_GBK" w:cs="方正仿宋_GBK"/>
                <w:bCs/>
                <w:color w:val="auto"/>
                <w:sz w:val="24"/>
                <w:highlight w:val="none"/>
              </w:rPr>
              <w:t>4</w:t>
            </w:r>
            <w:r>
              <w:rPr>
                <w:rFonts w:hint="eastAsia" w:ascii="方正仿宋_GBK" w:hAnsi="方正仿宋_GBK" w:eastAsia="方正仿宋_GBK" w:cs="方正仿宋_GBK"/>
                <w:bCs/>
                <w:color w:val="auto"/>
                <w:sz w:val="24"/>
                <w:highlight w:val="none"/>
              </w:rPr>
              <w:t>分，合格得0-2分，较差得0分。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shd w:val="clear" w:color="auto" w:fill="auto"/>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 xml:space="preserve">      3</w:t>
            </w:r>
          </w:p>
        </w:tc>
        <w:tc>
          <w:tcPr>
            <w:tcW w:w="1511" w:type="dxa"/>
            <w:tcBorders>
              <w:right w:val="single" w:color="auto" w:sz="4" w:space="0"/>
            </w:tcBorders>
            <w:shd w:val="clear" w:color="auto" w:fill="auto"/>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评审</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程序</w:t>
            </w:r>
          </w:p>
        </w:tc>
        <w:tc>
          <w:tcPr>
            <w:tcW w:w="7135" w:type="dxa"/>
            <w:gridSpan w:val="3"/>
            <w:tcBorders>
              <w:bottom w:val="single" w:color="auto" w:sz="4" w:space="0"/>
            </w:tcBorders>
            <w:vAlign w:val="center"/>
          </w:tcPr>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1.评分分值计算保留小数点后两位，第三位四舍五入。比选响应人最终得分=技术部分得分+商务部分得分+经济部分得分。</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2. 按照比选文件的规定对所有比选响应文件进行初步评审，只有通过初步评审的比选响应文件才能进行后续评审。</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3.详细评审，按第一章的规定对响应报价有算术性错误的进行算术性错误修正，并按修正后的经济部分报价进行后续评审。</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4.按本章比选评分办法进行评审，综合得分由高至低的前1至3名的比选响应人为成交候选人，按程序报采购领导小组审定，采购领导小组按规定确定成交人。采购人对成交结果不作解释。</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5.如经过对所有比选响应人的比选响应文件进行评审，有效比选响应不足三个使得比选明显缺乏竞争的，评审委员会可以否决全部比选响应人。</w:t>
            </w:r>
          </w:p>
        </w:tc>
      </w:tr>
    </w:tbl>
    <w:p>
      <w:pPr>
        <w:rPr>
          <w:rFonts w:ascii="宋体" w:hAnsi="宋体" w:cs="宋体"/>
          <w:b/>
          <w:color w:val="auto"/>
          <w:spacing w:val="1"/>
          <w:w w:val="99"/>
          <w:kern w:val="0"/>
          <w:sz w:val="36"/>
          <w:szCs w:val="36"/>
          <w:highlight w:val="none"/>
          <w:shd w:val="clear" w:color="auto" w:fill="FFFFFF"/>
        </w:rPr>
      </w:pPr>
      <w:r>
        <w:rPr>
          <w:rFonts w:hint="eastAsia" w:ascii="宋体" w:hAnsi="宋体" w:cs="宋体"/>
          <w:b/>
          <w:color w:val="auto"/>
          <w:spacing w:val="1"/>
          <w:w w:val="99"/>
          <w:kern w:val="0"/>
          <w:sz w:val="36"/>
          <w:szCs w:val="36"/>
          <w:highlight w:val="none"/>
          <w:shd w:val="clear" w:color="auto" w:fill="FFFFFF"/>
        </w:rPr>
        <w:br w:type="page"/>
      </w:r>
    </w:p>
    <w:p>
      <w:pPr>
        <w:spacing w:line="600" w:lineRule="exact"/>
        <w:jc w:val="center"/>
        <w:outlineLvl w:val="0"/>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第三章  合同条款及格式</w:t>
      </w:r>
    </w:p>
    <w:p>
      <w:pPr>
        <w:ind w:firstLine="560" w:firstLineChars="200"/>
        <w:rPr>
          <w:rFonts w:ascii="方正仿宋_GBK" w:hAnsi="方正仿宋_GBK" w:eastAsia="方正仿宋_GBK" w:cs="方正仿宋_GBK"/>
          <w:color w:val="auto"/>
          <w:sz w:val="28"/>
          <w:szCs w:val="28"/>
          <w:highlight w:val="none"/>
        </w:rPr>
      </w:pPr>
    </w:p>
    <w:p>
      <w:pPr>
        <w:spacing w:afterLines="50"/>
        <w:ind w:right="964" w:firstLine="480" w:firstLineChars="200"/>
        <w:jc w:val="right"/>
        <w:outlineLvl w:val="1"/>
        <w:rPr>
          <w:rFonts w:ascii="黑体" w:hAnsi="黑体" w:eastAsia="黑体"/>
          <w:color w:val="auto"/>
          <w:sz w:val="24"/>
          <w:highlight w:val="none"/>
        </w:rPr>
      </w:pPr>
      <w:r>
        <w:rPr>
          <w:rFonts w:hint="eastAsia" w:ascii="黑体" w:hAnsi="黑体" w:eastAsia="黑体"/>
          <w:color w:val="auto"/>
          <w:sz w:val="24"/>
          <w:highlight w:val="none"/>
        </w:rPr>
        <w:t>合同编号：CQA</w:t>
      </w:r>
    </w:p>
    <w:p>
      <w:pPr>
        <w:spacing w:afterLines="50"/>
        <w:ind w:firstLine="422" w:firstLineChars="200"/>
        <w:jc w:val="center"/>
        <w:rPr>
          <w:rFonts w:hint="eastAsia" w:ascii="仿宋" w:hAnsi="仿宋" w:eastAsia="仿宋" w:cs="Times New Roman"/>
          <w:b/>
          <w:color w:val="auto"/>
          <w:sz w:val="21"/>
          <w:highlight w:val="none"/>
        </w:rPr>
      </w:pPr>
    </w:p>
    <w:p>
      <w:pPr>
        <w:snapToGrid w:val="0"/>
        <w:spacing w:line="360" w:lineRule="auto"/>
        <w:jc w:val="center"/>
        <w:rPr>
          <w:rFonts w:hint="eastAsia" w:cs="Calibri"/>
          <w:b/>
          <w:color w:val="auto"/>
          <w:sz w:val="32"/>
          <w:szCs w:val="32"/>
          <w:highlight w:val="none"/>
        </w:rPr>
      </w:pPr>
    </w:p>
    <w:p>
      <w:pPr>
        <w:snapToGrid w:val="0"/>
        <w:spacing w:line="360" w:lineRule="auto"/>
        <w:jc w:val="center"/>
        <w:rPr>
          <w:rFonts w:hint="eastAsia" w:cs="Calibri"/>
          <w:b/>
          <w:color w:val="auto"/>
          <w:sz w:val="32"/>
          <w:szCs w:val="32"/>
          <w:highlight w:val="none"/>
        </w:rPr>
      </w:pPr>
      <w:r>
        <w:rPr>
          <w:rFonts w:hint="eastAsia" w:asciiTheme="minorHAnsi" w:hAnsiTheme="minorHAnsi" w:eastAsiaTheme="minorEastAsia" w:cstheme="minorBidi"/>
          <w:color w:val="auto"/>
          <w:sz w:val="21"/>
          <w:szCs w:val="24"/>
          <w:highlight w:val="none"/>
        </w:rPr>
        <mc:AlternateContent>
          <mc:Choice Requires="wps">
            <w:drawing>
              <wp:anchor distT="0" distB="0" distL="114300" distR="114300" simplePos="0" relativeHeight="251659264" behindDoc="0" locked="0" layoutInCell="1" allowOverlap="1">
                <wp:simplePos x="0" y="0"/>
                <wp:positionH relativeFrom="column">
                  <wp:posOffset>968375</wp:posOffset>
                </wp:positionH>
                <wp:positionV relativeFrom="paragraph">
                  <wp:posOffset>360045</wp:posOffset>
                </wp:positionV>
                <wp:extent cx="3683635" cy="0"/>
                <wp:effectExtent l="0" t="9525" r="12065" b="15875"/>
                <wp:wrapNone/>
                <wp:docPr id="1"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59264;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RZhz42w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v3vUdQAAAAJAQAADwAAAAAAAAAB&#10;ACAAAAAiAAAAZHJzL2Rvd25yZXYueG1sUEsBAhQAFAAAAAgAh07iQNFmHPjbAQAAlgMAAA4AAAAA&#10;AAAAAQAgAAAAIwEAAGRycy9lMm9Eb2MueG1sUEsFBgAAAAAGAAYAWQEAAHAFAAAAAA==&#10;">
                <v:fill on="f" focussize="0,0"/>
                <v:stroke weight="1.5pt" color="#000000" joinstyle="round"/>
                <v:imagedata o:title=""/>
                <o:lock v:ext="edit" aspectratio="f"/>
              </v:shape>
            </w:pict>
          </mc:Fallback>
        </mc:AlternateContent>
      </w:r>
    </w:p>
    <w:p>
      <w:pPr>
        <w:snapToGrid w:val="0"/>
        <w:spacing w:line="360" w:lineRule="auto"/>
        <w:rPr>
          <w:rFonts w:hint="eastAsia" w:cs="Times New Roman" w:eastAsiaTheme="minorEastAsia"/>
          <w:b/>
          <w:color w:val="auto"/>
          <w:sz w:val="32"/>
          <w:szCs w:val="32"/>
          <w:highlight w:val="none"/>
        </w:rPr>
      </w:pPr>
      <w:r>
        <w:rPr>
          <w:rFonts w:hint="eastAsia"/>
          <w:b/>
          <w:color w:val="auto"/>
          <w:sz w:val="32"/>
          <w:szCs w:val="32"/>
          <w:highlight w:val="none"/>
        </w:rPr>
        <w:t xml:space="preserve">                  </w:t>
      </w:r>
    </w:p>
    <w:p>
      <w:pPr>
        <w:snapToGrid w:val="0"/>
        <w:spacing w:line="360" w:lineRule="auto"/>
        <w:ind w:firstLine="2600" w:firstLineChars="500"/>
        <w:outlineLvl w:val="1"/>
        <w:rPr>
          <w:rFonts w:hint="eastAsia" w:ascii="黑体" w:hAnsi="黑体" w:eastAsia="黑体" w:cstheme="minorBidi"/>
          <w:color w:val="auto"/>
          <w:sz w:val="52"/>
          <w:szCs w:val="52"/>
          <w:highlight w:val="none"/>
        </w:rPr>
      </w:pPr>
      <w:r>
        <w:rPr>
          <w:rFonts w:hint="eastAsia" w:ascii="黑体" w:hAnsi="黑体" w:eastAsia="黑体"/>
          <w:color w:val="auto"/>
          <w:sz w:val="52"/>
          <w:szCs w:val="52"/>
          <w:highlight w:val="none"/>
          <w:lang w:eastAsia="zh-CN"/>
        </w:rPr>
        <w:t>技术服务</w:t>
      </w:r>
      <w:r>
        <w:rPr>
          <w:rFonts w:hint="eastAsia" w:ascii="黑体" w:hAnsi="黑体" w:eastAsia="黑体"/>
          <w:color w:val="auto"/>
          <w:sz w:val="52"/>
          <w:szCs w:val="52"/>
          <w:highlight w:val="none"/>
        </w:rPr>
        <w:t>合同</w:t>
      </w:r>
    </w:p>
    <w:p>
      <w:pPr>
        <w:snapToGrid w:val="0"/>
        <w:spacing w:line="360" w:lineRule="auto"/>
        <w:rPr>
          <w:rFonts w:hint="eastAsia"/>
          <w:b/>
          <w:color w:val="auto"/>
          <w:sz w:val="32"/>
          <w:szCs w:val="32"/>
          <w:highlight w:val="none"/>
        </w:rPr>
      </w:pPr>
      <w:r>
        <w:rPr>
          <w:rFonts w:hint="eastAsia" w:asciiTheme="minorHAnsi" w:hAnsiTheme="minorHAnsi" w:eastAsiaTheme="minorEastAsia"/>
          <w:color w:val="auto"/>
          <w:sz w:val="21"/>
          <w:szCs w:val="24"/>
          <w:highlight w:val="none"/>
        </w:rPr>
        <mc:AlternateContent>
          <mc:Choice Requires="wps">
            <w:drawing>
              <wp:anchor distT="0" distB="0" distL="114300" distR="114300" simplePos="0" relativeHeight="251659264" behindDoc="0" locked="0" layoutInCell="1" allowOverlap="1">
                <wp:simplePos x="0" y="0"/>
                <wp:positionH relativeFrom="column">
                  <wp:posOffset>913765</wp:posOffset>
                </wp:positionH>
                <wp:positionV relativeFrom="paragraph">
                  <wp:posOffset>437515</wp:posOffset>
                </wp:positionV>
                <wp:extent cx="3683635" cy="0"/>
                <wp:effectExtent l="0" t="9525" r="12065" b="15875"/>
                <wp:wrapNone/>
                <wp:docPr id="2"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59264;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rq/OA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k85c2CpRbefvv38+Pnmy4+b71/ZL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rq/OA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line="360" w:lineRule="auto"/>
        <w:rPr>
          <w:rFonts w:hint="eastAsia" w:eastAsiaTheme="minorEastAsia"/>
          <w:b/>
          <w:color w:val="auto"/>
          <w:sz w:val="32"/>
          <w:szCs w:val="32"/>
          <w:highlight w:val="none"/>
        </w:rPr>
      </w:pPr>
    </w:p>
    <w:p>
      <w:pPr>
        <w:snapToGrid w:val="0"/>
        <w:spacing w:line="360" w:lineRule="auto"/>
        <w:jc w:val="center"/>
        <w:rPr>
          <w:rFonts w:hint="eastAsia"/>
          <w:b/>
          <w:color w:val="auto"/>
          <w:sz w:val="32"/>
          <w:szCs w:val="32"/>
          <w:highlight w:val="none"/>
        </w:rPr>
      </w:pPr>
    </w:p>
    <w:p>
      <w:pPr>
        <w:tabs>
          <w:tab w:val="left" w:pos="7096"/>
        </w:tabs>
        <w:snapToGrid w:val="0"/>
        <w:spacing w:line="360" w:lineRule="auto"/>
        <w:jc w:val="left"/>
        <w:rPr>
          <w:rFonts w:hint="eastAsia" w:eastAsia="宋体"/>
          <w:b/>
          <w:color w:val="auto"/>
          <w:sz w:val="32"/>
          <w:szCs w:val="32"/>
          <w:highlight w:val="none"/>
          <w:lang w:eastAsia="zh-CN"/>
        </w:rPr>
      </w:pPr>
      <w:r>
        <w:rPr>
          <w:rFonts w:hint="eastAsia"/>
          <w:b/>
          <w:color w:val="auto"/>
          <w:sz w:val="32"/>
          <w:szCs w:val="32"/>
          <w:highlight w:val="none"/>
          <w:lang w:eastAsia="zh-CN"/>
        </w:rPr>
        <w:tab/>
      </w:r>
    </w:p>
    <w:p>
      <w:pPr>
        <w:snapToGrid w:val="0"/>
        <w:spacing w:line="360" w:lineRule="auto"/>
        <w:jc w:val="center"/>
        <w:rPr>
          <w:rFonts w:hint="eastAsia"/>
          <w:b/>
          <w:color w:val="auto"/>
          <w:sz w:val="32"/>
          <w:szCs w:val="32"/>
          <w:highlight w:val="none"/>
        </w:rPr>
      </w:pPr>
    </w:p>
    <w:p>
      <w:pPr>
        <w:snapToGrid w:val="0"/>
        <w:spacing w:line="360" w:lineRule="auto"/>
        <w:jc w:val="center"/>
        <w:outlineLvl w:val="1"/>
        <w:rPr>
          <w:rFonts w:hint="eastAsia" w:ascii="黑体" w:hAnsi="黑体" w:eastAsia="黑体"/>
          <w:color w:val="auto"/>
          <w:sz w:val="30"/>
          <w:szCs w:val="30"/>
          <w:highlight w:val="none"/>
        </w:rPr>
      </w:pPr>
      <w:r>
        <w:rPr>
          <w:rFonts w:hint="eastAsia" w:ascii="黑体" w:hAnsi="黑体" w:eastAsia="黑体"/>
          <w:color w:val="auto"/>
          <w:sz w:val="30"/>
          <w:szCs w:val="30"/>
          <w:highlight w:val="none"/>
        </w:rPr>
        <w:t>甲方：重庆机场集团有限公司</w:t>
      </w:r>
    </w:p>
    <w:p>
      <w:pPr>
        <w:snapToGrid w:val="0"/>
        <w:spacing w:line="360" w:lineRule="auto"/>
        <w:outlineLvl w:val="1"/>
        <w:rPr>
          <w:rFonts w:hint="eastAsia" w:ascii="黑体" w:hAnsi="黑体" w:eastAsia="黑体"/>
          <w:b/>
          <w:bCs/>
          <w:color w:val="auto"/>
          <w:sz w:val="30"/>
          <w:szCs w:val="30"/>
          <w:highlight w:val="none"/>
          <w:u w:val="single"/>
        </w:rPr>
      </w:pPr>
      <w:r>
        <w:rPr>
          <w:rFonts w:hint="eastAsia" w:ascii="黑体" w:hAnsi="黑体" w:eastAsia="黑体"/>
          <w:color w:val="auto"/>
          <w:sz w:val="30"/>
          <w:szCs w:val="30"/>
          <w:highlight w:val="none"/>
        </w:rPr>
        <w:t xml:space="preserve">            </w:t>
      </w:r>
      <w:r>
        <w:rPr>
          <w:rFonts w:hint="eastAsia" w:ascii="黑体" w:hAnsi="黑体" w:eastAsia="黑体"/>
          <w:color w:val="auto"/>
          <w:sz w:val="30"/>
          <w:szCs w:val="30"/>
          <w:highlight w:val="none"/>
          <w:lang w:val="en-US" w:eastAsia="zh-CN"/>
        </w:rPr>
        <w:t xml:space="preserve"> </w:t>
      </w:r>
      <w:r>
        <w:rPr>
          <w:rFonts w:hint="eastAsia" w:ascii="黑体" w:hAnsi="黑体" w:eastAsia="黑体"/>
          <w:color w:val="auto"/>
          <w:sz w:val="30"/>
          <w:szCs w:val="30"/>
          <w:highlight w:val="none"/>
        </w:rPr>
        <w:t xml:space="preserve">  乙方：</w:t>
      </w:r>
      <w:r>
        <w:rPr>
          <w:rFonts w:hint="eastAsia" w:ascii="黑体" w:hAnsi="黑体" w:eastAsia="黑体"/>
          <w:bCs/>
          <w:color w:val="auto"/>
          <w:sz w:val="30"/>
          <w:szCs w:val="30"/>
          <w:highlight w:val="none"/>
          <w:u w:val="single"/>
        </w:rPr>
        <w:t xml:space="preserve">                 </w:t>
      </w:r>
      <w:r>
        <w:rPr>
          <w:rFonts w:hint="eastAsia" w:ascii="黑体" w:hAnsi="黑体" w:eastAsia="黑体"/>
          <w:b/>
          <w:bCs/>
          <w:color w:val="auto"/>
          <w:sz w:val="30"/>
          <w:szCs w:val="30"/>
          <w:highlight w:val="none"/>
          <w:u w:val="single"/>
        </w:rPr>
        <w:t xml:space="preserve">   </w:t>
      </w:r>
    </w:p>
    <w:p>
      <w:pPr>
        <w:spacing w:line="520" w:lineRule="exact"/>
        <w:jc w:val="center"/>
        <w:rPr>
          <w:rFonts w:hint="eastAsia" w:ascii="黑体" w:hAnsi="黑体" w:eastAsia="黑体" w:cstheme="minorBidi"/>
          <w:b/>
          <w:bCs/>
          <w:color w:val="auto"/>
          <w:sz w:val="32"/>
          <w:szCs w:val="32"/>
          <w:highlight w:val="none"/>
        </w:rPr>
      </w:pPr>
    </w:p>
    <w:p>
      <w:pPr>
        <w:rPr>
          <w:rFonts w:ascii="黑体" w:hAnsi="黑体" w:eastAsia="黑体"/>
          <w:b/>
          <w:bCs/>
          <w:color w:val="auto"/>
          <w:sz w:val="32"/>
          <w:szCs w:val="32"/>
          <w:highlight w:val="none"/>
        </w:rPr>
        <w:sectPr>
          <w:headerReference r:id="rId3" w:type="default"/>
          <w:footerReference r:id="rId4" w:type="default"/>
          <w:pgSz w:w="11900" w:h="16840"/>
          <w:pgMar w:top="1440" w:right="1800" w:bottom="1440" w:left="1800" w:header="851" w:footer="992" w:gutter="0"/>
          <w:pgNumType w:fmt="decimal"/>
          <w:cols w:space="720" w:num="1"/>
          <w:docGrid w:type="lines" w:linePitch="312" w:charSpace="0"/>
        </w:sectPr>
      </w:pP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甲方：重庆机场集团有限公司</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统一社会信用代码：</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通讯地址：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法定代表人或委托代理人：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联系电话：</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邮箱地址：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开户银行：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开户名称：</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账号：</w:t>
      </w:r>
    </w:p>
    <w:p>
      <w:pPr>
        <w:pStyle w:val="28"/>
        <w:ind w:firstLine="560"/>
        <w:rPr>
          <w:rFonts w:hint="eastAsia" w:ascii="宋体" w:hAnsi="宋体" w:eastAsia="宋体"/>
          <w:bCs/>
          <w:color w:val="auto"/>
          <w:sz w:val="28"/>
          <w:szCs w:val="28"/>
          <w:highlight w:val="none"/>
        </w:rPr>
      </w:pP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乙方：</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统一社会信用代码：</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通讯地址：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法定代表人或委托代理人：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联系电话：</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邮箱地址：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开户银行：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开户名称：</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账号：</w:t>
      </w:r>
    </w:p>
    <w:p>
      <w:pPr>
        <w:spacing w:line="360" w:lineRule="auto"/>
        <w:ind w:firstLine="560" w:firstLineChars="200"/>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 xml:space="preserve">鉴于甲方需要就 </w:t>
      </w:r>
      <w:r>
        <w:rPr>
          <w:rFonts w:hint="eastAsia" w:ascii="方正仿宋_GBK" w:hAnsi="方正仿宋_GBK" w:eastAsia="方正仿宋_GBK" w:cs="方正仿宋_GBK"/>
          <w:color w:val="auto"/>
          <w:sz w:val="28"/>
          <w:szCs w:val="28"/>
          <w:highlight w:val="none"/>
          <w:u w:val="single"/>
        </w:rPr>
        <w:t>重庆机场4A统一安全管理平台升级扩容</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项目由乙方提供技术服务，并支付相应的技术服务报酬。乙方愿意接受甲方的委托并提供技术服务；双方经过平等协商，在真实、充分地表达各自意愿的基础上，根据《中华人民共和国民法典》等相关法律法规规定，达成本协议， 并由双方共同恪守。</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第一条</w:t>
      </w:r>
      <w:r>
        <w:rPr>
          <w:b/>
          <w:bCs/>
          <w:color w:val="auto"/>
          <w:sz w:val="24"/>
          <w:szCs w:val="24"/>
          <w:highlight w:val="none"/>
          <w:lang w:eastAsia="zh-CN"/>
        </w:rPr>
        <w:t xml:space="preserve"> </w:t>
      </w:r>
      <w:r>
        <w:rPr>
          <w:rFonts w:hint="eastAsia" w:ascii="仿宋" w:hAnsi="仿宋" w:eastAsia="仿宋" w:cs="仿宋"/>
          <w:color w:val="auto"/>
          <w:sz w:val="28"/>
          <w:szCs w:val="28"/>
          <w:highlight w:val="none"/>
          <w:lang w:eastAsia="zh-CN"/>
        </w:rPr>
        <w:t>技术服务的内容、方式和要求：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1.1技术服务的内容：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single"/>
          <w:lang w:val="en-US" w:eastAsia="zh-CN"/>
        </w:rPr>
        <w:t>（1）乙方根据附件《</w:t>
      </w:r>
      <w:r>
        <w:rPr>
          <w:rFonts w:hint="eastAsia" w:ascii="仿宋" w:hAnsi="仿宋" w:eastAsia="仿宋" w:cs="仿宋"/>
          <w:color w:val="auto"/>
          <w:sz w:val="28"/>
          <w:szCs w:val="28"/>
          <w:highlight w:val="none"/>
          <w:u w:val="single"/>
          <w:lang w:eastAsia="zh-CN"/>
        </w:rPr>
        <w:t>重庆机场</w:t>
      </w:r>
      <w:r>
        <w:rPr>
          <w:rFonts w:hint="eastAsia" w:ascii="仿宋" w:hAnsi="仿宋" w:eastAsia="仿宋" w:cs="仿宋"/>
          <w:color w:val="auto"/>
          <w:sz w:val="28"/>
          <w:szCs w:val="28"/>
          <w:highlight w:val="none"/>
          <w:u w:val="single"/>
          <w:lang w:val="en-US" w:eastAsia="zh-CN"/>
        </w:rPr>
        <w:t>4A统一安全管理</w:t>
      </w:r>
      <w:r>
        <w:rPr>
          <w:rFonts w:hint="eastAsia" w:ascii="仿宋" w:hAnsi="仿宋" w:eastAsia="仿宋" w:cs="仿宋"/>
          <w:color w:val="auto"/>
          <w:sz w:val="28"/>
          <w:szCs w:val="28"/>
          <w:highlight w:val="none"/>
          <w:u w:val="single"/>
          <w:lang w:eastAsia="zh-CN"/>
        </w:rPr>
        <w:t>平台升级</w:t>
      </w:r>
      <w:r>
        <w:rPr>
          <w:rFonts w:hint="eastAsia" w:ascii="仿宋" w:hAnsi="仿宋" w:eastAsia="仿宋" w:cs="仿宋"/>
          <w:color w:val="auto"/>
          <w:sz w:val="28"/>
          <w:szCs w:val="28"/>
          <w:highlight w:val="none"/>
          <w:u w:val="single"/>
          <w:lang w:val="en-US" w:eastAsia="zh-CN"/>
        </w:rPr>
        <w:t>扩容</w:t>
      </w:r>
      <w:r>
        <w:rPr>
          <w:rFonts w:hint="eastAsia" w:ascii="仿宋" w:hAnsi="仿宋" w:eastAsia="仿宋" w:cs="仿宋"/>
          <w:color w:val="auto"/>
          <w:sz w:val="28"/>
          <w:szCs w:val="28"/>
          <w:highlight w:val="none"/>
          <w:u w:val="single"/>
          <w:lang w:eastAsia="zh-CN"/>
        </w:rPr>
        <w:t>项目建设要求</w:t>
      </w:r>
      <w:r>
        <w:rPr>
          <w:rFonts w:hint="eastAsia" w:ascii="仿宋" w:hAnsi="仿宋" w:eastAsia="仿宋" w:cs="仿宋"/>
          <w:color w:val="auto"/>
          <w:sz w:val="28"/>
          <w:szCs w:val="28"/>
          <w:highlight w:val="none"/>
          <w:u w:val="single"/>
          <w:lang w:val="en-US" w:eastAsia="zh-CN"/>
        </w:rPr>
        <w:t>》开展技术服务，包括设备采购、平台部分功能迁移、新增IT资源纳管和部分业务功能优化等。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u w:val="single"/>
          <w:lang w:val="en-US" w:eastAsia="zh-CN"/>
        </w:rPr>
        <w:t>（2）乙方负责完成操作系统、数据库、业务系统部署，开展软件开发和上线测试，负责4A平台的整体联调测试，确保4A平台相关功能满足建设要求。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lang w:eastAsia="zh-CN"/>
        </w:rPr>
      </w:pPr>
      <w:r>
        <w:rPr>
          <w:rFonts w:hint="eastAsia" w:ascii="仿宋" w:hAnsi="仿宋" w:eastAsia="仿宋" w:cs="仿宋"/>
          <w:color w:val="auto"/>
          <w:sz w:val="28"/>
          <w:szCs w:val="28"/>
          <w:highlight w:val="none"/>
          <w:u w:val="single"/>
          <w:lang w:val="en-US" w:eastAsia="zh-CN"/>
        </w:rPr>
        <w:t>（3）乙方负责对甲方人员进行培训，并提供售后服务和质保。</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lang w:eastAsia="zh-CN"/>
        </w:rPr>
      </w:pPr>
      <w:r>
        <w:rPr>
          <w:rFonts w:hint="eastAsia" w:ascii="仿宋" w:hAnsi="仿宋" w:eastAsia="仿宋" w:cs="仿宋"/>
          <w:color w:val="auto"/>
          <w:sz w:val="28"/>
          <w:szCs w:val="28"/>
          <w:highlight w:val="none"/>
          <w:u w:val="single"/>
          <w:lang w:val="en-US" w:eastAsia="zh-CN"/>
        </w:rPr>
        <w:t xml:space="preserve">（4）乙方提供服务或产品，均不应侵犯他人的知识产权，若造成的损失应由乙方自身承担。 </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1.2技术服务的方式：乙方应通过</w:t>
      </w:r>
      <w:r>
        <w:rPr>
          <w:rFonts w:hint="eastAsia" w:ascii="仿宋" w:hAnsi="仿宋" w:eastAsia="仿宋" w:cs="仿宋"/>
          <w:color w:val="auto"/>
          <w:sz w:val="28"/>
          <w:szCs w:val="28"/>
          <w:highlight w:val="none"/>
          <w:u w:val="single"/>
          <w:lang w:eastAsia="zh-CN"/>
        </w:rPr>
        <w:t> 驻场</w:t>
      </w:r>
      <w:r>
        <w:rPr>
          <w:rFonts w:hint="eastAsia" w:ascii="仿宋" w:hAnsi="仿宋" w:eastAsia="仿宋" w:cs="仿宋"/>
          <w:color w:val="auto"/>
          <w:sz w:val="28"/>
          <w:szCs w:val="28"/>
          <w:highlight w:val="none"/>
          <w:u w:val="single"/>
          <w:lang w:val="en-US" w:eastAsia="zh-CN"/>
        </w:rPr>
        <w:t>施工</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的方式开展技术服务工作。</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1.3技术服务的要求：</w:t>
      </w:r>
    </w:p>
    <w:p>
      <w:pPr>
        <w:spacing w:line="360" w:lineRule="auto"/>
        <w:ind w:firstLine="560" w:firstLineChars="200"/>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（1）乙方所提供技术服务须满足</w:t>
      </w:r>
      <w:r>
        <w:rPr>
          <w:rFonts w:hint="eastAsia" w:ascii="仿宋" w:hAnsi="仿宋" w:eastAsia="仿宋" w:cs="仿宋"/>
          <w:color w:val="auto"/>
          <w:sz w:val="28"/>
          <w:szCs w:val="28"/>
          <w:highlight w:val="none"/>
          <w:u w:val="single"/>
          <w:lang w:val="en-US" w:eastAsia="zh-CN"/>
        </w:rPr>
        <w:t>《</w:t>
      </w:r>
      <w:r>
        <w:rPr>
          <w:rFonts w:hint="eastAsia" w:ascii="仿宋" w:hAnsi="仿宋" w:eastAsia="仿宋" w:cs="仿宋"/>
          <w:color w:val="auto"/>
          <w:sz w:val="28"/>
          <w:szCs w:val="28"/>
          <w:highlight w:val="none"/>
          <w:u w:val="single"/>
          <w:lang w:eastAsia="zh-CN"/>
        </w:rPr>
        <w:t>重庆机场</w:t>
      </w:r>
      <w:r>
        <w:rPr>
          <w:rFonts w:hint="eastAsia" w:ascii="仿宋" w:hAnsi="仿宋" w:eastAsia="仿宋" w:cs="仿宋"/>
          <w:color w:val="auto"/>
          <w:sz w:val="28"/>
          <w:szCs w:val="28"/>
          <w:highlight w:val="none"/>
          <w:u w:val="single"/>
          <w:lang w:val="en-US" w:eastAsia="zh-CN"/>
        </w:rPr>
        <w:t>4A统一安全</w:t>
      </w:r>
      <w:r>
        <w:rPr>
          <w:rFonts w:hint="eastAsia" w:ascii="仿宋" w:hAnsi="仿宋" w:eastAsia="仿宋" w:cs="仿宋"/>
          <w:color w:val="auto"/>
          <w:sz w:val="28"/>
          <w:szCs w:val="28"/>
          <w:highlight w:val="none"/>
          <w:u w:val="single"/>
          <w:lang w:eastAsia="zh-CN"/>
        </w:rPr>
        <w:t>管理平台升级</w:t>
      </w:r>
      <w:r>
        <w:rPr>
          <w:rFonts w:hint="eastAsia" w:ascii="仿宋" w:hAnsi="仿宋" w:eastAsia="仿宋" w:cs="仿宋"/>
          <w:color w:val="auto"/>
          <w:sz w:val="28"/>
          <w:szCs w:val="28"/>
          <w:highlight w:val="none"/>
          <w:u w:val="single"/>
          <w:lang w:val="en-US" w:eastAsia="zh-CN"/>
        </w:rPr>
        <w:t>扩容</w:t>
      </w:r>
      <w:r>
        <w:rPr>
          <w:rFonts w:hint="eastAsia" w:ascii="仿宋" w:hAnsi="仿宋" w:eastAsia="仿宋" w:cs="仿宋"/>
          <w:color w:val="auto"/>
          <w:sz w:val="28"/>
          <w:szCs w:val="28"/>
          <w:highlight w:val="none"/>
          <w:u w:val="single"/>
          <w:lang w:eastAsia="zh-CN"/>
        </w:rPr>
        <w:t>项目建设要求</w:t>
      </w:r>
      <w:r>
        <w:rPr>
          <w:rFonts w:hint="eastAsia" w:ascii="仿宋" w:hAnsi="仿宋" w:eastAsia="仿宋" w:cs="仿宋"/>
          <w:color w:val="auto"/>
          <w:sz w:val="28"/>
          <w:szCs w:val="28"/>
          <w:highlight w:val="none"/>
          <w:u w:val="single"/>
          <w:lang w:val="en-US" w:eastAsia="zh-CN"/>
        </w:rPr>
        <w:t>》相关要求（详见附件5）；</w:t>
      </w:r>
    </w:p>
    <w:p>
      <w:pPr>
        <w:spacing w:line="360" w:lineRule="auto"/>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（2）质保期限2年；</w:t>
      </w:r>
    </w:p>
    <w:p>
      <w:pPr>
        <w:spacing w:line="360" w:lineRule="auto"/>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（3）保修范围，乙方提供的技术服务产品在保修期内，运行中发生数据对接异常、程序运行异常等问题，由乙方免费进行优化调整；</w:t>
      </w:r>
    </w:p>
    <w:p>
      <w:pPr>
        <w:spacing w:line="360" w:lineRule="auto"/>
        <w:ind w:firstLine="560" w:firstLineChars="200"/>
        <w:jc w:val="both"/>
        <w:rPr>
          <w:rFonts w:hint="eastAsia"/>
          <w:color w:val="auto"/>
          <w:highlight w:val="none"/>
          <w:lang w:eastAsia="zh-CN"/>
        </w:rPr>
      </w:pPr>
      <w:r>
        <w:rPr>
          <w:rFonts w:hint="eastAsia" w:ascii="仿宋" w:hAnsi="仿宋" w:eastAsia="仿宋" w:cs="仿宋"/>
          <w:color w:val="auto"/>
          <w:sz w:val="28"/>
          <w:szCs w:val="28"/>
          <w:highlight w:val="none"/>
          <w:lang w:val="en-US" w:eastAsia="zh-CN"/>
        </w:rPr>
        <w:t>（4）服务措施，接到甲方售后需求，乙方专业技术人员在2小时内进行线上服务，若需要到现场的须在2个日历天到现场提供技术服务，保证24小时不间断售后服务。</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第二条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履行的期限、地点：</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2.1技术服务地点：</w:t>
      </w:r>
      <w:r>
        <w:rPr>
          <w:rFonts w:hint="eastAsia" w:ascii="仿宋" w:hAnsi="仿宋" w:eastAsia="仿宋" w:cs="仿宋"/>
          <w:color w:val="auto"/>
          <w:sz w:val="28"/>
          <w:szCs w:val="28"/>
          <w:highlight w:val="none"/>
          <w:u w:val="single"/>
          <w:lang w:eastAsia="zh-CN"/>
        </w:rPr>
        <w:t> 重庆机场ITC办公大楼       </w:t>
      </w:r>
      <w:r>
        <w:rPr>
          <w:rFonts w:hint="eastAsia" w:ascii="仿宋" w:hAnsi="仿宋" w:eastAsia="仿宋" w:cs="仿宋"/>
          <w:color w:val="auto"/>
          <w:sz w:val="28"/>
          <w:szCs w:val="28"/>
          <w:highlight w:val="none"/>
          <w:lang w:eastAsia="zh-CN"/>
        </w:rPr>
        <w:t>；</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2.2技术服务期限：</w:t>
      </w:r>
      <w:r>
        <w:rPr>
          <w:rFonts w:hint="eastAsia" w:ascii="仿宋" w:hAnsi="仿宋" w:eastAsia="仿宋" w:cs="仿宋"/>
          <w:color w:val="auto"/>
          <w:sz w:val="28"/>
          <w:szCs w:val="28"/>
          <w:highlight w:val="none"/>
          <w:u w:val="single"/>
          <w:lang w:eastAsia="zh-CN"/>
        </w:rPr>
        <w:t> 自合同生效日起，</w:t>
      </w:r>
      <w:r>
        <w:rPr>
          <w:rFonts w:hint="eastAsia" w:ascii="仿宋" w:hAnsi="仿宋" w:eastAsia="仿宋" w:cs="仿宋"/>
          <w:color w:val="auto"/>
          <w:sz w:val="28"/>
          <w:szCs w:val="28"/>
          <w:highlight w:val="none"/>
          <w:u w:val="single"/>
          <w:lang w:val="en-US" w:eastAsia="zh-CN"/>
        </w:rPr>
        <w:t>6</w:t>
      </w:r>
      <w:r>
        <w:rPr>
          <w:rFonts w:hint="eastAsia" w:ascii="仿宋" w:hAnsi="仿宋" w:eastAsia="仿宋" w:cs="仿宋"/>
          <w:color w:val="auto"/>
          <w:sz w:val="28"/>
          <w:szCs w:val="28"/>
          <w:highlight w:val="none"/>
          <w:u w:val="single"/>
          <w:lang w:eastAsia="zh-CN"/>
        </w:rPr>
        <w:t>0日历天内完成项目建设工作</w:t>
      </w:r>
      <w:r>
        <w:rPr>
          <w:rFonts w:hint="eastAsia" w:ascii="仿宋" w:hAnsi="仿宋" w:eastAsia="仿宋" w:cs="仿宋"/>
          <w:color w:val="auto"/>
          <w:sz w:val="28"/>
          <w:szCs w:val="28"/>
          <w:highlight w:val="none"/>
          <w:lang w:eastAsia="zh-CN"/>
        </w:rPr>
        <w:t>；</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具体服务进度：</w:t>
      </w:r>
    </w:p>
    <w:tbl>
      <w:tblPr>
        <w:tblStyle w:val="17"/>
        <w:tblW w:w="77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1"/>
        <w:gridCol w:w="4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340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起止时间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合同签订之日起</w:t>
            </w:r>
            <w:r>
              <w:rPr>
                <w:rFonts w:hint="eastAsia" w:ascii="仿宋" w:hAnsi="仿宋" w:eastAsia="仿宋" w:cs="仿宋"/>
                <w:b/>
                <w:bCs/>
                <w:color w:val="auto"/>
                <w:sz w:val="28"/>
                <w:szCs w:val="28"/>
                <w:highlight w:val="none"/>
                <w:lang w:eastAsia="zh-CN"/>
              </w:rPr>
              <w:t>）</w:t>
            </w:r>
          </w:p>
        </w:tc>
        <w:tc>
          <w:tcPr>
            <w:tcW w:w="433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项目阶段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restart"/>
            <w:vAlign w:val="center"/>
          </w:tcPr>
          <w:p>
            <w:pPr>
              <w:spacing w:line="36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第1月</w:t>
            </w: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需求分析与计划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continue"/>
            <w:vAlign w:val="center"/>
          </w:tcPr>
          <w:p>
            <w:pPr>
              <w:spacing w:line="360" w:lineRule="auto"/>
              <w:jc w:val="center"/>
              <w:rPr>
                <w:rFonts w:hint="eastAsia" w:ascii="仿宋" w:hAnsi="仿宋" w:eastAsia="仿宋" w:cs="仿宋"/>
                <w:color w:val="auto"/>
                <w:sz w:val="28"/>
                <w:szCs w:val="28"/>
                <w:highlight w:val="none"/>
                <w:lang w:eastAsia="zh-CN"/>
              </w:rPr>
            </w:pP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规划与设计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restart"/>
            <w:vAlign w:val="center"/>
          </w:tcPr>
          <w:p>
            <w:pPr>
              <w:spacing w:line="36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第2月</w:t>
            </w: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实施与开发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continue"/>
            <w:vAlign w:val="center"/>
          </w:tcPr>
          <w:p>
            <w:pPr>
              <w:spacing w:line="360" w:lineRule="auto"/>
              <w:jc w:val="center"/>
              <w:rPr>
                <w:rFonts w:hint="eastAsia" w:ascii="仿宋" w:hAnsi="仿宋" w:eastAsia="仿宋" w:cs="仿宋"/>
                <w:color w:val="auto"/>
                <w:sz w:val="28"/>
                <w:szCs w:val="28"/>
                <w:highlight w:val="none"/>
                <w:lang w:val="en-US" w:eastAsia="zh-CN"/>
              </w:rPr>
            </w:pP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用户培训与试运行</w:t>
            </w:r>
          </w:p>
        </w:tc>
      </w:tr>
    </w:tbl>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第三条</w:t>
      </w:r>
      <w:r>
        <w:rPr>
          <w:rFonts w:hint="eastAsia" w:ascii="仿宋" w:hAnsi="仿宋" w:eastAsia="仿宋" w:cs="仿宋"/>
          <w:color w:val="auto"/>
          <w:sz w:val="28"/>
          <w:szCs w:val="28"/>
          <w:highlight w:val="none"/>
          <w:lang w:eastAsia="zh-CN"/>
        </w:rPr>
        <w:t xml:space="preserve"> 工作条件和协作事项</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3.1甲方为乙方提供如下工作条件和协作事项：</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）项目实施之前，甲方应将项目相关资料提交给乙方，并做好前期准备工作；</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）甲方需提供适于进行本项目人员配合乙方的工作；</w:t>
      </w:r>
    </w:p>
    <w:p>
      <w:pPr>
        <w:spacing w:line="360" w:lineRule="auto"/>
        <w:jc w:val="both"/>
        <w:rPr>
          <w:color w:val="auto"/>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）乙方提供服务的过程中，甲方须积极配合乙方的工作，若由于甲方的失误而造成的损失由甲方自行承担。</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第四条</w:t>
      </w:r>
      <w:r>
        <w:rPr>
          <w:rFonts w:hint="eastAsia" w:ascii="仿宋" w:hAnsi="仿宋" w:eastAsia="仿宋" w:cs="仿宋"/>
          <w:color w:val="auto"/>
          <w:sz w:val="28"/>
          <w:szCs w:val="28"/>
          <w:highlight w:val="none"/>
          <w:lang w:eastAsia="zh-CN"/>
        </w:rPr>
        <w:t xml:space="preserve"> 技术服务费、履约保证金及支付方式为：</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4.1技术服务费总额（</w:t>
      </w:r>
      <w:r>
        <w:rPr>
          <w:rFonts w:hint="eastAsia" w:ascii="仿宋" w:hAnsi="仿宋" w:eastAsia="仿宋" w:cs="仿宋"/>
          <w:color w:val="auto"/>
          <w:sz w:val="28"/>
          <w:szCs w:val="28"/>
          <w:highlight w:val="none"/>
          <w:lang w:val="en-US" w:eastAsia="zh-CN"/>
        </w:rPr>
        <w:t>含增值税）</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4.2技术服务费由甲方</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分期</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（一次或分期）支付乙方。</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具体支付方式和时间如下：</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w:t>
      </w:r>
      <w:r>
        <w:rPr>
          <w:rFonts w:hint="eastAsia" w:ascii="仿宋" w:hAnsi="仿宋" w:eastAsia="仿宋" w:cs="仿宋"/>
          <w:color w:val="auto"/>
          <w:sz w:val="28"/>
          <w:szCs w:val="28"/>
          <w:highlight w:val="none"/>
          <w:u w:val="single"/>
          <w:lang w:eastAsia="zh-CN"/>
        </w:rPr>
        <w:t> 在合同签订后10个工作日内，甲方向乙方支付预付款，预付款金额为合同金额的30%，大写：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元整，小写：￥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  元 </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w:t>
      </w:r>
      <w:r>
        <w:rPr>
          <w:rFonts w:hint="eastAsia" w:ascii="仿宋" w:hAnsi="仿宋" w:eastAsia="仿宋" w:cs="仿宋"/>
          <w:color w:val="auto"/>
          <w:sz w:val="28"/>
          <w:szCs w:val="28"/>
          <w:highlight w:val="none"/>
          <w:u w:val="single"/>
          <w:lang w:eastAsia="zh-CN"/>
        </w:rPr>
        <w:t>项目验收合格正式上线运行后10个工作日内，甲方向乙方支付至合同金额的95%，即本阶段支付合同金额的65%，大写：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元整，小写：￥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 元</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u w:val="single"/>
          <w:lang w:eastAsia="zh-CN"/>
        </w:rPr>
        <w:t>年质保期满后，甲方向乙方支付合同金额剩余的5%，大写：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元整，小写：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元 </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乙方开户银行名称、户名和</w:t>
      </w:r>
      <w:r>
        <w:rPr>
          <w:rFonts w:hint="eastAsia" w:ascii="仿宋" w:hAnsi="仿宋" w:eastAsia="仿宋" w:cs="仿宋"/>
          <w:color w:val="auto"/>
          <w:sz w:val="28"/>
          <w:szCs w:val="28"/>
          <w:highlight w:val="none"/>
          <w:lang w:val="en-US" w:eastAsia="zh-CN"/>
        </w:rPr>
        <w:t>账</w:t>
      </w:r>
      <w:r>
        <w:rPr>
          <w:rFonts w:hint="eastAsia" w:ascii="仿宋" w:hAnsi="仿宋" w:eastAsia="仿宋" w:cs="仿宋"/>
          <w:color w:val="auto"/>
          <w:sz w:val="28"/>
          <w:szCs w:val="28"/>
          <w:highlight w:val="none"/>
          <w:lang w:eastAsia="zh-CN"/>
        </w:rPr>
        <w:t>号为：</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开户银行：</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户名：</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lang w:val="en-US" w:eastAsia="zh-CN"/>
        </w:rPr>
        <w:t>账</w:t>
      </w:r>
      <w:r>
        <w:rPr>
          <w:rFonts w:hint="eastAsia" w:ascii="仿宋" w:hAnsi="仿宋" w:eastAsia="仿宋" w:cs="仿宋"/>
          <w:color w:val="auto"/>
          <w:sz w:val="28"/>
          <w:szCs w:val="28"/>
          <w:highlight w:val="none"/>
          <w:lang w:eastAsia="zh-CN"/>
        </w:rPr>
        <w:t>号：</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bookmarkStart w:id="3" w:name="_Hlk10153077"/>
      <w:r>
        <w:rPr>
          <w:rFonts w:hint="eastAsia" w:ascii="仿宋" w:hAnsi="仿宋" w:eastAsia="仿宋" w:cs="仿宋"/>
          <w:color w:val="auto"/>
          <w:sz w:val="28"/>
          <w:szCs w:val="28"/>
          <w:highlight w:val="none"/>
          <w:lang w:eastAsia="zh-CN"/>
        </w:rPr>
        <w:t>4.3乙方需向甲方提供正规增值税发票。如果乙方提供增值税普通发票，甲方支付金额为不含增值税金额；如果乙方提供增值税专用发票，甲方支付金额</w:t>
      </w:r>
      <w:r>
        <w:rPr>
          <w:rFonts w:ascii="仿宋" w:hAnsi="仿宋" w:eastAsia="仿宋" w:cs="仿宋"/>
          <w:color w:val="auto"/>
          <w:sz w:val="28"/>
          <w:szCs w:val="28"/>
          <w:highlight w:val="none"/>
          <w:lang w:eastAsia="zh-CN"/>
        </w:rPr>
        <w:t>=不含增值税金额+增值税税额。</w:t>
      </w:r>
      <w:bookmarkEnd w:id="3"/>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4.4</w:t>
      </w:r>
      <w:r>
        <w:rPr>
          <w:rFonts w:hint="eastAsia" w:ascii="仿宋" w:hAnsi="仿宋" w:eastAsia="仿宋" w:cs="仿宋"/>
          <w:color w:val="auto"/>
          <w:sz w:val="28"/>
          <w:szCs w:val="28"/>
          <w:highlight w:val="none"/>
          <w:lang w:val="en-US" w:eastAsia="zh-CN"/>
        </w:rPr>
        <w:t xml:space="preserve"> 履约保证金</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4.4.1</w:t>
      </w:r>
      <w:r>
        <w:rPr>
          <w:rFonts w:hint="eastAsia" w:ascii="方正仿宋_GBK" w:hAnsi="方正仿宋_GBK" w:eastAsia="方正仿宋_GBK" w:cs="方正仿宋_GBK"/>
          <w:color w:val="auto"/>
          <w:sz w:val="28"/>
          <w:szCs w:val="28"/>
          <w:highlight w:val="none"/>
        </w:rPr>
        <w:t>履约保证金为合同总价款的</w:t>
      </w:r>
      <w:r>
        <w:rPr>
          <w:rFonts w:hint="eastAsia" w:ascii="方正仿宋_GBK" w:hAnsi="方正仿宋_GBK" w:eastAsia="方正仿宋_GBK" w:cs="方正仿宋_GBK"/>
          <w:color w:val="auto"/>
          <w:sz w:val="28"/>
          <w:szCs w:val="28"/>
          <w:highlight w:val="none"/>
          <w:lang w:val="en-US" w:eastAsia="zh-CN"/>
        </w:rPr>
        <w:t>10%</w:t>
      </w:r>
      <w:r>
        <w:rPr>
          <w:rFonts w:hint="eastAsia" w:ascii="方正仿宋_GBK" w:hAnsi="方正仿宋_GBK" w:eastAsia="方正仿宋_GBK" w:cs="方正仿宋_GBK"/>
          <w:color w:val="auto"/>
          <w:sz w:val="28"/>
          <w:szCs w:val="28"/>
          <w:highlight w:val="none"/>
        </w:rPr>
        <w:t>，在收到成交通知书10日内足额缴纳，于履约结束后，一次性退还（不计利息）</w:t>
      </w:r>
      <w:r>
        <w:rPr>
          <w:rFonts w:hint="eastAsia" w:ascii="仿宋" w:hAnsi="仿宋" w:eastAsia="仿宋" w:cs="仿宋"/>
          <w:color w:val="auto"/>
          <w:sz w:val="28"/>
          <w:szCs w:val="28"/>
          <w:highlight w:val="none"/>
          <w:lang w:eastAsia="zh-CN"/>
        </w:rPr>
        <w:t>。</w:t>
      </w:r>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4.4.2履约保证金应由乙方名义开立的账户支付到甲方账户，否则视为未支付，甲方有权追究乙方逾期付款责任。</w:t>
      </w:r>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4.4.3 乙方支付履约保证金时，应在“付款备注”中写明“（合同编号）重庆机场4A统一安全管理平台升级扩容项目服务合同履约保证金”。乙方不得与其他合同、其他缴费项目一起支付履约保证金，若因混合支付造成无法确认为本合同款项到账的，视为逾期未支付。</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4.4.4</w:t>
      </w:r>
      <w:r>
        <w:rPr>
          <w:rFonts w:hint="eastAsia" w:ascii="仿宋" w:hAnsi="仿宋" w:eastAsia="仿宋" w:cs="仿宋"/>
          <w:color w:val="auto"/>
          <w:sz w:val="28"/>
          <w:szCs w:val="28"/>
          <w:highlight w:val="none"/>
          <w:lang w:eastAsia="zh-CN"/>
        </w:rPr>
        <w:t>本合同期限届满，若乙方在约定时间内履行完成合同义务且无违约情形，甲方在收到乙方退还履约保证金的申请后，十五个工作日之内无息退还。</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第五条</w:t>
      </w:r>
      <w:r>
        <w:rPr>
          <w:rFonts w:hint="eastAsia" w:ascii="仿宋" w:hAnsi="仿宋" w:eastAsia="仿宋" w:cs="仿宋"/>
          <w:color w:val="auto"/>
          <w:sz w:val="28"/>
          <w:szCs w:val="28"/>
          <w:highlight w:val="none"/>
          <w:lang w:eastAsia="zh-CN"/>
        </w:rPr>
        <w:t xml:space="preserve"> 技术情报和资料的保密：</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5.1.乙方对在工作过程中接触到的甲方的任何资料、文件、数据(无论是书面的还是电子的)，以及对为甲方服务形成的任何交付物，负有为甲方保密的责任。未经甲方书面同意，乙方不得以任何方式向任何第三方提供或透露。</w:t>
      </w:r>
    </w:p>
    <w:p>
      <w:pPr>
        <w:pStyle w:val="14"/>
        <w:shd w:val="clear" w:color="auto" w:fill="FFFFFF"/>
        <w:spacing w:beforeAutospacing="0" w:after="192" w:afterAutospacing="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5.2.甲方向乙方提供的任何资料、文件和信息，在乙方服务结束后，乙方均应及时归还甲方，电子文档的应从自己的电脑等存储设备上予永久删除。</w:t>
      </w:r>
    </w:p>
    <w:p>
      <w:pPr>
        <w:pStyle w:val="14"/>
        <w:shd w:val="clear" w:color="auto" w:fill="FFFFFF"/>
        <w:spacing w:beforeAutospacing="0" w:after="192" w:afterAutospacing="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5.3.乙方人员违反上述保密规定时间，乙方应承担相应法律责任。</w:t>
      </w:r>
    </w:p>
    <w:p>
      <w:pPr>
        <w:pStyle w:val="14"/>
        <w:shd w:val="clear" w:color="auto" w:fill="FFFFFF"/>
        <w:spacing w:beforeAutospacing="0" w:after="192" w:afterAutospacing="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5.4.本合同有效期结束后相关保密条款继续生效。</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第六条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验收标准和方式：</w:t>
      </w:r>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6.1乙方完成技术服务工作的形式：</w:t>
      </w:r>
      <w:r>
        <w:rPr>
          <w:rFonts w:hint="eastAsia" w:ascii="仿宋" w:hAnsi="仿宋" w:eastAsia="仿宋" w:cs="仿宋"/>
          <w:color w:val="auto"/>
          <w:sz w:val="28"/>
          <w:szCs w:val="28"/>
          <w:highlight w:val="none"/>
        </w:rPr>
        <w:t>由甲方提供重庆机场</w:t>
      </w:r>
      <w:r>
        <w:rPr>
          <w:rFonts w:hint="eastAsia" w:ascii="仿宋" w:hAnsi="仿宋" w:eastAsia="仿宋" w:cs="仿宋"/>
          <w:color w:val="auto"/>
          <w:sz w:val="28"/>
          <w:szCs w:val="28"/>
          <w:highlight w:val="none"/>
          <w:lang w:val="en-US" w:eastAsia="zh-CN"/>
        </w:rPr>
        <w:t>4A统一安全管理平台升级扩容项目</w:t>
      </w:r>
      <w:r>
        <w:rPr>
          <w:rFonts w:hint="eastAsia" w:ascii="仿宋" w:hAnsi="仿宋" w:eastAsia="仿宋" w:cs="仿宋"/>
          <w:color w:val="auto"/>
          <w:sz w:val="28"/>
          <w:szCs w:val="28"/>
          <w:highlight w:val="none"/>
        </w:rPr>
        <w:t>需求，乙方根据甲方需求</w:t>
      </w:r>
      <w:r>
        <w:rPr>
          <w:rFonts w:hint="eastAsia" w:ascii="仿宋" w:hAnsi="仿宋" w:eastAsia="仿宋" w:cs="仿宋"/>
          <w:color w:val="auto"/>
          <w:sz w:val="28"/>
          <w:szCs w:val="28"/>
          <w:highlight w:val="none"/>
          <w:lang w:val="en-US" w:eastAsia="zh-CN"/>
        </w:rPr>
        <w:t>和</w:t>
      </w:r>
      <w:r>
        <w:rPr>
          <w:rFonts w:hint="eastAsia" w:ascii="仿宋" w:hAnsi="仿宋" w:eastAsia="仿宋" w:cs="仿宋"/>
          <w:color w:val="auto"/>
          <w:sz w:val="28"/>
          <w:szCs w:val="28"/>
          <w:highlight w:val="none"/>
          <w:lang w:val="en-US" w:eastAsia="zh-CN" w:bidi="ar-SA"/>
        </w:rPr>
        <w:t>《重庆机场4A统一安全管理平台升级改造项目建设要求》</w:t>
      </w:r>
      <w:r>
        <w:rPr>
          <w:rFonts w:hint="eastAsia" w:ascii="仿宋" w:hAnsi="仿宋" w:eastAsia="仿宋" w:cs="仿宋"/>
          <w:color w:val="auto"/>
          <w:sz w:val="28"/>
          <w:szCs w:val="28"/>
          <w:highlight w:val="none"/>
        </w:rPr>
        <w:t>编制设计方案，</w:t>
      </w:r>
      <w:r>
        <w:rPr>
          <w:rFonts w:hint="eastAsia" w:ascii="仿宋" w:hAnsi="仿宋" w:eastAsia="仿宋" w:cs="仿宋"/>
          <w:color w:val="auto"/>
          <w:sz w:val="28"/>
          <w:szCs w:val="28"/>
          <w:highlight w:val="none"/>
          <w:lang w:val="en-US" w:eastAsia="zh-CN"/>
        </w:rPr>
        <w:t>采购项目所需设备，完成相关软件开发</w:t>
      </w:r>
      <w:r>
        <w:rPr>
          <w:rFonts w:hint="eastAsia" w:ascii="仿宋" w:hAnsi="仿宋" w:eastAsia="仿宋" w:cs="仿宋"/>
          <w:color w:val="auto"/>
          <w:sz w:val="28"/>
          <w:szCs w:val="28"/>
          <w:highlight w:val="none"/>
        </w:rPr>
        <w:t>、调试、测试</w:t>
      </w:r>
      <w:r>
        <w:rPr>
          <w:rFonts w:hint="eastAsia" w:ascii="仿宋" w:hAnsi="仿宋" w:eastAsia="仿宋" w:cs="仿宋"/>
          <w:color w:val="auto"/>
          <w:sz w:val="28"/>
          <w:szCs w:val="28"/>
          <w:highlight w:val="none"/>
          <w:lang w:val="en-US" w:eastAsia="zh-CN"/>
        </w:rPr>
        <w:t>等</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完成4A平台相关功能模块迁移和新增IT资源纳管，完成4A平台的整体联调测试，</w:t>
      </w:r>
      <w:r>
        <w:rPr>
          <w:rFonts w:hint="eastAsia" w:ascii="仿宋" w:hAnsi="仿宋" w:eastAsia="仿宋" w:cs="仿宋"/>
          <w:color w:val="auto"/>
          <w:sz w:val="28"/>
          <w:szCs w:val="28"/>
          <w:highlight w:val="none"/>
        </w:rPr>
        <w:t>双方商定采取乙方包工包料的承包方式</w:t>
      </w:r>
      <w:r>
        <w:rPr>
          <w:rFonts w:hint="eastAsia" w:ascii="仿宋" w:hAnsi="仿宋" w:eastAsia="仿宋" w:cs="仿宋"/>
          <w:color w:val="auto"/>
          <w:sz w:val="28"/>
          <w:szCs w:val="28"/>
          <w:highlight w:val="none"/>
          <w:lang w:val="en-US" w:eastAsia="zh-CN"/>
        </w:rPr>
        <w:t>。</w:t>
      </w:r>
    </w:p>
    <w:p>
      <w:pPr>
        <w:spacing w:line="360" w:lineRule="auto"/>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6.2技术服务工作成果的验收标准：</w:t>
      </w:r>
      <w:r>
        <w:rPr>
          <w:rFonts w:hint="eastAsia" w:ascii="仿宋" w:hAnsi="仿宋" w:eastAsia="仿宋" w:cs="仿宋"/>
          <w:color w:val="auto"/>
          <w:sz w:val="28"/>
          <w:szCs w:val="28"/>
          <w:highlight w:val="none"/>
          <w:lang w:val="en-US" w:eastAsia="zh-CN"/>
        </w:rPr>
        <w:t>乙方须实现</w:t>
      </w:r>
      <w:r>
        <w:rPr>
          <w:rFonts w:hint="eastAsia" w:ascii="仿宋" w:hAnsi="仿宋" w:eastAsia="仿宋" w:cs="仿宋"/>
          <w:color w:val="auto"/>
          <w:sz w:val="28"/>
          <w:szCs w:val="28"/>
          <w:highlight w:val="none"/>
          <w:lang w:val="en-US" w:eastAsia="zh-CN" w:bidi="ar-SA"/>
        </w:rPr>
        <w:t>《重庆机场4A统一安全管理平台升级改造项目建设要求》所规定的各项系统功能，并完成</w:t>
      </w:r>
      <w:r>
        <w:rPr>
          <w:rFonts w:hint="eastAsia" w:ascii="仿宋" w:hAnsi="仿宋" w:eastAsia="仿宋" w:cs="仿宋"/>
          <w:color w:val="auto"/>
          <w:sz w:val="28"/>
          <w:szCs w:val="28"/>
          <w:highlight w:val="none"/>
        </w:rPr>
        <w:t>调试、上线测试</w:t>
      </w:r>
      <w:r>
        <w:rPr>
          <w:rFonts w:hint="eastAsia" w:ascii="仿宋" w:hAnsi="仿宋" w:eastAsia="仿宋" w:cs="仿宋"/>
          <w:color w:val="auto"/>
          <w:sz w:val="28"/>
          <w:szCs w:val="28"/>
          <w:highlight w:val="none"/>
          <w:lang w:val="en-US" w:eastAsia="zh-CN"/>
        </w:rPr>
        <w:t>和甲方人员培训工作，并提供配套的竣工验收文档。</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6.3技术服务工作成果的验收方法：</w:t>
      </w:r>
      <w:r>
        <w:rPr>
          <w:rFonts w:hint="eastAsia" w:ascii="仿宋" w:hAnsi="仿宋" w:eastAsia="仿宋" w:cs="仿宋"/>
          <w:color w:val="auto"/>
          <w:sz w:val="28"/>
          <w:szCs w:val="28"/>
          <w:highlight w:val="none"/>
          <w:lang w:val="en-US" w:eastAsia="zh-CN" w:bidi="ar-SA"/>
        </w:rPr>
        <w:t>待项目完毕后，甲方按照6.2节所述验收标准及《重庆机场4A统一安全管理平台升级改造项目建设要求》进行验收，验收不合格的，乙方根据本合同相关规定及甲方意见进行整改，直至验收合格。</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6.4验收的时间和地点：</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重庆机场</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第七条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技术服务成果归属与分享</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7.1双方约定，履行本合同所形成的成果所涉及的相关知识产权归属甲方。</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7.2该技术成果若通过技术转让或知识产权使用许可等方式对外产生经济效益，收益部分双方按</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比例进行分配。</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第八条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违约责任：</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8.1甲方的违约责任</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甲方未按照合同约定提供必要的数据和资料，或者迟延提供合同约定的数据和资料，或者所提供的数据、资料有严重缺陷，影响工作进度和质量的，未付的报酬应当如数支付，并相应顺延技术服务成果交付时间；</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（2）甲方未按期支付报酬的，应当断续支付，每逾期一日，按应付未付金额的万分之一计付违约金；</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（3）甲方无故不提供技术资料、数据和工作条件，导致乙方无法开展工作的，乙方有权解除合同。</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8.2乙方的违约责任</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（1）乙方未按期提供服务成果，应当减收或者免收报酬，且每逾期一日，按合同总金额的万分之一计付违约金；如乙方逾期</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15个工作</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日仍未提交服务成果，甲方有权解除合同；</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（2）乙方所提交的服务成果不符合合同约定，或未通过验收的，甲方可拒付报酬，并有权要求乙方按合同总额</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softHyphen/>
      </w:r>
      <w:r>
        <w:rPr>
          <w:rFonts w:hint="eastAsia" w:ascii="仿宋" w:hAnsi="仿宋" w:eastAsia="仿宋" w:cs="仿宋"/>
          <w:color w:val="auto"/>
          <w:sz w:val="28"/>
          <w:szCs w:val="28"/>
          <w:highlight w:val="none"/>
          <w:lang w:eastAsia="zh-CN"/>
        </w:rPr>
        <w:softHyphen/>
      </w:r>
      <w:r>
        <w:rPr>
          <w:rFonts w:hint="eastAsia" w:ascii="仿宋" w:hAnsi="仿宋" w:eastAsia="仿宋" w:cs="仿宋"/>
          <w:color w:val="auto"/>
          <w:sz w:val="28"/>
          <w:szCs w:val="28"/>
          <w:highlight w:val="none"/>
          <w:lang w:eastAsia="zh-CN"/>
        </w:rPr>
        <w:t>%支付违约金；</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（3）乙方在接到甲方提交的技术资料和数据之日起</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5个工作</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日内，不开展服务工作的，甲方有权解除合同，乙方应当返还已收的报酬，并有权要求乙方按合同总额</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%支付违约金。</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第九条</w:t>
      </w:r>
      <w:r>
        <w:rPr>
          <w:rFonts w:hint="eastAsia" w:ascii="仿宋" w:hAnsi="仿宋" w:eastAsia="仿宋" w:cs="仿宋"/>
          <w:color w:val="auto"/>
          <w:sz w:val="28"/>
          <w:szCs w:val="28"/>
          <w:highlight w:val="none"/>
          <w:lang w:eastAsia="zh-CN"/>
        </w:rPr>
        <w:t xml:space="preserve"> 双方确定，在本合同有效期内，甲方指定</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为甲方项目联系人，乙方指定</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为乙方项目联系人。项目联系人履行</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职责。</w:t>
      </w:r>
    </w:p>
    <w:p>
      <w:pPr>
        <w:spacing w:line="360" w:lineRule="auto"/>
        <w:ind w:firstLine="560" w:firstLineChars="200"/>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一方变更项目联系人的，应当及时以书面形式通知另一方。未及时通知并影响本合同履行或造成损失的，应承担相应的责任。</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第十条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双方因履行本合同而发生的争议，应协商、调解解决。协商、调解不成的，确定按以下第</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种方式处理：</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10.1提交</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重庆</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仲裁委员会仲裁；</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10.2依法向</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甲方所在地</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人民法院起诉。</w:t>
      </w:r>
    </w:p>
    <w:p>
      <w:pPr>
        <w:spacing w:line="360" w:lineRule="auto"/>
        <w:jc w:val="both"/>
        <w:rPr>
          <w:rFonts w:ascii="仿宋" w:hAnsi="仿宋" w:eastAsia="仿宋" w:cs="仿宋"/>
          <w:b/>
          <w:bCs/>
          <w:color w:val="auto"/>
          <w:sz w:val="28"/>
          <w:szCs w:val="28"/>
          <w:highlight w:val="none"/>
          <w:lang w:eastAsia="zh-CN"/>
        </w:rPr>
      </w:pPr>
      <w:r>
        <w:rPr>
          <w:rFonts w:hint="eastAsia" w:ascii="黑体" w:hAnsi="黑体" w:eastAsia="黑体" w:cs="黑体"/>
          <w:color w:val="auto"/>
          <w:sz w:val="28"/>
          <w:szCs w:val="28"/>
          <w:highlight w:val="none"/>
          <w:lang w:eastAsia="zh-CN"/>
        </w:rPr>
        <w:t>第十一条</w:t>
      </w:r>
      <w:r>
        <w:rPr>
          <w:rFonts w:hint="eastAsia" w:ascii="仿宋" w:hAnsi="仿宋" w:eastAsia="仿宋" w:cs="仿宋"/>
          <w:color w:val="auto"/>
          <w:sz w:val="28"/>
          <w:szCs w:val="28"/>
          <w:highlight w:val="none"/>
          <w:lang w:eastAsia="zh-CN"/>
        </w:rPr>
        <w:t xml:space="preserve"> 双方约定本合同其他相关事项为：</w:t>
      </w:r>
      <w:r>
        <w:rPr>
          <w:rFonts w:hint="eastAsia" w:ascii="仿宋" w:hAnsi="仿宋" w:eastAsia="仿宋" w:cs="仿宋"/>
          <w:color w:val="auto"/>
          <w:sz w:val="28"/>
          <w:szCs w:val="28"/>
          <w:highlight w:val="none"/>
          <w:u w:val="single"/>
          <w:lang w:eastAsia="zh-CN"/>
        </w:rPr>
        <w:t>        </w:t>
      </w:r>
      <w:r>
        <w:rPr>
          <w:rFonts w:hint="eastAsia" w:ascii="仿宋" w:hAnsi="仿宋" w:eastAsia="仿宋" w:cs="仿宋"/>
          <w:b/>
          <w:bCs/>
          <w:color w:val="auto"/>
          <w:sz w:val="28"/>
          <w:szCs w:val="28"/>
          <w:highlight w:val="none"/>
          <w:lang w:eastAsia="zh-CN"/>
        </w:rPr>
        <w:t>。</w:t>
      </w:r>
    </w:p>
    <w:p>
      <w:pPr>
        <w:spacing w:line="360" w:lineRule="auto"/>
        <w:jc w:val="both"/>
        <w:rPr>
          <w:rFonts w:ascii="仿宋" w:hAnsi="仿宋" w:eastAsia="仿宋" w:cs="仿宋"/>
          <w:b/>
          <w:bCs/>
          <w:color w:val="auto"/>
          <w:sz w:val="28"/>
          <w:szCs w:val="28"/>
          <w:highlight w:val="none"/>
          <w:lang w:eastAsia="zh-CN"/>
        </w:rPr>
      </w:pPr>
      <w:bookmarkStart w:id="4" w:name="_Hlk10152663"/>
      <w:r>
        <w:rPr>
          <w:rFonts w:hint="eastAsia" w:ascii="黑体" w:hAnsi="黑体" w:eastAsia="黑体" w:cs="黑体"/>
          <w:color w:val="auto"/>
          <w:sz w:val="28"/>
          <w:szCs w:val="28"/>
          <w:highlight w:val="none"/>
          <w:lang w:val="zh-TW" w:eastAsia="zh-CN"/>
        </w:rPr>
        <w:t>第十</w:t>
      </w:r>
      <w:r>
        <w:rPr>
          <w:rFonts w:hint="eastAsia" w:ascii="黑体" w:hAnsi="黑体" w:eastAsia="黑体" w:cs="黑体"/>
          <w:color w:val="auto"/>
          <w:sz w:val="28"/>
          <w:szCs w:val="28"/>
          <w:highlight w:val="none"/>
          <w:lang w:eastAsia="zh-CN"/>
        </w:rPr>
        <w:t>二</w:t>
      </w:r>
      <w:r>
        <w:rPr>
          <w:rFonts w:hint="eastAsia" w:ascii="黑体" w:hAnsi="黑体" w:eastAsia="黑体" w:cs="黑体"/>
          <w:color w:val="auto"/>
          <w:sz w:val="28"/>
          <w:szCs w:val="28"/>
          <w:highlight w:val="none"/>
          <w:lang w:val="zh-TW" w:eastAsia="zh-CN"/>
        </w:rPr>
        <w:t>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val="zh-TW" w:eastAsia="zh-CN"/>
        </w:rPr>
        <w:t>除本合同另有约定外，根据本合同发出的或与本合同有关的通知应以专人送达、传真、电子邮件或邮寄方式发送至以下地址：</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zh-TW" w:eastAsia="zh-CN"/>
        </w:rPr>
        <w:t>1</w:t>
      </w:r>
      <w:r>
        <w:rPr>
          <w:rFonts w:hint="eastAsia" w:ascii="仿宋" w:hAnsi="仿宋" w:eastAsia="仿宋" w:cs="仿宋"/>
          <w:color w:val="auto"/>
          <w:sz w:val="28"/>
          <w:szCs w:val="28"/>
          <w:highlight w:val="none"/>
          <w:lang w:eastAsia="zh-CN"/>
        </w:rPr>
        <w:t>2</w:t>
      </w:r>
      <w:r>
        <w:rPr>
          <w:rFonts w:hint="eastAsia" w:ascii="仿宋" w:hAnsi="仿宋" w:eastAsia="仿宋" w:cs="仿宋"/>
          <w:color w:val="auto"/>
          <w:sz w:val="28"/>
          <w:szCs w:val="28"/>
          <w:highlight w:val="none"/>
          <w:lang w:val="zh-TW" w:eastAsia="zh-CN"/>
        </w:rPr>
        <w:t>.1甲方指定的联系方式包括：</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联系人：</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联系电话：</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通讯地址：</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电子邮件：</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zh-TW" w:eastAsia="zh-CN"/>
        </w:rPr>
        <w:t>乙方指定的联系方式包括：</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联系人：</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联系电话：</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通讯地址：</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电子邮件：</w:t>
      </w:r>
      <w:r>
        <w:rPr>
          <w:rFonts w:hint="eastAsia" w:ascii="黑体" w:hAnsi="黑体" w:eastAsia="黑体" w:cs="黑体"/>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12.2</w:t>
      </w:r>
      <w:r>
        <w:rPr>
          <w:rFonts w:hint="eastAsia" w:ascii="仿宋" w:hAnsi="仿宋" w:eastAsia="仿宋" w:cs="仿宋"/>
          <w:color w:val="auto"/>
          <w:sz w:val="28"/>
          <w:szCs w:val="28"/>
          <w:highlight w:val="none"/>
          <w:lang w:val="zh-TW" w:eastAsia="zh-CN"/>
        </w:rPr>
        <w:t>以专人送达方式发出的任何通知，在有关一方的地址面交时视为已送达；以邮寄方式发出的任何通知，在寄出后7日视为已送达；以传真或电子邮件方式发出的任何通知，发出方收到传真或电子邮件的发送确认回执时，视为已送达。</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12.3</w:t>
      </w:r>
      <w:r>
        <w:rPr>
          <w:rFonts w:hint="eastAsia" w:ascii="仿宋" w:hAnsi="仿宋" w:eastAsia="仿宋" w:cs="仿宋"/>
          <w:color w:val="auto"/>
          <w:sz w:val="28"/>
          <w:szCs w:val="28"/>
          <w:highlight w:val="none"/>
          <w:lang w:val="zh-TW" w:eastAsia="zh-CN"/>
        </w:rPr>
        <w:t>本合同项下司法文书的送达地址亦为上述地址，该地址可以用于收取各类诉讼、仲裁等司法文书，按照上述地址送达的，视为签收，受送达人拒收的，不影响送达效力。</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12.4</w:t>
      </w:r>
      <w:r>
        <w:rPr>
          <w:rFonts w:hint="eastAsia" w:ascii="仿宋" w:hAnsi="仿宋" w:eastAsia="仿宋" w:cs="仿宋"/>
          <w:color w:val="auto"/>
          <w:sz w:val="28"/>
          <w:szCs w:val="28"/>
          <w:highlight w:val="none"/>
          <w:lang w:val="zh-TW" w:eastAsia="zh-CN"/>
        </w:rPr>
        <w:t>本合同任何一方可书面通知另一方变更其在本合同第</w:t>
      </w:r>
      <w:r>
        <w:rPr>
          <w:rFonts w:hint="eastAsia" w:ascii="仿宋" w:hAnsi="仿宋" w:eastAsia="仿宋" w:cs="仿宋"/>
          <w:color w:val="auto"/>
          <w:sz w:val="28"/>
          <w:szCs w:val="28"/>
          <w:highlight w:val="none"/>
          <w:lang w:eastAsia="zh-CN"/>
        </w:rPr>
        <w:t>12.1</w:t>
      </w:r>
      <w:r>
        <w:rPr>
          <w:rFonts w:hint="eastAsia" w:ascii="仿宋" w:hAnsi="仿宋" w:eastAsia="仿宋" w:cs="仿宋"/>
          <w:color w:val="auto"/>
          <w:sz w:val="28"/>
          <w:szCs w:val="28"/>
          <w:highlight w:val="none"/>
          <w:lang w:val="zh-TW" w:eastAsia="zh-CN"/>
        </w:rPr>
        <w:t>条中载明的地址，变更生效时间为通知中指明的变更日期，如通知中没有指明变更日期或指明的日期早于通知送达日，则变更生效时间为通知送达日。如一方变更地址未通知另一方的，原约定地址仍为有效送达地址。</w:t>
      </w:r>
    </w:p>
    <w:bookmarkEnd w:id="4"/>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第十三条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本合同一式</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陆</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份，甲方执</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肆</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份，乙方执</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贰</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份，具有同等法律效力。</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4"/>
          <w:szCs w:val="24"/>
          <w:highlight w:val="none"/>
          <w:lang w:eastAsia="zh-CN"/>
        </w:rPr>
        <w:t>第十四条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本合同经双方代表签字盖章后生效。</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（以下无正文）</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 xml:space="preserve">甲方（盖章）： </w:t>
      </w:r>
      <w:r>
        <w:rPr>
          <w:rFonts w:hint="eastAsia" w:ascii="仿宋" w:hAnsi="仿宋" w:eastAsia="仿宋" w:cs="仿宋"/>
          <w:b/>
          <w:bCs/>
          <w:color w:val="auto"/>
          <w:sz w:val="28"/>
          <w:szCs w:val="28"/>
          <w:highlight w:val="non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法定代表人/授权代表（签字）：</w:t>
      </w:r>
    </w:p>
    <w:p>
      <w:pPr>
        <w:spacing w:line="360" w:lineRule="auto"/>
        <w:jc w:val="both"/>
        <w:rPr>
          <w:rFonts w:ascii="仿宋" w:hAnsi="仿宋" w:eastAsia="仿宋" w:cs="仿宋"/>
          <w:color w:val="auto"/>
          <w:sz w:val="28"/>
          <w:szCs w:val="28"/>
          <w:highlight w:val="none"/>
          <w:lang w:eastAsia="zh-CN"/>
        </w:rPr>
      </w:pP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乙方（盖章）：</w:t>
      </w:r>
      <w:r>
        <w:rPr>
          <w:rFonts w:hint="eastAsia" w:ascii="仿宋" w:hAnsi="仿宋" w:eastAsia="仿宋" w:cs="仿宋"/>
          <w:b/>
          <w:bCs/>
          <w:color w:val="auto"/>
          <w:sz w:val="28"/>
          <w:szCs w:val="28"/>
          <w:highlight w:val="none"/>
          <w:lang w:eastAsia="zh-CN"/>
        </w:rPr>
        <w:t xml:space="preserve">        </w:t>
      </w:r>
    </w:p>
    <w:p>
      <w:pPr>
        <w:spacing w:line="360" w:lineRule="auto"/>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法定代表人/授权代表（签字）：</w:t>
      </w:r>
    </w:p>
    <w:p>
      <w:pPr>
        <w:spacing w:line="360" w:lineRule="auto"/>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签署时间：    年    月    日</w:t>
      </w:r>
    </w:p>
    <w:p>
      <w:pPr>
        <w:spacing w:line="360" w:lineRule="auto"/>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签订地点：</w:t>
      </w:r>
    </w:p>
    <w:p>
      <w:pPr>
        <w:pStyle w:val="7"/>
        <w:outlineLvl w:val="9"/>
        <w:rPr>
          <w:color w:val="auto"/>
          <w:highlight w:val="none"/>
        </w:rPr>
      </w:pPr>
    </w:p>
    <w:p>
      <w:pPr>
        <w:pStyle w:val="2"/>
        <w:outlineLvl w:val="9"/>
        <w:rPr>
          <w:color w:val="auto"/>
          <w:highlight w:val="none"/>
        </w:rPr>
      </w:pPr>
    </w:p>
    <w:p>
      <w:pPr>
        <w:rPr>
          <w:color w:val="auto"/>
          <w:highlight w:val="none"/>
        </w:rPr>
      </w:pPr>
    </w:p>
    <w:p>
      <w:pPr>
        <w:rPr>
          <w:color w:val="auto"/>
          <w:highlight w:val="none"/>
        </w:rPr>
      </w:pPr>
    </w:p>
    <w:p>
      <w:pP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br w:type="page"/>
      </w:r>
    </w:p>
    <w:p>
      <w:pPr>
        <w:spacing w:line="600" w:lineRule="exact"/>
        <w:jc w:val="center"/>
        <w:outlineLvl w:val="0"/>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第四章  比选附件</w:t>
      </w:r>
    </w:p>
    <w:p>
      <w:pPr>
        <w:snapToGrid w:val="0"/>
        <w:spacing w:line="360" w:lineRule="auto"/>
        <w:rPr>
          <w:rFonts w:ascii="仿宋" w:hAnsi="仿宋" w:eastAsia="仿宋"/>
          <w:b/>
          <w:bCs/>
          <w:color w:val="auto"/>
          <w:sz w:val="28"/>
          <w:szCs w:val="28"/>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1</w:t>
      </w:r>
      <w:r>
        <w:rPr>
          <w:rFonts w:hint="eastAsia" w:ascii="仿宋" w:hAnsi="仿宋" w:eastAsia="仿宋"/>
          <w:b/>
          <w:bCs/>
          <w:color w:val="auto"/>
          <w:sz w:val="28"/>
          <w:szCs w:val="28"/>
          <w:highlight w:val="none"/>
        </w:rPr>
        <w:t>：</w:t>
      </w:r>
    </w:p>
    <w:p>
      <w:pPr>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报价函</w:t>
      </w:r>
    </w:p>
    <w:p>
      <w:pPr>
        <w:jc w:val="left"/>
        <w:rPr>
          <w:rFonts w:ascii="仿宋" w:hAnsi="仿宋" w:eastAsia="仿宋"/>
          <w:color w:val="auto"/>
          <w:sz w:val="28"/>
          <w:szCs w:val="28"/>
          <w:highlight w:val="none"/>
        </w:rPr>
      </w:pPr>
      <w:r>
        <w:rPr>
          <w:rFonts w:hint="eastAsia" w:ascii="仿宋" w:hAnsi="仿宋" w:eastAsia="仿宋"/>
          <w:color w:val="auto"/>
          <w:sz w:val="28"/>
          <w:szCs w:val="28"/>
          <w:highlight w:val="none"/>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rPr>
        <w:t>．我方已仔细研究了</w:t>
      </w:r>
      <w:r>
        <w:rPr>
          <w:rFonts w:ascii="仿宋" w:hAnsi="仿宋" w:eastAsia="仿宋"/>
          <w:color w:val="auto"/>
          <w:sz w:val="28"/>
          <w:szCs w:val="28"/>
          <w:highlight w:val="none"/>
          <w:u w:val="single"/>
        </w:rPr>
        <w:tab/>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项目比选采购文件的全部内容，愿意以人民币</w:t>
      </w:r>
      <w:r>
        <w:rPr>
          <w:rFonts w:hint="eastAsia" w:ascii="仿宋" w:hAnsi="仿宋" w:eastAsia="仿宋"/>
          <w:color w:val="auto"/>
          <w:sz w:val="28"/>
          <w:szCs w:val="28"/>
          <w:highlight w:val="none"/>
          <w:u w:val="single"/>
        </w:rPr>
        <w:t>（大写）</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u w:val="single"/>
        </w:rPr>
        <w:t>元（</w:t>
      </w:r>
      <w:r>
        <w:rPr>
          <w:rFonts w:eastAsia="仿宋"/>
          <w:color w:val="auto"/>
          <w:sz w:val="28"/>
          <w:szCs w:val="28"/>
          <w:highlight w:val="none"/>
          <w:u w:val="single"/>
        </w:rPr>
        <w:t>¥</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u w:val="single"/>
        </w:rPr>
        <w:t>）</w:t>
      </w:r>
      <w:r>
        <w:rPr>
          <w:rFonts w:hint="eastAsia" w:ascii="仿宋" w:hAnsi="仿宋" w:eastAsia="仿宋"/>
          <w:b/>
          <w:bCs/>
          <w:color w:val="FF0000"/>
          <w:sz w:val="28"/>
          <w:szCs w:val="28"/>
          <w:highlight w:val="yellow"/>
        </w:rPr>
        <w:t>含增值税税额</w:t>
      </w:r>
      <w:r>
        <w:rPr>
          <w:rFonts w:hint="eastAsia" w:ascii="仿宋" w:hAnsi="仿宋" w:eastAsia="仿宋"/>
          <w:color w:val="auto"/>
          <w:sz w:val="28"/>
          <w:szCs w:val="28"/>
          <w:highlight w:val="none"/>
        </w:rPr>
        <w:t>的总报价，</w:t>
      </w:r>
      <w:r>
        <w:rPr>
          <w:rFonts w:hint="eastAsia" w:ascii="仿宋_GB2312" w:hAnsi="宋体" w:eastAsia="仿宋_GB2312"/>
          <w:color w:val="auto"/>
          <w:sz w:val="28"/>
          <w:szCs w:val="28"/>
          <w:highlight w:val="none"/>
        </w:rPr>
        <w:t>增值税税率</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w:t>
      </w:r>
      <w:r>
        <w:rPr>
          <w:rFonts w:hint="eastAsia" w:ascii="仿宋" w:hAnsi="仿宋" w:eastAsia="仿宋"/>
          <w:color w:val="auto"/>
          <w:sz w:val="28"/>
          <w:szCs w:val="28"/>
          <w:highlight w:val="none"/>
        </w:rPr>
        <w:t>工期</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rPr>
        <w:t>，按合同约定实施和完成承包项目的全部工作。</w:t>
      </w:r>
    </w:p>
    <w:p>
      <w:pPr>
        <w:autoSpaceDE w:val="0"/>
        <w:autoSpaceDN w:val="0"/>
        <w:adjustRightInd w:val="0"/>
        <w:spacing w:before="15"/>
        <w:ind w:right="-20"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rPr>
        <w:t>．我方承诺在比选有效期内不修改、撤销比选响应文件。</w:t>
      </w:r>
    </w:p>
    <w:p>
      <w:pPr>
        <w:autoSpaceDE w:val="0"/>
        <w:autoSpaceDN w:val="0"/>
        <w:adjustRightInd w:val="0"/>
        <w:ind w:right="-20"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rPr>
        <w:t>．若我方成交：</w:t>
      </w:r>
    </w:p>
    <w:p>
      <w:pPr>
        <w:autoSpaceDE w:val="0"/>
        <w:autoSpaceDN w:val="0"/>
        <w:adjustRightInd w:val="0"/>
        <w:ind w:right="-80"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w:t>
      </w:r>
      <w:r>
        <w:rPr>
          <w:rFonts w:ascii="仿宋" w:hAnsi="仿宋" w:eastAsia="仿宋"/>
          <w:color w:val="auto"/>
          <w:sz w:val="28"/>
          <w:szCs w:val="28"/>
          <w:highlight w:val="none"/>
        </w:rPr>
        <w:t>1</w:t>
      </w:r>
      <w:r>
        <w:rPr>
          <w:rFonts w:hint="eastAsia" w:ascii="仿宋" w:hAnsi="仿宋" w:eastAsia="仿宋"/>
          <w:color w:val="auto"/>
          <w:sz w:val="28"/>
          <w:szCs w:val="28"/>
          <w:highlight w:val="none"/>
        </w:rPr>
        <w:t>）我方承诺在收到成交通知书后，在规定的期限内与你方签订合同。</w:t>
      </w:r>
    </w:p>
    <w:p>
      <w:pPr>
        <w:autoSpaceDE w:val="0"/>
        <w:autoSpaceDN w:val="0"/>
        <w:adjustRightInd w:val="0"/>
        <w:ind w:right="-20"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w:t>
      </w:r>
      <w:r>
        <w:rPr>
          <w:rFonts w:ascii="仿宋" w:hAnsi="仿宋" w:eastAsia="仿宋"/>
          <w:color w:val="auto"/>
          <w:sz w:val="28"/>
          <w:szCs w:val="28"/>
          <w:highlight w:val="none"/>
        </w:rPr>
        <w:t>2</w:t>
      </w:r>
      <w:r>
        <w:rPr>
          <w:rFonts w:hint="eastAsia" w:ascii="仿宋" w:hAnsi="仿宋" w:eastAsia="仿宋"/>
          <w:color w:val="auto"/>
          <w:sz w:val="28"/>
          <w:szCs w:val="28"/>
          <w:highlight w:val="none"/>
        </w:rPr>
        <w:t>）随同本报价函递交的报价函附录属于合同文件的组成部分。</w:t>
      </w:r>
    </w:p>
    <w:p>
      <w:pPr>
        <w:autoSpaceDE w:val="0"/>
        <w:autoSpaceDN w:val="0"/>
        <w:adjustRightInd w:val="0"/>
        <w:ind w:right="-20"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w:t>
      </w:r>
      <w:r>
        <w:rPr>
          <w:rFonts w:ascii="仿宋" w:hAnsi="仿宋" w:eastAsia="仿宋"/>
          <w:color w:val="auto"/>
          <w:sz w:val="28"/>
          <w:szCs w:val="28"/>
          <w:highlight w:val="none"/>
        </w:rPr>
        <w:t>3</w:t>
      </w:r>
      <w:r>
        <w:rPr>
          <w:rFonts w:hint="eastAsia" w:ascii="仿宋" w:hAnsi="仿宋" w:eastAsia="仿宋"/>
          <w:color w:val="auto"/>
          <w:sz w:val="28"/>
          <w:szCs w:val="28"/>
          <w:highlight w:val="none"/>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4</w:t>
      </w:r>
      <w:r>
        <w:rPr>
          <w:rFonts w:hint="eastAsia" w:ascii="仿宋" w:hAnsi="仿宋" w:eastAsia="仿宋"/>
          <w:color w:val="auto"/>
          <w:sz w:val="28"/>
          <w:szCs w:val="28"/>
          <w:highlight w:val="none"/>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5</w:t>
      </w:r>
      <w:r>
        <w:rPr>
          <w:rFonts w:hint="eastAsia" w:ascii="仿宋" w:hAnsi="仿宋" w:eastAsia="仿宋"/>
          <w:color w:val="auto"/>
          <w:sz w:val="28"/>
          <w:szCs w:val="28"/>
          <w:highlight w:val="none"/>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比选响应人：</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法定代表人或其委托代理人：</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rPr>
        <w:t>（签字）</w:t>
      </w:r>
    </w:p>
    <w:p>
      <w:pPr>
        <w:tabs>
          <w:tab w:val="left" w:pos="647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地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址：</w:t>
      </w:r>
      <w:r>
        <w:rPr>
          <w:rFonts w:ascii="仿宋" w:hAnsi="仿宋" w:eastAsia="仿宋"/>
          <w:color w:val="auto"/>
          <w:sz w:val="28"/>
          <w:szCs w:val="28"/>
          <w:highlight w:val="none"/>
          <w:u w:val="single"/>
        </w:rPr>
        <w:t xml:space="preserve">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网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址：</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电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话：</w:t>
      </w:r>
      <w:r>
        <w:rPr>
          <w:rFonts w:hint="eastAsia" w:ascii="仿宋" w:hAnsi="仿宋" w:eastAsia="仿宋"/>
          <w:color w:val="auto"/>
          <w:sz w:val="28"/>
          <w:szCs w:val="28"/>
          <w:highlight w:val="none"/>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传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真：</w:t>
      </w:r>
      <w:r>
        <w:rPr>
          <w:rFonts w:hint="eastAsia" w:ascii="仿宋" w:hAnsi="仿宋" w:eastAsia="仿宋"/>
          <w:color w:val="auto"/>
          <w:sz w:val="28"/>
          <w:szCs w:val="28"/>
          <w:highlight w:val="none"/>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rPr>
      </w:pPr>
      <w:r>
        <w:rPr>
          <w:rFonts w:hint="eastAsia" w:ascii="仿宋" w:hAnsi="仿宋" w:eastAsia="仿宋"/>
          <w:color w:val="auto"/>
          <w:sz w:val="28"/>
          <w:szCs w:val="28"/>
          <w:highlight w:val="none"/>
        </w:rPr>
        <w:t>邮 政 编 码：</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w:t>
      </w: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2</w:t>
      </w:r>
      <w:r>
        <w:rPr>
          <w:rFonts w:hint="eastAsia" w:ascii="仿宋" w:hAnsi="仿宋" w:eastAsia="仿宋"/>
          <w:b/>
          <w:bCs/>
          <w:color w:val="auto"/>
          <w:sz w:val="28"/>
          <w:szCs w:val="28"/>
          <w:highlight w:val="none"/>
        </w:rPr>
        <w:t>：</w:t>
      </w:r>
    </w:p>
    <w:p>
      <w:pPr>
        <w:pStyle w:val="2"/>
        <w:rPr>
          <w:color w:val="auto"/>
          <w:highlight w:val="none"/>
        </w:rPr>
      </w:pPr>
      <w:r>
        <w:rPr>
          <w:rFonts w:hint="eastAsia"/>
          <w:color w:val="auto"/>
          <w:highlight w:val="none"/>
        </w:rPr>
        <w:t>供应货物清单</w:t>
      </w:r>
    </w:p>
    <w:tbl>
      <w:tblPr>
        <w:tblStyle w:val="1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13"/>
        <w:gridCol w:w="1380"/>
        <w:gridCol w:w="851"/>
        <w:gridCol w:w="964"/>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r>
              <w:rPr>
                <w:rFonts w:hint="eastAsia"/>
                <w:b/>
                <w:color w:val="auto"/>
                <w:sz w:val="24"/>
                <w:highlight w:val="none"/>
              </w:rPr>
              <w:t>序号</w:t>
            </w:r>
          </w:p>
        </w:tc>
        <w:tc>
          <w:tcPr>
            <w:tcW w:w="1313" w:type="dxa"/>
            <w:vAlign w:val="center"/>
          </w:tcPr>
          <w:p>
            <w:pPr>
              <w:jc w:val="center"/>
              <w:rPr>
                <w:b/>
                <w:color w:val="auto"/>
                <w:sz w:val="24"/>
                <w:highlight w:val="none"/>
              </w:rPr>
            </w:pPr>
            <w:r>
              <w:rPr>
                <w:rFonts w:hint="eastAsia"/>
                <w:b/>
                <w:color w:val="auto"/>
                <w:sz w:val="24"/>
                <w:highlight w:val="none"/>
              </w:rPr>
              <w:t>品名</w:t>
            </w:r>
          </w:p>
        </w:tc>
        <w:tc>
          <w:tcPr>
            <w:tcW w:w="1380" w:type="dxa"/>
            <w:vAlign w:val="center"/>
          </w:tcPr>
          <w:p>
            <w:pPr>
              <w:jc w:val="center"/>
              <w:rPr>
                <w:b/>
                <w:color w:val="auto"/>
                <w:sz w:val="24"/>
                <w:highlight w:val="none"/>
              </w:rPr>
            </w:pPr>
            <w:r>
              <w:rPr>
                <w:rFonts w:hint="eastAsia"/>
                <w:b/>
                <w:color w:val="auto"/>
                <w:sz w:val="24"/>
                <w:highlight w:val="none"/>
              </w:rPr>
              <w:t>型号规格</w:t>
            </w:r>
          </w:p>
        </w:tc>
        <w:tc>
          <w:tcPr>
            <w:tcW w:w="851" w:type="dxa"/>
            <w:vAlign w:val="center"/>
          </w:tcPr>
          <w:p>
            <w:pPr>
              <w:jc w:val="center"/>
              <w:rPr>
                <w:b/>
                <w:color w:val="auto"/>
                <w:sz w:val="24"/>
                <w:highlight w:val="none"/>
              </w:rPr>
            </w:pPr>
            <w:r>
              <w:rPr>
                <w:rFonts w:hint="eastAsia"/>
                <w:b/>
                <w:color w:val="auto"/>
                <w:sz w:val="24"/>
                <w:highlight w:val="none"/>
              </w:rPr>
              <w:t>数量</w:t>
            </w:r>
          </w:p>
        </w:tc>
        <w:tc>
          <w:tcPr>
            <w:tcW w:w="964" w:type="dxa"/>
            <w:vAlign w:val="center"/>
          </w:tcPr>
          <w:p>
            <w:pPr>
              <w:jc w:val="center"/>
              <w:rPr>
                <w:b/>
                <w:color w:val="auto"/>
                <w:sz w:val="24"/>
                <w:highlight w:val="none"/>
              </w:rPr>
            </w:pPr>
            <w:r>
              <w:rPr>
                <w:rFonts w:hint="eastAsia"/>
                <w:b/>
                <w:color w:val="auto"/>
                <w:sz w:val="24"/>
                <w:highlight w:val="none"/>
              </w:rPr>
              <w:t>单位</w:t>
            </w:r>
          </w:p>
        </w:tc>
        <w:tc>
          <w:tcPr>
            <w:tcW w:w="1065" w:type="dxa"/>
            <w:vAlign w:val="center"/>
          </w:tcPr>
          <w:p>
            <w:pPr>
              <w:rPr>
                <w:b/>
                <w:color w:val="auto"/>
                <w:sz w:val="24"/>
                <w:highlight w:val="none"/>
              </w:rPr>
            </w:pPr>
            <w:r>
              <w:rPr>
                <w:rFonts w:hint="eastAsia"/>
                <w:b/>
                <w:color w:val="auto"/>
                <w:sz w:val="24"/>
                <w:highlight w:val="none"/>
              </w:rPr>
              <w:t>单价（元）</w:t>
            </w:r>
          </w:p>
        </w:tc>
        <w:tc>
          <w:tcPr>
            <w:tcW w:w="1066" w:type="dxa"/>
            <w:vAlign w:val="center"/>
          </w:tcPr>
          <w:p>
            <w:pPr>
              <w:rPr>
                <w:b/>
                <w:color w:val="auto"/>
                <w:sz w:val="24"/>
                <w:highlight w:val="none"/>
              </w:rPr>
            </w:pPr>
            <w:r>
              <w:rPr>
                <w:rFonts w:hint="eastAsia"/>
                <w:b/>
                <w:color w:val="auto"/>
                <w:sz w:val="24"/>
                <w:highlight w:val="none"/>
              </w:rPr>
              <w:t>总价（元）</w:t>
            </w:r>
          </w:p>
        </w:tc>
        <w:tc>
          <w:tcPr>
            <w:tcW w:w="1066" w:type="dxa"/>
            <w:vAlign w:val="center"/>
          </w:tcPr>
          <w:p>
            <w:pPr>
              <w:jc w:val="center"/>
              <w:rPr>
                <w:b/>
                <w:color w:val="auto"/>
                <w:sz w:val="24"/>
                <w:highlight w:val="none"/>
              </w:rPr>
            </w:pPr>
            <w:r>
              <w:rPr>
                <w:rFonts w:hint="eastAsia"/>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vAlign w:val="center"/>
          </w:tcPr>
          <w:p>
            <w:pPr>
              <w:rPr>
                <w:b/>
                <w:color w:val="auto"/>
                <w:sz w:val="24"/>
                <w:highlight w:val="none"/>
              </w:rPr>
            </w:pPr>
          </w:p>
        </w:tc>
        <w:tc>
          <w:tcPr>
            <w:tcW w:w="1066" w:type="dxa"/>
            <w:vAlign w:val="center"/>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bl>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rPr>
          <w:rFonts w:ascii="Calibri" w:hAnsi="Calibri"/>
          <w:b/>
          <w:bCs/>
          <w:color w:val="auto"/>
          <w:sz w:val="32"/>
          <w:szCs w:val="32"/>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3</w:t>
      </w:r>
      <w:r>
        <w:rPr>
          <w:rFonts w:hint="eastAsia" w:ascii="仿宋" w:hAnsi="仿宋" w:eastAsia="仿宋"/>
          <w:b/>
          <w:bCs/>
          <w:color w:val="auto"/>
          <w:sz w:val="28"/>
          <w:szCs w:val="28"/>
          <w:highlight w:val="none"/>
        </w:rPr>
        <w:t>：</w:t>
      </w:r>
    </w:p>
    <w:p>
      <w:pPr>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法定代表人身份证明</w:t>
      </w:r>
    </w:p>
    <w:p>
      <w:pPr>
        <w:rPr>
          <w:rFonts w:ascii="仿宋" w:hAnsi="仿宋" w:eastAsia="仿宋"/>
          <w:color w:val="auto"/>
          <w:highlight w:val="none"/>
        </w:rPr>
      </w:pPr>
    </w:p>
    <w:p>
      <w:pPr>
        <w:tabs>
          <w:tab w:val="left" w:pos="556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比选响应人名称：</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单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位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性  质：</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575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地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址：</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成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立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时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间：</w:t>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spacing w:val="-1"/>
          <w:kern w:val="0"/>
          <w:sz w:val="28"/>
          <w:szCs w:val="28"/>
          <w:highlight w:val="none"/>
        </w:rPr>
        <w:t>年</w:t>
      </w: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spacing w:val="-1"/>
          <w:kern w:val="0"/>
          <w:sz w:val="28"/>
          <w:szCs w:val="28"/>
          <w:highlight w:val="none"/>
        </w:rPr>
        <w:t>月</w:t>
      </w: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kern w:val="0"/>
          <w:sz w:val="28"/>
          <w:szCs w:val="28"/>
          <w:highlight w:val="none"/>
        </w:rPr>
        <w:t>日</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经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营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期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限：</w:t>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姓名：</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性别</w:t>
      </w:r>
      <w:r>
        <w:rPr>
          <w:rFonts w:hint="eastAsia" w:ascii="仿宋" w:hAnsi="仿宋" w:eastAsia="仿宋"/>
          <w:color w:val="auto"/>
          <w:spacing w:val="-1"/>
          <w:kern w:val="0"/>
          <w:sz w:val="28"/>
          <w:szCs w:val="28"/>
          <w:highlight w:val="none"/>
        </w:rPr>
        <w:t>：</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spacing w:val="-1"/>
          <w:kern w:val="0"/>
          <w:sz w:val="28"/>
          <w:szCs w:val="28"/>
          <w:highlight w:val="none"/>
        </w:rPr>
        <w:t>年</w:t>
      </w:r>
      <w:r>
        <w:rPr>
          <w:rFonts w:hint="eastAsia" w:ascii="仿宋" w:hAnsi="仿宋" w:eastAsia="仿宋"/>
          <w:color w:val="auto"/>
          <w:kern w:val="0"/>
          <w:sz w:val="28"/>
          <w:szCs w:val="28"/>
          <w:highlight w:val="none"/>
        </w:rPr>
        <w:t>龄：</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职务：</w:t>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3360"/>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系</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（比选响应人名称）</w:t>
      </w:r>
      <w:r>
        <w:rPr>
          <w:rFonts w:hint="eastAsia" w:ascii="仿宋" w:hAnsi="仿宋" w:eastAsia="仿宋"/>
          <w:color w:val="auto"/>
          <w:kern w:val="0"/>
          <w:sz w:val="28"/>
          <w:szCs w:val="28"/>
          <w:highlight w:val="none"/>
        </w:rPr>
        <w:t>的法定代表人。</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autoSpaceDE w:val="0"/>
        <w:autoSpaceDN w:val="0"/>
        <w:adjustRightInd w:val="0"/>
        <w:snapToGrid w:val="0"/>
        <w:spacing w:line="360" w:lineRule="auto"/>
        <w:ind w:firstLine="1080" w:firstLineChars="3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特此证明。</w:t>
      </w: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tabs>
          <w:tab w:val="left" w:pos="6310"/>
        </w:tabs>
        <w:autoSpaceDE w:val="0"/>
        <w:autoSpaceDN w:val="0"/>
        <w:adjustRightInd w:val="0"/>
        <w:snapToGrid w:val="0"/>
        <w:spacing w:line="360" w:lineRule="auto"/>
        <w:ind w:firstLine="3360" w:firstLineChars="120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比选响应</w:t>
      </w:r>
      <w:r>
        <w:rPr>
          <w:rFonts w:hint="eastAsia" w:ascii="仿宋" w:hAnsi="仿宋" w:eastAsia="仿宋"/>
          <w:color w:val="auto"/>
          <w:spacing w:val="-1"/>
          <w:kern w:val="0"/>
          <w:sz w:val="28"/>
          <w:szCs w:val="28"/>
          <w:highlight w:val="none"/>
        </w:rPr>
        <w:t>人</w:t>
      </w:r>
      <w:r>
        <w:rPr>
          <w:rFonts w:hint="eastAsia" w:ascii="仿宋" w:hAnsi="仿宋" w:eastAsia="仿宋"/>
          <w:color w:val="auto"/>
          <w:kern w:val="0"/>
          <w:sz w:val="28"/>
          <w:szCs w:val="28"/>
          <w:highlight w:val="none"/>
        </w:rPr>
        <w:t>：</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spacing w:val="-1"/>
          <w:kern w:val="0"/>
          <w:sz w:val="28"/>
          <w:szCs w:val="28"/>
          <w:highlight w:val="none"/>
        </w:rPr>
        <w:t>（</w:t>
      </w:r>
      <w:r>
        <w:rPr>
          <w:rFonts w:hint="eastAsia" w:ascii="仿宋" w:hAnsi="仿宋" w:eastAsia="仿宋"/>
          <w:color w:val="auto"/>
          <w:kern w:val="0"/>
          <w:sz w:val="28"/>
          <w:szCs w:val="28"/>
          <w:highlight w:val="none"/>
        </w:rPr>
        <w:t>盖单位公章）</w:t>
      </w: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color w:val="auto"/>
          <w:kern w:val="0"/>
          <w:sz w:val="28"/>
          <w:szCs w:val="28"/>
          <w:highlight w:val="none"/>
        </w:rPr>
      </w:pP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spacing w:val="-1"/>
          <w:kern w:val="0"/>
          <w:sz w:val="28"/>
          <w:szCs w:val="28"/>
          <w:highlight w:val="none"/>
        </w:rPr>
        <w:t>年</w:t>
      </w: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kern w:val="0"/>
          <w:sz w:val="28"/>
          <w:szCs w:val="28"/>
          <w:highlight w:val="none"/>
        </w:rPr>
        <w:t>月</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日</w:t>
      </w:r>
    </w:p>
    <w:p>
      <w:pPr>
        <w:rPr>
          <w:rFonts w:ascii="仿宋" w:hAnsi="仿宋" w:eastAsia="仿宋"/>
          <w:b/>
          <w:bCs/>
          <w:color w:val="auto"/>
          <w:sz w:val="28"/>
          <w:szCs w:val="28"/>
          <w:highlight w:val="none"/>
        </w:rPr>
      </w:pPr>
      <w:r>
        <w:rPr>
          <w:rFonts w:hint="eastAsia" w:ascii="仿宋" w:hAnsi="仿宋" w:eastAsia="仿宋"/>
          <w:b/>
          <w:bCs/>
          <w:color w:val="auto"/>
          <w:kern w:val="0"/>
          <w:sz w:val="28"/>
          <w:szCs w:val="28"/>
          <w:highlight w:val="none"/>
        </w:rPr>
        <w:t>附法定代表人身份证复印件</w:t>
      </w:r>
    </w:p>
    <w:p>
      <w:pPr>
        <w:snapToGrid w:val="0"/>
        <w:spacing w:line="360" w:lineRule="auto"/>
        <w:rPr>
          <w:rFonts w:ascii="仿宋" w:hAnsi="仿宋" w:eastAsia="仿宋"/>
          <w:b/>
          <w:bCs/>
          <w:color w:val="auto"/>
          <w:sz w:val="28"/>
          <w:szCs w:val="28"/>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4</w:t>
      </w:r>
      <w:r>
        <w:rPr>
          <w:rFonts w:hint="eastAsia" w:ascii="仿宋" w:hAnsi="仿宋" w:eastAsia="仿宋"/>
          <w:b/>
          <w:bCs/>
          <w:color w:val="auto"/>
          <w:sz w:val="28"/>
          <w:szCs w:val="28"/>
          <w:highlight w:val="none"/>
        </w:rPr>
        <w:t>：</w:t>
      </w:r>
    </w:p>
    <w:p>
      <w:pPr>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法定代表人授权书</w:t>
      </w:r>
    </w:p>
    <w:p>
      <w:pPr>
        <w:ind w:right="-694"/>
        <w:rPr>
          <w:rFonts w:ascii="仿宋" w:hAnsi="仿宋" w:eastAsia="仿宋"/>
          <w:color w:val="auto"/>
          <w:sz w:val="28"/>
          <w:szCs w:val="28"/>
          <w:highlight w:val="none"/>
        </w:rPr>
      </w:pPr>
    </w:p>
    <w:p>
      <w:pPr>
        <w:spacing w:line="480" w:lineRule="auto"/>
        <w:ind w:firstLine="700" w:firstLineChars="250"/>
        <w:rPr>
          <w:rFonts w:ascii="仿宋" w:hAnsi="仿宋" w:eastAsia="仿宋"/>
          <w:color w:val="auto"/>
          <w:sz w:val="28"/>
          <w:szCs w:val="28"/>
          <w:highlight w:val="none"/>
        </w:rPr>
      </w:pPr>
      <w:r>
        <w:rPr>
          <w:rFonts w:hint="eastAsia" w:ascii="仿宋" w:hAnsi="仿宋" w:eastAsia="仿宋"/>
          <w:color w:val="auto"/>
          <w:sz w:val="28"/>
          <w:szCs w:val="28"/>
          <w:highlight w:val="none"/>
        </w:rPr>
        <w:t>本授权书申明</w:t>
      </w:r>
      <w:r>
        <w:rPr>
          <w:rFonts w:ascii="仿宋" w:hAnsi="仿宋" w:eastAsia="仿宋"/>
          <w:color w:val="auto"/>
          <w:sz w:val="28"/>
          <w:szCs w:val="28"/>
          <w:highlight w:val="none"/>
        </w:rPr>
        <w:t>___________________________</w:t>
      </w:r>
      <w:r>
        <w:rPr>
          <w:rFonts w:hint="eastAsia" w:ascii="仿宋" w:hAnsi="仿宋" w:eastAsia="仿宋"/>
          <w:color w:val="auto"/>
          <w:sz w:val="28"/>
          <w:szCs w:val="28"/>
          <w:highlight w:val="none"/>
        </w:rPr>
        <w:t>（公司注册地点）</w:t>
      </w:r>
      <w:r>
        <w:rPr>
          <w:rFonts w:ascii="仿宋" w:hAnsi="仿宋" w:eastAsia="仿宋"/>
          <w:color w:val="auto"/>
          <w:sz w:val="28"/>
          <w:szCs w:val="28"/>
          <w:highlight w:val="none"/>
        </w:rPr>
        <w:t>______________(</w:t>
      </w:r>
      <w:r>
        <w:rPr>
          <w:rFonts w:hint="eastAsia" w:ascii="仿宋" w:hAnsi="仿宋" w:eastAsia="仿宋"/>
          <w:color w:val="auto"/>
          <w:sz w:val="28"/>
          <w:szCs w:val="28"/>
          <w:highlight w:val="none"/>
        </w:rPr>
        <w:t>公司名称</w:t>
      </w:r>
      <w:r>
        <w:rPr>
          <w:rFonts w:ascii="仿宋" w:hAnsi="仿宋" w:eastAsia="仿宋"/>
          <w:color w:val="auto"/>
          <w:sz w:val="28"/>
          <w:szCs w:val="28"/>
          <w:highlight w:val="none"/>
        </w:rPr>
        <w:t>)__________(</w:t>
      </w:r>
      <w:r>
        <w:rPr>
          <w:rFonts w:hint="eastAsia" w:ascii="仿宋" w:hAnsi="仿宋" w:eastAsia="仿宋"/>
          <w:color w:val="auto"/>
          <w:sz w:val="28"/>
          <w:szCs w:val="28"/>
          <w:highlight w:val="none"/>
        </w:rPr>
        <w:t>职务</w:t>
      </w:r>
      <w:r>
        <w:rPr>
          <w:rFonts w:ascii="仿宋" w:hAnsi="仿宋" w:eastAsia="仿宋"/>
          <w:color w:val="auto"/>
          <w:sz w:val="28"/>
          <w:szCs w:val="28"/>
          <w:highlight w:val="none"/>
        </w:rPr>
        <w:t>)________(</w:t>
      </w:r>
      <w:r>
        <w:rPr>
          <w:rFonts w:hint="eastAsia" w:ascii="仿宋" w:hAnsi="仿宋" w:eastAsia="仿宋"/>
          <w:color w:val="auto"/>
          <w:sz w:val="28"/>
          <w:szCs w:val="28"/>
          <w:highlight w:val="none"/>
        </w:rPr>
        <w:t>法定代表人</w:t>
      </w:r>
      <w:r>
        <w:rPr>
          <w:rFonts w:ascii="仿宋" w:hAnsi="仿宋" w:eastAsia="仿宋"/>
          <w:color w:val="auto"/>
          <w:sz w:val="28"/>
          <w:szCs w:val="28"/>
          <w:highlight w:val="none"/>
        </w:rPr>
        <w:t>)</w:t>
      </w:r>
      <w:r>
        <w:rPr>
          <w:rFonts w:hint="eastAsia" w:ascii="仿宋" w:hAnsi="仿宋" w:eastAsia="仿宋"/>
          <w:color w:val="auto"/>
          <w:sz w:val="28"/>
          <w:szCs w:val="28"/>
          <w:highlight w:val="none"/>
        </w:rPr>
        <w:t>合法授权本公司</w:t>
      </w:r>
      <w:r>
        <w:rPr>
          <w:rFonts w:ascii="仿宋" w:hAnsi="仿宋" w:eastAsia="仿宋"/>
          <w:color w:val="auto"/>
          <w:sz w:val="28"/>
          <w:szCs w:val="28"/>
          <w:highlight w:val="none"/>
        </w:rPr>
        <w:t>_________________(</w:t>
      </w:r>
      <w:r>
        <w:rPr>
          <w:rFonts w:hint="eastAsia" w:ascii="仿宋" w:hAnsi="仿宋" w:eastAsia="仿宋"/>
          <w:color w:val="auto"/>
          <w:sz w:val="28"/>
          <w:szCs w:val="28"/>
          <w:highlight w:val="none"/>
        </w:rPr>
        <w:t>公司名称</w:t>
      </w:r>
      <w:r>
        <w:rPr>
          <w:rFonts w:ascii="仿宋" w:hAnsi="仿宋" w:eastAsia="仿宋"/>
          <w:color w:val="auto"/>
          <w:sz w:val="28"/>
          <w:szCs w:val="28"/>
          <w:highlight w:val="none"/>
        </w:rPr>
        <w:t>)__________(</w:t>
      </w:r>
      <w:r>
        <w:rPr>
          <w:rFonts w:hint="eastAsia" w:ascii="仿宋" w:hAnsi="仿宋" w:eastAsia="仿宋"/>
          <w:color w:val="auto"/>
          <w:sz w:val="28"/>
          <w:szCs w:val="28"/>
          <w:highlight w:val="none"/>
        </w:rPr>
        <w:t>职务</w:t>
      </w:r>
      <w:r>
        <w:rPr>
          <w:rFonts w:ascii="仿宋" w:hAnsi="仿宋" w:eastAsia="仿宋"/>
          <w:color w:val="auto"/>
          <w:sz w:val="28"/>
          <w:szCs w:val="28"/>
          <w:highlight w:val="none"/>
        </w:rPr>
        <w:t>)________(</w:t>
      </w:r>
      <w:r>
        <w:rPr>
          <w:rFonts w:hint="eastAsia" w:ascii="仿宋" w:hAnsi="仿宋" w:eastAsia="仿宋"/>
          <w:color w:val="auto"/>
          <w:sz w:val="28"/>
          <w:szCs w:val="28"/>
          <w:highlight w:val="none"/>
        </w:rPr>
        <w:t>姓名</w:t>
      </w:r>
      <w:r>
        <w:rPr>
          <w:rFonts w:ascii="仿宋" w:hAnsi="仿宋" w:eastAsia="仿宋"/>
          <w:color w:val="auto"/>
          <w:sz w:val="28"/>
          <w:szCs w:val="28"/>
          <w:highlight w:val="none"/>
        </w:rPr>
        <w:t>)</w:t>
      </w:r>
      <w:r>
        <w:rPr>
          <w:rFonts w:hint="eastAsia" w:ascii="仿宋" w:hAnsi="仿宋" w:eastAsia="仿宋"/>
          <w:color w:val="auto"/>
          <w:sz w:val="28"/>
          <w:szCs w:val="28"/>
          <w:highlight w:val="none"/>
        </w:rPr>
        <w:t>为正式的合法代理人，并授权该代理人在</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的比选活动中，以我单位的名义签署比选响应文件，与业主协商、签定合同协议书以及执行一切与此有关的事务。</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比选响应单位：</w:t>
      </w:r>
      <w:r>
        <w:rPr>
          <w:rFonts w:ascii="仿宋" w:hAnsi="仿宋" w:eastAsia="仿宋"/>
          <w:color w:val="auto"/>
          <w:sz w:val="28"/>
          <w:szCs w:val="28"/>
          <w:highlight w:val="none"/>
        </w:rPr>
        <w:t>________</w:t>
      </w:r>
      <w:r>
        <w:rPr>
          <w:rFonts w:ascii="仿宋" w:hAnsi="仿宋" w:eastAsia="仿宋"/>
          <w:color w:val="auto"/>
          <w:sz w:val="28"/>
          <w:szCs w:val="28"/>
          <w:highlight w:val="none"/>
          <w:u w:val="single"/>
        </w:rPr>
        <w:t xml:space="preserve">           </w:t>
      </w:r>
      <w:r>
        <w:rPr>
          <w:rFonts w:ascii="仿宋" w:hAnsi="仿宋" w:eastAsia="仿宋"/>
          <w:color w:val="auto"/>
          <w:sz w:val="28"/>
          <w:szCs w:val="28"/>
          <w:highlight w:val="none"/>
        </w:rPr>
        <w:t>____</w:t>
      </w:r>
      <w:r>
        <w:rPr>
          <w:rFonts w:hint="eastAsia" w:ascii="仿宋" w:hAnsi="仿宋" w:eastAsia="仿宋"/>
          <w:color w:val="auto"/>
          <w:sz w:val="28"/>
          <w:szCs w:val="28"/>
          <w:highlight w:val="none"/>
        </w:rPr>
        <w:t>（盖单位公章）</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授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 xml:space="preserve">权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人：</w:t>
      </w:r>
      <w:r>
        <w:rPr>
          <w:rFonts w:ascii="仿宋" w:hAnsi="仿宋" w:eastAsia="仿宋"/>
          <w:color w:val="auto"/>
          <w:sz w:val="28"/>
          <w:szCs w:val="28"/>
          <w:highlight w:val="none"/>
        </w:rPr>
        <w:t>___</w:t>
      </w:r>
      <w:r>
        <w:rPr>
          <w:rFonts w:ascii="仿宋" w:hAnsi="仿宋" w:eastAsia="仿宋"/>
          <w:color w:val="auto"/>
          <w:sz w:val="28"/>
          <w:szCs w:val="28"/>
          <w:highlight w:val="none"/>
          <w:u w:val="single"/>
        </w:rPr>
        <w:t xml:space="preserve">           </w:t>
      </w:r>
      <w:r>
        <w:rPr>
          <w:rFonts w:ascii="仿宋" w:hAnsi="仿宋" w:eastAsia="仿宋"/>
          <w:color w:val="auto"/>
          <w:sz w:val="28"/>
          <w:szCs w:val="28"/>
          <w:highlight w:val="none"/>
        </w:rPr>
        <w:t>_________</w:t>
      </w:r>
      <w:r>
        <w:rPr>
          <w:rFonts w:hint="eastAsia" w:ascii="仿宋" w:hAnsi="仿宋" w:eastAsia="仿宋"/>
          <w:color w:val="auto"/>
          <w:sz w:val="28"/>
          <w:szCs w:val="28"/>
          <w:highlight w:val="none"/>
        </w:rPr>
        <w:t>（签字或签章）</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被授权人代理人：</w:t>
      </w:r>
      <w:r>
        <w:rPr>
          <w:rFonts w:ascii="仿宋" w:hAnsi="仿宋" w:eastAsia="仿宋"/>
          <w:color w:val="auto"/>
          <w:sz w:val="28"/>
          <w:szCs w:val="28"/>
          <w:highlight w:val="none"/>
        </w:rPr>
        <w:t>_______</w:t>
      </w:r>
      <w:r>
        <w:rPr>
          <w:rFonts w:ascii="仿宋" w:hAnsi="仿宋" w:eastAsia="仿宋"/>
          <w:color w:val="auto"/>
          <w:sz w:val="28"/>
          <w:szCs w:val="28"/>
          <w:highlight w:val="none"/>
          <w:u w:val="single"/>
        </w:rPr>
        <w:t xml:space="preserve">         </w:t>
      </w:r>
      <w:r>
        <w:rPr>
          <w:rFonts w:ascii="仿宋" w:hAnsi="仿宋" w:eastAsia="仿宋"/>
          <w:color w:val="auto"/>
          <w:sz w:val="28"/>
          <w:szCs w:val="28"/>
          <w:highlight w:val="none"/>
        </w:rPr>
        <w:t>_____</w:t>
      </w:r>
      <w:r>
        <w:rPr>
          <w:rFonts w:hint="eastAsia" w:ascii="仿宋" w:hAnsi="仿宋" w:eastAsia="仿宋"/>
          <w:color w:val="auto"/>
          <w:sz w:val="28"/>
          <w:szCs w:val="28"/>
          <w:highlight w:val="none"/>
        </w:rPr>
        <w:t>（签字或签章）</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日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期：</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w:t>
      </w:r>
    </w:p>
    <w:p>
      <w:pPr>
        <w:spacing w:line="480" w:lineRule="auto"/>
        <w:rPr>
          <w:rFonts w:ascii="仿宋" w:hAnsi="仿宋" w:eastAsia="仿宋"/>
          <w:color w:val="auto"/>
          <w:highlight w:val="none"/>
        </w:rPr>
      </w:pPr>
    </w:p>
    <w:p>
      <w:pPr>
        <w:snapToGrid w:val="0"/>
        <w:spacing w:line="360" w:lineRule="auto"/>
        <w:rPr>
          <w:rFonts w:hint="eastAsia" w:ascii="仿宋" w:hAnsi="仿宋" w:eastAsia="仿宋"/>
          <w:b/>
          <w:bCs/>
          <w:color w:val="auto"/>
          <w:sz w:val="28"/>
          <w:szCs w:val="28"/>
          <w:highlight w:val="none"/>
        </w:rPr>
      </w:pPr>
      <w:r>
        <w:rPr>
          <w:rFonts w:hint="eastAsia" w:ascii="仿宋" w:hAnsi="仿宋" w:eastAsia="仿宋"/>
          <w:b/>
          <w:bCs/>
          <w:color w:val="auto"/>
          <w:sz w:val="28"/>
          <w:szCs w:val="28"/>
          <w:highlight w:val="none"/>
        </w:rPr>
        <w:t>附被授权人代理人身份证复印件</w:t>
      </w:r>
    </w:p>
    <w:p>
      <w:pPr>
        <w:rPr>
          <w:rFonts w:hint="eastAsia" w:ascii="仿宋" w:hAnsi="仿宋" w:eastAsia="仿宋"/>
          <w:b/>
          <w:bCs/>
          <w:color w:val="auto"/>
          <w:sz w:val="28"/>
          <w:szCs w:val="28"/>
          <w:highlight w:val="none"/>
        </w:rPr>
      </w:pPr>
      <w:r>
        <w:rPr>
          <w:rFonts w:hint="eastAsia" w:ascii="仿宋" w:hAnsi="仿宋" w:eastAsia="仿宋"/>
          <w:b/>
          <w:bCs/>
          <w:color w:val="auto"/>
          <w:sz w:val="28"/>
          <w:szCs w:val="28"/>
          <w:highlight w:val="none"/>
        </w:rPr>
        <w:br w:type="page"/>
      </w:r>
    </w:p>
    <w:p>
      <w:pPr>
        <w:snapToGrid w:val="0"/>
        <w:spacing w:line="360" w:lineRule="auto"/>
        <w:outlineLvl w:val="0"/>
        <w:rPr>
          <w:rFonts w:hint="eastAsia" w:ascii="仿宋" w:hAnsi="仿宋" w:eastAsia="仿宋"/>
          <w:b/>
          <w:bCs/>
          <w:color w:val="auto"/>
          <w:sz w:val="28"/>
          <w:szCs w:val="28"/>
          <w:highlight w:val="none"/>
          <w:lang w:val="en-US" w:eastAsia="zh-CN"/>
        </w:rPr>
      </w:pPr>
      <w:r>
        <w:rPr>
          <w:rFonts w:hint="eastAsia" w:ascii="仿宋" w:hAnsi="仿宋" w:eastAsia="仿宋"/>
          <w:b/>
          <w:bCs/>
          <w:color w:val="auto"/>
          <w:sz w:val="28"/>
          <w:szCs w:val="28"/>
          <w:highlight w:val="none"/>
          <w:lang w:val="en-US" w:eastAsia="zh-CN"/>
        </w:rPr>
        <w:t>附件5：</w:t>
      </w:r>
    </w:p>
    <w:p>
      <w:pPr>
        <w:jc w:val="center"/>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重庆机场</w:t>
      </w:r>
      <w:r>
        <w:rPr>
          <w:rFonts w:hint="eastAsia" w:ascii="仿宋" w:hAnsi="仿宋" w:eastAsia="仿宋"/>
          <w:b/>
          <w:color w:val="auto"/>
          <w:sz w:val="32"/>
          <w:szCs w:val="32"/>
          <w:highlight w:val="none"/>
          <w:lang w:val="en-US" w:eastAsia="zh-CN"/>
        </w:rPr>
        <w:t>4A统一安全管理</w:t>
      </w:r>
      <w:r>
        <w:rPr>
          <w:rFonts w:hint="eastAsia" w:ascii="仿宋" w:hAnsi="仿宋" w:eastAsia="仿宋"/>
          <w:b/>
          <w:color w:val="auto"/>
          <w:sz w:val="32"/>
          <w:szCs w:val="32"/>
          <w:highlight w:val="none"/>
        </w:rPr>
        <w:t>平台升级</w:t>
      </w:r>
      <w:r>
        <w:rPr>
          <w:rFonts w:hint="eastAsia" w:ascii="仿宋" w:hAnsi="仿宋" w:eastAsia="仿宋"/>
          <w:b/>
          <w:color w:val="auto"/>
          <w:sz w:val="32"/>
          <w:szCs w:val="32"/>
          <w:highlight w:val="none"/>
          <w:lang w:val="en-US" w:eastAsia="zh-CN"/>
        </w:rPr>
        <w:t>扩容</w:t>
      </w:r>
      <w:r>
        <w:rPr>
          <w:rFonts w:hint="eastAsia" w:ascii="仿宋" w:hAnsi="仿宋" w:eastAsia="仿宋"/>
          <w:b/>
          <w:color w:val="auto"/>
          <w:sz w:val="32"/>
          <w:szCs w:val="32"/>
          <w:highlight w:val="none"/>
        </w:rPr>
        <w:t>项目建设要求</w:t>
      </w:r>
    </w:p>
    <w:p>
      <w:pPr>
        <w:ind w:firstLine="560"/>
        <w:rPr>
          <w:rFonts w:hint="eastAsia" w:ascii="仿宋" w:hAnsi="仿宋" w:cs="仿宋"/>
          <w:color w:val="auto"/>
          <w:szCs w:val="28"/>
          <w:highlight w:val="none"/>
        </w:rPr>
      </w:pPr>
    </w:p>
    <w:p>
      <w:pPr>
        <w:widowControl/>
        <w:adjustRightInd w:val="0"/>
        <w:snapToGrid w:val="0"/>
        <w:spacing w:line="360" w:lineRule="auto"/>
        <w:ind w:firstLine="560" w:firstLineChars="200"/>
        <w:jc w:val="both"/>
        <w:textAlignment w:val="bottom"/>
        <w:rPr>
          <w:rFonts w:hint="default" w:ascii="方正仿宋_GBK" w:hAnsi="方正仿宋_GBK" w:eastAsia="方正仿宋_GBK" w:cs="方正仿宋_GBK"/>
          <w:color w:val="auto"/>
          <w:kern w:val="0"/>
          <w:sz w:val="28"/>
          <w:szCs w:val="28"/>
          <w:highlight w:val="none"/>
          <w:lang w:val="en-US"/>
        </w:rPr>
      </w:pPr>
      <w:r>
        <w:rPr>
          <w:rFonts w:hint="eastAsia" w:ascii="方正仿宋_GBK" w:hAnsi="方正仿宋_GBK" w:eastAsia="方正仿宋_GBK" w:cs="方正仿宋_GBK"/>
          <w:color w:val="auto"/>
          <w:kern w:val="0"/>
          <w:sz w:val="28"/>
          <w:szCs w:val="28"/>
          <w:highlight w:val="none"/>
        </w:rPr>
        <w:t>目前，重庆机场4A</w:t>
      </w:r>
      <w:r>
        <w:rPr>
          <w:rFonts w:hint="eastAsia" w:ascii="方正仿宋_GBK" w:hAnsi="方正仿宋_GBK" w:eastAsia="方正仿宋_GBK" w:cs="方正仿宋_GBK"/>
          <w:color w:val="auto"/>
          <w:kern w:val="0"/>
          <w:sz w:val="28"/>
          <w:szCs w:val="28"/>
          <w:highlight w:val="none"/>
          <w:lang w:val="en-US" w:eastAsia="zh-CN"/>
        </w:rPr>
        <w:t>统一安全管理</w:t>
      </w:r>
      <w:r>
        <w:rPr>
          <w:rFonts w:hint="eastAsia" w:ascii="方正仿宋_GBK" w:hAnsi="方正仿宋_GBK" w:eastAsia="方正仿宋_GBK" w:cs="方正仿宋_GBK"/>
          <w:color w:val="auto"/>
          <w:kern w:val="0"/>
          <w:sz w:val="28"/>
          <w:szCs w:val="28"/>
          <w:highlight w:val="none"/>
        </w:rPr>
        <w:t>平台</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lang w:val="en-US" w:eastAsia="zh-CN"/>
        </w:rPr>
        <w:t>以下简称“4A平台”</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对东区部分系统网络资源帐号权限集中管理、统一访问，监控</w:t>
      </w:r>
      <w:r>
        <w:rPr>
          <w:rFonts w:hint="eastAsia" w:ascii="方正仿宋_GBK" w:hAnsi="方正仿宋_GBK" w:eastAsia="方正仿宋_GBK" w:cs="方正仿宋_GBK"/>
          <w:color w:val="auto"/>
          <w:kern w:val="0"/>
          <w:sz w:val="28"/>
          <w:szCs w:val="28"/>
          <w:highlight w:val="none"/>
          <w:lang w:val="en-US" w:eastAsia="zh-CN"/>
        </w:rPr>
        <w:t>运维</w:t>
      </w:r>
      <w:r>
        <w:rPr>
          <w:rFonts w:hint="eastAsia" w:ascii="方正仿宋_GBK" w:hAnsi="方正仿宋_GBK" w:eastAsia="方正仿宋_GBK" w:cs="方正仿宋_GBK"/>
          <w:color w:val="auto"/>
          <w:kern w:val="0"/>
          <w:sz w:val="28"/>
          <w:szCs w:val="28"/>
          <w:highlight w:val="none"/>
        </w:rPr>
        <w:t>人员对应用资源和系统资源的访问操作</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并</w:t>
      </w:r>
      <w:r>
        <w:rPr>
          <w:rFonts w:hint="eastAsia" w:ascii="方正仿宋_GBK" w:hAnsi="方正仿宋_GBK" w:eastAsia="方正仿宋_GBK" w:cs="方正仿宋_GBK"/>
          <w:color w:val="auto"/>
          <w:kern w:val="0"/>
          <w:sz w:val="28"/>
          <w:szCs w:val="28"/>
          <w:highlight w:val="none"/>
          <w:lang w:val="en-US" w:eastAsia="zh-CN"/>
        </w:rPr>
        <w:t>进行</w:t>
      </w:r>
      <w:r>
        <w:rPr>
          <w:rFonts w:hint="eastAsia" w:ascii="方正仿宋_GBK" w:hAnsi="方正仿宋_GBK" w:eastAsia="方正仿宋_GBK" w:cs="方正仿宋_GBK"/>
          <w:color w:val="auto"/>
          <w:kern w:val="0"/>
          <w:sz w:val="28"/>
          <w:szCs w:val="28"/>
          <w:highlight w:val="none"/>
        </w:rPr>
        <w:t>集中审计。</w:t>
      </w:r>
      <w:r>
        <w:rPr>
          <w:rFonts w:hint="eastAsia" w:ascii="方正仿宋_GBK" w:hAnsi="方正仿宋_GBK" w:eastAsia="方正仿宋_GBK" w:cs="方正仿宋_GBK"/>
          <w:color w:val="auto"/>
          <w:kern w:val="0"/>
          <w:sz w:val="28"/>
          <w:szCs w:val="28"/>
          <w:highlight w:val="none"/>
          <w:lang w:val="en-US" w:eastAsia="zh-CN"/>
        </w:rPr>
        <w:t>前期建设中，4A</w:t>
      </w:r>
      <w:r>
        <w:rPr>
          <w:rFonts w:hint="eastAsia" w:ascii="方正仿宋_GBK" w:hAnsi="方正仿宋_GBK" w:eastAsia="方正仿宋_GBK" w:cs="方正仿宋_GBK"/>
          <w:color w:val="auto"/>
          <w:kern w:val="0"/>
          <w:sz w:val="28"/>
          <w:szCs w:val="28"/>
          <w:highlight w:val="none"/>
        </w:rPr>
        <w:t>平台利用了部分老旧服务器，亟需替换迁移。另外，还存在部分资源没有纳入</w:t>
      </w:r>
      <w:r>
        <w:rPr>
          <w:rFonts w:hint="eastAsia" w:ascii="方正仿宋_GBK" w:hAnsi="方正仿宋_GBK" w:eastAsia="方正仿宋_GBK" w:cs="方正仿宋_GBK"/>
          <w:color w:val="auto"/>
          <w:kern w:val="0"/>
          <w:sz w:val="28"/>
          <w:szCs w:val="28"/>
          <w:highlight w:val="none"/>
          <w:lang w:val="en-US" w:eastAsia="zh-CN"/>
        </w:rPr>
        <w:t>4A平台</w:t>
      </w:r>
      <w:r>
        <w:rPr>
          <w:rFonts w:hint="eastAsia" w:ascii="方正仿宋_GBK" w:hAnsi="方正仿宋_GBK" w:eastAsia="方正仿宋_GBK" w:cs="方正仿宋_GBK"/>
          <w:color w:val="auto"/>
          <w:kern w:val="0"/>
          <w:sz w:val="28"/>
          <w:szCs w:val="28"/>
          <w:highlight w:val="none"/>
        </w:rPr>
        <w:t>管理</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本</w:t>
      </w:r>
      <w:r>
        <w:rPr>
          <w:rFonts w:hint="eastAsia" w:ascii="方正仿宋_GBK" w:hAnsi="方正仿宋_GBK" w:eastAsia="方正仿宋_GBK" w:cs="方正仿宋_GBK"/>
          <w:color w:val="auto"/>
          <w:kern w:val="0"/>
          <w:sz w:val="28"/>
          <w:szCs w:val="28"/>
          <w:highlight w:val="none"/>
          <w:lang w:val="en-US" w:eastAsia="zh-CN"/>
        </w:rPr>
        <w:t>项目主要建设内容包括四个方面，一是硬件设备采购，二是部分功能迁移，三部分功能调整优化，四是新增IT资源纳管。</w:t>
      </w:r>
    </w:p>
    <w:p>
      <w:pPr>
        <w:widowControl/>
        <w:spacing w:line="360" w:lineRule="auto"/>
        <w:ind w:firstLine="562" w:firstLineChars="200"/>
        <w:jc w:val="left"/>
        <w:outlineLvl w:val="0"/>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1.设备采购</w:t>
      </w:r>
    </w:p>
    <w:p>
      <w:pPr>
        <w:widowControl/>
        <w:adjustRightInd w:val="0"/>
        <w:snapToGrid w:val="0"/>
        <w:spacing w:line="360" w:lineRule="auto"/>
        <w:ind w:firstLine="560" w:firstLineChars="200"/>
        <w:jc w:val="both"/>
        <w:textAlignment w:val="bottom"/>
        <w:rPr>
          <w:rFonts w:hint="default" w:ascii="方正仿宋_GBK" w:hAnsi="方正仿宋_GBK" w:eastAsia="方正仿宋_GBK" w:cs="方正仿宋_GBK"/>
          <w:color w:val="auto"/>
          <w:kern w:val="0"/>
          <w:sz w:val="28"/>
          <w:szCs w:val="28"/>
          <w:highlight w:val="none"/>
          <w:lang w:val="en-US" w:eastAsia="zh-CN"/>
        </w:rPr>
      </w:pPr>
      <w:r>
        <w:rPr>
          <w:rFonts w:hint="eastAsia" w:ascii="方正仿宋_GBK" w:hAnsi="方正仿宋_GBK" w:eastAsia="方正仿宋_GBK" w:cs="方正仿宋_GBK"/>
          <w:color w:val="auto"/>
          <w:kern w:val="0"/>
          <w:sz w:val="28"/>
          <w:szCs w:val="28"/>
          <w:highlight w:val="none"/>
          <w:lang w:val="en-US" w:eastAsia="zh-CN"/>
        </w:rPr>
        <w:t xml:space="preserve"> 本次项目所采购的设备性能参数不得低于下列标准，且品牌相同。</w:t>
      </w:r>
    </w:p>
    <w:tbl>
      <w:tblPr>
        <w:tblStyle w:val="18"/>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381"/>
        <w:gridCol w:w="3713"/>
        <w:gridCol w:w="717"/>
        <w:gridCol w:w="85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960" w:type="dxa"/>
            <w:vAlign w:val="center"/>
          </w:tcPr>
          <w:p>
            <w:pPr>
              <w:widowControl/>
              <w:spacing w:line="360" w:lineRule="exact"/>
              <w:jc w:val="center"/>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序号</w:t>
            </w:r>
          </w:p>
        </w:tc>
        <w:tc>
          <w:tcPr>
            <w:tcW w:w="1381" w:type="dxa"/>
            <w:vAlign w:val="center"/>
          </w:tcPr>
          <w:p>
            <w:pPr>
              <w:widowControl/>
              <w:spacing w:line="360" w:lineRule="exact"/>
              <w:jc w:val="center"/>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品名</w:t>
            </w:r>
          </w:p>
        </w:tc>
        <w:tc>
          <w:tcPr>
            <w:tcW w:w="3713" w:type="dxa"/>
            <w:vAlign w:val="center"/>
          </w:tcPr>
          <w:p>
            <w:pPr>
              <w:widowControl/>
              <w:spacing w:line="360" w:lineRule="exact"/>
              <w:jc w:val="center"/>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规格</w:t>
            </w:r>
          </w:p>
        </w:tc>
        <w:tc>
          <w:tcPr>
            <w:tcW w:w="717" w:type="dxa"/>
            <w:vAlign w:val="center"/>
          </w:tcPr>
          <w:p>
            <w:pPr>
              <w:widowControl/>
              <w:spacing w:line="360" w:lineRule="exact"/>
              <w:jc w:val="left"/>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单位</w:t>
            </w:r>
          </w:p>
        </w:tc>
        <w:tc>
          <w:tcPr>
            <w:tcW w:w="850" w:type="dxa"/>
            <w:vAlign w:val="center"/>
          </w:tcPr>
          <w:p>
            <w:pPr>
              <w:widowControl/>
              <w:spacing w:line="360" w:lineRule="exact"/>
              <w:jc w:val="left"/>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数量</w:t>
            </w:r>
          </w:p>
        </w:tc>
        <w:tc>
          <w:tcPr>
            <w:tcW w:w="895" w:type="dxa"/>
            <w:vAlign w:val="center"/>
          </w:tcPr>
          <w:p>
            <w:pPr>
              <w:widowControl/>
              <w:spacing w:line="360" w:lineRule="exact"/>
              <w:jc w:val="left"/>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X86服务器</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2*12cores2.4、内存32G、2块2.5" 600G 10K转SAS硬盘，SAS RAID卡*1，双千兆双万兆网卡（含多模模块），双电，两年质保服务；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2</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2</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X86服务器</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2*12cores2.4、内存32G、2块2.5" 600G 10K转SAS硬盘，SAS RAID卡*1，双千兆双万兆网卡（含多模模块），双电，两年质保服务；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3</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X86服务器</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2*12cores2.4、内存32G、2块2.5" 600G 10K转SAS硬盘，高性能 SAS RAID卡*1，双千兆双万兆网卡（含多模模块），双端口 16Gb HBA卡*1,双电，两年质保服务；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4</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磁盘阵列</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与服务器同一品牌，双控,支持SAN+NAS的统一，标配32GB缓存</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标配BBU</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+Flash，本地复制、QoS、DRAID功能，支持双活；标配8个1Gb  iSCSI主机接口，可扩展FC、万兆、千兆主机接口；含6块1.2T 10K硬盘；最大支持硬盘数不少于275，支持最大扩展柜数量不少于10个，增加4个16Gb FC主机接口，两年原厂质保服务；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bl>
    <w:p>
      <w:pPr>
        <w:widowControl/>
        <w:numPr>
          <w:ilvl w:val="0"/>
          <w:numId w:val="3"/>
        </w:numPr>
        <w:spacing w:line="360" w:lineRule="auto"/>
        <w:ind w:left="68" w:leftChars="0" w:firstLine="562" w:firstLineChars="0"/>
        <w:jc w:val="left"/>
        <w:outlineLvl w:val="0"/>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部分功能迁移</w:t>
      </w:r>
    </w:p>
    <w:p>
      <w:pPr>
        <w:widowControl/>
        <w:spacing w:line="360" w:lineRule="auto"/>
        <w:ind w:firstLine="560" w:firstLineChars="200"/>
        <w:jc w:val="left"/>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本次项目涉及的操作系统、数据库部署由乙方负责。</w:t>
      </w:r>
    </w:p>
    <w:p>
      <w:pPr>
        <w:widowControl/>
        <w:spacing w:line="360" w:lineRule="auto"/>
        <w:ind w:firstLine="560" w:firstLineChars="200"/>
        <w:jc w:val="left"/>
        <w:outlineLvl w:val="1"/>
        <w:rPr>
          <w:rFonts w:hint="eastAsia" w:ascii="方正仿宋_GBK" w:hAnsi="方正仿宋_GBK" w:eastAsia="方正仿宋_GBK" w:cs="方正仿宋_GBK"/>
          <w:color w:val="auto"/>
          <w:sz w:val="28"/>
          <w:szCs w:val="28"/>
          <w:highlight w:val="none"/>
        </w:rPr>
      </w:pPr>
      <w:bookmarkStart w:id="5" w:name="_Toc32685"/>
      <w:bookmarkStart w:id="6" w:name="_Toc17367"/>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rPr>
        <w:t>4A应急系统迁移</w:t>
      </w:r>
      <w:bookmarkEnd w:id="5"/>
      <w:bookmarkEnd w:id="6"/>
    </w:p>
    <w:p>
      <w:pPr>
        <w:widowControl/>
        <w:spacing w:line="360" w:lineRule="auto"/>
        <w:ind w:firstLine="560" w:firstLineChars="20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4A应急系统部署于2台老旧物理服务器，本期项目将4A应急系统迁移至2台新采购服务器，包括1台应用服务器和1台数据库服务器。</w:t>
      </w:r>
    </w:p>
    <w:tbl>
      <w:tblPr>
        <w:tblStyle w:val="17"/>
        <w:tblW w:w="8322" w:type="dxa"/>
        <w:jc w:val="center"/>
        <w:tblInd w:w="0" w:type="dxa"/>
        <w:tblLayout w:type="fixed"/>
        <w:tblCellMar>
          <w:top w:w="0" w:type="dxa"/>
          <w:left w:w="108" w:type="dxa"/>
          <w:bottom w:w="0" w:type="dxa"/>
          <w:right w:w="108" w:type="dxa"/>
        </w:tblCellMar>
      </w:tblPr>
      <w:tblGrid>
        <w:gridCol w:w="873"/>
        <w:gridCol w:w="1880"/>
        <w:gridCol w:w="1733"/>
        <w:gridCol w:w="1867"/>
        <w:gridCol w:w="787"/>
        <w:gridCol w:w="1182"/>
      </w:tblGrid>
      <w:tr>
        <w:tblPrEx>
          <w:tblLayout w:type="fixed"/>
          <w:tblCellMar>
            <w:top w:w="0" w:type="dxa"/>
            <w:left w:w="108" w:type="dxa"/>
            <w:bottom w:w="0" w:type="dxa"/>
            <w:right w:w="108" w:type="dxa"/>
          </w:tblCellMar>
        </w:tblPrEx>
        <w:trPr>
          <w:trHeight w:val="499" w:hRule="atLeast"/>
          <w:jc w:val="center"/>
        </w:trPr>
        <w:tc>
          <w:tcPr>
            <w:tcW w:w="87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1880"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功能类别</w:t>
            </w:r>
          </w:p>
        </w:tc>
        <w:tc>
          <w:tcPr>
            <w:tcW w:w="1733"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服务器名称</w:t>
            </w:r>
          </w:p>
        </w:tc>
        <w:tc>
          <w:tcPr>
            <w:tcW w:w="1867"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迁移计划</w:t>
            </w:r>
          </w:p>
        </w:tc>
        <w:tc>
          <w:tcPr>
            <w:tcW w:w="787"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数量</w:t>
            </w:r>
          </w:p>
        </w:tc>
        <w:tc>
          <w:tcPr>
            <w:tcW w:w="1182"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单位</w:t>
            </w:r>
          </w:p>
        </w:tc>
      </w:tr>
      <w:tr>
        <w:tblPrEx>
          <w:tblLayout w:type="fixed"/>
          <w:tblCellMar>
            <w:top w:w="0" w:type="dxa"/>
            <w:left w:w="108" w:type="dxa"/>
            <w:bottom w:w="0" w:type="dxa"/>
            <w:right w:w="108" w:type="dxa"/>
          </w:tblCellMar>
        </w:tblPrEx>
        <w:trPr>
          <w:trHeight w:val="550" w:hRule="atLeast"/>
          <w:jc w:val="center"/>
        </w:trPr>
        <w:tc>
          <w:tcPr>
            <w:tcW w:w="8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880"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4A应急系统</w:t>
            </w:r>
          </w:p>
        </w:tc>
        <w:tc>
          <w:tcPr>
            <w:tcW w:w="173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应用服务器</w:t>
            </w:r>
          </w:p>
        </w:tc>
        <w:tc>
          <w:tcPr>
            <w:tcW w:w="186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迁移至2台新采购的物理机</w:t>
            </w:r>
          </w:p>
        </w:tc>
        <w:tc>
          <w:tcPr>
            <w:tcW w:w="7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1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台</w:t>
            </w:r>
          </w:p>
        </w:tc>
      </w:tr>
      <w:tr>
        <w:tblPrEx>
          <w:tblLayout w:type="fixed"/>
          <w:tblCellMar>
            <w:top w:w="0" w:type="dxa"/>
            <w:left w:w="108" w:type="dxa"/>
            <w:bottom w:w="0" w:type="dxa"/>
            <w:right w:w="108" w:type="dxa"/>
          </w:tblCellMar>
        </w:tblPrEx>
        <w:trPr>
          <w:trHeight w:val="540" w:hRule="atLeast"/>
          <w:jc w:val="center"/>
        </w:trPr>
        <w:tc>
          <w:tcPr>
            <w:tcW w:w="8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188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c>
          <w:tcPr>
            <w:tcW w:w="173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数据库服务器</w:t>
            </w:r>
          </w:p>
        </w:tc>
        <w:tc>
          <w:tcPr>
            <w:tcW w:w="186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c>
          <w:tcPr>
            <w:tcW w:w="7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1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台</w:t>
            </w:r>
          </w:p>
        </w:tc>
      </w:tr>
    </w:tbl>
    <w:p>
      <w:pPr>
        <w:widowControl/>
        <w:spacing w:line="360" w:lineRule="auto"/>
        <w:ind w:firstLine="560" w:firstLineChars="20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4A应急系统迁移</w:t>
      </w:r>
      <w:r>
        <w:rPr>
          <w:rFonts w:hint="eastAsia" w:ascii="方正仿宋_GBK" w:hAnsi="方正仿宋_GBK" w:eastAsia="方正仿宋_GBK" w:cs="方正仿宋_GBK"/>
          <w:color w:val="auto"/>
          <w:sz w:val="28"/>
          <w:szCs w:val="28"/>
          <w:highlight w:val="none"/>
          <w:lang w:eastAsia="zh-CN"/>
        </w:rPr>
        <w:t>主要工作</w:t>
      </w:r>
      <w:r>
        <w:rPr>
          <w:rFonts w:hint="eastAsia" w:ascii="方正仿宋_GBK" w:hAnsi="方正仿宋_GBK" w:eastAsia="方正仿宋_GBK" w:cs="方正仿宋_GBK"/>
          <w:color w:val="auto"/>
          <w:sz w:val="28"/>
          <w:szCs w:val="28"/>
          <w:highlight w:val="none"/>
        </w:rPr>
        <w:t>：</w:t>
      </w:r>
    </w:p>
    <w:tbl>
      <w:tblPr>
        <w:tblStyle w:val="17"/>
        <w:tblW w:w="8310" w:type="dxa"/>
        <w:tblInd w:w="113" w:type="dxa"/>
        <w:tblLayout w:type="fixed"/>
        <w:tblCellMar>
          <w:top w:w="0" w:type="dxa"/>
          <w:left w:w="108" w:type="dxa"/>
          <w:bottom w:w="0" w:type="dxa"/>
          <w:right w:w="108" w:type="dxa"/>
        </w:tblCellMar>
      </w:tblPr>
      <w:tblGrid>
        <w:gridCol w:w="835"/>
        <w:gridCol w:w="4100"/>
        <w:gridCol w:w="3375"/>
      </w:tblGrid>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410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337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服务器上架、上电</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服务器操作系统安装</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数据库安装部署</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数据迁移</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lang w:eastAsia="zh-CN"/>
              </w:rPr>
              <w:t>原</w:t>
            </w:r>
            <w:r>
              <w:rPr>
                <w:rFonts w:hint="eastAsia" w:ascii="方正仿宋_GBK" w:hAnsi="方正仿宋_GBK" w:eastAsia="方正仿宋_GBK" w:cs="方正仿宋_GBK"/>
                <w:color w:val="auto"/>
                <w:kern w:val="0"/>
                <w:sz w:val="28"/>
                <w:szCs w:val="28"/>
                <w:highlight w:val="none"/>
              </w:rPr>
              <w:t>数据库的所有数据全部迁移到新数据库</w:t>
            </w:r>
          </w:p>
        </w:tc>
      </w:tr>
      <w:tr>
        <w:tblPrEx>
          <w:tblLayout w:type="fixed"/>
          <w:tblCellMar>
            <w:top w:w="0" w:type="dxa"/>
            <w:left w:w="108" w:type="dxa"/>
            <w:bottom w:w="0" w:type="dxa"/>
            <w:right w:w="108" w:type="dxa"/>
          </w:tblCellMar>
        </w:tblPrEx>
        <w:trPr>
          <w:trHeight w:val="409"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5</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认证中心服务功能测试（更改数据库指向）</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协议堡垒服务功能测试（更改数据库指向）</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7</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应急数据库同步服务（更改数据库指向）</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bl>
    <w:p>
      <w:pPr>
        <w:widowControl/>
        <w:spacing w:line="360" w:lineRule="auto"/>
        <w:ind w:firstLine="560" w:firstLineChars="200"/>
        <w:jc w:val="left"/>
        <w:outlineLvl w:val="1"/>
        <w:rPr>
          <w:rFonts w:hint="eastAsia" w:ascii="方正仿宋_GBK" w:hAnsi="方正仿宋_GBK" w:eastAsia="方正仿宋_GBK" w:cs="方正仿宋_GBK"/>
          <w:color w:val="auto"/>
          <w:sz w:val="28"/>
          <w:szCs w:val="28"/>
          <w:highlight w:val="none"/>
        </w:rPr>
      </w:pPr>
      <w:bookmarkStart w:id="7" w:name="_Toc17628"/>
      <w:bookmarkStart w:id="8" w:name="_Toc998"/>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rPr>
        <w:t>4A</w:t>
      </w:r>
      <w:r>
        <w:rPr>
          <w:rFonts w:hint="eastAsia" w:ascii="方正仿宋_GBK" w:hAnsi="方正仿宋_GBK" w:eastAsia="方正仿宋_GBK" w:cs="方正仿宋_GBK"/>
          <w:color w:val="auto"/>
          <w:sz w:val="28"/>
          <w:szCs w:val="28"/>
          <w:highlight w:val="none"/>
          <w:lang w:val="en-US" w:eastAsia="zh-CN"/>
        </w:rPr>
        <w:t>平台</w:t>
      </w:r>
      <w:r>
        <w:rPr>
          <w:rFonts w:hint="eastAsia" w:ascii="方正仿宋_GBK" w:hAnsi="方正仿宋_GBK" w:eastAsia="方正仿宋_GBK" w:cs="方正仿宋_GBK"/>
          <w:color w:val="auto"/>
          <w:sz w:val="28"/>
          <w:szCs w:val="28"/>
          <w:highlight w:val="none"/>
        </w:rPr>
        <w:t>认证中心迁移</w:t>
      </w:r>
      <w:bookmarkEnd w:id="7"/>
      <w:bookmarkEnd w:id="8"/>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鉴于4A平台认证中心是整个平台最重要以及使用率最高的模块，本期项目将认证中心迁移至1台新采购的物理机进行迁移部署</w:t>
      </w:r>
      <w:r>
        <w:rPr>
          <w:rFonts w:hint="eastAsia" w:ascii="方正仿宋_GBK" w:hAnsi="方正仿宋_GBK" w:eastAsia="方正仿宋_GBK" w:cs="方正仿宋_GBK"/>
          <w:color w:val="auto"/>
          <w:sz w:val="28"/>
          <w:szCs w:val="28"/>
          <w:highlight w:val="none"/>
          <w:lang w:eastAsia="zh-CN"/>
        </w:rPr>
        <w:t>。</w:t>
      </w:r>
    </w:p>
    <w:tbl>
      <w:tblPr>
        <w:tblStyle w:val="17"/>
        <w:tblW w:w="8380" w:type="dxa"/>
        <w:tblInd w:w="113" w:type="dxa"/>
        <w:tblLayout w:type="fixed"/>
        <w:tblCellMar>
          <w:top w:w="0" w:type="dxa"/>
          <w:left w:w="108" w:type="dxa"/>
          <w:bottom w:w="0" w:type="dxa"/>
          <w:right w:w="108" w:type="dxa"/>
        </w:tblCellMar>
      </w:tblPr>
      <w:tblGrid>
        <w:gridCol w:w="898"/>
        <w:gridCol w:w="1725"/>
        <w:gridCol w:w="3225"/>
        <w:gridCol w:w="1250"/>
        <w:gridCol w:w="1282"/>
      </w:tblGrid>
      <w:tr>
        <w:tblPrEx>
          <w:tblLayout w:type="fixed"/>
          <w:tblCellMar>
            <w:top w:w="0" w:type="dxa"/>
            <w:left w:w="108" w:type="dxa"/>
            <w:bottom w:w="0" w:type="dxa"/>
            <w:right w:w="108" w:type="dxa"/>
          </w:tblCellMar>
        </w:tblPrEx>
        <w:trPr>
          <w:trHeight w:val="616" w:hRule="atLeast"/>
        </w:trPr>
        <w:tc>
          <w:tcPr>
            <w:tcW w:w="89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1725"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功能类别</w:t>
            </w:r>
          </w:p>
        </w:tc>
        <w:tc>
          <w:tcPr>
            <w:tcW w:w="3225"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迁移计划</w:t>
            </w:r>
          </w:p>
        </w:tc>
        <w:tc>
          <w:tcPr>
            <w:tcW w:w="1250"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数量</w:t>
            </w:r>
          </w:p>
        </w:tc>
        <w:tc>
          <w:tcPr>
            <w:tcW w:w="1282"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单位</w:t>
            </w:r>
          </w:p>
        </w:tc>
      </w:tr>
      <w:tr>
        <w:tblPrEx>
          <w:tblLayout w:type="fixed"/>
          <w:tblCellMar>
            <w:top w:w="0" w:type="dxa"/>
            <w:left w:w="108" w:type="dxa"/>
            <w:bottom w:w="0" w:type="dxa"/>
            <w:right w:w="108" w:type="dxa"/>
          </w:tblCellMar>
        </w:tblPrEx>
        <w:trPr>
          <w:trHeight w:val="810" w:hRule="atLeast"/>
        </w:trPr>
        <w:tc>
          <w:tcPr>
            <w:tcW w:w="898"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7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4A认证中心</w:t>
            </w:r>
          </w:p>
        </w:tc>
        <w:tc>
          <w:tcPr>
            <w:tcW w:w="32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迁移至新采购的物理机</w:t>
            </w:r>
          </w:p>
        </w:tc>
        <w:tc>
          <w:tcPr>
            <w:tcW w:w="12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2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台</w:t>
            </w:r>
          </w:p>
        </w:tc>
      </w:tr>
    </w:tbl>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4A认证中心迁移</w:t>
      </w:r>
      <w:r>
        <w:rPr>
          <w:rFonts w:hint="eastAsia" w:ascii="方正仿宋_GBK" w:hAnsi="方正仿宋_GBK" w:eastAsia="方正仿宋_GBK" w:cs="方正仿宋_GBK"/>
          <w:color w:val="auto"/>
          <w:sz w:val="28"/>
          <w:szCs w:val="28"/>
          <w:highlight w:val="none"/>
          <w:lang w:eastAsia="zh-CN"/>
        </w:rPr>
        <w:t>主要工作</w:t>
      </w:r>
      <w:r>
        <w:rPr>
          <w:rFonts w:hint="eastAsia" w:ascii="方正仿宋_GBK" w:hAnsi="方正仿宋_GBK" w:eastAsia="方正仿宋_GBK" w:cs="方正仿宋_GBK"/>
          <w:color w:val="auto"/>
          <w:sz w:val="28"/>
          <w:szCs w:val="28"/>
          <w:highlight w:val="none"/>
        </w:rPr>
        <w:t>：</w:t>
      </w:r>
    </w:p>
    <w:tbl>
      <w:tblPr>
        <w:tblStyle w:val="17"/>
        <w:tblW w:w="8398" w:type="dxa"/>
        <w:tblInd w:w="113" w:type="dxa"/>
        <w:tblLayout w:type="fixed"/>
        <w:tblCellMar>
          <w:top w:w="0" w:type="dxa"/>
          <w:left w:w="108" w:type="dxa"/>
          <w:bottom w:w="0" w:type="dxa"/>
          <w:right w:w="108" w:type="dxa"/>
        </w:tblCellMar>
      </w:tblPr>
      <w:tblGrid>
        <w:gridCol w:w="873"/>
        <w:gridCol w:w="3312"/>
        <w:gridCol w:w="4213"/>
      </w:tblGrid>
      <w:tr>
        <w:tblPrEx>
          <w:tblLayout w:type="fixed"/>
          <w:tblCellMar>
            <w:top w:w="0" w:type="dxa"/>
            <w:left w:w="108" w:type="dxa"/>
            <w:bottom w:w="0" w:type="dxa"/>
            <w:right w:w="108" w:type="dxa"/>
          </w:tblCellMar>
        </w:tblPrEx>
        <w:trPr>
          <w:trHeight w:val="465" w:hRule="atLeast"/>
        </w:trPr>
        <w:tc>
          <w:tcPr>
            <w:tcW w:w="87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312"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421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服务器上架、上电</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服务器操作系统安装</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操作系统版本centos6.3及以上</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3</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认证中心服务服务部署</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4</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认证中心服务功能测试</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bl>
    <w:p>
      <w:pPr>
        <w:widowControl/>
        <w:spacing w:line="360" w:lineRule="auto"/>
        <w:ind w:left="0" w:leftChars="0" w:firstLine="560" w:firstLineChars="200"/>
        <w:jc w:val="both"/>
        <w:outlineLvl w:val="1"/>
        <w:rPr>
          <w:rFonts w:hint="eastAsia" w:ascii="方正仿宋_GBK" w:hAnsi="方正仿宋_GBK" w:eastAsia="方正仿宋_GBK" w:cs="方正仿宋_GBK"/>
          <w:color w:val="auto"/>
          <w:sz w:val="28"/>
          <w:szCs w:val="28"/>
          <w:highlight w:val="none"/>
        </w:rPr>
      </w:pPr>
      <w:bookmarkStart w:id="9" w:name="_Toc14570"/>
      <w:bookmarkStart w:id="10" w:name="_Toc30355"/>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3</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流媒体数据库迁移</w:t>
      </w:r>
      <w:bookmarkEnd w:id="9"/>
      <w:bookmarkEnd w:id="10"/>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本期项目计划将流媒体数据库迁移至1台新采购的物理机上，并通过磁盘阵列存储流媒体数据。</w:t>
      </w:r>
    </w:p>
    <w:tbl>
      <w:tblPr>
        <w:tblStyle w:val="17"/>
        <w:tblW w:w="8410" w:type="dxa"/>
        <w:tblInd w:w="113" w:type="dxa"/>
        <w:tblLayout w:type="fixed"/>
        <w:tblCellMar>
          <w:top w:w="0" w:type="dxa"/>
          <w:left w:w="108" w:type="dxa"/>
          <w:bottom w:w="0" w:type="dxa"/>
          <w:right w:w="108" w:type="dxa"/>
        </w:tblCellMar>
      </w:tblPr>
      <w:tblGrid>
        <w:gridCol w:w="873"/>
        <w:gridCol w:w="3312"/>
        <w:gridCol w:w="4225"/>
      </w:tblGrid>
      <w:tr>
        <w:tblPrEx>
          <w:tblLayout w:type="fixed"/>
          <w:tblCellMar>
            <w:top w:w="0" w:type="dxa"/>
            <w:left w:w="108" w:type="dxa"/>
            <w:bottom w:w="0" w:type="dxa"/>
            <w:right w:w="108" w:type="dxa"/>
          </w:tblCellMar>
        </w:tblPrEx>
        <w:trPr>
          <w:trHeight w:val="465" w:hRule="atLeast"/>
        </w:trPr>
        <w:tc>
          <w:tcPr>
            <w:tcW w:w="87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312"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422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服务器上架、上电</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服务器操作系统安装</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操作系统版本centos6.3及以上</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数据库安装</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服务器</w:t>
            </w:r>
            <w:r>
              <w:rPr>
                <w:rFonts w:hint="eastAsia" w:ascii="方正仿宋_GBK" w:hAnsi="方正仿宋_GBK" w:eastAsia="方正仿宋_GBK" w:cs="方正仿宋_GBK"/>
                <w:color w:val="auto"/>
                <w:kern w:val="0"/>
                <w:sz w:val="28"/>
                <w:szCs w:val="28"/>
                <w:highlight w:val="none"/>
              </w:rPr>
              <w:t>网络策略</w:t>
            </w:r>
            <w:r>
              <w:rPr>
                <w:rFonts w:hint="eastAsia" w:ascii="方正仿宋_GBK" w:hAnsi="方正仿宋_GBK" w:eastAsia="方正仿宋_GBK" w:cs="方正仿宋_GBK"/>
                <w:color w:val="auto"/>
                <w:kern w:val="0"/>
                <w:sz w:val="28"/>
                <w:szCs w:val="28"/>
                <w:highlight w:val="none"/>
                <w:lang w:eastAsia="zh-CN"/>
              </w:rPr>
              <w:t>配置</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5</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图形堡垒服务功能测试（更改数据库指向）</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bl>
    <w:p>
      <w:pPr>
        <w:widowControl/>
        <w:numPr>
          <w:ilvl w:val="0"/>
          <w:numId w:val="3"/>
        </w:numPr>
        <w:spacing w:line="360" w:lineRule="auto"/>
        <w:ind w:left="68" w:leftChars="0" w:firstLine="562" w:firstLineChars="0"/>
        <w:jc w:val="both"/>
        <w:outlineLvl w:val="0"/>
        <w:rPr>
          <w:rFonts w:hint="eastAsia" w:ascii="方正仿宋_GBK" w:hAnsi="方正仿宋_GBK" w:eastAsia="方正仿宋_GBK" w:cs="方正仿宋_GBK"/>
          <w:b/>
          <w:bCs/>
          <w:color w:val="auto"/>
          <w:sz w:val="28"/>
          <w:szCs w:val="28"/>
          <w:highlight w:val="none"/>
          <w:lang w:val="en-US" w:eastAsia="zh-CN"/>
        </w:rPr>
      </w:pPr>
      <w:bookmarkStart w:id="11" w:name="_Toc16377"/>
      <w:bookmarkStart w:id="12" w:name="_Toc22989"/>
      <w:r>
        <w:rPr>
          <w:rFonts w:hint="eastAsia" w:ascii="方正仿宋_GBK" w:hAnsi="方正仿宋_GBK" w:eastAsia="方正仿宋_GBK" w:cs="方正仿宋_GBK"/>
          <w:b/>
          <w:bCs/>
          <w:color w:val="auto"/>
          <w:sz w:val="28"/>
          <w:szCs w:val="28"/>
          <w:highlight w:val="none"/>
          <w:lang w:val="en-US" w:eastAsia="zh-CN"/>
        </w:rPr>
        <w:t>部分功能优化</w:t>
      </w:r>
    </w:p>
    <w:p>
      <w:pPr>
        <w:widowControl/>
        <w:spacing w:line="360" w:lineRule="auto"/>
        <w:ind w:firstLine="560" w:firstLineChars="200"/>
        <w:jc w:val="both"/>
        <w:rPr>
          <w:rFonts w:hint="default"/>
          <w:color w:val="auto"/>
          <w:highlight w:val="none"/>
          <w:u w:val="none"/>
          <w:lang w:val="en-US" w:eastAsia="zh-CN"/>
        </w:rPr>
      </w:pPr>
      <w:r>
        <w:rPr>
          <w:rFonts w:hint="eastAsia" w:ascii="仿宋" w:hAnsi="仿宋" w:cs="仿宋"/>
          <w:color w:val="auto"/>
          <w:sz w:val="28"/>
          <w:szCs w:val="28"/>
          <w:highlight w:val="none"/>
          <w:u w:val="none"/>
          <w:lang w:val="en-US" w:eastAsia="zh-CN"/>
        </w:rPr>
        <w:t>乙方通过软件</w:t>
      </w:r>
      <w:r>
        <w:rPr>
          <w:rFonts w:hint="eastAsia" w:ascii="仿宋" w:hAnsi="仿宋" w:eastAsia="仿宋" w:cs="仿宋"/>
          <w:color w:val="auto"/>
          <w:sz w:val="28"/>
          <w:szCs w:val="28"/>
          <w:highlight w:val="none"/>
          <w:u w:val="none"/>
          <w:lang w:val="en-US" w:eastAsia="zh-CN"/>
        </w:rPr>
        <w:t>开发</w:t>
      </w:r>
      <w:r>
        <w:rPr>
          <w:rFonts w:hint="eastAsia" w:ascii="仿宋" w:hAnsi="仿宋" w:cs="仿宋"/>
          <w:color w:val="auto"/>
          <w:sz w:val="28"/>
          <w:szCs w:val="28"/>
          <w:highlight w:val="none"/>
          <w:u w:val="none"/>
          <w:lang w:val="en-US" w:eastAsia="zh-CN"/>
        </w:rPr>
        <w:t>、</w:t>
      </w:r>
      <w:r>
        <w:rPr>
          <w:rFonts w:hint="eastAsia" w:ascii="仿宋" w:hAnsi="仿宋" w:eastAsia="仿宋" w:cs="仿宋"/>
          <w:color w:val="auto"/>
          <w:sz w:val="28"/>
          <w:szCs w:val="28"/>
          <w:highlight w:val="none"/>
          <w:u w:val="none"/>
          <w:lang w:val="en-US" w:eastAsia="zh-CN"/>
        </w:rPr>
        <w:t>调试、上线测试</w:t>
      </w:r>
      <w:r>
        <w:rPr>
          <w:rFonts w:hint="eastAsia" w:ascii="仿宋" w:hAnsi="仿宋" w:cs="仿宋"/>
          <w:color w:val="auto"/>
          <w:sz w:val="28"/>
          <w:szCs w:val="28"/>
          <w:highlight w:val="none"/>
          <w:u w:val="none"/>
          <w:lang w:val="en-US" w:eastAsia="zh-CN"/>
        </w:rPr>
        <w:t>等完成对4A平台部分功能的优化。</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（1）4A主账号身份证号、电话号码字段</w:t>
      </w:r>
    </w:p>
    <w:p>
      <w:pPr>
        <w:widowControl/>
        <w:spacing w:line="360" w:lineRule="auto"/>
        <w:ind w:firstLine="560" w:firstLineChars="20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遵循“最小必要原则”，屏蔽身份照和电话号码字段。</w:t>
      </w:r>
    </w:p>
    <w:p>
      <w:pPr>
        <w:widowControl/>
        <w:spacing w:line="360" w:lineRule="auto"/>
        <w:ind w:firstLine="560" w:firstLineChars="200"/>
        <w:jc w:val="both"/>
        <w:outlineLvl w:val="1"/>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（2）数字证书认证方式密码输入次数</w:t>
      </w:r>
    </w:p>
    <w:p>
      <w:pPr>
        <w:widowControl/>
        <w:spacing w:line="360" w:lineRule="auto"/>
        <w:ind w:firstLine="560" w:firstLineChars="200"/>
        <w:jc w:val="both"/>
        <w:rPr>
          <w:rFonts w:hint="default"/>
          <w:color w:val="auto"/>
          <w:highlight w:val="none"/>
          <w:lang w:val="en-US" w:eastAsia="zh-CN"/>
        </w:rPr>
      </w:pPr>
      <w:r>
        <w:rPr>
          <w:rFonts w:hint="eastAsia" w:ascii="方正仿宋_GBK" w:hAnsi="方正仿宋_GBK" w:eastAsia="方正仿宋_GBK" w:cs="方正仿宋_GBK"/>
          <w:color w:val="auto"/>
          <w:sz w:val="28"/>
          <w:szCs w:val="28"/>
          <w:highlight w:val="none"/>
          <w:lang w:val="en-US" w:eastAsia="zh-CN"/>
        </w:rPr>
        <w:t>将原数字证书认证方式需要输入两次验证码方式调整为输入一次验证码即可登录。</w:t>
      </w:r>
    </w:p>
    <w:bookmarkEnd w:id="11"/>
    <w:bookmarkEnd w:id="12"/>
    <w:p>
      <w:pPr>
        <w:widowControl/>
        <w:spacing w:line="360" w:lineRule="auto"/>
        <w:ind w:firstLine="562" w:firstLineChars="200"/>
        <w:jc w:val="both"/>
        <w:outlineLvl w:val="0"/>
        <w:rPr>
          <w:rFonts w:hint="default"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4.IT资源纳管</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rPr>
      </w:pPr>
      <w:bookmarkStart w:id="13" w:name="_Toc21516"/>
      <w:bookmarkStart w:id="14" w:name="_Toc11793"/>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新</w:t>
      </w:r>
      <w:r>
        <w:rPr>
          <w:rFonts w:hint="eastAsia" w:ascii="方正仿宋_GBK" w:hAnsi="方正仿宋_GBK" w:eastAsia="方正仿宋_GBK" w:cs="方正仿宋_GBK"/>
          <w:color w:val="auto"/>
          <w:sz w:val="28"/>
          <w:szCs w:val="28"/>
          <w:highlight w:val="none"/>
          <w:lang w:val="en-US" w:eastAsia="zh-CN"/>
        </w:rPr>
        <w:t>纳管</w:t>
      </w:r>
      <w:r>
        <w:rPr>
          <w:rFonts w:hint="eastAsia" w:ascii="方正仿宋_GBK" w:hAnsi="方正仿宋_GBK" w:eastAsia="方正仿宋_GBK" w:cs="方正仿宋_GBK"/>
          <w:color w:val="auto"/>
          <w:sz w:val="28"/>
          <w:szCs w:val="28"/>
          <w:highlight w:val="none"/>
        </w:rPr>
        <w:t>设备信息汇总</w:t>
      </w:r>
      <w:bookmarkEnd w:id="13"/>
      <w:bookmarkEnd w:id="14"/>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将当前未纳入管理部分服务器、网络设备、安全设备、数据库等重要资源接入4A平台。</w:t>
      </w:r>
    </w:p>
    <w:tbl>
      <w:tblPr>
        <w:tblStyle w:val="17"/>
        <w:tblW w:w="8415" w:type="dxa"/>
        <w:tblInd w:w="113" w:type="dxa"/>
        <w:tblLayout w:type="fixed"/>
        <w:tblCellMar>
          <w:top w:w="0" w:type="dxa"/>
          <w:left w:w="108" w:type="dxa"/>
          <w:bottom w:w="0" w:type="dxa"/>
          <w:right w:w="108" w:type="dxa"/>
        </w:tblCellMar>
      </w:tblPr>
      <w:tblGrid>
        <w:gridCol w:w="798"/>
        <w:gridCol w:w="3380"/>
        <w:gridCol w:w="1945"/>
        <w:gridCol w:w="2292"/>
      </w:tblGrid>
      <w:tr>
        <w:tblPrEx>
          <w:tblLayout w:type="fixed"/>
          <w:tblCellMar>
            <w:top w:w="0" w:type="dxa"/>
            <w:left w:w="108" w:type="dxa"/>
            <w:bottom w:w="0" w:type="dxa"/>
            <w:right w:w="108" w:type="dxa"/>
          </w:tblCellMar>
        </w:tblPrEx>
        <w:trPr>
          <w:trHeight w:val="471" w:hRule="atLeast"/>
        </w:trPr>
        <w:tc>
          <w:tcPr>
            <w:tcW w:w="79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38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lang w:val="en-US" w:eastAsia="zh-CN"/>
              </w:rPr>
            </w:pPr>
            <w:r>
              <w:rPr>
                <w:rFonts w:hint="eastAsia" w:ascii="方正仿宋_GBK" w:hAnsi="方正仿宋_GBK" w:eastAsia="方正仿宋_GBK" w:cs="方正仿宋_GBK"/>
                <w:b/>
                <w:bCs/>
                <w:color w:val="auto"/>
                <w:kern w:val="0"/>
                <w:sz w:val="28"/>
                <w:szCs w:val="28"/>
                <w:highlight w:val="none"/>
                <w:lang w:val="en-US" w:eastAsia="zh-CN"/>
              </w:rPr>
              <w:t>设备类别</w:t>
            </w:r>
          </w:p>
        </w:tc>
        <w:tc>
          <w:tcPr>
            <w:tcW w:w="194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lang w:val="en-US" w:eastAsia="zh-CN"/>
              </w:rPr>
            </w:pPr>
            <w:r>
              <w:rPr>
                <w:rFonts w:hint="eastAsia" w:ascii="方正仿宋_GBK" w:hAnsi="方正仿宋_GBK" w:eastAsia="方正仿宋_GBK" w:cs="方正仿宋_GBK"/>
                <w:b/>
                <w:bCs/>
                <w:color w:val="auto"/>
                <w:kern w:val="0"/>
                <w:sz w:val="28"/>
                <w:szCs w:val="28"/>
                <w:highlight w:val="none"/>
                <w:lang w:val="en-US" w:eastAsia="zh-CN"/>
              </w:rPr>
              <w:t>数量</w:t>
            </w:r>
          </w:p>
        </w:tc>
        <w:tc>
          <w:tcPr>
            <w:tcW w:w="2292"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316"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服务器</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8"/>
                <w:szCs w:val="28"/>
                <w:highlight w:val="none"/>
                <w:lang w:val="en-US"/>
              </w:rPr>
            </w:pPr>
            <w:r>
              <w:rPr>
                <w:rFonts w:hint="eastAsia" w:ascii="方正仿宋_GBK" w:hAnsi="方正仿宋_GBK" w:eastAsia="方正仿宋_GBK" w:cs="方正仿宋_GBK"/>
                <w:color w:val="auto"/>
                <w:kern w:val="0"/>
                <w:sz w:val="28"/>
                <w:szCs w:val="28"/>
                <w:highlight w:val="none"/>
                <w:lang w:val="en-US" w:eastAsia="zh-CN"/>
              </w:rPr>
              <w:t>180余台</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数据库</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30余套</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网络设备</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rPr>
            </w:pPr>
            <w:r>
              <w:rPr>
                <w:rFonts w:hint="eastAsia" w:ascii="方正仿宋_GBK" w:hAnsi="方正仿宋_GBK" w:eastAsia="方正仿宋_GBK" w:cs="方正仿宋_GBK"/>
                <w:color w:val="auto"/>
                <w:kern w:val="0"/>
                <w:sz w:val="28"/>
                <w:szCs w:val="28"/>
                <w:highlight w:val="none"/>
                <w:lang w:val="en-US" w:eastAsia="zh-CN"/>
              </w:rPr>
              <w:t>400余台</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rPr>
            </w:pPr>
            <w:r>
              <w:rPr>
                <w:rFonts w:hint="eastAsia" w:ascii="方正仿宋_GBK" w:hAnsi="方正仿宋_GBK" w:eastAsia="方正仿宋_GBK" w:cs="方正仿宋_GBK"/>
                <w:color w:val="auto"/>
                <w:kern w:val="0"/>
                <w:sz w:val="28"/>
                <w:szCs w:val="28"/>
                <w:highlight w:val="none"/>
                <w:lang w:val="en-US" w:eastAsia="zh-CN"/>
              </w:rPr>
              <w:t>安全设备</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rPr>
            </w:pPr>
            <w:r>
              <w:rPr>
                <w:rFonts w:hint="eastAsia" w:ascii="方正仿宋_GBK" w:hAnsi="方正仿宋_GBK" w:eastAsia="方正仿宋_GBK" w:cs="方正仿宋_GBK"/>
                <w:color w:val="auto"/>
                <w:kern w:val="0"/>
                <w:sz w:val="28"/>
                <w:szCs w:val="28"/>
                <w:highlight w:val="none"/>
                <w:lang w:val="en-US" w:eastAsia="zh-CN"/>
              </w:rPr>
              <w:t>10余台</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bl>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15" w:name="_Toc14874"/>
      <w:bookmarkStart w:id="16" w:name="_Toc13600"/>
      <w:r>
        <w:rPr>
          <w:rFonts w:hint="eastAsia" w:ascii="方正仿宋_GBK" w:hAnsi="方正仿宋_GBK" w:eastAsia="方正仿宋_GBK" w:cs="方正仿宋_GBK"/>
          <w:color w:val="auto"/>
          <w:sz w:val="28"/>
          <w:szCs w:val="28"/>
          <w:highlight w:val="none"/>
          <w:lang w:val="en-US" w:eastAsia="zh-CN"/>
        </w:rPr>
        <w:t>（2）新增设备</w:t>
      </w:r>
      <w:bookmarkEnd w:id="15"/>
      <w:bookmarkEnd w:id="16"/>
      <w:r>
        <w:rPr>
          <w:rFonts w:hint="eastAsia" w:ascii="方正仿宋_GBK" w:hAnsi="方正仿宋_GBK" w:eastAsia="方正仿宋_GBK" w:cs="方正仿宋_GBK"/>
          <w:color w:val="auto"/>
          <w:sz w:val="28"/>
          <w:szCs w:val="28"/>
          <w:highlight w:val="none"/>
          <w:lang w:val="en-US" w:eastAsia="zh-CN"/>
        </w:rPr>
        <w:t>纳管</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对本期新增的服务器、数据库、网络设备、安全设备接入4A平台，实现帐号权限集中管理、统一访问等。</w:t>
      </w:r>
    </w:p>
    <w:tbl>
      <w:tblPr>
        <w:tblStyle w:val="17"/>
        <w:tblW w:w="8423" w:type="dxa"/>
        <w:tblInd w:w="113" w:type="dxa"/>
        <w:tblLayout w:type="fixed"/>
        <w:tblCellMar>
          <w:top w:w="0" w:type="dxa"/>
          <w:left w:w="108" w:type="dxa"/>
          <w:bottom w:w="0" w:type="dxa"/>
          <w:right w:w="108" w:type="dxa"/>
        </w:tblCellMar>
      </w:tblPr>
      <w:tblGrid>
        <w:gridCol w:w="810"/>
        <w:gridCol w:w="4475"/>
        <w:gridCol w:w="3138"/>
      </w:tblGrid>
      <w:tr>
        <w:tblPrEx>
          <w:tblLayout w:type="fixed"/>
          <w:tblCellMar>
            <w:top w:w="0" w:type="dxa"/>
            <w:left w:w="108" w:type="dxa"/>
            <w:bottom w:w="0" w:type="dxa"/>
            <w:right w:w="108" w:type="dxa"/>
          </w:tblCellMar>
        </w:tblPrEx>
        <w:trPr>
          <w:trHeight w:val="493" w:hRule="atLeast"/>
        </w:trPr>
        <w:tc>
          <w:tcPr>
            <w:tcW w:w="81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447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313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581"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接入设备信息收集</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602"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2</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提供对应需要接入设备</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需要对产品部开发后的功能进行测试</w:t>
            </w:r>
          </w:p>
        </w:tc>
      </w:tr>
      <w:tr>
        <w:tblPrEx>
          <w:tblLayout w:type="fixed"/>
          <w:tblCellMar>
            <w:top w:w="0" w:type="dxa"/>
            <w:left w:w="108" w:type="dxa"/>
            <w:bottom w:w="0" w:type="dxa"/>
            <w:right w:w="108" w:type="dxa"/>
          </w:tblCellMar>
        </w:tblPrEx>
        <w:trPr>
          <w:trHeight w:val="280"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3</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现场升级测试</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401"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4</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测试完成后上线</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5</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对应设备接入</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bl>
    <w:p>
      <w:pPr>
        <w:widowControl/>
        <w:spacing w:line="360" w:lineRule="auto"/>
        <w:ind w:firstLine="562" w:firstLineChars="200"/>
        <w:jc w:val="both"/>
        <w:outlineLvl w:val="0"/>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5.整体联调</w:t>
      </w:r>
    </w:p>
    <w:p>
      <w:pPr>
        <w:widowControl/>
        <w:spacing w:line="360" w:lineRule="auto"/>
        <w:ind w:firstLine="560" w:firstLineChars="20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4A应急系统、认证中心和流媒体数据库等单项迁移完，以及IT资源纳管后，进行4A平台的整体联调测试，平台需要支持的功能点如下所述。</w:t>
      </w:r>
    </w:p>
    <w:tbl>
      <w:tblPr>
        <w:tblStyle w:val="17"/>
        <w:tblW w:w="8423" w:type="dxa"/>
        <w:tblInd w:w="113" w:type="dxa"/>
        <w:tblLayout w:type="fixed"/>
        <w:tblCellMar>
          <w:top w:w="0" w:type="dxa"/>
          <w:left w:w="108" w:type="dxa"/>
          <w:bottom w:w="0" w:type="dxa"/>
          <w:right w:w="108" w:type="dxa"/>
        </w:tblCellMar>
      </w:tblPr>
      <w:tblGrid>
        <w:gridCol w:w="910"/>
        <w:gridCol w:w="3508"/>
        <w:gridCol w:w="4005"/>
      </w:tblGrid>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50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400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资源门户模块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系统资源的统一访问门户</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帐号管理模块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帐号集中管理功能，包括账号和密码策略管理</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认证管理模块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认证服务、认证策略</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授权管理模块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角色管理、角色级授权和批量授权管理</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5</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资源管理模块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资源维护和从账号管理</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运维审计模块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登陆审计、操作审计、审计查询</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7</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报表管理</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管理报表功能</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8</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应急账号备份服务</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高可用性配置</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9</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访问控制网关</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登陆管理、工具</w:t>
            </w:r>
            <w:r>
              <w:rPr>
                <w:rFonts w:hint="eastAsia" w:ascii="方正仿宋_GBK" w:hAnsi="方正仿宋_GBK" w:eastAsia="方正仿宋_GBK" w:cs="方正仿宋_GBK"/>
                <w:color w:val="auto"/>
                <w:kern w:val="0"/>
                <w:sz w:val="28"/>
                <w:szCs w:val="28"/>
                <w:highlight w:val="none"/>
              </w:rPr>
              <w:t>发布</w:t>
            </w:r>
          </w:p>
        </w:tc>
      </w:tr>
    </w:tbl>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17" w:name="_Toc344277091"/>
      <w:r>
        <w:rPr>
          <w:rFonts w:hint="eastAsia" w:ascii="方正仿宋_GBK" w:hAnsi="方正仿宋_GBK" w:eastAsia="方正仿宋_GBK" w:cs="方正仿宋_GBK"/>
          <w:color w:val="auto"/>
          <w:sz w:val="28"/>
          <w:szCs w:val="28"/>
          <w:highlight w:val="none"/>
          <w:lang w:val="en-US" w:eastAsia="zh-CN"/>
        </w:rPr>
        <w:t>（1）资源门户</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资源门户是系统主帐号可以登录进行运维操作的系统资源权限视图。支持显示当前登录用户的资源具体信息以及资源下从帐号信息。资源视图作为运维人员登录资源的入口，提供多种展现方式，方便人员的日常操作。资源视图支持功能如下：</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支持展示当前登录用户所能维护的资源；</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支持资源视图能按照资源类型分类展示。如主机、数据库等进行分类；</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支持在已有资源类型的基础上基于树状结构展示资源视图；</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支持灵活的分页展示，可以按照个人习惯每页展示10/20/30/50/100条资源信息；</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支持权限范围内的资源查询功能，可以根据资源类型（主机、数据库），资源名称，IP地址等信息筛选权限范围内的资源信息；</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支持自动代填方式单点登录到制定主机、数据库资源。</w:t>
      </w:r>
    </w:p>
    <w:bookmarkEnd w:id="17"/>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18" w:name="_Toc478054251"/>
      <w:bookmarkStart w:id="19" w:name="_Toc466291171"/>
      <w:bookmarkStart w:id="20" w:name="_Toc500684718"/>
      <w:bookmarkStart w:id="21" w:name="_Toc344277095"/>
      <w:r>
        <w:rPr>
          <w:rFonts w:hint="eastAsia" w:ascii="方正仿宋_GBK" w:hAnsi="方正仿宋_GBK" w:eastAsia="方正仿宋_GBK" w:cs="方正仿宋_GBK"/>
          <w:color w:val="auto"/>
          <w:sz w:val="28"/>
          <w:szCs w:val="28"/>
          <w:highlight w:val="none"/>
          <w:lang w:val="en-US" w:eastAsia="zh-CN"/>
        </w:rPr>
        <w:t>（2）帐号管理</w:t>
      </w:r>
      <w:bookmarkEnd w:id="18"/>
      <w:bookmarkEnd w:id="19"/>
      <w:bookmarkEnd w:id="20"/>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主帐号的基本属性包括以下内容：</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基本信息：主要包含用户名、密码、手机号码等；</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扩展属性：工作部门、员工ID号、电子邮件等；</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帐号状态：包括正常、锁定、删除三种状态；</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密码策略：主要是指帐号密码的策略信息，比如复杂度、修改周期等。</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主帐号管理模块实现以下功能：</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具备主帐号的创建、修改、删除、加/解锁等功能；</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具备从现存帐号数据库导入或映射业务支撑系统现存帐号的功能；</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 xml:space="preserve">具备将系统中的主帐号导出到外部帐号库中的功能； </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具备与现有外部帐号库中的帐号进行同步更新的功能。</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密码策略管理模块实现以下功能：</w:t>
      </w:r>
    </w:p>
    <w:p>
      <w:pPr>
        <w:widowControl/>
        <w:numPr>
          <w:ilvl w:val="0"/>
          <w:numId w:val="6"/>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具备对主从帐号的密码强度和有效期进行管理的功能，包括密码安全设置及修改、组成规则及校验策略等。</w:t>
      </w:r>
    </w:p>
    <w:p>
      <w:pPr>
        <w:widowControl/>
        <w:numPr>
          <w:ilvl w:val="0"/>
          <w:numId w:val="6"/>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具备对主从帐号密码有效期验证、提醒以及过期或输错次数锁定、与前几次密码不重复设定、管理员激活等功能，支持分级管理。</w:t>
      </w:r>
    </w:p>
    <w:p>
      <w:pPr>
        <w:widowControl/>
        <w:numPr>
          <w:ilvl w:val="0"/>
          <w:numId w:val="6"/>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具备按照密码策略由系统定期进行自动修改从帐号密码的功能，并支持灵活设置是否自动定期变更的策略配置功能。</w:t>
      </w:r>
    </w:p>
    <w:bookmarkEnd w:id="21"/>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22" w:name="_Toc466291176"/>
      <w:bookmarkStart w:id="23" w:name="_Toc500684719"/>
      <w:bookmarkStart w:id="24" w:name="_Toc478054252"/>
      <w:r>
        <w:rPr>
          <w:rFonts w:hint="eastAsia" w:ascii="方正仿宋_GBK" w:hAnsi="方正仿宋_GBK" w:eastAsia="方正仿宋_GBK" w:cs="方正仿宋_GBK"/>
          <w:color w:val="auto"/>
          <w:sz w:val="28"/>
          <w:szCs w:val="28"/>
          <w:highlight w:val="none"/>
          <w:lang w:val="en-US" w:eastAsia="zh-CN"/>
        </w:rPr>
        <w:t>（3）认证管理</w:t>
      </w:r>
      <w:bookmarkEnd w:id="22"/>
      <w:bookmarkEnd w:id="23"/>
      <w:bookmarkEnd w:id="24"/>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25" w:name="_Toc466291177"/>
      <w:bookmarkStart w:id="26" w:name="_Toc344277099"/>
      <w:r>
        <w:rPr>
          <w:rFonts w:hint="eastAsia" w:ascii="方正仿宋_GBK" w:hAnsi="方正仿宋_GBK" w:eastAsia="方正仿宋_GBK" w:cs="方正仿宋_GBK"/>
          <w:color w:val="auto"/>
          <w:sz w:val="28"/>
          <w:szCs w:val="28"/>
          <w:highlight w:val="none"/>
          <w:lang w:val="en-US" w:eastAsia="zh-CN"/>
        </w:rPr>
        <w:t>认证服务</w:t>
      </w:r>
      <w:bookmarkEnd w:id="25"/>
      <w:bookmarkEnd w:id="26"/>
      <w:r>
        <w:rPr>
          <w:rFonts w:hint="eastAsia" w:ascii="方正仿宋_GBK" w:hAnsi="方正仿宋_GBK" w:eastAsia="方正仿宋_GBK" w:cs="方正仿宋_GBK"/>
          <w:color w:val="auto"/>
          <w:sz w:val="28"/>
          <w:szCs w:val="28"/>
          <w:highlight w:val="none"/>
          <w:lang w:val="en-US" w:eastAsia="zh-CN"/>
        </w:rPr>
        <w:t>。帐号权限管理与审计系统认证服务为用户及系统自身提供身份鉴别和准入控制服务。认证服务是指为自然人访问资源提供身份真实性的鉴别，并根据用户的从帐号信息和事先确定的认证策略，引导用户通过被管资源的认证，达到成功访问资源的目的。</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27" w:name="_Toc344277100"/>
      <w:bookmarkStart w:id="28" w:name="_Toc466291178"/>
      <w:r>
        <w:rPr>
          <w:rFonts w:hint="eastAsia" w:ascii="方正仿宋_GBK" w:hAnsi="方正仿宋_GBK" w:eastAsia="方正仿宋_GBK" w:cs="方正仿宋_GBK"/>
          <w:color w:val="auto"/>
          <w:sz w:val="28"/>
          <w:szCs w:val="28"/>
          <w:highlight w:val="none"/>
          <w:lang w:val="en-US" w:eastAsia="zh-CN"/>
        </w:rPr>
        <w:t>认证策略</w:t>
      </w:r>
      <w:bookmarkEnd w:id="27"/>
      <w:bookmarkEnd w:id="28"/>
      <w:r>
        <w:rPr>
          <w:rFonts w:hint="eastAsia" w:ascii="方正仿宋_GBK" w:hAnsi="方正仿宋_GBK" w:eastAsia="方正仿宋_GBK" w:cs="方正仿宋_GBK"/>
          <w:color w:val="auto"/>
          <w:sz w:val="28"/>
          <w:szCs w:val="28"/>
          <w:highlight w:val="none"/>
          <w:lang w:val="en-US" w:eastAsia="zh-CN"/>
        </w:rPr>
        <w:t>。认证策略包括强认证方式策略、时间访问控制策略、区域访问控制策略等，安全管理员可根据实际需要选择使用合适的认证策略。系统提供认证策略的查看、添加、删除、编辑等。</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29" w:name="_Toc500684720"/>
      <w:bookmarkStart w:id="30" w:name="_Toc466291182"/>
      <w:bookmarkStart w:id="31" w:name="_Toc478054253"/>
      <w:r>
        <w:rPr>
          <w:rFonts w:hint="eastAsia" w:ascii="方正仿宋_GBK" w:hAnsi="方正仿宋_GBK" w:eastAsia="方正仿宋_GBK" w:cs="方正仿宋_GBK"/>
          <w:color w:val="auto"/>
          <w:sz w:val="28"/>
          <w:szCs w:val="28"/>
          <w:highlight w:val="none"/>
          <w:lang w:val="en-US" w:eastAsia="zh-CN"/>
        </w:rPr>
        <w:t>（4）授权管理</w:t>
      </w:r>
      <w:bookmarkEnd w:id="29"/>
      <w:bookmarkEnd w:id="30"/>
      <w:bookmarkEnd w:id="31"/>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系统具备主从帐号授权关系同步功能，通过数据同步接口同步主从帐号授权信息并存储到系统的数据库，作为系统运维操作的基础支撑数据。</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32" w:name="_Toc466291183"/>
      <w:bookmarkStart w:id="33" w:name="_Toc352769779"/>
      <w:bookmarkStart w:id="34" w:name="_Toc338835255"/>
      <w:bookmarkStart w:id="35" w:name="_Toc339312806"/>
      <w:bookmarkStart w:id="36" w:name="_Toc337823644"/>
      <w:bookmarkStart w:id="37" w:name="_Toc344277103"/>
      <w:r>
        <w:rPr>
          <w:rFonts w:hint="eastAsia" w:ascii="方正仿宋_GBK" w:hAnsi="方正仿宋_GBK" w:eastAsia="方正仿宋_GBK" w:cs="方正仿宋_GBK"/>
          <w:color w:val="auto"/>
          <w:sz w:val="28"/>
          <w:szCs w:val="28"/>
          <w:highlight w:val="none"/>
          <w:lang w:val="en-US" w:eastAsia="zh-CN"/>
        </w:rPr>
        <w:t>角色管理</w:t>
      </w:r>
      <w:bookmarkEnd w:id="32"/>
      <w:r>
        <w:rPr>
          <w:rFonts w:hint="eastAsia" w:ascii="方正仿宋_GBK" w:hAnsi="方正仿宋_GBK" w:eastAsia="方正仿宋_GBK" w:cs="方正仿宋_GBK"/>
          <w:color w:val="auto"/>
          <w:sz w:val="28"/>
          <w:szCs w:val="28"/>
          <w:highlight w:val="none"/>
          <w:lang w:val="en-US" w:eastAsia="zh-CN"/>
        </w:rPr>
        <w:t>。角色是资源中若干访问权限的集合，包括功能角色和数据角色。一个帐号可以有多个角色，一个角色也可以有多个权限，并且一个权限也可以赋予多个角色。在系统自身帐号授权时，应当以角色形式进行授权，避免直接将权限赋予主帐号。系统的自身角色管理支持角色查询、创建、变更与删除功能。</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38" w:name="_Toc466291186"/>
      <w:r>
        <w:rPr>
          <w:rFonts w:hint="eastAsia" w:ascii="方正仿宋_GBK" w:hAnsi="方正仿宋_GBK" w:eastAsia="方正仿宋_GBK" w:cs="方正仿宋_GBK"/>
          <w:color w:val="auto"/>
          <w:sz w:val="28"/>
          <w:szCs w:val="28"/>
          <w:highlight w:val="none"/>
          <w:lang w:val="en-US" w:eastAsia="zh-CN"/>
        </w:rPr>
        <w:t>角色级授权</w:t>
      </w:r>
      <w:bookmarkEnd w:id="38"/>
      <w:r>
        <w:rPr>
          <w:rFonts w:hint="eastAsia" w:ascii="方正仿宋_GBK" w:hAnsi="方正仿宋_GBK" w:eastAsia="方正仿宋_GBK" w:cs="方正仿宋_GBK"/>
          <w:color w:val="auto"/>
          <w:sz w:val="28"/>
          <w:szCs w:val="28"/>
          <w:highlight w:val="none"/>
          <w:lang w:val="en-US" w:eastAsia="zh-CN"/>
        </w:rPr>
        <w:t>。系统支持系统自身角色级授权。支持系统管理员进行主帐号和系统角色之间的关联关系的创建、变更和查询；</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39" w:name="_Toc466291187"/>
      <w:r>
        <w:rPr>
          <w:rFonts w:hint="eastAsia" w:ascii="方正仿宋_GBK" w:hAnsi="方正仿宋_GBK" w:eastAsia="方正仿宋_GBK" w:cs="方正仿宋_GBK"/>
          <w:color w:val="auto"/>
          <w:sz w:val="28"/>
          <w:szCs w:val="28"/>
          <w:highlight w:val="none"/>
          <w:lang w:val="en-US" w:eastAsia="zh-CN"/>
        </w:rPr>
        <w:t>批量授权</w:t>
      </w:r>
      <w:bookmarkEnd w:id="39"/>
      <w:r>
        <w:rPr>
          <w:rFonts w:hint="eastAsia" w:ascii="方正仿宋_GBK" w:hAnsi="方正仿宋_GBK" w:eastAsia="方正仿宋_GBK" w:cs="方正仿宋_GBK"/>
          <w:color w:val="auto"/>
          <w:sz w:val="28"/>
          <w:szCs w:val="28"/>
          <w:highlight w:val="none"/>
          <w:lang w:val="en-US" w:eastAsia="zh-CN"/>
        </w:rPr>
        <w:t>。系统管理员或者应用管理员可以在系统中进行批量的主从帐号关系绑定/解除绑定。系统管理员或者应用管理员可以通过页面或者文件导入的方式实现。</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40" w:name="_Toc466291194"/>
      <w:bookmarkStart w:id="41" w:name="_Toc500684722"/>
      <w:bookmarkStart w:id="42" w:name="_Toc478054255"/>
      <w:bookmarkStart w:id="43" w:name="_Toc466291188"/>
      <w:bookmarkStart w:id="44" w:name="_Toc500684721"/>
      <w:bookmarkStart w:id="45" w:name="_Toc478054254"/>
      <w:r>
        <w:rPr>
          <w:rFonts w:hint="eastAsia" w:ascii="方正仿宋_GBK" w:hAnsi="方正仿宋_GBK" w:eastAsia="方正仿宋_GBK" w:cs="方正仿宋_GBK"/>
          <w:color w:val="auto"/>
          <w:sz w:val="28"/>
          <w:szCs w:val="28"/>
          <w:highlight w:val="none"/>
          <w:lang w:val="en-US" w:eastAsia="zh-CN"/>
        </w:rPr>
        <w:t>（5）资源管理</w:t>
      </w:r>
      <w:bookmarkEnd w:id="40"/>
      <w:bookmarkEnd w:id="41"/>
      <w:bookmarkEnd w:id="42"/>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资源维护。支持主机、数据库、网络设备等资源的管理维护功能。</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资源从账号管理。具备从帐号的创建、修改、删除、加/解锁、导入、导出等功能；具备从现存帐号数据库收集或导入转为平台从帐号的功能；具备将平台从帐号推送到对应资源帐号库中的功能；具备将平台从帐号定期同步到对应资源帐号库中的功能；具备讲修改从账号密码的功能。</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（6）运维审计</w:t>
      </w:r>
      <w:bookmarkEnd w:id="33"/>
      <w:bookmarkEnd w:id="34"/>
      <w:bookmarkEnd w:id="35"/>
      <w:bookmarkEnd w:id="43"/>
      <w:bookmarkEnd w:id="44"/>
      <w:bookmarkEnd w:id="45"/>
      <w:bookmarkStart w:id="46" w:name="_Toc185827634"/>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47" w:name="_Toc185827633"/>
      <w:r>
        <w:rPr>
          <w:rFonts w:hint="eastAsia" w:ascii="方正仿宋_GBK" w:hAnsi="方正仿宋_GBK" w:eastAsia="方正仿宋_GBK" w:cs="方正仿宋_GBK"/>
          <w:color w:val="auto"/>
          <w:sz w:val="28"/>
          <w:szCs w:val="28"/>
          <w:highlight w:val="none"/>
          <w:lang w:val="en-US" w:eastAsia="zh-CN"/>
        </w:rPr>
        <w:t>登录审计，系统支持针用户身份登录行为进行审计。操作审计，系统支持针对telnet、SSH操作命令审计功能，便于审计管理员及时发现用户违规和风险操作行为。操作录像回放，系统支持运维操作的录像与回放功能，以可视化的方式，提高审计管理员的审计效率。</w:t>
      </w:r>
      <w:bookmarkEnd w:id="47"/>
      <w:r>
        <w:rPr>
          <w:rFonts w:hint="eastAsia" w:ascii="方正仿宋_GBK" w:hAnsi="方正仿宋_GBK" w:eastAsia="方正仿宋_GBK" w:cs="方正仿宋_GBK"/>
          <w:color w:val="auto"/>
          <w:sz w:val="28"/>
          <w:szCs w:val="28"/>
          <w:highlight w:val="none"/>
          <w:lang w:val="en-US" w:eastAsia="zh-CN"/>
        </w:rPr>
        <w:t>实时监控，系统支持对正在进行的运维操作的监控，方便管理员对运维人员进行远程监管，满足实时管控与指导的要求。审计查询，系统支持基于操作指令、用户等信息的会话查询功能，以实现对危险或高危指令的查询与统计，提高审计管理员对运维人员行为审计效率。</w:t>
      </w:r>
    </w:p>
    <w:bookmarkEnd w:id="36"/>
    <w:bookmarkEnd w:id="37"/>
    <w:bookmarkEnd w:id="46"/>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48" w:name="_Toc466291197"/>
      <w:bookmarkStart w:id="49" w:name="_Toc478054256"/>
      <w:bookmarkStart w:id="50" w:name="_Toc500684723"/>
      <w:r>
        <w:rPr>
          <w:rFonts w:hint="eastAsia" w:ascii="方正仿宋_GBK" w:hAnsi="方正仿宋_GBK" w:eastAsia="方正仿宋_GBK" w:cs="方正仿宋_GBK"/>
          <w:color w:val="auto"/>
          <w:sz w:val="28"/>
          <w:szCs w:val="28"/>
          <w:highlight w:val="none"/>
          <w:lang w:val="en-US" w:eastAsia="zh-CN"/>
        </w:rPr>
        <w:t>（7）报表管理</w:t>
      </w:r>
      <w:bookmarkEnd w:id="48"/>
      <w:bookmarkEnd w:id="49"/>
      <w:bookmarkEnd w:id="50"/>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51" w:name="_Toc466291198"/>
      <w:r>
        <w:rPr>
          <w:rFonts w:hint="eastAsia" w:ascii="方正仿宋_GBK" w:hAnsi="方正仿宋_GBK" w:eastAsia="方正仿宋_GBK" w:cs="方正仿宋_GBK"/>
          <w:color w:val="auto"/>
          <w:sz w:val="28"/>
          <w:szCs w:val="28"/>
          <w:highlight w:val="none"/>
          <w:lang w:val="en-US" w:eastAsia="zh-CN"/>
        </w:rPr>
        <w:t>统计报表模板管理</w:t>
      </w:r>
      <w:bookmarkEnd w:id="51"/>
      <w:r>
        <w:rPr>
          <w:rFonts w:hint="eastAsia" w:ascii="方正仿宋_GBK" w:hAnsi="方正仿宋_GBK" w:eastAsia="方正仿宋_GBK" w:cs="方正仿宋_GBK"/>
          <w:color w:val="auto"/>
          <w:sz w:val="28"/>
          <w:szCs w:val="28"/>
          <w:highlight w:val="none"/>
          <w:lang w:val="en-US" w:eastAsia="zh-CN"/>
        </w:rPr>
        <w:t>。报表模板管理功能是根据不同维度的展现需求，提供报表模板的创建、修改和删除等基础功能，主要功能要求：</w:t>
      </w:r>
    </w:p>
    <w:p>
      <w:pPr>
        <w:widowControl/>
        <w:numPr>
          <w:ilvl w:val="0"/>
          <w:numId w:val="7"/>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支持生成WEB格式以及其他多种数据格式，如：PDF、EXCEL等。</w:t>
      </w:r>
    </w:p>
    <w:p>
      <w:pPr>
        <w:widowControl/>
        <w:numPr>
          <w:ilvl w:val="0"/>
          <w:numId w:val="7"/>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支持对报表模板的增/删/改等操作。</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报表生成发布按照已定制的报表任务、生成条件自动或人工生成报表，主要功能要求：</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应支持统计报表任务的新增、修改及删除；</w:t>
      </w:r>
    </w:p>
    <w:p>
      <w:pPr>
        <w:widowControl/>
        <w:numPr>
          <w:ilvl w:val="0"/>
          <w:numId w:val="8"/>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报表生成分为周期性和临时性两种，周期性报表应支持日、周、月等，并自动按照模版生成报表；</w:t>
      </w:r>
    </w:p>
    <w:p>
      <w:pPr>
        <w:widowControl/>
        <w:numPr>
          <w:ilvl w:val="0"/>
          <w:numId w:val="8"/>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支持对历史报表的查询、检索，并可对查询结果进行浏览、导出、打印和分发。</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52" w:name="_Toc344277113"/>
      <w:r>
        <w:rPr>
          <w:rFonts w:hint="eastAsia" w:ascii="方正仿宋_GBK" w:hAnsi="方正仿宋_GBK" w:eastAsia="方正仿宋_GBK" w:cs="方正仿宋_GBK"/>
          <w:color w:val="auto"/>
          <w:sz w:val="28"/>
          <w:szCs w:val="28"/>
          <w:highlight w:val="none"/>
          <w:lang w:val="en-US" w:eastAsia="zh-CN"/>
        </w:rPr>
        <w:t>（8）应急账号备份服务</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支持将账号密码在变更后，通过加密方式定期备份到独立存储中，当系统出现问题时，可以通过备份的账号、密码以直连的方式进行访问。</w:t>
      </w:r>
    </w:p>
    <w:bookmarkEnd w:id="52"/>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53" w:name="_Toc500684725"/>
      <w:r>
        <w:rPr>
          <w:rFonts w:hint="eastAsia" w:ascii="方正仿宋_GBK" w:hAnsi="方正仿宋_GBK" w:eastAsia="方正仿宋_GBK" w:cs="方正仿宋_GBK"/>
          <w:color w:val="auto"/>
          <w:sz w:val="28"/>
          <w:szCs w:val="28"/>
          <w:highlight w:val="none"/>
          <w:lang w:val="en-US" w:eastAsia="zh-CN"/>
        </w:rPr>
        <w:t>（9）访问控制网关</w:t>
      </w:r>
      <w:bookmarkEnd w:id="53"/>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登录管理主要包括单点登录和单点登录策略管理。系统支持使用主机数据库常用运维工具（SecureCRT、XShell、XManager、PL\SQL、TOAD、FLASHFXP、WinSCP、FileZilla、Teradata SQL Assistant、Quest Central for DB2）登录主机数据库设备。访问控制网关与帐号权限系统无缝集成，单点登录过程由系统与访问控制网关通过单点登录接口完成，登录过程对最终用户透明。访问控制网关支持登录协议：Telnet、SSH、RDP、FTP、TNS。系统支持单点登录策略管理，单点登录策略包括用户登录时间、登录IP、登录帐号、登录使用的从帐号、登录的网段等。系统管理员通过配置单点登录策略可以限制登录用户的登录时间、IP、网段、使用的资源从帐号等。</w:t>
      </w:r>
    </w:p>
    <w:p>
      <w:pPr>
        <w:widowControl/>
        <w:spacing w:line="360" w:lineRule="auto"/>
        <w:ind w:firstLine="560" w:firstLineChars="20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应用发布。支持单点登录的图形化运维工具发布功能，支持plsqldev、SecureCRT、sqlplus、FlashFXP、PL\SQL、TOAD等，支持运维工具的发布管理，包括运维工具的发布、修改、删除、查询；支持运维工具与主机、数据库的绑定，运维人员在选择登录指定主机、数据库资源时，根据主机、数据库绑定的运维工具登录资源。</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A71C3F-DB54-434C-AEB5-FFC5932F0518}"/>
  </w:font>
  <w:font w:name="Arial">
    <w:panose1 w:val="020B0604020202020204"/>
    <w:charset w:val="01"/>
    <w:family w:val="swiss"/>
    <w:pitch w:val="default"/>
    <w:sig w:usb0="E0002EFF" w:usb1="C000785B" w:usb2="00000009" w:usb3="00000000" w:csb0="400001FF" w:csb1="FFFF0000"/>
    <w:embedRegular r:id="rId2" w:fontKey="{8253BC32-8B73-410D-A0B2-20749A69E1C8}"/>
  </w:font>
  <w:font w:name="黑体">
    <w:panose1 w:val="02010609060101010101"/>
    <w:charset w:val="86"/>
    <w:family w:val="auto"/>
    <w:pitch w:val="default"/>
    <w:sig w:usb0="800002BF" w:usb1="38CF7CFA" w:usb2="00000016" w:usb3="00000000" w:csb0="00040001" w:csb1="00000000"/>
    <w:embedRegular r:id="rId3" w:fontKey="{034DC097-4FD3-4E3A-B241-498377C2B9F5}"/>
  </w:font>
  <w:font w:name="Courier New">
    <w:panose1 w:val="02070309020205020404"/>
    <w:charset w:val="01"/>
    <w:family w:val="modern"/>
    <w:pitch w:val="default"/>
    <w:sig w:usb0="E0002EFF" w:usb1="C0007843" w:usb2="00000009" w:usb3="00000000" w:csb0="400001FF" w:csb1="FFFF0000"/>
    <w:embedRegular r:id="rId4" w:fontKey="{5B9D8356-7B19-492B-B6F4-0CABBA127E8D}"/>
  </w:font>
  <w:font w:name="Symbol">
    <w:panose1 w:val="05050102010706020507"/>
    <w:charset w:val="02"/>
    <w:family w:val="roman"/>
    <w:pitch w:val="default"/>
    <w:sig w:usb0="00000000" w:usb1="00000000" w:usb2="00000000" w:usb3="00000000" w:csb0="80000000" w:csb1="00000000"/>
    <w:embedRegular r:id="rId5" w:fontKey="{70F55544-D1B4-4CA0-8595-D2A93989628E}"/>
  </w:font>
  <w:font w:name="Calibri">
    <w:panose1 w:val="020F0502020204030204"/>
    <w:charset w:val="00"/>
    <w:family w:val="swiss"/>
    <w:pitch w:val="default"/>
    <w:sig w:usb0="E4002EFF" w:usb1="C000247B" w:usb2="00000009" w:usb3="00000000" w:csb0="200001FF" w:csb1="00000000"/>
    <w:embedRegular r:id="rId6" w:fontKey="{A0B12FFA-A070-44FC-A0ED-F4EED7B7E6B4}"/>
  </w:font>
  <w:font w:name="仿宋_GB2312">
    <w:panose1 w:val="02010609030101010101"/>
    <w:charset w:val="86"/>
    <w:family w:val="modern"/>
    <w:pitch w:val="default"/>
    <w:sig w:usb0="00000000" w:usb1="00000000" w:usb2="00000000" w:usb3="00000000" w:csb0="00000000" w:csb1="00000000"/>
    <w:embedRegular r:id="rId7" w:fontKey="{C9DC86F0-B3DB-460F-A43D-0059BEDB9475}"/>
  </w:font>
  <w:font w:name="仿宋">
    <w:panose1 w:val="02010609060101010101"/>
    <w:charset w:val="86"/>
    <w:family w:val="auto"/>
    <w:pitch w:val="default"/>
    <w:sig w:usb0="800002BF" w:usb1="38CF7CFA" w:usb2="00000016" w:usb3="00000000" w:csb0="00040001" w:csb1="00000000"/>
    <w:embedRegular r:id="rId8" w:fontKey="{F0C02998-2B2D-42B2-BD6B-8E2C6AD2A7FC}"/>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embedRegular r:id="rId9" w:fontKey="{0F45210E-E1A4-4A5B-8EBC-F56185D2C200}"/>
  </w:font>
  <w:font w:name="MingLiU">
    <w:altName w:val="PMingLiU-ExtB"/>
    <w:panose1 w:val="02020509000000000000"/>
    <w:charset w:val="88"/>
    <w:family w:val="modern"/>
    <w:pitch w:val="default"/>
    <w:sig w:usb0="00000000" w:usb1="00000000" w:usb2="00000016" w:usb3="00000000" w:csb0="00100001" w:csb1="00000000"/>
  </w:font>
  <w:font w:name="方正小标宋_GBK">
    <w:panose1 w:val="03000509000000000000"/>
    <w:charset w:val="86"/>
    <w:family w:val="script"/>
    <w:pitch w:val="default"/>
    <w:sig w:usb0="00000001" w:usb1="080E0000" w:usb2="00000000" w:usb3="00000000" w:csb0="00040000" w:csb1="00000000"/>
    <w:embedRegular r:id="rId10" w:fontKey="{AB8E2B51-2852-4C2E-A8DB-1F06F2FB34D7}"/>
  </w:font>
  <w:font w:name="方正小标宋简体">
    <w:panose1 w:val="02000000000000000000"/>
    <w:charset w:val="86"/>
    <w:family w:val="script"/>
    <w:pitch w:val="default"/>
    <w:sig w:usb0="00000000" w:usb1="00000000" w:usb2="00000000" w:usb3="00000000" w:csb0="00000000" w:csb1="00000000"/>
    <w:embedRegular r:id="rId11" w:fontKey="{CC46E497-9061-47DE-99BA-6E3F4271A484}"/>
  </w:font>
  <w:font w:name="方正仿宋_GBK">
    <w:panose1 w:val="03000509000000000000"/>
    <w:charset w:val="86"/>
    <w:family w:val="script"/>
    <w:pitch w:val="default"/>
    <w:sig w:usb0="00000001" w:usb1="080E0000" w:usb2="00000000" w:usb3="00000000" w:csb0="00040000" w:csb1="00000000"/>
    <w:embedRegular r:id="rId12" w:fontKey="{2A488C5C-F3A0-42D8-B431-47D4702C08E7}"/>
  </w:font>
  <w:font w:name="华文仿宋">
    <w:panose1 w:val="02010600040101010101"/>
    <w:charset w:val="86"/>
    <w:family w:val="auto"/>
    <w:pitch w:val="default"/>
    <w:sig w:usb0="00000287" w:usb1="080F0000" w:usb2="00000000" w:usb3="00000000" w:csb0="0004009F" w:csb1="DFD70000"/>
    <w:embedRegular r:id="rId13" w:fontKey="{4203415E-BCC1-45A7-BF33-57C89EC4001A}"/>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AsvK4BAABLAwAADgAAAGRycy9lMm9Eb2MueG1srVPNahsxEL4X8g5C&#10;91hrB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29ALShy3OKL9j5f9z9/7X89kmtvTh1hj1lPAvDRc+wHHPPojOrPqQYHNX9RD&#10;MI6N3p2aK4dERH40n83nFYYExsYL4rPX5wFiupPekmw0FHB6pal8+yWmQ+qYkqs5f6uNKRM07h8H&#10;YmYPy9wPHLOVhtVwFLTy7Q719Dj4hjrcTErMvcO+5h0ZDRiN1WhsAuh1V5Yo14vhapOQROGWKxxg&#10;j4VxYkXdcbvySvx9L1mv/8D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TICy8rgEAAEsD&#10;AAAOAAAAAAAAAAEAIAAAAB4BAABkcnMvZTJvRG9jLnhtbFBLBQYAAAAABgAGAFkBAAA+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23</w:t>
    </w:r>
    <w:r>
      <w:rPr>
        <w:lang w:val="zh-CN"/>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between w:val="none" w:color="auto" w:sz="0" w:space="0"/>
      </w:pBdr>
      <w:tabs>
        <w:tab w:val="left" w:pos="3537"/>
        <w:tab w:val="center" w:pos="7810"/>
      </w:tabs>
      <w:jc w:val="left"/>
      <w:rPr>
        <w:rFonts w:hint="eastAsia" w:eastAsia="宋体"/>
        <w:lang w:val="en-US" w:eastAsia="zh-CN"/>
      </w:rPr>
    </w:pPr>
    <w:r>
      <w:rPr>
        <w:rFonts w:hint="eastAsia"/>
        <w:lang w:val="en-US" w:eastAsia="zh-CN"/>
      </w:rPr>
      <w:tab/>
    </w:r>
    <w:r>
      <w:rPr>
        <w:rFonts w:hint="eastAsia"/>
        <w:lang w:val="en-US" w:eastAsia="zh-CN"/>
      </w:rPr>
      <w:tab/>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6DAE79"/>
    <w:multiLevelType w:val="singleLevel"/>
    <w:tmpl w:val="8D6DAE79"/>
    <w:lvl w:ilvl="0" w:tentative="0">
      <w:start w:val="1"/>
      <w:numFmt w:val="bullet"/>
      <w:lvlText w:val=""/>
      <w:lvlJc w:val="left"/>
      <w:pPr>
        <w:tabs>
          <w:tab w:val="left" w:pos="420"/>
        </w:tabs>
        <w:ind w:left="840" w:hanging="420"/>
      </w:pPr>
      <w:rPr>
        <w:rFonts w:hint="default" w:ascii="Wingdings" w:hAnsi="Wingdings"/>
      </w:rPr>
    </w:lvl>
  </w:abstractNum>
  <w:abstractNum w:abstractNumId="1">
    <w:nsid w:val="B5637000"/>
    <w:multiLevelType w:val="singleLevel"/>
    <w:tmpl w:val="B5637000"/>
    <w:lvl w:ilvl="0" w:tentative="0">
      <w:start w:val="1"/>
      <w:numFmt w:val="bullet"/>
      <w:lvlText w:val=""/>
      <w:lvlJc w:val="left"/>
      <w:pPr>
        <w:tabs>
          <w:tab w:val="left" w:pos="420"/>
        </w:tabs>
        <w:ind w:left="840" w:hanging="420"/>
      </w:pPr>
      <w:rPr>
        <w:rFonts w:hint="default" w:ascii="Wingdings" w:hAnsi="Wingdings"/>
      </w:rPr>
    </w:lvl>
  </w:abstractNum>
  <w:abstractNum w:abstractNumId="2">
    <w:nsid w:val="DE54D6B8"/>
    <w:multiLevelType w:val="singleLevel"/>
    <w:tmpl w:val="DE54D6B8"/>
    <w:lvl w:ilvl="0" w:tentative="0">
      <w:start w:val="1"/>
      <w:numFmt w:val="bullet"/>
      <w:lvlText w:val=""/>
      <w:lvlJc w:val="left"/>
      <w:pPr>
        <w:tabs>
          <w:tab w:val="left" w:pos="420"/>
        </w:tabs>
        <w:ind w:left="840" w:hanging="420"/>
      </w:pPr>
      <w:rPr>
        <w:rFonts w:hint="default" w:ascii="Wingdings" w:hAnsi="Wingdings"/>
      </w:rPr>
    </w:lvl>
  </w:abstractNum>
  <w:abstractNum w:abstractNumId="3">
    <w:nsid w:val="F22FEE3A"/>
    <w:multiLevelType w:val="singleLevel"/>
    <w:tmpl w:val="F22FEE3A"/>
    <w:lvl w:ilvl="0" w:tentative="0">
      <w:start w:val="2"/>
      <w:numFmt w:val="decimal"/>
      <w:suff w:val="space"/>
      <w:lvlText w:val="%1."/>
      <w:lvlJc w:val="left"/>
      <w:pPr>
        <w:ind w:left="68"/>
      </w:pPr>
    </w:lvl>
  </w:abstractNum>
  <w:abstractNum w:abstractNumId="4">
    <w:nsid w:val="00000007"/>
    <w:multiLevelType w:val="singleLevel"/>
    <w:tmpl w:val="00000007"/>
    <w:lvl w:ilvl="0" w:tentative="0">
      <w:start w:val="1"/>
      <w:numFmt w:val="decimal"/>
      <w:suff w:val="space"/>
      <w:lvlText w:val="%1."/>
      <w:lvlJc w:val="left"/>
    </w:lvl>
  </w:abstractNum>
  <w:abstractNum w:abstractNumId="5">
    <w:nsid w:val="3DA646B5"/>
    <w:multiLevelType w:val="singleLevel"/>
    <w:tmpl w:val="3DA646B5"/>
    <w:lvl w:ilvl="0" w:tentative="0">
      <w:start w:val="2"/>
      <w:numFmt w:val="decimal"/>
      <w:suff w:val="space"/>
      <w:lvlText w:val="%1."/>
      <w:lvlJc w:val="left"/>
    </w:lvl>
  </w:abstractNum>
  <w:abstractNum w:abstractNumId="6">
    <w:nsid w:val="3E50093C"/>
    <w:multiLevelType w:val="singleLevel"/>
    <w:tmpl w:val="3E50093C"/>
    <w:lvl w:ilvl="0" w:tentative="0">
      <w:start w:val="1"/>
      <w:numFmt w:val="bullet"/>
      <w:lvlText w:val=""/>
      <w:lvlJc w:val="left"/>
      <w:pPr>
        <w:tabs>
          <w:tab w:val="left" w:pos="420"/>
        </w:tabs>
        <w:ind w:left="840" w:hanging="420"/>
      </w:pPr>
      <w:rPr>
        <w:rFonts w:hint="default" w:ascii="Wingdings" w:hAnsi="Wingdings"/>
      </w:rPr>
    </w:lvl>
  </w:abstractNum>
  <w:abstractNum w:abstractNumId="7">
    <w:nsid w:val="73684BA7"/>
    <w:multiLevelType w:val="singleLevel"/>
    <w:tmpl w:val="73684BA7"/>
    <w:lvl w:ilvl="0" w:tentative="0">
      <w:start w:val="1"/>
      <w:numFmt w:val="bullet"/>
      <w:lvlText w:val=""/>
      <w:lvlJc w:val="left"/>
      <w:pPr>
        <w:tabs>
          <w:tab w:val="left" w:pos="420"/>
        </w:tabs>
        <w:ind w:left="840" w:hanging="420"/>
      </w:pPr>
      <w:rPr>
        <w:rFonts w:hint="default" w:ascii="Wingdings" w:hAnsi="Wingdings"/>
      </w:rPr>
    </w:lvl>
  </w:abstractNum>
  <w:num w:numId="1">
    <w:abstractNumId w:val="4"/>
  </w:num>
  <w:num w:numId="2">
    <w:abstractNumId w:val="5"/>
  </w:num>
  <w:num w:numId="3">
    <w:abstractNumId w:val="3"/>
  </w:num>
  <w:num w:numId="4">
    <w:abstractNumId w:val="1"/>
  </w:num>
  <w:num w:numId="5">
    <w:abstractNumId w:val="2"/>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3DAE"/>
    <w:rsid w:val="00025AEC"/>
    <w:rsid w:val="000265C7"/>
    <w:rsid w:val="0002763C"/>
    <w:rsid w:val="00031BB8"/>
    <w:rsid w:val="00032715"/>
    <w:rsid w:val="00035345"/>
    <w:rsid w:val="000371A2"/>
    <w:rsid w:val="00044BB6"/>
    <w:rsid w:val="00044F3C"/>
    <w:rsid w:val="00050D62"/>
    <w:rsid w:val="0005249A"/>
    <w:rsid w:val="0005588C"/>
    <w:rsid w:val="00056869"/>
    <w:rsid w:val="000611DA"/>
    <w:rsid w:val="000631F6"/>
    <w:rsid w:val="00063CCA"/>
    <w:rsid w:val="00073A28"/>
    <w:rsid w:val="000740F0"/>
    <w:rsid w:val="00076511"/>
    <w:rsid w:val="00081F12"/>
    <w:rsid w:val="000825D0"/>
    <w:rsid w:val="0008471B"/>
    <w:rsid w:val="00084B6F"/>
    <w:rsid w:val="000A3B23"/>
    <w:rsid w:val="000B4109"/>
    <w:rsid w:val="000B753E"/>
    <w:rsid w:val="000B7659"/>
    <w:rsid w:val="000C02DD"/>
    <w:rsid w:val="000D521A"/>
    <w:rsid w:val="000E2F2F"/>
    <w:rsid w:val="000E5E1E"/>
    <w:rsid w:val="000F0D41"/>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04FC"/>
    <w:rsid w:val="00192AF6"/>
    <w:rsid w:val="00196FD2"/>
    <w:rsid w:val="001C452E"/>
    <w:rsid w:val="001D0060"/>
    <w:rsid w:val="001E04F7"/>
    <w:rsid w:val="001E0DD3"/>
    <w:rsid w:val="001F2E0C"/>
    <w:rsid w:val="001F52E9"/>
    <w:rsid w:val="00202EEA"/>
    <w:rsid w:val="002111D0"/>
    <w:rsid w:val="002146E5"/>
    <w:rsid w:val="002170C0"/>
    <w:rsid w:val="00223328"/>
    <w:rsid w:val="00224DEB"/>
    <w:rsid w:val="00230435"/>
    <w:rsid w:val="002334E4"/>
    <w:rsid w:val="002362BD"/>
    <w:rsid w:val="002369A5"/>
    <w:rsid w:val="002441FE"/>
    <w:rsid w:val="00264544"/>
    <w:rsid w:val="00266533"/>
    <w:rsid w:val="0028006E"/>
    <w:rsid w:val="002834F6"/>
    <w:rsid w:val="00286536"/>
    <w:rsid w:val="00287E0A"/>
    <w:rsid w:val="002B2F73"/>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67D16"/>
    <w:rsid w:val="00370602"/>
    <w:rsid w:val="003723A5"/>
    <w:rsid w:val="00374978"/>
    <w:rsid w:val="00381031"/>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74E"/>
    <w:rsid w:val="003E7B29"/>
    <w:rsid w:val="003E7FB7"/>
    <w:rsid w:val="003F0A60"/>
    <w:rsid w:val="003F167C"/>
    <w:rsid w:val="003F78CE"/>
    <w:rsid w:val="00413220"/>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3A69"/>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E79F1"/>
    <w:rsid w:val="004E7A4A"/>
    <w:rsid w:val="004F114F"/>
    <w:rsid w:val="004F2FAB"/>
    <w:rsid w:val="004F307F"/>
    <w:rsid w:val="004F3384"/>
    <w:rsid w:val="004F3F16"/>
    <w:rsid w:val="004F6B0B"/>
    <w:rsid w:val="0052266E"/>
    <w:rsid w:val="00537B2A"/>
    <w:rsid w:val="00550BF1"/>
    <w:rsid w:val="00566ECB"/>
    <w:rsid w:val="005766B4"/>
    <w:rsid w:val="0058393D"/>
    <w:rsid w:val="005863EB"/>
    <w:rsid w:val="00591811"/>
    <w:rsid w:val="005A5B24"/>
    <w:rsid w:val="005B0811"/>
    <w:rsid w:val="005B2C03"/>
    <w:rsid w:val="005B5E40"/>
    <w:rsid w:val="005B623B"/>
    <w:rsid w:val="005B6DF6"/>
    <w:rsid w:val="005B72F8"/>
    <w:rsid w:val="005C4CBA"/>
    <w:rsid w:val="005C7814"/>
    <w:rsid w:val="005C79AE"/>
    <w:rsid w:val="005D3B6B"/>
    <w:rsid w:val="005E467A"/>
    <w:rsid w:val="005F4A5B"/>
    <w:rsid w:val="006078C9"/>
    <w:rsid w:val="00610FBA"/>
    <w:rsid w:val="00622C32"/>
    <w:rsid w:val="00626931"/>
    <w:rsid w:val="00631187"/>
    <w:rsid w:val="006331B5"/>
    <w:rsid w:val="006448B9"/>
    <w:rsid w:val="00646279"/>
    <w:rsid w:val="0064646F"/>
    <w:rsid w:val="0064740A"/>
    <w:rsid w:val="00653540"/>
    <w:rsid w:val="006603E9"/>
    <w:rsid w:val="0066423D"/>
    <w:rsid w:val="0066539F"/>
    <w:rsid w:val="00665E26"/>
    <w:rsid w:val="0066710E"/>
    <w:rsid w:val="0066722C"/>
    <w:rsid w:val="006700E0"/>
    <w:rsid w:val="0067214B"/>
    <w:rsid w:val="00677C64"/>
    <w:rsid w:val="00693C5F"/>
    <w:rsid w:val="00694CA2"/>
    <w:rsid w:val="00694E61"/>
    <w:rsid w:val="006964FC"/>
    <w:rsid w:val="006A17D5"/>
    <w:rsid w:val="006B78A8"/>
    <w:rsid w:val="006C49D1"/>
    <w:rsid w:val="006D17D4"/>
    <w:rsid w:val="006D34E9"/>
    <w:rsid w:val="006D7AC4"/>
    <w:rsid w:val="006E0BFC"/>
    <w:rsid w:val="006E55F4"/>
    <w:rsid w:val="006E7700"/>
    <w:rsid w:val="006E7EC8"/>
    <w:rsid w:val="006F0D23"/>
    <w:rsid w:val="00701961"/>
    <w:rsid w:val="0070395B"/>
    <w:rsid w:val="007118BA"/>
    <w:rsid w:val="00722EF1"/>
    <w:rsid w:val="0072477B"/>
    <w:rsid w:val="00736352"/>
    <w:rsid w:val="00741B15"/>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A2B86"/>
    <w:rsid w:val="007B21E1"/>
    <w:rsid w:val="007B493F"/>
    <w:rsid w:val="007C1F70"/>
    <w:rsid w:val="007E0D23"/>
    <w:rsid w:val="007E19FA"/>
    <w:rsid w:val="007E4029"/>
    <w:rsid w:val="007F0083"/>
    <w:rsid w:val="008137A3"/>
    <w:rsid w:val="0081544B"/>
    <w:rsid w:val="008163E0"/>
    <w:rsid w:val="00833172"/>
    <w:rsid w:val="00835B1F"/>
    <w:rsid w:val="008602A9"/>
    <w:rsid w:val="00860574"/>
    <w:rsid w:val="008760AC"/>
    <w:rsid w:val="008800A8"/>
    <w:rsid w:val="00883BBC"/>
    <w:rsid w:val="00883E00"/>
    <w:rsid w:val="00883F8F"/>
    <w:rsid w:val="008903C7"/>
    <w:rsid w:val="008913B8"/>
    <w:rsid w:val="008A0078"/>
    <w:rsid w:val="008A3A6F"/>
    <w:rsid w:val="008B073C"/>
    <w:rsid w:val="008B5D37"/>
    <w:rsid w:val="008C5EA9"/>
    <w:rsid w:val="008C74BC"/>
    <w:rsid w:val="008E2C9F"/>
    <w:rsid w:val="0090520A"/>
    <w:rsid w:val="009153BB"/>
    <w:rsid w:val="009325DE"/>
    <w:rsid w:val="00941604"/>
    <w:rsid w:val="00942CCC"/>
    <w:rsid w:val="00956D31"/>
    <w:rsid w:val="0096421C"/>
    <w:rsid w:val="00965F6C"/>
    <w:rsid w:val="0097193B"/>
    <w:rsid w:val="00973BDE"/>
    <w:rsid w:val="0098379E"/>
    <w:rsid w:val="009865AA"/>
    <w:rsid w:val="00990CE0"/>
    <w:rsid w:val="009B30A2"/>
    <w:rsid w:val="009B4B99"/>
    <w:rsid w:val="009C1103"/>
    <w:rsid w:val="009D00D9"/>
    <w:rsid w:val="009D1F92"/>
    <w:rsid w:val="009D5971"/>
    <w:rsid w:val="009E193A"/>
    <w:rsid w:val="009F1A57"/>
    <w:rsid w:val="00A06661"/>
    <w:rsid w:val="00A079DB"/>
    <w:rsid w:val="00A12488"/>
    <w:rsid w:val="00A2327E"/>
    <w:rsid w:val="00A279E1"/>
    <w:rsid w:val="00A307C5"/>
    <w:rsid w:val="00A410C8"/>
    <w:rsid w:val="00A51639"/>
    <w:rsid w:val="00A64B28"/>
    <w:rsid w:val="00A6743C"/>
    <w:rsid w:val="00A70F36"/>
    <w:rsid w:val="00A73150"/>
    <w:rsid w:val="00A73E6F"/>
    <w:rsid w:val="00A74F64"/>
    <w:rsid w:val="00A809A4"/>
    <w:rsid w:val="00A9211E"/>
    <w:rsid w:val="00AA3DFD"/>
    <w:rsid w:val="00AA7541"/>
    <w:rsid w:val="00AB18AB"/>
    <w:rsid w:val="00AC6169"/>
    <w:rsid w:val="00AD0062"/>
    <w:rsid w:val="00AD04F5"/>
    <w:rsid w:val="00AD19AB"/>
    <w:rsid w:val="00AD1B3B"/>
    <w:rsid w:val="00AD3C9F"/>
    <w:rsid w:val="00AD460B"/>
    <w:rsid w:val="00AD5218"/>
    <w:rsid w:val="00AE1E61"/>
    <w:rsid w:val="00AE450D"/>
    <w:rsid w:val="00AF13E9"/>
    <w:rsid w:val="00AF1739"/>
    <w:rsid w:val="00AF6F3E"/>
    <w:rsid w:val="00B07E47"/>
    <w:rsid w:val="00B13BD8"/>
    <w:rsid w:val="00B22AD5"/>
    <w:rsid w:val="00B23001"/>
    <w:rsid w:val="00B27562"/>
    <w:rsid w:val="00B31151"/>
    <w:rsid w:val="00B3115C"/>
    <w:rsid w:val="00B44196"/>
    <w:rsid w:val="00B7070E"/>
    <w:rsid w:val="00B719CE"/>
    <w:rsid w:val="00B73FE8"/>
    <w:rsid w:val="00B81C3E"/>
    <w:rsid w:val="00B83591"/>
    <w:rsid w:val="00BA0571"/>
    <w:rsid w:val="00BA1401"/>
    <w:rsid w:val="00BA1D26"/>
    <w:rsid w:val="00BA3661"/>
    <w:rsid w:val="00BA7A8A"/>
    <w:rsid w:val="00BB07FB"/>
    <w:rsid w:val="00BB0CC3"/>
    <w:rsid w:val="00BC0647"/>
    <w:rsid w:val="00BC4195"/>
    <w:rsid w:val="00BD6F11"/>
    <w:rsid w:val="00BE72AF"/>
    <w:rsid w:val="00BF544F"/>
    <w:rsid w:val="00BF7D54"/>
    <w:rsid w:val="00C03881"/>
    <w:rsid w:val="00C062CB"/>
    <w:rsid w:val="00C075FD"/>
    <w:rsid w:val="00C25DD0"/>
    <w:rsid w:val="00C26752"/>
    <w:rsid w:val="00C33B30"/>
    <w:rsid w:val="00C36C02"/>
    <w:rsid w:val="00C3798E"/>
    <w:rsid w:val="00C4369F"/>
    <w:rsid w:val="00C43B58"/>
    <w:rsid w:val="00C43FDF"/>
    <w:rsid w:val="00C525AC"/>
    <w:rsid w:val="00C636E6"/>
    <w:rsid w:val="00C643C9"/>
    <w:rsid w:val="00C6512E"/>
    <w:rsid w:val="00C7412F"/>
    <w:rsid w:val="00C745A1"/>
    <w:rsid w:val="00C7596B"/>
    <w:rsid w:val="00C80539"/>
    <w:rsid w:val="00C826C9"/>
    <w:rsid w:val="00C9189F"/>
    <w:rsid w:val="00C919B0"/>
    <w:rsid w:val="00C93570"/>
    <w:rsid w:val="00CA22C7"/>
    <w:rsid w:val="00CC2123"/>
    <w:rsid w:val="00CC2C5D"/>
    <w:rsid w:val="00CC4C22"/>
    <w:rsid w:val="00CC5FD7"/>
    <w:rsid w:val="00CD2047"/>
    <w:rsid w:val="00CD3208"/>
    <w:rsid w:val="00CE63A2"/>
    <w:rsid w:val="00CF5BF8"/>
    <w:rsid w:val="00CF7A22"/>
    <w:rsid w:val="00D125EB"/>
    <w:rsid w:val="00D149F1"/>
    <w:rsid w:val="00D45135"/>
    <w:rsid w:val="00D47F13"/>
    <w:rsid w:val="00D639E1"/>
    <w:rsid w:val="00D63B4A"/>
    <w:rsid w:val="00D64587"/>
    <w:rsid w:val="00D66438"/>
    <w:rsid w:val="00D75600"/>
    <w:rsid w:val="00D80CA9"/>
    <w:rsid w:val="00D81DC5"/>
    <w:rsid w:val="00D83800"/>
    <w:rsid w:val="00DA1CBE"/>
    <w:rsid w:val="00DB73DB"/>
    <w:rsid w:val="00DD6002"/>
    <w:rsid w:val="00DF0117"/>
    <w:rsid w:val="00DF18B6"/>
    <w:rsid w:val="00DF642B"/>
    <w:rsid w:val="00E039E8"/>
    <w:rsid w:val="00E053CA"/>
    <w:rsid w:val="00E061DD"/>
    <w:rsid w:val="00E06C9E"/>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B444A"/>
    <w:rsid w:val="00EC4E18"/>
    <w:rsid w:val="00EE616E"/>
    <w:rsid w:val="00F02E67"/>
    <w:rsid w:val="00F1365F"/>
    <w:rsid w:val="00F172DB"/>
    <w:rsid w:val="00F21BD3"/>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77D17"/>
    <w:rsid w:val="00F8042D"/>
    <w:rsid w:val="00F85181"/>
    <w:rsid w:val="00FA02CC"/>
    <w:rsid w:val="00FA17E2"/>
    <w:rsid w:val="00FA6503"/>
    <w:rsid w:val="00FB4220"/>
    <w:rsid w:val="00FD3939"/>
    <w:rsid w:val="00FD5A31"/>
    <w:rsid w:val="00FE7DA0"/>
    <w:rsid w:val="00FF1C7D"/>
    <w:rsid w:val="00FF5E49"/>
    <w:rsid w:val="017215B3"/>
    <w:rsid w:val="018E717F"/>
    <w:rsid w:val="023A1284"/>
    <w:rsid w:val="06531285"/>
    <w:rsid w:val="06926D13"/>
    <w:rsid w:val="06B0704C"/>
    <w:rsid w:val="07672918"/>
    <w:rsid w:val="0B545F55"/>
    <w:rsid w:val="0B686D35"/>
    <w:rsid w:val="0B8E4155"/>
    <w:rsid w:val="0BBC79B4"/>
    <w:rsid w:val="0C8E2E77"/>
    <w:rsid w:val="0DB63A80"/>
    <w:rsid w:val="0E1C7F3A"/>
    <w:rsid w:val="101B284F"/>
    <w:rsid w:val="10DC3C22"/>
    <w:rsid w:val="10F05809"/>
    <w:rsid w:val="11C959D5"/>
    <w:rsid w:val="12A53375"/>
    <w:rsid w:val="12BA2FFD"/>
    <w:rsid w:val="13A51C33"/>
    <w:rsid w:val="13EB7732"/>
    <w:rsid w:val="142907DB"/>
    <w:rsid w:val="14DF4FE4"/>
    <w:rsid w:val="15925856"/>
    <w:rsid w:val="16301051"/>
    <w:rsid w:val="176335B8"/>
    <w:rsid w:val="17DF3158"/>
    <w:rsid w:val="18EA783A"/>
    <w:rsid w:val="1A917D50"/>
    <w:rsid w:val="1AE76FFF"/>
    <w:rsid w:val="1C2D30C9"/>
    <w:rsid w:val="1C890B7C"/>
    <w:rsid w:val="1CDA4B3F"/>
    <w:rsid w:val="1E30758B"/>
    <w:rsid w:val="1F35392A"/>
    <w:rsid w:val="208D2043"/>
    <w:rsid w:val="212D69FF"/>
    <w:rsid w:val="26812A77"/>
    <w:rsid w:val="26DF36D3"/>
    <w:rsid w:val="283B1AED"/>
    <w:rsid w:val="2B3542A3"/>
    <w:rsid w:val="2BD72CF4"/>
    <w:rsid w:val="2E63611C"/>
    <w:rsid w:val="32975C0A"/>
    <w:rsid w:val="36E506E6"/>
    <w:rsid w:val="38333537"/>
    <w:rsid w:val="38BA4CF1"/>
    <w:rsid w:val="38FA1B4F"/>
    <w:rsid w:val="3A175922"/>
    <w:rsid w:val="3A1A72B1"/>
    <w:rsid w:val="3A9C6630"/>
    <w:rsid w:val="3C1D2171"/>
    <w:rsid w:val="3C8D19DA"/>
    <w:rsid w:val="3CEF7B3F"/>
    <w:rsid w:val="3CFB59D1"/>
    <w:rsid w:val="3EC95C23"/>
    <w:rsid w:val="41F7198A"/>
    <w:rsid w:val="43185C8C"/>
    <w:rsid w:val="43A879A0"/>
    <w:rsid w:val="43BB54EB"/>
    <w:rsid w:val="45EE238E"/>
    <w:rsid w:val="476A02AE"/>
    <w:rsid w:val="482F185E"/>
    <w:rsid w:val="4944386A"/>
    <w:rsid w:val="49D65324"/>
    <w:rsid w:val="4B444025"/>
    <w:rsid w:val="4C0842E9"/>
    <w:rsid w:val="4F226B33"/>
    <w:rsid w:val="4F467400"/>
    <w:rsid w:val="4F5A7728"/>
    <w:rsid w:val="4F7D6367"/>
    <w:rsid w:val="50296840"/>
    <w:rsid w:val="50797F8D"/>
    <w:rsid w:val="5110452A"/>
    <w:rsid w:val="521C4028"/>
    <w:rsid w:val="528129B6"/>
    <w:rsid w:val="535328B0"/>
    <w:rsid w:val="54B4043D"/>
    <w:rsid w:val="57A71AC0"/>
    <w:rsid w:val="58094566"/>
    <w:rsid w:val="58F51FFA"/>
    <w:rsid w:val="59AE32A4"/>
    <w:rsid w:val="5C3A4E1A"/>
    <w:rsid w:val="5F457474"/>
    <w:rsid w:val="60681418"/>
    <w:rsid w:val="615306F7"/>
    <w:rsid w:val="62DD467B"/>
    <w:rsid w:val="658044A3"/>
    <w:rsid w:val="667D7612"/>
    <w:rsid w:val="67F65044"/>
    <w:rsid w:val="696754A4"/>
    <w:rsid w:val="6ABB621A"/>
    <w:rsid w:val="6B913DFC"/>
    <w:rsid w:val="6B995283"/>
    <w:rsid w:val="6C24768C"/>
    <w:rsid w:val="6DDE5245"/>
    <w:rsid w:val="709A32D8"/>
    <w:rsid w:val="71193D3B"/>
    <w:rsid w:val="721910BE"/>
    <w:rsid w:val="75E55811"/>
    <w:rsid w:val="76572E4E"/>
    <w:rsid w:val="76ED7632"/>
    <w:rsid w:val="77611D7E"/>
    <w:rsid w:val="77F00265"/>
    <w:rsid w:val="79344931"/>
    <w:rsid w:val="7A424D83"/>
    <w:rsid w:val="7C234B10"/>
    <w:rsid w:val="7CD544B8"/>
    <w:rsid w:val="7E6459CD"/>
    <w:rsid w:val="7FA14A1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36"/>
    <w:qFormat/>
    <w:locked/>
    <w:uiPriority w:val="0"/>
    <w:pPr>
      <w:keepNext/>
      <w:keepLines/>
      <w:spacing w:before="340" w:after="330" w:line="578" w:lineRule="auto"/>
      <w:outlineLvl w:val="0"/>
    </w:pPr>
    <w:rPr>
      <w:b/>
      <w:bCs/>
      <w:kern w:val="44"/>
      <w:sz w:val="44"/>
      <w:szCs w:val="44"/>
    </w:rPr>
  </w:style>
  <w:style w:type="paragraph" w:styleId="5">
    <w:name w:val="heading 2"/>
    <w:basedOn w:val="3"/>
    <w:next w:val="4"/>
    <w:link w:val="27"/>
    <w:qFormat/>
    <w:locked/>
    <w:uiPriority w:val="1"/>
    <w:pPr>
      <w:spacing w:before="120" w:after="120"/>
      <w:outlineLvl w:val="1"/>
    </w:pPr>
    <w:rPr>
      <w:rFonts w:eastAsia="黑体"/>
      <w:sz w:val="32"/>
    </w:rPr>
  </w:style>
  <w:style w:type="paragraph" w:styleId="6">
    <w:name w:val="heading 3"/>
    <w:basedOn w:val="1"/>
    <w:next w:val="1"/>
    <w:qFormat/>
    <w:locked/>
    <w:uiPriority w:val="9"/>
    <w:pPr>
      <w:keepNext/>
      <w:keepLines/>
      <w:spacing w:line="300" w:lineRule="auto"/>
      <w:ind w:firstLine="0" w:firstLineChars="0"/>
      <w:outlineLvl w:val="2"/>
    </w:pPr>
    <w:rPr>
      <w:rFonts w:ascii="Calibri" w:hAnsi="Calibri"/>
      <w:b/>
      <w:bCs/>
      <w:sz w:val="28"/>
      <w:szCs w:val="32"/>
    </w:rPr>
  </w:style>
  <w:style w:type="paragraph" w:styleId="7">
    <w:name w:val="heading 4"/>
    <w:basedOn w:val="1"/>
    <w:next w:val="1"/>
    <w:qFormat/>
    <w:locked/>
    <w:uiPriority w:val="0"/>
    <w:pPr>
      <w:keepNext/>
      <w:keepLines/>
      <w:spacing w:line="300" w:lineRule="auto"/>
      <w:outlineLvl w:val="3"/>
    </w:pPr>
    <w:rPr>
      <w:rFonts w:ascii="Calibri" w:hAnsi="Calibri" w:eastAsia="黑体"/>
      <w:bCs/>
      <w:sz w:val="24"/>
      <w:szCs w:val="28"/>
    </w:rPr>
  </w:style>
  <w:style w:type="character" w:default="1" w:styleId="15">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customStyle="1" w:styleId="4">
    <w:name w:val="首行缩进正文"/>
    <w:basedOn w:val="1"/>
    <w:qFormat/>
    <w:uiPriority w:val="0"/>
    <w:pPr>
      <w:spacing w:line="300" w:lineRule="auto"/>
      <w:ind w:firstLine="200" w:firstLineChars="200"/>
    </w:pPr>
    <w:rPr>
      <w:kern w:val="0"/>
      <w:sz w:val="24"/>
      <w:szCs w:val="20"/>
    </w:rPr>
  </w:style>
  <w:style w:type="paragraph" w:styleId="8">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9">
    <w:name w:val="Balloon Text"/>
    <w:basedOn w:val="1"/>
    <w:link w:val="19"/>
    <w:qFormat/>
    <w:uiPriority w:val="99"/>
    <w:rPr>
      <w:sz w:val="18"/>
      <w:szCs w:val="18"/>
    </w:rPr>
  </w:style>
  <w:style w:type="paragraph" w:styleId="10">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99"/>
    <w:rPr>
      <w:rFonts w:ascii="Calibri" w:hAnsi="Calibri"/>
      <w:b/>
      <w:szCs w:val="20"/>
    </w:rPr>
  </w:style>
  <w:style w:type="paragraph" w:styleId="13">
    <w:name w:val="toc 2"/>
    <w:basedOn w:val="1"/>
    <w:next w:val="1"/>
    <w:unhideWhenUsed/>
    <w:qFormat/>
    <w:locked/>
    <w:uiPriority w:val="39"/>
    <w:pPr>
      <w:widowControl/>
      <w:spacing w:before="100" w:beforeAutospacing="1" w:after="100" w:afterAutospacing="1"/>
      <w:ind w:left="420" w:leftChars="200"/>
      <w:jc w:val="left"/>
    </w:pPr>
    <w:rPr>
      <w:rFonts w:asciiTheme="minorHAnsi" w:hAnsiTheme="minorHAnsi" w:eastAsiaTheme="minorEastAsia" w:cstheme="minorBidi"/>
      <w:kern w:val="0"/>
      <w:sz w:val="22"/>
      <w:szCs w:val="22"/>
      <w:lang w:eastAsia="en-US"/>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批注框文本 字符"/>
    <w:basedOn w:val="15"/>
    <w:link w:val="9"/>
    <w:semiHidden/>
    <w:qFormat/>
    <w:locked/>
    <w:uiPriority w:val="99"/>
    <w:rPr>
      <w:rFonts w:ascii="Times New Roman" w:hAnsi="Times New Roman"/>
      <w:kern w:val="2"/>
      <w:sz w:val="18"/>
    </w:rPr>
  </w:style>
  <w:style w:type="character" w:customStyle="1" w:styleId="20">
    <w:name w:val="页脚 字符"/>
    <w:basedOn w:val="15"/>
    <w:link w:val="10"/>
    <w:qFormat/>
    <w:locked/>
    <w:uiPriority w:val="99"/>
    <w:rPr>
      <w:sz w:val="18"/>
    </w:rPr>
  </w:style>
  <w:style w:type="character" w:customStyle="1" w:styleId="21">
    <w:name w:val="页眉 字符"/>
    <w:basedOn w:val="15"/>
    <w:link w:val="11"/>
    <w:qFormat/>
    <w:locked/>
    <w:uiPriority w:val="99"/>
    <w:rPr>
      <w:sz w:val="18"/>
    </w:rPr>
  </w:style>
  <w:style w:type="paragraph" w:customStyle="1" w:styleId="22">
    <w:name w:val="列出段落1"/>
    <w:basedOn w:val="1"/>
    <w:qFormat/>
    <w:uiPriority w:val="99"/>
    <w:pPr>
      <w:ind w:firstLine="420" w:firstLineChars="200"/>
    </w:pPr>
  </w:style>
  <w:style w:type="character" w:customStyle="1" w:styleId="23">
    <w:name w:val="f14w1"/>
    <w:qFormat/>
    <w:uiPriority w:val="99"/>
    <w:rPr>
      <w:b/>
      <w:color w:val="002569"/>
      <w:sz w:val="21"/>
    </w:rPr>
  </w:style>
  <w:style w:type="paragraph" w:customStyle="1" w:styleId="24">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5">
    <w:name w:val="列出段落11"/>
    <w:basedOn w:val="1"/>
    <w:qFormat/>
    <w:uiPriority w:val="99"/>
    <w:pPr>
      <w:ind w:firstLine="420" w:firstLineChars="200"/>
    </w:pPr>
  </w:style>
  <w:style w:type="paragraph" w:customStyle="1" w:styleId="26">
    <w:name w:val="列出段落2"/>
    <w:basedOn w:val="1"/>
    <w:qFormat/>
    <w:uiPriority w:val="99"/>
    <w:pPr>
      <w:ind w:firstLine="420" w:firstLineChars="200"/>
    </w:pPr>
    <w:rPr>
      <w:rFonts w:ascii="Calibri" w:hAnsi="Calibri"/>
      <w:szCs w:val="22"/>
    </w:rPr>
  </w:style>
  <w:style w:type="character" w:customStyle="1" w:styleId="27">
    <w:name w:val="标题 2 字符"/>
    <w:basedOn w:val="15"/>
    <w:link w:val="5"/>
    <w:qFormat/>
    <w:uiPriority w:val="1"/>
    <w:rPr>
      <w:rFonts w:eastAsia="黑体"/>
      <w:kern w:val="2"/>
      <w:sz w:val="32"/>
      <w:szCs w:val="24"/>
    </w:rPr>
  </w:style>
  <w:style w:type="paragraph" w:customStyle="1" w:styleId="28">
    <w:name w:val="zjb正文"/>
    <w:basedOn w:val="1"/>
    <w:link w:val="31"/>
    <w:qFormat/>
    <w:uiPriority w:val="0"/>
    <w:pPr>
      <w:widowControl/>
      <w:spacing w:line="360" w:lineRule="auto"/>
      <w:ind w:firstLine="200" w:firstLineChars="200"/>
      <w:jc w:val="left"/>
    </w:pPr>
    <w:rPr>
      <w:rFonts w:ascii="仿宋_GB2312" w:hAnsi="仿宋" w:eastAsia="仿宋_GB2312" w:cs="宋体"/>
      <w:color w:val="000000"/>
      <w:kern w:val="0"/>
      <w:sz w:val="30"/>
      <w:szCs w:val="30"/>
      <w:lang w:eastAsia="en-US"/>
    </w:rPr>
  </w:style>
  <w:style w:type="paragraph" w:customStyle="1" w:styleId="29">
    <w:name w:val="zjb標題1"/>
    <w:basedOn w:val="1"/>
    <w:link w:val="30"/>
    <w:qFormat/>
    <w:uiPriority w:val="0"/>
    <w:pPr>
      <w:widowControl/>
      <w:spacing w:before="100" w:beforeAutospacing="1" w:after="100" w:afterAutospacing="1"/>
      <w:ind w:firstLine="1441" w:firstLineChars="200"/>
      <w:jc w:val="left"/>
    </w:pPr>
    <w:rPr>
      <w:rFonts w:eastAsia="华文中宋"/>
      <w:b/>
      <w:color w:val="000000"/>
      <w:kern w:val="0"/>
      <w:sz w:val="72"/>
      <w:szCs w:val="72"/>
      <w:lang w:eastAsia="en-US"/>
    </w:rPr>
  </w:style>
  <w:style w:type="character" w:customStyle="1" w:styleId="30">
    <w:name w:val="zjb標題1 字符"/>
    <w:basedOn w:val="15"/>
    <w:link w:val="29"/>
    <w:qFormat/>
    <w:uiPriority w:val="0"/>
    <w:rPr>
      <w:rFonts w:eastAsia="华文中宋"/>
      <w:b/>
      <w:color w:val="000000"/>
      <w:sz w:val="72"/>
      <w:szCs w:val="72"/>
      <w:lang w:eastAsia="en-US"/>
    </w:rPr>
  </w:style>
  <w:style w:type="character" w:customStyle="1" w:styleId="31">
    <w:name w:val="zjb正文 字符"/>
    <w:basedOn w:val="15"/>
    <w:link w:val="28"/>
    <w:qFormat/>
    <w:uiPriority w:val="0"/>
    <w:rPr>
      <w:rFonts w:ascii="仿宋_GB2312" w:hAnsi="仿宋" w:eastAsia="仿宋_GB2312" w:cs="宋体"/>
      <w:color w:val="000000"/>
      <w:sz w:val="30"/>
      <w:szCs w:val="30"/>
      <w:lang w:eastAsia="en-US"/>
    </w:rPr>
  </w:style>
  <w:style w:type="paragraph" w:styleId="32">
    <w:name w:val="List Paragraph"/>
    <w:basedOn w:val="1"/>
    <w:qFormat/>
    <w:uiPriority w:val="34"/>
    <w:pPr>
      <w:widowControl/>
      <w:spacing w:before="100" w:beforeAutospacing="1" w:after="100" w:afterAutospacing="1"/>
      <w:ind w:firstLine="420" w:firstLineChars="200"/>
      <w:jc w:val="left"/>
    </w:pPr>
    <w:rPr>
      <w:rFonts w:asciiTheme="minorHAnsi" w:hAnsiTheme="minorHAnsi" w:eastAsiaTheme="minorEastAsia" w:cstheme="minorBidi"/>
      <w:kern w:val="0"/>
      <w:sz w:val="22"/>
      <w:szCs w:val="22"/>
      <w:lang w:eastAsia="en-US"/>
    </w:rPr>
  </w:style>
  <w:style w:type="paragraph" w:customStyle="1" w:styleId="33">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4">
    <w:name w:val="Body text (2)_"/>
    <w:link w:val="35"/>
    <w:qFormat/>
    <w:uiPriority w:val="99"/>
    <w:rPr>
      <w:rFonts w:ascii="MingLiU" w:hAnsi="Calibri" w:eastAsia="MingLiU" w:cs="MingLiU"/>
      <w:sz w:val="30"/>
      <w:szCs w:val="30"/>
      <w:shd w:val="clear" w:color="auto" w:fill="FFFFFF"/>
    </w:rPr>
  </w:style>
  <w:style w:type="paragraph" w:customStyle="1" w:styleId="35">
    <w:name w:val="Body text (2)1"/>
    <w:basedOn w:val="1"/>
    <w:link w:val="34"/>
    <w:qFormat/>
    <w:uiPriority w:val="99"/>
    <w:pPr>
      <w:widowControl/>
      <w:shd w:val="clear" w:color="auto" w:fill="FFFFFF"/>
      <w:spacing w:before="1020" w:beforeAutospacing="1" w:after="100" w:afterAutospacing="1" w:line="619" w:lineRule="exact"/>
      <w:jc w:val="left"/>
    </w:pPr>
    <w:rPr>
      <w:rFonts w:ascii="MingLiU" w:hAnsi="Calibri" w:eastAsia="MingLiU" w:cs="MingLiU"/>
      <w:kern w:val="0"/>
      <w:sz w:val="30"/>
      <w:szCs w:val="30"/>
    </w:rPr>
  </w:style>
  <w:style w:type="character" w:customStyle="1" w:styleId="36">
    <w:name w:val="标题 1 字符"/>
    <w:basedOn w:val="15"/>
    <w:link w:val="3"/>
    <w:qFormat/>
    <w:uiPriority w:val="0"/>
    <w:rPr>
      <w:b/>
      <w:bCs/>
      <w:kern w:val="44"/>
      <w:sz w:val="44"/>
      <w:szCs w:val="44"/>
    </w:rPr>
  </w:style>
  <w:style w:type="paragraph" w:customStyle="1" w:styleId="37">
    <w:name w:val="表格"/>
    <w:basedOn w:val="1"/>
    <w:qFormat/>
    <w:uiPriority w:val="0"/>
    <w:pPr>
      <w:spacing w:line="312" w:lineRule="auto"/>
      <w:ind w:firstLine="0" w:firstLineChars="0"/>
      <w:jc w:val="left"/>
    </w:pPr>
    <w:rPr>
      <w:rFonts w:ascii="仿宋" w:hAnsi="仿宋" w:cs="仿宋"/>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DDC156-2039-4F14-AB15-8530E9D8BB2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1467</Words>
  <Characters>8365</Characters>
  <Lines>69</Lines>
  <Paragraphs>19</Paragraphs>
  <TotalTime>14</TotalTime>
  <ScaleCrop>false</ScaleCrop>
  <LinksUpToDate>false</LinksUpToDate>
  <CharactersWithSpaces>9813</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Administrator.BHMC91CZIVUIK2M</dc:creator>
  <cp:lastModifiedBy>重庆管理员</cp:lastModifiedBy>
  <cp:lastPrinted>2021-11-09T07:14:00Z</cp:lastPrinted>
  <dcterms:modified xsi:type="dcterms:W3CDTF">2021-11-23T01:05:22Z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ICV">
    <vt:lpwstr>4C9FBF004D7D48658D0CCB031B271B3A</vt:lpwstr>
  </property>
  <property fmtid="{D5CDD505-2E9C-101B-9397-08002B2CF9AE}" pid="4" name="KSOSaveFontToCloudKey">
    <vt:lpwstr>271168004_embed</vt:lpwstr>
  </property>
</Properties>
</file>