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重庆机场集团有限公司</w:t>
      </w:r>
    </w:p>
    <w:p>
      <w:pPr>
        <w:jc w:val="center"/>
        <w:rPr>
          <w:rFonts w:ascii="仿宋" w:hAnsi="仿宋" w:eastAsia="仿宋"/>
          <w:b/>
          <w:color w:val="000000"/>
          <w:sz w:val="52"/>
          <w:szCs w:val="52"/>
        </w:rPr>
      </w:pPr>
    </w:p>
    <w:p>
      <w:pPr>
        <w:adjustRightInd w:val="0"/>
        <w:snapToGrid w:val="0"/>
        <w:jc w:val="center"/>
        <w:rPr>
          <w:rFonts w:ascii="方正小标宋_GBK" w:hAnsi="仿宋" w:eastAsia="方正小标宋_GBK" w:cs="方正小标宋简体"/>
          <w:bCs/>
          <w:color w:val="000000"/>
          <w:sz w:val="44"/>
          <w:szCs w:val="44"/>
          <w:u w:val="none"/>
        </w:rPr>
      </w:pPr>
      <w:r>
        <w:rPr>
          <w:rFonts w:hint="eastAsia" w:ascii="方正小标宋_GBK" w:hAnsi="仿宋" w:eastAsia="方正小标宋_GBK" w:cs="方正小标宋简体"/>
          <w:bCs/>
          <w:color w:val="000000"/>
          <w:sz w:val="44"/>
          <w:szCs w:val="44"/>
          <w:u w:val="none"/>
        </w:rPr>
        <w:t>终端安全管理系统采购项目</w:t>
      </w:r>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000000"/>
          <w:sz w:val="44"/>
          <w:szCs w:val="44"/>
        </w:rPr>
        <w:t>比选采购文件</w:t>
      </w:r>
    </w:p>
    <w:p>
      <w:pPr>
        <w:autoSpaceDE w:val="0"/>
        <w:autoSpaceDN w:val="0"/>
        <w:adjustRightInd w:val="0"/>
        <w:spacing w:line="360" w:lineRule="auto"/>
        <w:jc w:val="center"/>
        <w:rPr>
          <w:rFonts w:ascii="仿宋_GB2312" w:hAnsi="仿宋" w:eastAsia="仿宋_GB2312" w:cs="宋体"/>
          <w:b/>
          <w:bCs/>
          <w:color w:val="000000"/>
          <w:sz w:val="36"/>
          <w:szCs w:val="36"/>
          <w:lang w:val="zh-CN"/>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hint="eastAsia" w:ascii="仿宋_GB2312" w:hAnsi="仿宋" w:eastAsia="仿宋_GB2312" w:cs="宋体"/>
          <w:b/>
          <w:bCs/>
          <w:color w:val="000000"/>
          <w:sz w:val="36"/>
          <w:szCs w:val="36"/>
          <w:lang w:val="en-US" w:eastAsia="zh-CN"/>
        </w:rPr>
      </w:pPr>
      <w:r>
        <w:rPr>
          <w:rFonts w:hint="eastAsia" w:ascii="仿宋_GB2312" w:hAnsi="仿宋" w:eastAsia="仿宋_GB2312" w:cs="宋体"/>
          <w:b/>
          <w:bCs/>
          <w:color w:val="000000"/>
          <w:sz w:val="36"/>
          <w:szCs w:val="36"/>
          <w:lang w:val="zh-CN"/>
        </w:rPr>
        <w:t>编号：</w:t>
      </w:r>
      <w:r>
        <w:rPr>
          <w:rFonts w:hint="eastAsia" w:ascii="仿宋_GB2312" w:hAnsi="仿宋" w:eastAsia="仿宋_GB2312" w:cs="宋体"/>
          <w:b/>
          <w:bCs/>
          <w:color w:val="000000"/>
          <w:sz w:val="36"/>
          <w:szCs w:val="36"/>
          <w:lang w:val="en-US" w:eastAsia="zh-CN"/>
        </w:rPr>
        <w:t>软件 2021-006</w:t>
      </w:r>
    </w:p>
    <w:p>
      <w:pPr>
        <w:jc w:val="center"/>
        <w:rPr>
          <w:rFonts w:ascii="仿宋" w:hAnsi="仿宋" w:eastAsia="仿宋"/>
          <w:b/>
          <w:color w:val="000000"/>
          <w:sz w:val="32"/>
        </w:rPr>
      </w:pPr>
    </w:p>
    <w:p>
      <w:pPr>
        <w:jc w:val="center"/>
        <w:rPr>
          <w:rFonts w:ascii="仿宋" w:hAnsi="仿宋" w:eastAsia="仿宋"/>
          <w:b/>
          <w:color w:val="000000"/>
          <w:sz w:val="52"/>
        </w:rPr>
      </w:pPr>
    </w:p>
    <w:p>
      <w:pPr>
        <w:jc w:val="center"/>
        <w:rPr>
          <w:rFonts w:ascii="仿宋" w:hAnsi="仿宋" w:eastAsia="仿宋"/>
          <w:b/>
          <w:color w:val="000000"/>
          <w:sz w:val="52"/>
        </w:rPr>
      </w:pP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重庆机场集团有限公司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采购办公室（代章）</w:t>
      </w:r>
    </w:p>
    <w:p>
      <w:pPr>
        <w:rPr>
          <w:rFonts w:ascii="仿宋" w:hAnsi="仿宋" w:eastAsia="仿宋"/>
          <w:b/>
          <w:color w:val="000000"/>
          <w:sz w:val="32"/>
          <w:szCs w:val="32"/>
        </w:rPr>
      </w:pP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二〇二一年</w:t>
      </w:r>
      <w:r>
        <w:rPr>
          <w:rFonts w:hint="eastAsia" w:ascii="仿宋_GB2312" w:hAnsi="仿宋" w:eastAsia="仿宋_GB2312" w:cs="宋体"/>
          <w:b/>
          <w:bCs/>
          <w:color w:val="000000"/>
          <w:sz w:val="32"/>
          <w:szCs w:val="32"/>
        </w:rPr>
        <w:t>十</w:t>
      </w:r>
      <w:r>
        <w:rPr>
          <w:rFonts w:hint="eastAsia" w:ascii="仿宋_GB2312" w:hAnsi="仿宋" w:eastAsia="仿宋_GB2312" w:cs="宋体"/>
          <w:b/>
          <w:bCs/>
          <w:color w:val="000000"/>
          <w:sz w:val="32"/>
          <w:szCs w:val="32"/>
          <w:lang w:val="zh-CN"/>
        </w:rPr>
        <w:t>一月</w:t>
      </w:r>
    </w:p>
    <w:p>
      <w:pPr>
        <w:pStyle w:val="2"/>
      </w:pPr>
    </w:p>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2"/>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比选附件</w:t>
      </w:r>
    </w:p>
    <w:p/>
    <w:p/>
    <w:p>
      <w:pPr>
        <w:pStyle w:val="2"/>
      </w:pPr>
    </w:p>
    <w:p/>
    <w:p>
      <w:pPr>
        <w:pStyle w:val="2"/>
      </w:pPr>
    </w:p>
    <w:p/>
    <w:p>
      <w:pPr>
        <w:pStyle w:val="2"/>
      </w:pPr>
    </w:p>
    <w:p/>
    <w:p>
      <w:pPr>
        <w:pStyle w:val="2"/>
      </w:pPr>
    </w:p>
    <w:p/>
    <w:p>
      <w:pPr>
        <w:pStyle w:val="2"/>
      </w:pPr>
    </w:p>
    <w:p/>
    <w:p>
      <w:pPr>
        <w:pStyle w:val="2"/>
      </w:pPr>
    </w:p>
    <w:p>
      <w:pPr>
        <w:pStyle w:val="2"/>
      </w:pPr>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我司决定于近期将对终端安全管理系统采购项目项目进行比选采购。本比选采购办法适用于我司范围内公开招标限额以下的采购活动。</w:t>
      </w:r>
    </w:p>
    <w:p>
      <w:pPr>
        <w:widowControl/>
        <w:spacing w:line="360" w:lineRule="auto"/>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项目名称：终端安全管理系统采购项目</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项目内容：终端安全管理系统采购项目含终端安全管理2500套，终端安全准入控制中心1套，终端安全准入客户端2500套，数据防泄密50套，软件管家控制系统1套，软件管家2500套。</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项目采购清单：</w:t>
      </w:r>
    </w:p>
    <w:tbl>
      <w:tblPr>
        <w:tblStyle w:val="15"/>
        <w:tblW w:w="9085" w:type="dxa"/>
        <w:jc w:val="center"/>
        <w:tblInd w:w="0" w:type="dxa"/>
        <w:tblLayout w:type="fixed"/>
        <w:tblCellMar>
          <w:top w:w="0" w:type="dxa"/>
          <w:left w:w="0" w:type="dxa"/>
          <w:bottom w:w="0" w:type="dxa"/>
          <w:right w:w="0" w:type="dxa"/>
        </w:tblCellMar>
      </w:tblPr>
      <w:tblGrid>
        <w:gridCol w:w="733"/>
        <w:gridCol w:w="1188"/>
        <w:gridCol w:w="5208"/>
        <w:gridCol w:w="612"/>
        <w:gridCol w:w="600"/>
        <w:gridCol w:w="744"/>
      </w:tblGrid>
      <w:tr>
        <w:tblPrEx>
          <w:tblLayout w:type="fixed"/>
          <w:tblCellMar>
            <w:top w:w="0" w:type="dxa"/>
            <w:left w:w="0" w:type="dxa"/>
            <w:bottom w:w="0" w:type="dxa"/>
            <w:right w:w="0"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lang w:bidi="ar"/>
              </w:rPr>
              <w:t>序号</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lang w:bidi="ar"/>
              </w:rPr>
              <w:t>品名</w:t>
            </w:r>
          </w:p>
        </w:tc>
        <w:tc>
          <w:tcPr>
            <w:tcW w:w="5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lang w:bidi="ar"/>
              </w:rPr>
              <w:t>规格</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lang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lang w:bidi="ar"/>
              </w:rPr>
              <w:t>数量</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lang w:bidi="ar"/>
              </w:rPr>
              <w:t>备注</w:t>
            </w:r>
          </w:p>
        </w:tc>
      </w:tr>
      <w:tr>
        <w:tblPrEx>
          <w:tblLayout w:type="fixed"/>
          <w:tblCellMar>
            <w:top w:w="0" w:type="dxa"/>
            <w:left w:w="0" w:type="dxa"/>
            <w:bottom w:w="0" w:type="dxa"/>
            <w:right w:w="0"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终端安全管理系统</w:t>
            </w:r>
          </w:p>
        </w:tc>
        <w:tc>
          <w:tcPr>
            <w:tcW w:w="5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kern w:val="0"/>
                <w:sz w:val="24"/>
                <w:lang w:bidi="ar"/>
              </w:rPr>
            </w:pPr>
            <w:r>
              <w:rPr>
                <w:rFonts w:hint="eastAsia" w:ascii="宋体" w:hAnsi="宋体" w:cs="宋体"/>
                <w:color w:val="000000"/>
                <w:kern w:val="0"/>
                <w:sz w:val="24"/>
                <w:lang w:bidi="ar"/>
              </w:rPr>
              <w:t>一、终端安全管理参数</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1、产品采用B/S+C/S架构，通过统一控制中心实现对各客户端统一策略下发、运行管理、全网健康状态监测、包含终端使用审计、屏幕水印管理、移动存储介质管理、终端准入、数据防泄漏等功能；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2、配置不少于2500个Windows PC客户端授权；</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3、配置终端保护密码，设置密码后，终端退出或卸载终端安全管理系统都需要输入正确的密码方可执行；</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4、配置网页访问部署、离线安装包部署、域推送等部署方式，可自定义部署通知邮件及部署通知公告；</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5、应支持国产化操作系统，应支持中标麒麟、普华、红旗操作系统等；</w:t>
            </w:r>
          </w:p>
          <w:p>
            <w:pPr>
              <w:widowControl/>
              <w:jc w:val="left"/>
              <w:textAlignment w:val="top"/>
              <w:rPr>
                <w:rFonts w:ascii="宋体" w:hAnsi="宋体" w:cs="宋体"/>
                <w:color w:val="000000"/>
                <w:kern w:val="0"/>
                <w:sz w:val="24"/>
                <w:lang w:bidi="ar"/>
              </w:rPr>
            </w:pPr>
            <w:r>
              <w:rPr>
                <w:rFonts w:hint="eastAsia" w:ascii="宋体" w:hAnsi="宋体" w:cs="宋体"/>
                <w:color w:val="000000"/>
                <w:kern w:val="0"/>
                <w:sz w:val="24"/>
                <w:lang w:bidi="ar"/>
              </w:rPr>
              <w:t>6、配置管理员对入网的移动存储介质进行注册，可以对已注册的移动介质进行管理，包括授权、启用、停用、删除、取消注册、导出注册列表等；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7、配置管理员设置自动审批客户端注册请求；不同分组可设置不同审批规则；</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8、配置移动存储介质外出管理，并可以设置外出使用权限与有效时间；（提供产品界面截图）；</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9、对敲诈者病毒提供防护机制，同时提供解密工具，解密工具应为自主研发；</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10、配置计算机名称当做屏幕水印内容显示，Mac地址当做屏幕水印内容显示，IP当做屏幕水印内容显示，系统账号当做屏幕水印内容显示，自定义问文字当做屏幕水印内容显示；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11、配置移动存储设备、网络共享服务器、本地硬盘特定扩展名或特定目录下的文件访问、修改、删除、移动等行为的审计；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12、配置网络打印操作、本地打印操作、虚拟打印操作审计，记录包含终端ＩＰ，文件名称与类型，打印机名称，纸张类型等信息；支持自定义文档类型的打印审计；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13、支持控制中心防暴力破解，采用手机APP动态令牌方式进行二次认证，针对控制中心高危操作支持动态口令验证，要求令牌APP自主研发；（提供产品界面和手机动态令牌APP截图）；</w:t>
            </w:r>
          </w:p>
          <w:p>
            <w:pPr>
              <w:rPr>
                <w:rFonts w:ascii="宋体" w:hAnsi="宋体" w:cs="宋体"/>
                <w:color w:val="000000"/>
                <w:kern w:val="0"/>
                <w:sz w:val="24"/>
                <w:lang w:bidi="ar"/>
              </w:rPr>
            </w:pPr>
            <w:r>
              <w:rPr>
                <w:rFonts w:hint="eastAsia" w:ascii="宋体" w:hAnsi="宋体" w:cs="宋体"/>
                <w:color w:val="000000"/>
                <w:kern w:val="0"/>
                <w:sz w:val="24"/>
                <w:lang w:bidi="ar"/>
              </w:rPr>
              <w:t>14、兼容性要求：支持与现有防病毒系统统一管理；</w:t>
            </w:r>
          </w:p>
          <w:p>
            <w:pPr>
              <w:widowControl/>
              <w:jc w:val="left"/>
              <w:textAlignment w:val="top"/>
              <w:rPr>
                <w:rFonts w:ascii="宋体" w:hAnsi="宋体" w:cs="宋体"/>
                <w:color w:val="000000"/>
                <w:kern w:val="0"/>
                <w:sz w:val="24"/>
                <w:lang w:bidi="ar"/>
              </w:rPr>
            </w:pPr>
            <w:r>
              <w:rPr>
                <w:rFonts w:hint="eastAsia" w:ascii="宋体" w:hAnsi="宋体" w:cs="宋体"/>
                <w:color w:val="000000"/>
                <w:kern w:val="0"/>
                <w:sz w:val="24"/>
                <w:lang w:bidi="ar"/>
              </w:rPr>
              <w:t>15、产品具备并提供公安部颁发的《计算机信息系统安全专用产品销售许可证》资质证书，（提供证书复印件加盖制造商公章）。</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16、产品制造商具备互联网安全研究中心《应用安全联盟会员》证书，（提供证书复印件加盖制造商公章）。</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宋体" w:hAnsi="宋体" w:cs="宋体"/>
                <w:color w:val="000000"/>
                <w:sz w:val="24"/>
              </w:rPr>
            </w:pPr>
            <w:r>
              <w:rPr>
                <w:rFonts w:hint="eastAsia" w:ascii="宋体" w:hAnsi="宋体" w:cs="宋体"/>
                <w:color w:val="000000"/>
                <w:kern w:val="0"/>
                <w:sz w:val="24"/>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宋体" w:hAnsi="宋体" w:cs="宋体"/>
                <w:color w:val="000000"/>
                <w:sz w:val="24"/>
              </w:rPr>
            </w:pPr>
            <w:r>
              <w:rPr>
                <w:rFonts w:hint="eastAsia" w:ascii="宋体" w:hAnsi="宋体" w:cs="宋体"/>
                <w:color w:val="000000"/>
                <w:kern w:val="0"/>
                <w:sz w:val="24"/>
                <w:lang w:bidi="ar"/>
              </w:rPr>
              <w:t>2500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终端安全准入控制中心</w:t>
            </w:r>
          </w:p>
        </w:tc>
        <w:tc>
          <w:tcPr>
            <w:tcW w:w="5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kern w:val="0"/>
                <w:sz w:val="24"/>
                <w:lang w:bidi="ar"/>
              </w:rPr>
            </w:pPr>
            <w:r>
              <w:rPr>
                <w:rFonts w:hint="eastAsia" w:ascii="宋体" w:hAnsi="宋体" w:cs="宋体"/>
                <w:color w:val="000000"/>
                <w:kern w:val="0"/>
                <w:sz w:val="24"/>
                <w:lang w:bidi="ar"/>
              </w:rPr>
              <w:t>1、控制中心采用B/S架构管理，具备分组管理、策略制定下发，系统配置，灵活的管理方式；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2、设备支持双冗余电源，支持HA双机热备/冷备；</w:t>
            </w:r>
          </w:p>
          <w:p>
            <w:pPr>
              <w:widowControl/>
              <w:jc w:val="left"/>
              <w:textAlignment w:val="top"/>
              <w:rPr>
                <w:rFonts w:ascii="宋体" w:hAnsi="宋体" w:cs="宋体"/>
                <w:color w:val="000000"/>
                <w:kern w:val="0"/>
                <w:sz w:val="24"/>
                <w:lang w:bidi="ar"/>
              </w:rPr>
            </w:pPr>
            <w:r>
              <w:rPr>
                <w:rFonts w:hint="eastAsia" w:ascii="宋体" w:hAnsi="宋体" w:cs="宋体"/>
                <w:color w:val="000000"/>
                <w:kern w:val="0"/>
                <w:sz w:val="24"/>
                <w:lang w:bidi="ar"/>
              </w:rPr>
              <w:t>3、配置两种及以上准入技术，每种准入技术均具备完善的逃生机制，防止准入设备本身出现问题后对现有网络业务造成影响；</w:t>
            </w:r>
          </w:p>
          <w:p>
            <w:pPr>
              <w:widowControl/>
              <w:jc w:val="left"/>
              <w:textAlignment w:val="top"/>
              <w:rPr>
                <w:rFonts w:ascii="宋体" w:hAnsi="宋体" w:cs="宋体"/>
                <w:color w:val="000000"/>
                <w:kern w:val="0"/>
                <w:sz w:val="24"/>
                <w:lang w:bidi="ar"/>
              </w:rPr>
            </w:pPr>
            <w:r>
              <w:rPr>
                <w:rFonts w:hint="eastAsia" w:ascii="宋体" w:hAnsi="宋体" w:cs="宋体"/>
                <w:color w:val="000000"/>
                <w:kern w:val="0"/>
                <w:sz w:val="24"/>
                <w:lang w:bidi="ar"/>
              </w:rPr>
              <w:t>4、准入控制系统采用旁路部署方式，避免串行设备部署导致单点故障；系统需具备多种逃生机制，需支持双机热备/冷备、支持认证缓存、一键认证放行、第三方服务器异常自动放行，确保非正常情况下，不影响用户网络使用和业务系统的安全，可靠性高。</w:t>
            </w:r>
          </w:p>
          <w:p>
            <w:pPr>
              <w:widowControl/>
              <w:jc w:val="left"/>
              <w:textAlignment w:val="top"/>
              <w:rPr>
                <w:rFonts w:ascii="宋体" w:hAnsi="宋体" w:cs="宋体"/>
                <w:color w:val="000000"/>
                <w:sz w:val="24"/>
              </w:rPr>
            </w:pPr>
            <w:r>
              <w:rPr>
                <w:rFonts w:hint="eastAsia" w:ascii="宋体" w:hAnsi="宋体" w:cs="宋体"/>
                <w:color w:val="000000"/>
                <w:kern w:val="0"/>
                <w:sz w:val="24"/>
                <w:lang w:bidi="ar"/>
              </w:rPr>
              <w:t>5、不同区域采用不同组合认证技术方式，分支机构独立认证或混合认证管理机制。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6、配置有线、无线基于应用准入方式，准入配置支持保护服务器区域、例外终端等灵活的配置方式；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7、配置基于应用协议的访问控制，可基于IP、协议端口进行访问流量控制。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8、配置基于受控域的入网流程配置，区分有线和无线网络，能够针对有线和无线网络区域分别采用有客户端和无客户端方式准入；</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9、配置以IP地址、IP段形式设置准入例外，在设置范围内的地址，准入设备将对其进行放行处理；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配置802.1x认证技术上基于终端快速认证，与终端管理客户端联动无需输入账号快速入网，避免重复输入账号口令，支持标准802.1x准入，支持动态VLAN，支持账号接入有效时间限制，账号在线数量限制，支持基于802.1x认证的开机自动认证、支持账号和终端绑定认证，账号和接入点绑定认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11、配置哑终端MAC例外管理，支持批量例外同类型哑终端设备；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12、配置健康合规检查策略，采用动态检测技术，需支持多种检查机制，至少支持入网检查、定时检查、周期检查机制，针对接入内部网络的计算机终端实行多种安全检查策略，支持分组策略下发控制，拦截不安全终端接入网络。；</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13、配置终端安全检查失败处置措施，可基于协议、特定端口、端口范围、特定地址、IP范围、URL来控制终端访问权限，从而无需操作交换机达到终端网络隔离目的，实现细粒度的访问控制管理；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14、配置对不合规的终端提供软隔离，不符合安全策略的计算机终端进行友好提示，提供终端修复向导，需支持引导修复和一键修复功能，并支持不同区域终端的修复区域定义；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15、配置802.1x认证日志报表，可按照认证时间、 用户名、 接入计算机名、 IP、 MAC、 组织、 接入交换机、 端口、 认证状态、 用户类型、 认证失败记录入网日志查看日志详情，提供趋势图、柱状图、TOP10排名等入网认证报表展示；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16、可按照计算机名、 IP、 组织、 检查时间、 模板名称、 检查项、 违规项、 入网隔离、 各违规项具体内容等详情查看，提供分组统计、按违规项统计、违规次数统计等视角统计分析；</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17、产品具备并提供公安部颁发的《计算机信息系统安全专用产品销售许可证》资质证书，（提供证书复印件加盖制造商公章）。</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宋体" w:hAnsi="宋体" w:cs="宋体"/>
                <w:color w:val="000000"/>
                <w:sz w:val="24"/>
              </w:rPr>
            </w:pPr>
            <w:r>
              <w:rPr>
                <w:rFonts w:hint="eastAsia" w:ascii="宋体" w:hAnsi="宋体" w:cs="宋体"/>
                <w:color w:val="000000"/>
                <w:kern w:val="0"/>
                <w:sz w:val="24"/>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宋体" w:hAnsi="宋体" w:cs="宋体"/>
                <w:color w:val="000000"/>
                <w:sz w:val="24"/>
              </w:rPr>
            </w:pPr>
            <w:r>
              <w:rPr>
                <w:rFonts w:hint="eastAsia" w:ascii="宋体" w:hAnsi="宋体" w:cs="宋体"/>
                <w:color w:val="000000"/>
                <w:kern w:val="0"/>
                <w:sz w:val="24"/>
                <w:lang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终端安全准入客户端</w:t>
            </w:r>
          </w:p>
        </w:tc>
        <w:tc>
          <w:tcPr>
            <w:tcW w:w="5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pStyle w:val="31"/>
              <w:numPr>
                <w:ilvl w:val="0"/>
                <w:numId w:val="1"/>
              </w:numPr>
              <w:ind w:firstLineChars="0"/>
              <w:textAlignment w:val="top"/>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支持应用准入打点功能、802.1x认证客户端功能；</w:t>
            </w:r>
          </w:p>
          <w:p>
            <w:pPr>
              <w:pStyle w:val="31"/>
              <w:numPr>
                <w:ilvl w:val="0"/>
                <w:numId w:val="1"/>
              </w:numPr>
              <w:ind w:firstLineChars="0"/>
              <w:textAlignment w:val="top"/>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合规检查功能、隔离修复、动态VLAN切换、配合相关策略实现网络访问控制、相关客户端交互配置等功能；</w:t>
            </w:r>
          </w:p>
          <w:p>
            <w:pPr>
              <w:pStyle w:val="31"/>
              <w:numPr>
                <w:ilvl w:val="0"/>
                <w:numId w:val="1"/>
              </w:numPr>
              <w:ind w:firstLineChars="0"/>
              <w:textAlignment w:val="top"/>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与服务器通信，接收控制中心管理所需入网策略配置和上报入网数据等信息；</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宋体" w:hAnsi="宋体" w:cs="宋体"/>
                <w:color w:val="000000"/>
                <w:kern w:val="0"/>
                <w:sz w:val="24"/>
                <w:lang w:bidi="ar"/>
              </w:rPr>
            </w:pPr>
            <w:r>
              <w:rPr>
                <w:rFonts w:hint="eastAsia" w:ascii="宋体" w:hAnsi="宋体" w:cs="宋体"/>
                <w:color w:val="000000"/>
                <w:kern w:val="0"/>
                <w:sz w:val="24"/>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宋体" w:hAnsi="宋体" w:cs="宋体"/>
                <w:color w:val="000000"/>
                <w:kern w:val="0"/>
                <w:sz w:val="24"/>
                <w:lang w:bidi="ar"/>
              </w:rPr>
            </w:pPr>
            <w:r>
              <w:rPr>
                <w:rFonts w:hint="eastAsia" w:ascii="宋体" w:hAnsi="宋体" w:cs="宋体"/>
                <w:color w:val="000000"/>
                <w:kern w:val="0"/>
                <w:sz w:val="24"/>
                <w:lang w:bidi="ar"/>
              </w:rPr>
              <w:t>2500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数据防泄密</w:t>
            </w:r>
          </w:p>
        </w:tc>
        <w:tc>
          <w:tcPr>
            <w:tcW w:w="5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1、操作系统支持：WindowsXP_SP3/Windows7/Windows10（含32位及64位版本）；</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2、支持doc、docx、xls、xlsx、ppt、pptx、wps、pdf、txt、html、xml、rar、zip、tar、7z等常见的文档类型解析和内容提取。对于不带扩展名或修改扩展名的文件，同样能根据其文件特征识别其文件类型；</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3、能够识别多层压缩文件中的文档内容；</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4、对FTP上传数据进行协议解析与敏感信息提取，并根据策略进行敏感内容的实时审计与阻断。支持网页FTP和客户端FTP。</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5、支持文件内容指纹、数据库指纹提取和匹配功能。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6、支持不同的感知内容检测，并能通过“与”、“或”、“非”及逻辑括号的方式进行组合</w:t>
            </w:r>
          </w:p>
          <w:p>
            <w:pPr>
              <w:widowControl/>
              <w:jc w:val="left"/>
              <w:textAlignment w:val="center"/>
              <w:rPr>
                <w:rFonts w:ascii="宋体" w:hAnsi="宋体" w:cs="宋体"/>
                <w:color w:val="000000"/>
                <w:sz w:val="24"/>
              </w:rPr>
            </w:pPr>
            <w:r>
              <w:rPr>
                <w:rFonts w:hint="eastAsia" w:ascii="宋体" w:hAnsi="宋体" w:cs="宋体"/>
                <w:color w:val="000000"/>
                <w:kern w:val="0"/>
                <w:sz w:val="24"/>
                <w:lang w:bidi="ar"/>
              </w:rPr>
              <w:t>7、支持多种控制动作，包括仅仅记录日志，用户确认，阻断等。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8、DLP策略梳理方法论工具，通过聚类、分类、内容提取、内容校验等方式配置合理科学的内容策略；</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9、根据内容给不同的文件打上不同的分类分级标签，并可以根据标签进行外发管控和文件自动加解密。支持实时扫描和历史文件扫描。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10、违例事件发生后的事件详情追溯，包括但不限于文件名、文件路径、敏感信息证据上下文（上下文各150字符）、命中的检查规则与密级、机器名及用户名等。</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软件管家控制系统</w:t>
            </w:r>
          </w:p>
        </w:tc>
        <w:tc>
          <w:tcPr>
            <w:tcW w:w="5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kern w:val="0"/>
                <w:sz w:val="24"/>
                <w:lang w:bidi="ar"/>
              </w:rPr>
            </w:pPr>
            <w:r>
              <w:rPr>
                <w:rFonts w:hint="eastAsia" w:ascii="宋体" w:hAnsi="宋体" w:cs="宋体"/>
                <w:color w:val="000000"/>
                <w:kern w:val="0"/>
                <w:sz w:val="24"/>
                <w:lang w:bidi="ar"/>
              </w:rPr>
              <w:t>1、支持企业软件管家授权信息展示及授权文件的导入功能</w:t>
            </w:r>
          </w:p>
          <w:p>
            <w:pPr>
              <w:rPr>
                <w:rFonts w:ascii="宋体" w:hAnsi="宋体" w:cs="宋体"/>
                <w:color w:val="000000"/>
                <w:kern w:val="0"/>
                <w:sz w:val="24"/>
                <w:lang w:bidi="ar"/>
              </w:rPr>
            </w:pPr>
            <w:r>
              <w:rPr>
                <w:rFonts w:hint="eastAsia" w:ascii="宋体" w:hAnsi="宋体" w:cs="宋体"/>
                <w:color w:val="000000"/>
                <w:kern w:val="0"/>
                <w:sz w:val="24"/>
                <w:lang w:bidi="ar"/>
              </w:rPr>
              <w:t>2、支持软件下载次数、软件下载top5，软件分布服务器流量趋势、服务器运行性能，流量统计等情况查看（提供产品截图）</w:t>
            </w:r>
          </w:p>
          <w:p>
            <w:pPr>
              <w:rPr>
                <w:rFonts w:ascii="宋体" w:hAnsi="宋体" w:cs="宋体"/>
                <w:color w:val="000000"/>
                <w:kern w:val="0"/>
                <w:sz w:val="24"/>
                <w:lang w:bidi="ar"/>
              </w:rPr>
            </w:pPr>
            <w:r>
              <w:rPr>
                <w:rFonts w:hint="eastAsia" w:ascii="宋体" w:hAnsi="宋体" w:cs="宋体"/>
                <w:bCs/>
                <w:color w:val="000000"/>
                <w:kern w:val="0"/>
                <w:sz w:val="24"/>
                <w:lang w:bidi="ar"/>
              </w:rPr>
              <w:t>3、支持本地软件上传、上/下架、转移、删除、升级和回滚等功能</w:t>
            </w:r>
          </w:p>
          <w:p>
            <w:pPr>
              <w:rPr>
                <w:rFonts w:ascii="宋体" w:hAnsi="宋体" w:cs="宋体"/>
                <w:color w:val="000000"/>
                <w:kern w:val="0"/>
                <w:sz w:val="24"/>
                <w:lang w:bidi="ar"/>
              </w:rPr>
            </w:pPr>
            <w:r>
              <w:rPr>
                <w:rFonts w:hint="eastAsia" w:ascii="宋体" w:hAnsi="宋体" w:cs="宋体"/>
                <w:color w:val="000000"/>
                <w:kern w:val="0"/>
                <w:sz w:val="24"/>
                <w:lang w:bidi="ar"/>
              </w:rPr>
              <w:t>4、支持公网软件下载、升级、删除等功能（提供产品截图）</w:t>
            </w:r>
          </w:p>
          <w:p>
            <w:pPr>
              <w:rPr>
                <w:rFonts w:ascii="宋体" w:hAnsi="宋体" w:cs="宋体"/>
                <w:color w:val="000000"/>
                <w:kern w:val="0"/>
                <w:sz w:val="24"/>
                <w:lang w:bidi="ar"/>
              </w:rPr>
            </w:pPr>
            <w:r>
              <w:rPr>
                <w:rFonts w:hint="eastAsia" w:ascii="宋体" w:hAnsi="宋体" w:cs="宋体"/>
                <w:color w:val="000000"/>
                <w:kern w:val="0"/>
                <w:sz w:val="24"/>
                <w:lang w:bidi="ar"/>
              </w:rPr>
              <w:t>5、支持公网软件缓存到内网功能、支持公网软件已缓存到内网软件的批量升级功能</w:t>
            </w:r>
          </w:p>
          <w:p>
            <w:pPr>
              <w:rPr>
                <w:rFonts w:ascii="宋体" w:hAnsi="宋体" w:cs="宋体"/>
                <w:bCs/>
                <w:color w:val="000000"/>
                <w:kern w:val="0"/>
                <w:sz w:val="24"/>
                <w:lang w:bidi="ar"/>
              </w:rPr>
            </w:pPr>
            <w:r>
              <w:rPr>
                <w:rFonts w:hint="eastAsia" w:ascii="宋体" w:hAnsi="宋体" w:cs="宋体"/>
                <w:bCs/>
                <w:color w:val="000000"/>
                <w:kern w:val="0"/>
                <w:sz w:val="24"/>
                <w:lang w:bidi="ar"/>
              </w:rPr>
              <w:t>6、支持为不同分组定制不同装机必备软件模板</w:t>
            </w:r>
          </w:p>
          <w:p>
            <w:pPr>
              <w:rPr>
                <w:rFonts w:ascii="宋体" w:hAnsi="宋体" w:cs="宋体"/>
                <w:bCs/>
                <w:color w:val="000000"/>
                <w:kern w:val="0"/>
                <w:sz w:val="24"/>
                <w:lang w:bidi="ar"/>
              </w:rPr>
            </w:pPr>
            <w:r>
              <w:rPr>
                <w:rFonts w:hint="eastAsia" w:ascii="宋体" w:hAnsi="宋体" w:cs="宋体"/>
                <w:sz w:val="24"/>
                <w:lang w:bidi="ar"/>
              </w:rPr>
              <w:t>7、支持按不同时间维度查看软件下载趋势、软件下载top10，下载分类饼图等报表的查看（提供产品截图）</w:t>
            </w:r>
          </w:p>
          <w:p>
            <w:pPr>
              <w:rPr>
                <w:rFonts w:ascii="宋体" w:hAnsi="宋体" w:cs="宋体"/>
                <w:sz w:val="24"/>
                <w:lang w:bidi="ar"/>
              </w:rPr>
            </w:pPr>
            <w:r>
              <w:rPr>
                <w:rFonts w:hint="eastAsia" w:ascii="宋体" w:hAnsi="宋体" w:cs="宋体"/>
                <w:sz w:val="24"/>
                <w:lang w:bidi="ar"/>
              </w:rPr>
              <w:t>8、支持查看软件活跃度；</w:t>
            </w:r>
          </w:p>
          <w:p>
            <w:pPr>
              <w:rPr>
                <w:rFonts w:ascii="宋体" w:hAnsi="宋体" w:cs="宋体"/>
                <w:sz w:val="24"/>
                <w:lang w:bidi="ar"/>
              </w:rPr>
            </w:pPr>
            <w:r>
              <w:rPr>
                <w:rFonts w:hint="eastAsia" w:ascii="宋体" w:hAnsi="宋体" w:cs="宋体"/>
                <w:sz w:val="24"/>
                <w:lang w:bidi="ar"/>
              </w:rPr>
              <w:t>9、支持多级级联部署，下级自动同步上级本地软件及云中心列表及已下载软件同步；支持上级无密码登陆到下级进行管理，支持上级删除下级连接；支持上级审批下级申请同步数据</w:t>
            </w:r>
          </w:p>
          <w:p>
            <w:pPr>
              <w:rPr>
                <w:rFonts w:ascii="宋体" w:hAnsi="宋体" w:cs="宋体"/>
                <w:sz w:val="24"/>
                <w:lang w:bidi="ar"/>
              </w:rPr>
            </w:pPr>
            <w:r>
              <w:rPr>
                <w:rFonts w:hint="eastAsia" w:ascii="宋体" w:hAnsi="宋体" w:cs="宋体"/>
                <w:sz w:val="24"/>
                <w:lang w:bidi="ar"/>
              </w:rPr>
              <w:t>10、支持adobe和office系列软件的正版化检测</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软件管家</w:t>
            </w:r>
          </w:p>
        </w:tc>
        <w:tc>
          <w:tcPr>
            <w:tcW w:w="5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sz w:val="24"/>
                <w:lang w:bidi="ar"/>
              </w:rPr>
            </w:pPr>
            <w:r>
              <w:rPr>
                <w:rFonts w:hint="eastAsia" w:ascii="宋体" w:hAnsi="宋体" w:cs="宋体"/>
                <w:sz w:val="24"/>
                <w:lang w:bidi="ar"/>
              </w:rPr>
              <w:t>1、支持内网软件和公网软件的分类显示和下载，支持p2p下载，部分软件支持一键安装；</w:t>
            </w:r>
          </w:p>
          <w:p>
            <w:pPr>
              <w:rPr>
                <w:rFonts w:ascii="宋体" w:hAnsi="宋体" w:cs="宋体"/>
                <w:sz w:val="24"/>
                <w:lang w:bidi="ar"/>
              </w:rPr>
            </w:pPr>
            <w:r>
              <w:rPr>
                <w:rFonts w:hint="eastAsia" w:ascii="宋体" w:hAnsi="宋体" w:cs="宋体"/>
                <w:bCs/>
                <w:sz w:val="24"/>
                <w:lang w:bidi="ar"/>
              </w:rPr>
              <w:t>2、支持内网软件和公网软件的升级，部分软件支持一键升级；</w:t>
            </w:r>
          </w:p>
          <w:p>
            <w:pPr>
              <w:rPr>
                <w:rFonts w:ascii="宋体" w:hAnsi="宋体" w:cs="宋体"/>
                <w:sz w:val="24"/>
                <w:lang w:bidi="ar"/>
              </w:rPr>
            </w:pPr>
            <w:r>
              <w:rPr>
                <w:rFonts w:hint="eastAsia" w:ascii="宋体" w:hAnsi="宋体" w:cs="宋体"/>
                <w:sz w:val="24"/>
                <w:lang w:bidi="ar"/>
              </w:rPr>
              <w:t>3、支持终端已安装软件的卸载，部分软件支持一键卸载和强力残余文件清理；</w:t>
            </w:r>
          </w:p>
          <w:p>
            <w:pPr>
              <w:rPr>
                <w:rFonts w:ascii="宋体" w:hAnsi="宋体" w:cs="宋体"/>
                <w:sz w:val="24"/>
                <w:lang w:bidi="ar"/>
              </w:rPr>
            </w:pPr>
            <w:r>
              <w:rPr>
                <w:rFonts w:hint="eastAsia" w:ascii="宋体" w:hAnsi="宋体" w:cs="宋体"/>
                <w:sz w:val="24"/>
                <w:lang w:bidi="ar"/>
              </w:rPr>
              <w:t>4、支持搜索、设置软件下载、升级和安装位置等；</w:t>
            </w:r>
          </w:p>
          <w:p>
            <w:pPr>
              <w:rPr>
                <w:rFonts w:ascii="宋体" w:hAnsi="宋体" w:cs="宋体"/>
                <w:sz w:val="24"/>
                <w:lang w:bidi="ar"/>
              </w:rPr>
            </w:pPr>
            <w:r>
              <w:rPr>
                <w:rFonts w:hint="eastAsia" w:ascii="宋体" w:hAnsi="宋体" w:cs="宋体"/>
                <w:sz w:val="24"/>
                <w:lang w:bidi="ar"/>
              </w:rPr>
              <w:t>5、自动客户端安装软件后，软件包按期或自动清理；</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2500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4"/>
              </w:rPr>
            </w:pPr>
          </w:p>
        </w:tc>
      </w:tr>
    </w:tbl>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rPr>
        <w:t>工期（或服务期）：</w:t>
      </w:r>
    </w:p>
    <w:p>
      <w:pPr>
        <w:pStyle w:val="27"/>
        <w:ind w:firstLine="600"/>
        <w:rPr>
          <w:b/>
          <w:bCs/>
        </w:rPr>
      </w:pPr>
      <w:r>
        <w:rPr>
          <w:rFonts w:hint="eastAsia"/>
        </w:rPr>
        <w:t>自合同签订之日起30日历天</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质保期：</w:t>
      </w:r>
    </w:p>
    <w:p>
      <w:pPr>
        <w:pStyle w:val="27"/>
        <w:ind w:firstLine="600"/>
        <w:rPr>
          <w:b/>
          <w:bCs/>
        </w:rPr>
      </w:pPr>
      <w:r>
        <w:rPr>
          <w:rFonts w:hint="eastAsia"/>
        </w:rPr>
        <w:t>一年</w:t>
      </w:r>
    </w:p>
    <w:p>
      <w:pPr>
        <w:widowControl/>
        <w:spacing w:line="360" w:lineRule="auto"/>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2"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 xml:space="preserve">.1.2 </w:t>
      </w:r>
      <w:r>
        <w:rPr>
          <w:rFonts w:hint="eastAsia" w:ascii="方正仿宋_GBK" w:hAnsi="方正仿宋_GBK" w:eastAsia="方正仿宋_GBK" w:cs="方正仿宋_GBK"/>
          <w:sz w:val="28"/>
          <w:szCs w:val="28"/>
          <w:lang w:val="en-US" w:eastAsia="zh-CN"/>
        </w:rPr>
        <w:t>响应人所投</w:t>
      </w:r>
      <w:r>
        <w:rPr>
          <w:rFonts w:hint="eastAsia" w:ascii="方正仿宋_GBK" w:hAnsi="方正仿宋_GBK" w:eastAsia="方正仿宋_GBK" w:cs="方正仿宋_GBK"/>
          <w:sz w:val="28"/>
          <w:szCs w:val="28"/>
        </w:rPr>
        <w:t>产品</w:t>
      </w:r>
      <w:r>
        <w:rPr>
          <w:rFonts w:hint="eastAsia" w:ascii="方正仿宋_GBK" w:hAnsi="方正仿宋_GBK" w:eastAsia="方正仿宋_GBK" w:cs="方正仿宋_GBK"/>
          <w:sz w:val="28"/>
          <w:szCs w:val="28"/>
          <w:lang w:val="en-US" w:eastAsia="zh-CN"/>
        </w:rPr>
        <w:t>的</w:t>
      </w:r>
      <w:r>
        <w:rPr>
          <w:rFonts w:hint="eastAsia" w:ascii="方正仿宋_GBK" w:hAnsi="方正仿宋_GBK" w:eastAsia="方正仿宋_GBK" w:cs="方正仿宋_GBK"/>
          <w:sz w:val="28"/>
          <w:szCs w:val="28"/>
        </w:rPr>
        <w:t>制造厂商应具备国家信息安全测评信息安全服务资质证书“安全工程类三级及以上”（</w:t>
      </w:r>
      <w:r>
        <w:rPr>
          <w:rFonts w:hint="eastAsia" w:ascii="方正仿宋_GBK" w:hAnsi="方正仿宋_GBK" w:eastAsia="方正仿宋_GBK" w:cs="方正仿宋_GBK"/>
          <w:sz w:val="28"/>
          <w:szCs w:val="28"/>
          <w:lang w:val="en-US" w:eastAsia="zh-CN"/>
        </w:rPr>
        <w:t>响应人</w:t>
      </w:r>
      <w:r>
        <w:rPr>
          <w:rFonts w:hint="eastAsia" w:ascii="方正仿宋_GBK" w:hAnsi="方正仿宋_GBK" w:eastAsia="方正仿宋_GBK" w:cs="方正仿宋_GBK"/>
          <w:sz w:val="28"/>
          <w:szCs w:val="28"/>
        </w:rPr>
        <w:t>须提供证书复印件加盖比选响应单位鲜章）。</w:t>
      </w:r>
    </w:p>
    <w:p>
      <w:pPr>
        <w:pStyle w:val="2"/>
        <w:ind w:firstLine="560" w:firstLineChars="200"/>
        <w:jc w:val="both"/>
        <w:rPr>
          <w:rFonts w:ascii="方正仿宋_GBK" w:hAnsi="方正仿宋_GBK" w:eastAsia="方正仿宋_GBK" w:cs="方正仿宋_GBK"/>
          <w:b w:val="0"/>
          <w:bCs w:val="0"/>
          <w:sz w:val="28"/>
          <w:szCs w:val="28"/>
        </w:rPr>
      </w:pPr>
      <w:r>
        <w:rPr>
          <w:rFonts w:ascii="方正仿宋_GBK" w:hAnsi="方正仿宋_GBK" w:eastAsia="方正仿宋_GBK" w:cs="方正仿宋_GBK"/>
          <w:b w:val="0"/>
          <w:bCs w:val="0"/>
          <w:sz w:val="28"/>
          <w:szCs w:val="28"/>
        </w:rPr>
        <w:t>2</w:t>
      </w:r>
      <w:r>
        <w:rPr>
          <w:rFonts w:hint="eastAsia" w:ascii="方正仿宋_GBK" w:hAnsi="方正仿宋_GBK" w:eastAsia="方正仿宋_GBK" w:cs="方正仿宋_GBK"/>
          <w:b w:val="0"/>
          <w:bCs w:val="0"/>
          <w:sz w:val="28"/>
          <w:szCs w:val="28"/>
        </w:rPr>
        <w:t>.1.3 响应人</w:t>
      </w:r>
      <w:r>
        <w:rPr>
          <w:rFonts w:hint="eastAsia" w:ascii="方正仿宋_GBK" w:hAnsi="方正仿宋_GBK" w:eastAsia="方正仿宋_GBK" w:cs="方正仿宋_GBK"/>
          <w:b w:val="0"/>
          <w:bCs w:val="0"/>
          <w:sz w:val="28"/>
          <w:szCs w:val="28"/>
          <w:lang w:val="en-US" w:eastAsia="zh-CN"/>
        </w:rPr>
        <w:t>应</w:t>
      </w:r>
      <w:r>
        <w:rPr>
          <w:rFonts w:hint="eastAsia" w:ascii="方正仿宋_GBK" w:hAnsi="方正仿宋_GBK" w:eastAsia="方正仿宋_GBK" w:cs="方正仿宋_GBK"/>
          <w:b w:val="0"/>
          <w:bCs w:val="0"/>
          <w:sz w:val="28"/>
          <w:szCs w:val="28"/>
        </w:rPr>
        <w:t>提供</w:t>
      </w:r>
      <w:r>
        <w:rPr>
          <w:rFonts w:hint="eastAsia" w:ascii="方正仿宋_GBK" w:hAnsi="方正仿宋_GBK" w:eastAsia="方正仿宋_GBK" w:cs="方正仿宋_GBK"/>
          <w:b w:val="0"/>
          <w:bCs w:val="0"/>
          <w:sz w:val="28"/>
          <w:szCs w:val="28"/>
          <w:lang w:val="en-US" w:eastAsia="zh-CN"/>
        </w:rPr>
        <w:t>所投</w:t>
      </w:r>
      <w:r>
        <w:rPr>
          <w:rFonts w:hint="eastAsia" w:ascii="方正仿宋_GBK" w:hAnsi="方正仿宋_GBK" w:eastAsia="方正仿宋_GBK" w:cs="方正仿宋_GBK"/>
          <w:b w:val="0"/>
          <w:bCs w:val="0"/>
          <w:sz w:val="28"/>
          <w:szCs w:val="28"/>
        </w:rPr>
        <w:t>产品有效的制造商授权和售后服务承诺函（须提供授权文件复印件和售后服务承诺函复印件，原件备查）。</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.1.4 信誉要求：响应人未被“信用中国”（www.creditchina.gov.cn）列为失信被执行人，在报价文件资格审查资料中提供相关查询截图加盖响应人鲜公章。</w:t>
      </w:r>
    </w:p>
    <w:p>
      <w:pPr>
        <w:widowControl/>
        <w:spacing w:line="360" w:lineRule="auto"/>
        <w:ind w:firstLine="562"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法定代表人为同一个人的两个及两个以上法人，母公司、全资子公司及其控股公司，以及其他形式有管理关系的响应人，都不得在同一采购项目中同时参与比选。</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信誉要求：①没有处于被责令停业，参与招标采购资格被取消，财产被接管、冻结，破产状态；②比选响应人没有进入采购人黑名单库；③具有履行合同所必需的设备和专业技术能力。</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比选响应人如提供虚假材料或未达到上述要求，采购人有权取消其比选资格或成交资格；提供虚假材料的，不予退还其比选响应保证金，并且将列入采购人黑名单库。</w:t>
      </w:r>
    </w:p>
    <w:p>
      <w:pPr>
        <w:widowControl/>
        <w:spacing w:line="360" w:lineRule="auto"/>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三、项目技术要求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服务时间为期1年，提供7X24小时远程服务，2小时现场应急服务。</w:t>
      </w:r>
    </w:p>
    <w:p>
      <w:pPr>
        <w:widowControl/>
        <w:spacing w:line="360" w:lineRule="auto"/>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不含增值税）。本项目报价为包干价，不再另行增加费用。报价的货币应为人民币。</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w:t>
      </w:r>
      <w:r>
        <w:rPr>
          <w:rFonts w:hint="eastAsia" w:ascii="方正仿宋_GBK" w:hAnsi="方正仿宋_GBK" w:eastAsia="方正仿宋_GBK" w:cs="方正仿宋_GBK"/>
          <w:b/>
          <w:bCs/>
          <w:color w:val="auto"/>
          <w:sz w:val="28"/>
          <w:szCs w:val="28"/>
          <w:lang w:val="en-US" w:eastAsia="zh-CN"/>
        </w:rPr>
        <w:t>含</w:t>
      </w:r>
      <w:r>
        <w:rPr>
          <w:rFonts w:hint="eastAsia" w:ascii="方正仿宋_GBK" w:hAnsi="方正仿宋_GBK" w:eastAsia="方正仿宋_GBK" w:cs="方正仿宋_GBK"/>
          <w:b/>
          <w:bCs/>
          <w:sz w:val="28"/>
          <w:szCs w:val="28"/>
        </w:rPr>
        <w:t>增值税税额</w:t>
      </w:r>
      <w:r>
        <w:rPr>
          <w:rFonts w:hint="eastAsia" w:ascii="方正仿宋_GBK" w:hAnsi="方正仿宋_GBK" w:eastAsia="方正仿宋_GBK" w:cs="方正仿宋_GBK"/>
          <w:sz w:val="28"/>
          <w:szCs w:val="28"/>
        </w:rPr>
        <w:t>的最高限价为人民币</w:t>
      </w:r>
      <w:r>
        <w:rPr>
          <w:rFonts w:hint="eastAsia" w:ascii="方正仿宋_GBK" w:hAnsi="方正仿宋_GBK" w:eastAsia="方正仿宋_GBK" w:cs="方正仿宋_GBK"/>
          <w:sz w:val="28"/>
          <w:szCs w:val="28"/>
          <w:u w:val="single"/>
          <w:lang w:val="en-US" w:eastAsia="zh-CN"/>
        </w:rPr>
        <w:t>90万</w:t>
      </w:r>
      <w:r>
        <w:rPr>
          <w:rFonts w:hint="eastAsia" w:ascii="方正仿宋_GBK" w:hAnsi="方正仿宋_GBK" w:eastAsia="方正仿宋_GBK" w:cs="方正仿宋_GBK"/>
          <w:sz w:val="28"/>
          <w:szCs w:val="28"/>
          <w:u w:val="single"/>
        </w:rPr>
        <w:t>元</w:t>
      </w:r>
      <w:r>
        <w:rPr>
          <w:rFonts w:hint="eastAsia" w:ascii="方正仿宋_GBK" w:hAnsi="方正仿宋_GBK" w:eastAsia="方正仿宋_GBK" w:cs="方正仿宋_GBK"/>
          <w:sz w:val="28"/>
          <w:szCs w:val="28"/>
        </w:rPr>
        <w:t>（大写金额：</w:t>
      </w:r>
      <w:r>
        <w:rPr>
          <w:rFonts w:hint="eastAsia" w:ascii="方正仿宋_GBK" w:hAnsi="方正仿宋_GBK" w:eastAsia="方正仿宋_GBK" w:cs="方正仿宋_GBK"/>
          <w:sz w:val="28"/>
          <w:szCs w:val="28"/>
          <w:lang w:val="en-US" w:eastAsia="zh-CN"/>
        </w:rPr>
        <w:t>玖拾万</w:t>
      </w:r>
      <w:r>
        <w:rPr>
          <w:rFonts w:hint="eastAsia" w:ascii="方正仿宋_GBK" w:hAnsi="方正仿宋_GBK" w:eastAsia="方正仿宋_GBK" w:cs="方正仿宋_GBK"/>
          <w:sz w:val="28"/>
          <w:szCs w:val="28"/>
        </w:rPr>
        <w:t>元整），报价超过最高限价，将取消比选响应方的比选资格。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2"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成交，即经采购方按规定组建的评审委员会评审，</w:t>
      </w:r>
      <w:r>
        <w:rPr>
          <w:rFonts w:hint="eastAsia" w:ascii="方正仿宋_GBK" w:hAnsi="方正仿宋_GBK" w:eastAsia="方正仿宋_GBK" w:cs="方正仿宋_GBK"/>
          <w:color w:val="000000"/>
          <w:kern w:val="0"/>
          <w:sz w:val="28"/>
          <w:szCs w:val="28"/>
        </w:rPr>
        <w:t>根据符合采购需求、质量和服务，且报价最低的原则确定成交候选人</w:t>
      </w:r>
      <w:r>
        <w:rPr>
          <w:rFonts w:hint="eastAsia" w:ascii="方正仿宋_GBK" w:hAnsi="方正仿宋_GBK" w:eastAsia="方正仿宋_GBK" w:cs="方正仿宋_GBK"/>
          <w:bCs/>
          <w:color w:val="000000"/>
          <w:sz w:val="28"/>
          <w:szCs w:val="28"/>
        </w:rPr>
        <w:t>。</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adjustRightInd w:val="0"/>
        <w:snapToGrid w:val="0"/>
        <w:spacing w:line="360" w:lineRule="auto"/>
        <w:ind w:firstLine="562"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发布方式：比选采购文件及相关资料由重庆机场集团有限公司采购办公室（建设部）公开发布于重庆机场集团有限公司官方网站（www.cqa.cn）。</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0" w:name="_Toc45632355"/>
    </w:p>
    <w:p>
      <w:pPr>
        <w:snapToGrid w:val="0"/>
        <w:spacing w:line="360" w:lineRule="auto"/>
        <w:ind w:firstLine="562"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日17：00前将疑问函（加盖单位鲜公章的扫描件）以电子邮件形式发至比选采购人电子邮箱</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50320784</w:t>
      </w:r>
      <w:r>
        <w:rPr>
          <w:rFonts w:ascii="方正仿宋_GBK" w:hAnsi="方正仿宋_GBK" w:eastAsia="方正仿宋_GBK" w:cs="方正仿宋_GBK"/>
          <w:color w:val="000000" w:themeColor="text1"/>
          <w:kern w:val="0"/>
          <w:sz w:val="28"/>
          <w:szCs w:val="28"/>
          <w14:textFill>
            <w14:solidFill>
              <w14:schemeClr w14:val="tx1"/>
            </w14:solidFill>
          </w14:textFill>
        </w:rPr>
        <w:t>@</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qq.com</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，并电话通知比选采购人，过期不再受理。采购人将在比选采购文件提问截止时间后及时组织答疑，答疑内容在重庆机场集团有限公司官方网站（www.cqa.cn）以公告形式发布。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9</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日17：00前在重庆机场集团有限公司官方网站（www.cqa.cn）以公告形式发布。</w:t>
      </w:r>
    </w:p>
    <w:p>
      <w:pPr>
        <w:adjustRightInd w:val="0"/>
        <w:snapToGrid w:val="0"/>
        <w:spacing w:line="360" w:lineRule="auto"/>
        <w:ind w:firstLine="562"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注：各比选响应人应当随时关注重庆机场集团有限公司官方网站（www.cqa.cn）所发布的相关答疑、澄清或补遗资料，各比选响应人不管下载与否都将被视为已知晓。由此产生的一切后果由比选响应人自负。</w:t>
      </w:r>
    </w:p>
    <w:p>
      <w:pPr>
        <w:snapToGrid w:val="0"/>
        <w:spacing w:line="360" w:lineRule="auto"/>
        <w:ind w:firstLine="557" w:firstLineChars="198"/>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八、比选响应保证金及履约保证金</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比选响应保证金</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8</w:t>
      </w:r>
      <w:r>
        <w:rPr>
          <w:rFonts w:ascii="方正仿宋_GBK" w:hAnsi="方正仿宋_GBK" w:eastAsia="方正仿宋_GBK" w:cs="方正仿宋_GBK"/>
          <w:color w:val="000000"/>
          <w:kern w:val="0"/>
          <w:sz w:val="28"/>
          <w:szCs w:val="28"/>
        </w:rPr>
        <w:t xml:space="preserve">.1.1 </w:t>
      </w:r>
      <w:r>
        <w:rPr>
          <w:rFonts w:hint="eastAsia" w:ascii="方正仿宋_GBK" w:hAnsi="方正仿宋_GBK" w:eastAsia="方正仿宋_GBK" w:cs="方正仿宋_GBK"/>
          <w:color w:val="000000"/>
          <w:kern w:val="0"/>
          <w:sz w:val="28"/>
          <w:szCs w:val="28"/>
        </w:rPr>
        <w:t>有意愿参与本项目比选的单位应按规定缴纳比选响应保证金（作投标保证金理解），本项目比选响应保证金金额为人民币</w:t>
      </w:r>
      <w:r>
        <w:rPr>
          <w:rFonts w:hint="eastAsia" w:ascii="方正仿宋_GBK" w:hAnsi="方正仿宋_GBK" w:eastAsia="方正仿宋_GBK" w:cs="方正仿宋_GBK"/>
          <w:kern w:val="0"/>
          <w:sz w:val="28"/>
          <w:szCs w:val="28"/>
          <w:u w:val="single"/>
          <w:lang w:val="en-US" w:eastAsia="zh-CN"/>
        </w:rPr>
        <w:t>壹万</w:t>
      </w:r>
      <w:r>
        <w:rPr>
          <w:rFonts w:hint="eastAsia" w:ascii="方正仿宋_GBK" w:hAnsi="方正仿宋_GBK" w:eastAsia="方正仿宋_GBK" w:cs="方正仿宋_GBK"/>
          <w:color w:val="000000"/>
          <w:kern w:val="0"/>
          <w:sz w:val="28"/>
          <w:szCs w:val="28"/>
        </w:rPr>
        <w:t>元整。</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8</w:t>
      </w: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2</w:t>
      </w:r>
      <w:r>
        <w:rPr>
          <w:rFonts w:hint="eastAsia" w:ascii="方正仿宋_GBK" w:hAnsi="方正仿宋_GBK" w:eastAsia="方正仿宋_GBK" w:cs="方正仿宋_GBK"/>
          <w:color w:val="000000"/>
          <w:kern w:val="0"/>
          <w:sz w:val="28"/>
          <w:szCs w:val="28"/>
        </w:rPr>
        <w:t xml:space="preserve"> 提交时间：比选开始前</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8</w:t>
      </w: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3</w:t>
      </w:r>
      <w:r>
        <w:rPr>
          <w:rFonts w:hint="eastAsia" w:ascii="方正仿宋_GBK" w:hAnsi="方正仿宋_GBK" w:eastAsia="方正仿宋_GBK" w:cs="方正仿宋_GBK"/>
          <w:color w:val="000000"/>
          <w:kern w:val="0"/>
          <w:sz w:val="28"/>
          <w:szCs w:val="28"/>
        </w:rPr>
        <w:t xml:space="preserve"> 提交方式：比选响应人企业基本账户银行转账。比选响应人按要求缴纳比选响应保证金后，持相关银行转账证明材料在采购人财务部门（重庆市渝北区机场东二路19号重庆机场集团有限公司办公楼5楼）换取保证金收据，并将保证金收据</w:t>
      </w:r>
      <w:bookmarkStart w:id="17" w:name="_GoBack"/>
      <w:r>
        <w:rPr>
          <w:rFonts w:hint="eastAsia" w:ascii="方正仿宋_GBK" w:hAnsi="方正仿宋_GBK" w:eastAsia="方正仿宋_GBK" w:cs="方正仿宋_GBK"/>
          <w:color w:val="000000"/>
          <w:kern w:val="0"/>
          <w:sz w:val="28"/>
          <w:szCs w:val="28"/>
        </w:rPr>
        <w:t>复印件</w:t>
      </w:r>
      <w:bookmarkEnd w:id="17"/>
      <w:r>
        <w:rPr>
          <w:rFonts w:hint="eastAsia" w:ascii="方正仿宋_GBK" w:hAnsi="方正仿宋_GBK" w:eastAsia="方正仿宋_GBK" w:cs="方正仿宋_GBK"/>
          <w:color w:val="000000"/>
          <w:kern w:val="0"/>
          <w:sz w:val="28"/>
          <w:szCs w:val="28"/>
        </w:rPr>
        <w:t>装入比选响应文件中。</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开户名：重庆机场集团有限公司</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开户银行：建设银行重庆渝北机场支行</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账号：5000 1083 8000 5000 0447</w:t>
      </w:r>
    </w:p>
    <w:p>
      <w:pPr>
        <w:adjustRightInd w:val="0"/>
        <w:snapToGrid w:val="0"/>
        <w:spacing w:line="360" w:lineRule="auto"/>
        <w:ind w:firstLine="562" w:firstLineChars="200"/>
        <w:rPr>
          <w:rFonts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注意：比选响应人在比选开始前递交比选响应文件时应出示采购人财务部门开具的项目比选保证金收据，否则，采购人将拒收比选响应文件。</w:t>
      </w:r>
    </w:p>
    <w:p>
      <w:pPr>
        <w:adjustRightInd w:val="0"/>
        <w:snapToGrid w:val="0"/>
        <w:spacing w:line="360" w:lineRule="auto"/>
        <w:ind w:left="1"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8</w:t>
      </w: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4</w:t>
      </w:r>
      <w:r>
        <w:rPr>
          <w:rFonts w:hint="eastAsia" w:ascii="方正仿宋_GBK" w:hAnsi="方正仿宋_GBK" w:eastAsia="方正仿宋_GBK" w:cs="方正仿宋_GBK"/>
          <w:color w:val="000000"/>
          <w:kern w:val="0"/>
          <w:sz w:val="28"/>
          <w:szCs w:val="28"/>
        </w:rPr>
        <w:t xml:space="preserve"> 项目比选响应保证金的退还</w:t>
      </w:r>
    </w:p>
    <w:p>
      <w:pPr>
        <w:adjustRightInd w:val="0"/>
        <w:snapToGrid w:val="0"/>
        <w:spacing w:line="360" w:lineRule="auto"/>
        <w:ind w:left="1"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成交候选人以外的单位提交的本项目比选响应保证金，在成交结果公示期结束且无异议后，由比选响应单位开具收据并加盖比选响应单位财务专用章，附比选响应单位账户信息一并递交至采购人处，采购人凭借该收据根据相关规定在20个工作日内将项目比选响应保证金以银行转账方式退还至比选响应人，本项目比选响应保证金递交期间不计利息。</w:t>
      </w:r>
    </w:p>
    <w:p>
      <w:pPr>
        <w:adjustRightInd w:val="0"/>
        <w:snapToGrid w:val="0"/>
        <w:spacing w:line="360" w:lineRule="auto"/>
        <w:ind w:left="1"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成交候选人范围内的单位提交的本项目比选响应保证金，在本项目合同签订完成后退还，退还手续同上。</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rPr>
        <w:t>成交的比选人缴纳的比选响应保证金将转为</w:t>
      </w:r>
      <w:r>
        <w:rPr>
          <w:rFonts w:hint="eastAsia" w:ascii="方正仿宋_GBK" w:hAnsi="方正仿宋_GBK" w:eastAsia="方正仿宋_GBK" w:cs="方正仿宋_GBK"/>
          <w:sz w:val="28"/>
          <w:szCs w:val="28"/>
        </w:rPr>
        <w:t>履约保证金的一部分。</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比选保证金退还办理地址：</w:t>
      </w:r>
      <w:r>
        <w:rPr>
          <w:rFonts w:hint="eastAsia" w:ascii="方正仿宋_GBK" w:hAnsi="方正仿宋_GBK" w:eastAsia="方正仿宋_GBK" w:cs="方正仿宋_GBK"/>
          <w:color w:val="000000"/>
          <w:kern w:val="0"/>
          <w:sz w:val="28"/>
          <w:szCs w:val="28"/>
        </w:rPr>
        <w:t>重庆机场集团有限公司建设部6</w:t>
      </w:r>
      <w:r>
        <w:rPr>
          <w:rFonts w:ascii="方正仿宋_GBK" w:hAnsi="方正仿宋_GBK" w:eastAsia="方正仿宋_GBK" w:cs="方正仿宋_GBK"/>
          <w:color w:val="000000"/>
          <w:kern w:val="0"/>
          <w:sz w:val="28"/>
          <w:szCs w:val="28"/>
        </w:rPr>
        <w:t>010</w:t>
      </w:r>
      <w:r>
        <w:rPr>
          <w:rFonts w:hint="eastAsia" w:ascii="方正仿宋_GBK" w:hAnsi="方正仿宋_GBK" w:eastAsia="方正仿宋_GBK" w:cs="方正仿宋_GBK"/>
          <w:color w:val="000000"/>
          <w:kern w:val="0"/>
          <w:sz w:val="28"/>
          <w:szCs w:val="28"/>
        </w:rPr>
        <w:t>室</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比选保证金退还联系电话：0</w:t>
      </w:r>
      <w:r>
        <w:rPr>
          <w:rFonts w:ascii="方正仿宋_GBK" w:hAnsi="方正仿宋_GBK" w:eastAsia="方正仿宋_GBK" w:cs="方正仿宋_GBK"/>
          <w:sz w:val="28"/>
          <w:szCs w:val="28"/>
        </w:rPr>
        <w:t>23-</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7156808</w:t>
      </w:r>
      <w:r>
        <w:rPr>
          <w:rFonts w:hint="eastAsia" w:ascii="方正仿宋_GBK" w:hAnsi="方正仿宋_GBK" w:eastAsia="方正仿宋_GBK" w:cs="方正仿宋_GBK"/>
          <w:sz w:val="28"/>
          <w:szCs w:val="28"/>
        </w:rPr>
        <w:t>。</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.2 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履约保证金为合同总价款的5%，在收到成交通知书10日内足额缴纳，于履约结束后，一次性退还（不计利息）。</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3 </w:t>
      </w:r>
      <w:r>
        <w:rPr>
          <w:rFonts w:hint="eastAsia" w:ascii="方正仿宋_GBK" w:hAnsi="方正仿宋_GBK" w:eastAsia="方正仿宋_GBK" w:cs="方正仿宋_GBK"/>
          <w:color w:val="000000"/>
          <w:sz w:val="28"/>
          <w:szCs w:val="28"/>
          <w:lang w:val="zh-CN"/>
        </w:rPr>
        <w:t>报价部分。比选响应方应按照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采购文件要求报出拟提供</w:t>
      </w:r>
      <w:r>
        <w:rPr>
          <w:rFonts w:hint="eastAsia" w:ascii="方正仿宋_GBK" w:hAnsi="方正仿宋_GBK" w:eastAsia="方正仿宋_GBK" w:cs="方正仿宋_GBK"/>
          <w:color w:val="auto"/>
          <w:sz w:val="28"/>
          <w:szCs w:val="28"/>
          <w:lang w:val="zh-CN"/>
        </w:rPr>
        <w:t>货物的品牌、规格、产地、单价、总价等详细内容，各项报价应包括拟提供货物的运输、相关税金和服务等全部费用，报价为含增值税税额的报价/不含增值税税额的报价，增值税税率单列。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0</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4 </w:t>
      </w:r>
      <w:r>
        <w:rPr>
          <w:rFonts w:hint="eastAsia" w:ascii="方正仿宋_GBK" w:hAnsi="方正仿宋_GBK" w:eastAsia="方正仿宋_GBK" w:cs="方正仿宋_GBK"/>
          <w:color w:val="auto"/>
          <w:sz w:val="28"/>
          <w:szCs w:val="28"/>
          <w:lang w:val="zh-CN"/>
        </w:rPr>
        <w:t>技术部分。</w:t>
      </w:r>
      <w:r>
        <w:rPr>
          <w:rFonts w:hint="eastAsia" w:ascii="方正仿宋_GBK" w:hAnsi="方正仿宋_GBK" w:eastAsia="方正仿宋_GBK" w:cs="方正仿宋_GBK"/>
          <w:color w:val="auto"/>
          <w:sz w:val="28"/>
          <w:szCs w:val="28"/>
          <w:u w:val="single"/>
          <w:lang w:val="zh-CN"/>
        </w:rPr>
        <w:t>示例：</w:t>
      </w:r>
      <w:r>
        <w:rPr>
          <w:rFonts w:hint="eastAsia" w:ascii="方正仿宋_GBK" w:hAnsi="方正仿宋_GBK" w:eastAsia="方正仿宋_GBK" w:cs="方正仿宋_GBK"/>
          <w:color w:val="auto"/>
          <w:sz w:val="28"/>
          <w:szCs w:val="28"/>
          <w:lang w:val="zh-CN"/>
        </w:rPr>
        <w:t>主要包括材料的材质工艺和详细说明等。如果提供的材料和服务与</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采购文件要求有偏差，必须详细说明，</w:t>
      </w:r>
      <w:r>
        <w:rPr>
          <w:rFonts w:hint="eastAsia" w:ascii="方正仿宋_GBK" w:hAnsi="方正仿宋_GBK" w:eastAsia="方正仿宋_GBK" w:cs="方正仿宋_GBK"/>
          <w:color w:val="auto"/>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三证合一的营业执照（复印件），法人代表委托书（原件）、制造商或代理商售后服务承诺函（或货物销售资格证明）文件以及所提供产品的合格证明（如有）、其它资格证明（如企业资信证明、质量体系认证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十一、比选响应文件作废条款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.8 有串通比选、弄虚作假、失信处罚期未满以及有其他违法违规行为的。</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十二、响应人违约等行为约束要求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12.2</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12.3</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12.4</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12.5</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十四、监督部门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重庆机场集团有限公司审计法务部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地址：重庆机场集团有限公司办公楼</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w:t>
      </w:r>
      <w:r>
        <w:rPr>
          <w:rFonts w:ascii="方正仿宋_GBK" w:hAnsi="方正仿宋_GBK" w:eastAsia="方正仿宋_GBK" w:cs="方正仿宋_GBK"/>
          <w:color w:val="000000"/>
          <w:sz w:val="28"/>
          <w:szCs w:val="28"/>
        </w:rPr>
        <w:t>7345</w:t>
      </w:r>
    </w:p>
    <w:p>
      <w:pPr>
        <w:autoSpaceDE w:val="0"/>
        <w:autoSpaceDN w:val="0"/>
        <w:adjustRightInd w:val="0"/>
        <w:spacing w:line="360" w:lineRule="auto"/>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十六、比选时间、地点及结果通知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kern w:val="0"/>
          <w:sz w:val="28"/>
          <w:szCs w:val="28"/>
        </w:rPr>
        <w:t>9:00至10:00时送到重庆机场有限公司办公楼</w:t>
      </w:r>
      <w:r>
        <w:rPr>
          <w:rFonts w:hint="eastAsia" w:ascii="方正仿宋_GBK" w:hAnsi="方正仿宋_GBK" w:eastAsia="方正仿宋_GBK" w:cs="方正仿宋_GBK"/>
          <w:sz w:val="28"/>
          <w:szCs w:val="28"/>
        </w:rPr>
        <w:t>（重庆市渝北区机场东二路19号）</w:t>
      </w:r>
      <w:r>
        <w:rPr>
          <w:rFonts w:hint="eastAsia" w:ascii="方正仿宋_GBK" w:hAnsi="方正仿宋_GBK" w:eastAsia="方正仿宋_GBK" w:cs="方正仿宋_GBK"/>
          <w:kern w:val="0"/>
          <w:sz w:val="28"/>
          <w:szCs w:val="28"/>
        </w:rPr>
        <w:t>6010室，过期不予受理。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 xml:space="preserve">.2  </w:t>
      </w:r>
      <w:r>
        <w:rPr>
          <w:rFonts w:hint="eastAsia" w:ascii="方正仿宋_GBK" w:hAnsi="方正仿宋_GBK" w:eastAsia="方正仿宋_GBK" w:cs="方正仿宋_GBK"/>
          <w:color w:val="000000"/>
          <w:sz w:val="28"/>
          <w:szCs w:val="28"/>
          <w:lang w:val="en-US" w:eastAsia="zh-CN"/>
        </w:rPr>
        <w:t>2021</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12</w:t>
      </w:r>
      <w:r>
        <w:rPr>
          <w:rFonts w:hint="eastAsia" w:ascii="方正仿宋_GBK" w:hAnsi="方正仿宋_GBK" w:eastAsia="方正仿宋_GBK" w:cs="方正仿宋_GBK"/>
          <w:color w:val="000000"/>
          <w:sz w:val="28"/>
          <w:szCs w:val="28"/>
        </w:rPr>
        <w:t>日10:00时在重庆机场集团有限公司办公楼对本项目进行比选，各比选响应人须参加。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注：比选开始前，各比选响应人须在重庆机场集团公司办公楼6010室等候通知具体比选地点。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rPr>
        <w:t>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.4 比选结果通知：拟成交结果将公示在重庆机场集团有限公司</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官方网站（www.cqa.cn）</w:t>
      </w:r>
      <w:r>
        <w:rPr>
          <w:rFonts w:hint="eastAsia" w:ascii="方正仿宋_GBK" w:hAnsi="方正仿宋_GBK" w:eastAsia="方正仿宋_GBK" w:cs="方正仿宋_GBK"/>
          <w:color w:val="000000"/>
          <w:sz w:val="28"/>
          <w:szCs w:val="28"/>
        </w:rPr>
        <w:t>，待结果确定后会及时通知，原则上只通知被选中的比选响应人，对未被选中的比选响应人不通知、不解释，响应文件不予退还。</w:t>
      </w:r>
    </w:p>
    <w:p>
      <w:pPr>
        <w:snapToGri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十七、采购人</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采购人：重庆机场集团有限公司</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val="en-US" w:eastAsia="zh-CN"/>
        </w:rPr>
        <w:t>徐老师</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023-67156808</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电子邮箱：</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snapToGrid w:val="0"/>
        <w:spacing w:line="360" w:lineRule="auto"/>
        <w:ind w:firstLine="539"/>
        <w:rPr>
          <w:rFonts w:ascii="仿宋" w:hAnsi="仿宋" w:eastAsia="仿宋"/>
          <w:sz w:val="28"/>
          <w:szCs w:val="28"/>
        </w:rPr>
      </w:pPr>
    </w:p>
    <w:p>
      <w:pPr>
        <w:pStyle w:val="2"/>
      </w:pPr>
    </w:p>
    <w:p/>
    <w:p>
      <w:pPr>
        <w:pStyle w:val="2"/>
      </w:pPr>
    </w:p>
    <w:p/>
    <w:p>
      <w:pPr>
        <w:pStyle w:val="2"/>
      </w:pPr>
    </w:p>
    <w:p/>
    <w:p>
      <w:pPr>
        <w:pStyle w:val="2"/>
      </w:pPr>
    </w:p>
    <w:p/>
    <w:p>
      <w:pPr>
        <w:pStyle w:val="2"/>
      </w:pPr>
    </w:p>
    <w:p/>
    <w:p>
      <w:pPr>
        <w:pStyle w:val="2"/>
      </w:pPr>
    </w:p>
    <w:p/>
    <w:p>
      <w:pPr>
        <w:pStyle w:val="2"/>
      </w:pPr>
    </w:p>
    <w:p>
      <w:pPr>
        <w:pStyle w:val="2"/>
        <w:jc w:val="both"/>
      </w:pPr>
    </w:p>
    <w:p>
      <w:pPr>
        <w:pStyle w:val="2"/>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第二章  合同条款及格式</w:t>
      </w:r>
    </w:p>
    <w:p>
      <w:pPr>
        <w:ind w:firstLine="560" w:firstLineChars="200"/>
        <w:rPr>
          <w:rFonts w:ascii="方正仿宋_GBK" w:hAnsi="方正仿宋_GBK" w:eastAsia="方正仿宋_GBK" w:cs="方正仿宋_GBK"/>
          <w:color w:val="FF0000"/>
          <w:sz w:val="28"/>
          <w:szCs w:val="28"/>
        </w:rPr>
      </w:pPr>
    </w:p>
    <w:p>
      <w:pPr>
        <w:pStyle w:val="2"/>
        <w:rPr>
          <w:rFonts w:ascii="方正仿宋_GBK" w:hAnsi="方正仿宋_GBK" w:eastAsia="方正仿宋_GBK" w:cs="方正仿宋_GBK"/>
          <w:color w:val="FF0000"/>
          <w:sz w:val="28"/>
          <w:szCs w:val="28"/>
        </w:rPr>
      </w:pPr>
    </w:p>
    <w:p/>
    <w:p>
      <w:pPr>
        <w:pStyle w:val="2"/>
      </w:pPr>
    </w:p>
    <w:p/>
    <w:p>
      <w:pPr>
        <w:pStyle w:val="2"/>
      </w:pPr>
    </w:p>
    <w:p/>
    <w:p>
      <w:pPr>
        <w:pStyle w:val="2"/>
      </w:pPr>
    </w:p>
    <w:p/>
    <w:p>
      <w:pPr>
        <w:pStyle w:val="2"/>
      </w:pPr>
    </w:p>
    <w:p/>
    <w:p>
      <w:pPr>
        <w:rPr>
          <w:rFonts w:ascii="方正仿宋_GBK" w:hAnsi="方正仿宋_GBK" w:eastAsia="方正仿宋_GBK" w:cs="方正仿宋_GBK"/>
          <w:color w:val="FF0000"/>
          <w:sz w:val="28"/>
          <w:szCs w:val="28"/>
        </w:rPr>
      </w:pPr>
    </w:p>
    <w:p>
      <w:pPr>
        <w:pStyle w:val="2"/>
        <w:rPr>
          <w:rFonts w:ascii="方正仿宋_GBK" w:hAnsi="方正仿宋_GBK" w:eastAsia="方正仿宋_GBK" w:cs="方正仿宋_GBK"/>
          <w:color w:val="FF0000"/>
          <w:sz w:val="28"/>
          <w:szCs w:val="28"/>
        </w:rPr>
      </w:pPr>
    </w:p>
    <w:p>
      <w:pPr>
        <w:rPr>
          <w:rFonts w:ascii="方正仿宋_GBK" w:hAnsi="方正仿宋_GBK" w:eastAsia="方正仿宋_GBK" w:cs="方正仿宋_GBK"/>
          <w:color w:val="FF0000"/>
          <w:sz w:val="28"/>
          <w:szCs w:val="28"/>
        </w:rPr>
      </w:pPr>
    </w:p>
    <w:p>
      <w:pPr>
        <w:pStyle w:val="2"/>
        <w:rPr>
          <w:rFonts w:ascii="方正仿宋_GBK" w:hAnsi="方正仿宋_GBK" w:eastAsia="方正仿宋_GBK" w:cs="方正仿宋_GBK"/>
          <w:color w:val="FF0000"/>
          <w:sz w:val="28"/>
          <w:szCs w:val="28"/>
        </w:rPr>
      </w:pPr>
    </w:p>
    <w:p>
      <w:pPr>
        <w:rPr>
          <w:rFonts w:ascii="方正仿宋_GBK" w:hAnsi="方正仿宋_GBK" w:eastAsia="方正仿宋_GBK" w:cs="方正仿宋_GBK"/>
          <w:color w:val="FF0000"/>
          <w:sz w:val="28"/>
          <w:szCs w:val="28"/>
        </w:rPr>
      </w:pPr>
    </w:p>
    <w:p>
      <w:pPr>
        <w:pStyle w:val="2"/>
        <w:rPr>
          <w:rFonts w:ascii="方正仿宋_GBK" w:hAnsi="方正仿宋_GBK" w:eastAsia="方正仿宋_GBK" w:cs="方正仿宋_GBK"/>
          <w:color w:val="FF0000"/>
          <w:sz w:val="28"/>
          <w:szCs w:val="28"/>
        </w:rPr>
      </w:pPr>
    </w:p>
    <w:p>
      <w:pPr>
        <w:rPr>
          <w:rFonts w:ascii="方正仿宋_GBK" w:hAnsi="方正仿宋_GBK" w:eastAsia="方正仿宋_GBK" w:cs="方正仿宋_GBK"/>
          <w:color w:val="FF0000"/>
          <w:sz w:val="28"/>
          <w:szCs w:val="28"/>
        </w:rPr>
      </w:pPr>
    </w:p>
    <w:p>
      <w:pPr>
        <w:pStyle w:val="2"/>
        <w:rPr>
          <w:rFonts w:ascii="方正仿宋_GBK" w:hAnsi="方正仿宋_GBK" w:eastAsia="方正仿宋_GBK" w:cs="方正仿宋_GBK"/>
          <w:color w:val="FF0000"/>
          <w:sz w:val="28"/>
          <w:szCs w:val="28"/>
        </w:rPr>
      </w:pPr>
    </w:p>
    <w:p/>
    <w:p>
      <w:pPr>
        <w:spacing w:line="360" w:lineRule="auto"/>
        <w:ind w:right="600" w:firstLine="480" w:firstLineChars="200"/>
        <w:jc w:val="right"/>
        <w:rPr>
          <w:rFonts w:ascii="仿宋_GB2312" w:hAnsi="仿宋" w:eastAsia="仿宋_GB2312" w:cs="宋体"/>
          <w:sz w:val="30"/>
          <w:szCs w:val="30"/>
        </w:rPr>
      </w:pPr>
      <w:r>
        <w:rPr>
          <w:rFonts w:hint="eastAsia" w:ascii="黑体" w:hAnsi="黑体" w:eastAsia="黑体" w:cs="宋体"/>
          <w:sz w:val="24"/>
          <w:szCs w:val="30"/>
        </w:rPr>
        <w:t>合同编号：CQA</w:t>
      </w:r>
      <w:r>
        <w:rPr>
          <w:rFonts w:hint="eastAsia" w:ascii="仿宋_GB2312" w:hAnsi="仿宋" w:eastAsia="仿宋_GB2312" w:cs="宋体"/>
          <w:sz w:val="30"/>
          <w:szCs w:val="30"/>
        </w:rPr>
        <w:t xml:space="preserve"> </w:t>
      </w:r>
      <w:r>
        <w:rPr>
          <w:rFonts w:ascii="仿宋_GB2312" w:hAnsi="仿宋" w:eastAsia="仿宋_GB2312" w:cs="宋体"/>
          <w:sz w:val="30"/>
          <w:szCs w:val="30"/>
        </w:rPr>
        <w:t xml:space="preserve">           </w:t>
      </w:r>
    </w:p>
    <w:p>
      <w:pPr>
        <w:snapToGrid w:val="0"/>
        <w:spacing w:line="360" w:lineRule="auto"/>
        <w:rPr>
          <w:rFonts w:ascii="等线" w:hAnsi="等线" w:eastAsia="等线"/>
          <w:sz w:val="44"/>
          <w:szCs w:val="36"/>
        </w:rPr>
      </w:pPr>
    </w:p>
    <w:p>
      <w:pPr>
        <w:jc w:val="center"/>
        <w:rPr>
          <w:b/>
          <w:sz w:val="44"/>
        </w:rPr>
      </w:pPr>
      <w:r>
        <w:rPr>
          <w:b/>
          <w:sz w:val="44"/>
        </w:rPr>
        <w:t>_____________________________</w:t>
      </w:r>
    </w:p>
    <w:p>
      <w:pPr>
        <w:jc w:val="center"/>
        <w:rPr>
          <w:rFonts w:eastAsia="华文中宋"/>
          <w:b/>
          <w:sz w:val="72"/>
          <w:szCs w:val="72"/>
        </w:rPr>
      </w:pPr>
      <w:bookmarkStart w:id="1" w:name="_Hlk18508344"/>
      <w:r>
        <w:rPr>
          <w:rFonts w:hint="eastAsia" w:eastAsia="华文中宋"/>
          <w:b/>
          <w:sz w:val="72"/>
          <w:szCs w:val="72"/>
        </w:rPr>
        <w:t>重庆机场</w:t>
      </w:r>
      <w:r>
        <w:rPr>
          <w:rFonts w:hint="eastAsia" w:eastAsia="华文中宋"/>
          <w:b/>
          <w:sz w:val="72"/>
          <w:szCs w:val="72"/>
          <w:lang w:val="en-US" w:eastAsia="zh-CN"/>
        </w:rPr>
        <w:t>终端安全管理系统项目</w:t>
      </w:r>
      <w:r>
        <w:rPr>
          <w:rFonts w:hint="eastAsia" w:eastAsia="华文中宋"/>
          <w:b/>
          <w:sz w:val="72"/>
          <w:szCs w:val="72"/>
        </w:rPr>
        <w:t>采购合同</w:t>
      </w:r>
    </w:p>
    <w:bookmarkEnd w:id="1"/>
    <w:p>
      <w:pPr>
        <w:jc w:val="center"/>
        <w:rPr>
          <w:b/>
          <w:sz w:val="44"/>
        </w:rPr>
      </w:pPr>
      <w:r>
        <w:rPr>
          <w:b/>
          <w:sz w:val="44"/>
        </w:rPr>
        <w:t>______________________________</w:t>
      </w:r>
    </w:p>
    <w:p>
      <w:pPr>
        <w:ind w:firstLine="880" w:firstLineChars="200"/>
        <w:jc w:val="center"/>
        <w:rPr>
          <w:rFonts w:ascii="等线" w:hAnsi="等线" w:eastAsia="等线"/>
          <w:b/>
          <w:sz w:val="44"/>
        </w:rPr>
      </w:pPr>
    </w:p>
    <w:p>
      <w:pPr>
        <w:ind w:firstLine="420" w:firstLineChars="200"/>
        <w:jc w:val="center"/>
        <w:rPr>
          <w:rFonts w:ascii="等线" w:hAnsi="等线" w:eastAsia="等线"/>
          <w:b/>
        </w:rPr>
      </w:pPr>
    </w:p>
    <w:p>
      <w:pPr>
        <w:snapToGrid w:val="0"/>
        <w:spacing w:line="360" w:lineRule="auto"/>
        <w:jc w:val="center"/>
        <w:rPr>
          <w:rFonts w:ascii="宋体" w:hAnsi="宋体"/>
          <w:b/>
          <w:sz w:val="32"/>
          <w:szCs w:val="32"/>
        </w:rPr>
      </w:pPr>
      <w:bookmarkStart w:id="2" w:name="_Hlk18506346"/>
      <w:r>
        <w:rPr>
          <w:rFonts w:hint="eastAsia" w:ascii="宋体" w:hAnsi="宋体"/>
          <w:b/>
          <w:sz w:val="32"/>
          <w:szCs w:val="32"/>
        </w:rPr>
        <w:t>甲方：重庆机场集团有限公司</w:t>
      </w:r>
    </w:p>
    <w:p>
      <w:pPr>
        <w:snapToGrid w:val="0"/>
        <w:spacing w:line="360" w:lineRule="auto"/>
        <w:rPr>
          <w:rFonts w:ascii="宋体" w:hAnsi="宋体" w:cs="宋体"/>
          <w:b/>
          <w:bCs/>
          <w:sz w:val="32"/>
          <w:szCs w:val="32"/>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r>
        <w:rPr>
          <w:rFonts w:ascii="宋体" w:hAnsi="宋体" w:cs="宋体"/>
          <w:b/>
          <w:bCs/>
          <w:sz w:val="32"/>
          <w:szCs w:val="32"/>
        </w:rPr>
        <w:t xml:space="preserve"> ______________________</w:t>
      </w:r>
    </w:p>
    <w:bookmarkEnd w:id="2"/>
    <w:p>
      <w:pPr>
        <w:ind w:firstLine="422" w:firstLineChars="200"/>
        <w:rPr>
          <w:rFonts w:cs="宋体"/>
          <w:b/>
          <w:bCs/>
        </w:rPr>
        <w:sectPr>
          <w:pgSz w:w="12240" w:h="15840"/>
          <w:pgMar w:top="1440" w:right="1440" w:bottom="1440" w:left="1440" w:header="720" w:footer="720" w:gutter="0"/>
          <w:cols w:space="720" w:num="1"/>
          <w:titlePg/>
        </w:sectPr>
      </w:pPr>
      <w:r>
        <w:rPr>
          <w:rFonts w:cs="宋体"/>
          <w:b/>
          <w:bCs/>
        </w:rPr>
        <w:br w:type="page"/>
      </w:r>
    </w:p>
    <w:sdt>
      <w:sdtPr>
        <w:rPr>
          <w:rFonts w:asciiTheme="minorHAnsi" w:hAnsiTheme="minorHAnsi" w:eastAsiaTheme="minorEastAsia" w:cstheme="minorBidi"/>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sz w:val="21"/>
          <w:szCs w:val="21"/>
          <w:lang w:val="zh-CN" w:eastAsia="en-US"/>
        </w:rPr>
      </w:sdtEndPr>
      <w:sdtContent>
        <w:p>
          <w:pPr>
            <w:keepNext/>
            <w:keepLines/>
            <w:spacing w:before="240" w:line="259" w:lineRule="auto"/>
            <w:jc w:val="center"/>
            <w:rPr>
              <w:rFonts w:ascii="仿宋_GB2312" w:eastAsia="仿宋_GB2312" w:hAnsiTheme="majorHAnsi" w:cstheme="majorBidi"/>
              <w:kern w:val="0"/>
              <w:sz w:val="24"/>
              <w:szCs w:val="24"/>
            </w:rPr>
          </w:pPr>
          <w:r>
            <w:rPr>
              <w:rFonts w:hint="eastAsia" w:ascii="仿宋_GB2312" w:eastAsia="仿宋_GB2312" w:hAnsiTheme="majorHAnsi" w:cstheme="majorBidi"/>
              <w:kern w:val="0"/>
              <w:sz w:val="24"/>
              <w:szCs w:val="24"/>
              <w:lang w:val="zh-CN"/>
            </w:rPr>
            <w:t>目录</w:t>
          </w:r>
        </w:p>
        <w:p>
          <w:pPr>
            <w:tabs>
              <w:tab w:val="right" w:leader="dot" w:pos="9350"/>
            </w:tabs>
            <w:ind w:left="420" w:leftChars="200"/>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TOC \o "1-3" \h \z \u </w:instrText>
          </w:r>
          <w:r>
            <w:rPr>
              <w:rFonts w:hint="eastAsia" w:ascii="仿宋_GB2312" w:eastAsia="仿宋_GB2312"/>
              <w:sz w:val="24"/>
              <w:szCs w:val="24"/>
            </w:rPr>
            <w:fldChar w:fldCharType="separate"/>
          </w:r>
          <w:r>
            <w:rPr>
              <w:sz w:val="24"/>
              <w:szCs w:val="24"/>
            </w:rPr>
            <w:fldChar w:fldCharType="begin"/>
          </w:r>
          <w:r>
            <w:rPr>
              <w:sz w:val="24"/>
              <w:szCs w:val="24"/>
            </w:rPr>
            <w:instrText xml:space="preserve"> HYPERLINK \l "_Toc25588100" </w:instrText>
          </w:r>
          <w:r>
            <w:rPr>
              <w:sz w:val="24"/>
              <w:szCs w:val="24"/>
            </w:rPr>
            <w:fldChar w:fldCharType="separate"/>
          </w:r>
          <w:r>
            <w:rPr>
              <w:rFonts w:hint="eastAsia" w:ascii="仿宋_GB2312" w:eastAsia="仿宋_GB2312"/>
              <w:sz w:val="24"/>
              <w:szCs w:val="24"/>
              <w:u w:val="single"/>
            </w:rPr>
            <w:t>第一条 货物名称、数量及规格</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_Toc25588100 \h </w:instrText>
          </w:r>
          <w:r>
            <w:rPr>
              <w:rFonts w:hint="eastAsia" w:ascii="仿宋_GB2312" w:eastAsia="仿宋_GB2312"/>
              <w:sz w:val="24"/>
              <w:szCs w:val="24"/>
            </w:rPr>
            <w:fldChar w:fldCharType="separate"/>
          </w:r>
          <w:r>
            <w:rPr>
              <w:rFonts w:ascii="仿宋_GB2312" w:eastAsia="仿宋_GB2312"/>
              <w:sz w:val="24"/>
              <w:szCs w:val="24"/>
            </w:rPr>
            <w:t>14</w:t>
          </w:r>
          <w:r>
            <w:rPr>
              <w:rFonts w:hint="eastAsia" w:ascii="仿宋_GB2312" w:eastAsia="仿宋_GB2312"/>
              <w:sz w:val="24"/>
              <w:szCs w:val="24"/>
            </w:rPr>
            <w:fldChar w:fldCharType="end"/>
          </w:r>
          <w:r>
            <w:rPr>
              <w:rFonts w:hint="eastAsia" w:ascii="仿宋_GB2312" w:eastAsia="仿宋_GB2312"/>
              <w:sz w:val="24"/>
              <w:szCs w:val="24"/>
            </w:rPr>
            <w:fldChar w:fldCharType="end"/>
          </w:r>
        </w:p>
        <w:p>
          <w:pPr>
            <w:tabs>
              <w:tab w:val="right" w:leader="dot" w:pos="9350"/>
            </w:tabs>
            <w:ind w:left="420" w:leftChars="200"/>
            <w:rPr>
              <w:rFonts w:ascii="仿宋_GB2312" w:eastAsia="仿宋_GB2312"/>
              <w:sz w:val="24"/>
              <w:szCs w:val="24"/>
            </w:rPr>
          </w:pPr>
          <w:r>
            <w:rPr>
              <w:sz w:val="24"/>
              <w:szCs w:val="24"/>
            </w:rPr>
            <w:fldChar w:fldCharType="begin"/>
          </w:r>
          <w:r>
            <w:rPr>
              <w:sz w:val="24"/>
              <w:szCs w:val="24"/>
            </w:rPr>
            <w:instrText xml:space="preserve"> HYPERLINK \l "_Toc25588101" </w:instrText>
          </w:r>
          <w:r>
            <w:rPr>
              <w:sz w:val="24"/>
              <w:szCs w:val="24"/>
            </w:rPr>
            <w:fldChar w:fldCharType="separate"/>
          </w:r>
          <w:r>
            <w:rPr>
              <w:rFonts w:hint="eastAsia" w:ascii="仿宋_GB2312" w:eastAsia="仿宋_GB2312"/>
              <w:sz w:val="24"/>
              <w:szCs w:val="24"/>
              <w:u w:val="single"/>
            </w:rPr>
            <w:t>第二条 合同价款</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_Toc25588101 \h </w:instrText>
          </w:r>
          <w:r>
            <w:rPr>
              <w:rFonts w:hint="eastAsia" w:ascii="仿宋_GB2312" w:eastAsia="仿宋_GB2312"/>
              <w:sz w:val="24"/>
              <w:szCs w:val="24"/>
            </w:rPr>
            <w:fldChar w:fldCharType="separate"/>
          </w:r>
          <w:r>
            <w:rPr>
              <w:rFonts w:ascii="仿宋_GB2312" w:eastAsia="仿宋_GB2312"/>
              <w:sz w:val="24"/>
              <w:szCs w:val="24"/>
            </w:rPr>
            <w:t>14</w:t>
          </w:r>
          <w:r>
            <w:rPr>
              <w:rFonts w:hint="eastAsia" w:ascii="仿宋_GB2312" w:eastAsia="仿宋_GB2312"/>
              <w:sz w:val="24"/>
              <w:szCs w:val="24"/>
            </w:rPr>
            <w:fldChar w:fldCharType="end"/>
          </w:r>
          <w:r>
            <w:rPr>
              <w:rFonts w:hint="eastAsia" w:ascii="仿宋_GB2312" w:eastAsia="仿宋_GB2312"/>
              <w:sz w:val="24"/>
              <w:szCs w:val="24"/>
            </w:rPr>
            <w:fldChar w:fldCharType="end"/>
          </w:r>
        </w:p>
        <w:p>
          <w:pPr>
            <w:tabs>
              <w:tab w:val="right" w:leader="dot" w:pos="9350"/>
            </w:tabs>
            <w:ind w:left="420" w:leftChars="200"/>
            <w:rPr>
              <w:rFonts w:ascii="仿宋_GB2312" w:eastAsia="仿宋_GB2312"/>
              <w:sz w:val="24"/>
              <w:szCs w:val="24"/>
            </w:rPr>
          </w:pPr>
          <w:r>
            <w:rPr>
              <w:sz w:val="24"/>
              <w:szCs w:val="24"/>
            </w:rPr>
            <w:fldChar w:fldCharType="begin"/>
          </w:r>
          <w:r>
            <w:rPr>
              <w:sz w:val="24"/>
              <w:szCs w:val="24"/>
            </w:rPr>
            <w:instrText xml:space="preserve"> HYPERLINK \l "_Toc25588102" </w:instrText>
          </w:r>
          <w:r>
            <w:rPr>
              <w:sz w:val="24"/>
              <w:szCs w:val="24"/>
            </w:rPr>
            <w:fldChar w:fldCharType="separate"/>
          </w:r>
          <w:r>
            <w:rPr>
              <w:rFonts w:hint="eastAsia" w:ascii="仿宋_GB2312" w:eastAsia="仿宋_GB2312"/>
              <w:sz w:val="24"/>
              <w:szCs w:val="24"/>
              <w:u w:val="single"/>
            </w:rPr>
            <w:t>第三条 技术标准及要求</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_Toc25588102 \h </w:instrText>
          </w:r>
          <w:r>
            <w:rPr>
              <w:rFonts w:hint="eastAsia" w:ascii="仿宋_GB2312" w:eastAsia="仿宋_GB2312"/>
              <w:sz w:val="24"/>
              <w:szCs w:val="24"/>
            </w:rPr>
            <w:fldChar w:fldCharType="separate"/>
          </w:r>
          <w:r>
            <w:rPr>
              <w:rFonts w:ascii="仿宋_GB2312" w:eastAsia="仿宋_GB2312"/>
              <w:sz w:val="24"/>
              <w:szCs w:val="24"/>
            </w:rPr>
            <w:t>15</w:t>
          </w:r>
          <w:r>
            <w:rPr>
              <w:rFonts w:hint="eastAsia" w:ascii="仿宋_GB2312" w:eastAsia="仿宋_GB2312"/>
              <w:sz w:val="24"/>
              <w:szCs w:val="24"/>
            </w:rPr>
            <w:fldChar w:fldCharType="end"/>
          </w:r>
          <w:r>
            <w:rPr>
              <w:rFonts w:hint="eastAsia" w:ascii="仿宋_GB2312" w:eastAsia="仿宋_GB2312"/>
              <w:sz w:val="24"/>
              <w:szCs w:val="24"/>
            </w:rPr>
            <w:fldChar w:fldCharType="end"/>
          </w:r>
        </w:p>
        <w:p>
          <w:pPr>
            <w:tabs>
              <w:tab w:val="right" w:leader="dot" w:pos="9350"/>
            </w:tabs>
            <w:ind w:left="420" w:leftChars="200"/>
            <w:rPr>
              <w:rFonts w:ascii="仿宋_GB2312" w:eastAsia="仿宋_GB2312"/>
              <w:sz w:val="24"/>
              <w:szCs w:val="24"/>
            </w:rPr>
          </w:pPr>
          <w:r>
            <w:rPr>
              <w:sz w:val="24"/>
              <w:szCs w:val="24"/>
            </w:rPr>
            <w:fldChar w:fldCharType="begin"/>
          </w:r>
          <w:r>
            <w:rPr>
              <w:sz w:val="24"/>
              <w:szCs w:val="24"/>
            </w:rPr>
            <w:instrText xml:space="preserve"> HYPERLINK \l "_Toc25588103" </w:instrText>
          </w:r>
          <w:r>
            <w:rPr>
              <w:sz w:val="24"/>
              <w:szCs w:val="24"/>
            </w:rPr>
            <w:fldChar w:fldCharType="separate"/>
          </w:r>
          <w:r>
            <w:rPr>
              <w:rFonts w:hint="eastAsia" w:ascii="仿宋_GB2312" w:eastAsia="仿宋_GB2312"/>
              <w:sz w:val="24"/>
              <w:szCs w:val="24"/>
              <w:u w:val="single"/>
            </w:rPr>
            <w:t>第四条 交货日期、方式和地点</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_Toc25588103 \h </w:instrText>
          </w:r>
          <w:r>
            <w:rPr>
              <w:rFonts w:hint="eastAsia" w:ascii="仿宋_GB2312" w:eastAsia="仿宋_GB2312"/>
              <w:sz w:val="24"/>
              <w:szCs w:val="24"/>
            </w:rPr>
            <w:fldChar w:fldCharType="separate"/>
          </w:r>
          <w:r>
            <w:rPr>
              <w:rFonts w:ascii="仿宋_GB2312" w:eastAsia="仿宋_GB2312"/>
              <w:sz w:val="24"/>
              <w:szCs w:val="24"/>
            </w:rPr>
            <w:t>15</w:t>
          </w:r>
          <w:r>
            <w:rPr>
              <w:rFonts w:hint="eastAsia" w:ascii="仿宋_GB2312" w:eastAsia="仿宋_GB2312"/>
              <w:sz w:val="24"/>
              <w:szCs w:val="24"/>
            </w:rPr>
            <w:fldChar w:fldCharType="end"/>
          </w:r>
          <w:r>
            <w:rPr>
              <w:rFonts w:hint="eastAsia" w:ascii="仿宋_GB2312" w:eastAsia="仿宋_GB2312"/>
              <w:sz w:val="24"/>
              <w:szCs w:val="24"/>
            </w:rPr>
            <w:fldChar w:fldCharType="end"/>
          </w:r>
        </w:p>
        <w:p>
          <w:pPr>
            <w:tabs>
              <w:tab w:val="right" w:leader="dot" w:pos="9350"/>
            </w:tabs>
            <w:ind w:left="420" w:leftChars="200"/>
            <w:rPr>
              <w:rFonts w:ascii="仿宋_GB2312" w:eastAsia="仿宋_GB2312"/>
              <w:sz w:val="24"/>
              <w:szCs w:val="24"/>
            </w:rPr>
          </w:pPr>
          <w:r>
            <w:rPr>
              <w:sz w:val="24"/>
              <w:szCs w:val="24"/>
            </w:rPr>
            <w:fldChar w:fldCharType="begin"/>
          </w:r>
          <w:r>
            <w:rPr>
              <w:sz w:val="24"/>
              <w:szCs w:val="24"/>
            </w:rPr>
            <w:instrText xml:space="preserve"> HYPERLINK \l "_Toc25588104" </w:instrText>
          </w:r>
          <w:r>
            <w:rPr>
              <w:sz w:val="24"/>
              <w:szCs w:val="24"/>
            </w:rPr>
            <w:fldChar w:fldCharType="separate"/>
          </w:r>
          <w:r>
            <w:rPr>
              <w:rFonts w:hint="eastAsia" w:ascii="仿宋_GB2312" w:eastAsia="仿宋_GB2312"/>
              <w:sz w:val="24"/>
              <w:szCs w:val="24"/>
              <w:u w:val="single"/>
            </w:rPr>
            <w:t>第五条 验收办法</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_Toc25588104 \h </w:instrText>
          </w:r>
          <w:r>
            <w:rPr>
              <w:rFonts w:hint="eastAsia" w:ascii="仿宋_GB2312" w:eastAsia="仿宋_GB2312"/>
              <w:sz w:val="24"/>
              <w:szCs w:val="24"/>
            </w:rPr>
            <w:fldChar w:fldCharType="separate"/>
          </w:r>
          <w:r>
            <w:rPr>
              <w:rFonts w:ascii="仿宋_GB2312" w:eastAsia="仿宋_GB2312"/>
              <w:sz w:val="24"/>
              <w:szCs w:val="24"/>
            </w:rPr>
            <w:t>15</w:t>
          </w:r>
          <w:r>
            <w:rPr>
              <w:rFonts w:hint="eastAsia" w:ascii="仿宋_GB2312" w:eastAsia="仿宋_GB2312"/>
              <w:sz w:val="24"/>
              <w:szCs w:val="24"/>
            </w:rPr>
            <w:fldChar w:fldCharType="end"/>
          </w:r>
          <w:r>
            <w:rPr>
              <w:rFonts w:hint="eastAsia" w:ascii="仿宋_GB2312" w:eastAsia="仿宋_GB2312"/>
              <w:sz w:val="24"/>
              <w:szCs w:val="24"/>
            </w:rPr>
            <w:fldChar w:fldCharType="end"/>
          </w:r>
        </w:p>
        <w:p>
          <w:pPr>
            <w:tabs>
              <w:tab w:val="right" w:leader="dot" w:pos="9350"/>
            </w:tabs>
            <w:ind w:left="420" w:leftChars="200"/>
            <w:rPr>
              <w:rFonts w:ascii="仿宋_GB2312" w:eastAsia="仿宋_GB2312"/>
              <w:sz w:val="24"/>
              <w:szCs w:val="24"/>
            </w:rPr>
          </w:pPr>
          <w:r>
            <w:rPr>
              <w:sz w:val="24"/>
              <w:szCs w:val="24"/>
            </w:rPr>
            <w:fldChar w:fldCharType="begin"/>
          </w:r>
          <w:r>
            <w:rPr>
              <w:sz w:val="24"/>
              <w:szCs w:val="24"/>
            </w:rPr>
            <w:instrText xml:space="preserve"> HYPERLINK \l "_Toc25588105" </w:instrText>
          </w:r>
          <w:r>
            <w:rPr>
              <w:sz w:val="24"/>
              <w:szCs w:val="24"/>
            </w:rPr>
            <w:fldChar w:fldCharType="separate"/>
          </w:r>
          <w:r>
            <w:rPr>
              <w:rFonts w:hint="eastAsia" w:ascii="仿宋_GB2312" w:eastAsia="仿宋_GB2312"/>
              <w:sz w:val="24"/>
              <w:szCs w:val="24"/>
              <w:u w:val="single"/>
            </w:rPr>
            <w:t>第六条 保证金</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_Toc25588105 \h </w:instrText>
          </w:r>
          <w:r>
            <w:rPr>
              <w:rFonts w:hint="eastAsia" w:ascii="仿宋_GB2312" w:eastAsia="仿宋_GB2312"/>
              <w:sz w:val="24"/>
              <w:szCs w:val="24"/>
            </w:rPr>
            <w:fldChar w:fldCharType="separate"/>
          </w:r>
          <w:r>
            <w:rPr>
              <w:rFonts w:ascii="仿宋_GB2312" w:eastAsia="仿宋_GB2312"/>
              <w:sz w:val="24"/>
              <w:szCs w:val="24"/>
            </w:rPr>
            <w:t>15</w:t>
          </w:r>
          <w:r>
            <w:rPr>
              <w:rFonts w:hint="eastAsia" w:ascii="仿宋_GB2312" w:eastAsia="仿宋_GB2312"/>
              <w:sz w:val="24"/>
              <w:szCs w:val="24"/>
            </w:rPr>
            <w:fldChar w:fldCharType="end"/>
          </w:r>
          <w:r>
            <w:rPr>
              <w:rFonts w:hint="eastAsia" w:ascii="仿宋_GB2312" w:eastAsia="仿宋_GB2312"/>
              <w:sz w:val="24"/>
              <w:szCs w:val="24"/>
            </w:rPr>
            <w:fldChar w:fldCharType="end"/>
          </w:r>
        </w:p>
        <w:p>
          <w:pPr>
            <w:tabs>
              <w:tab w:val="right" w:leader="dot" w:pos="9350"/>
            </w:tabs>
            <w:ind w:left="420" w:leftChars="200"/>
            <w:rPr>
              <w:rFonts w:ascii="仿宋_GB2312" w:eastAsia="仿宋_GB2312"/>
              <w:sz w:val="24"/>
              <w:szCs w:val="24"/>
            </w:rPr>
          </w:pPr>
          <w:r>
            <w:rPr>
              <w:sz w:val="24"/>
              <w:szCs w:val="24"/>
            </w:rPr>
            <w:fldChar w:fldCharType="begin"/>
          </w:r>
          <w:r>
            <w:rPr>
              <w:sz w:val="24"/>
              <w:szCs w:val="24"/>
            </w:rPr>
            <w:instrText xml:space="preserve"> HYPERLINK \l "_Toc25588106" </w:instrText>
          </w:r>
          <w:r>
            <w:rPr>
              <w:sz w:val="24"/>
              <w:szCs w:val="24"/>
            </w:rPr>
            <w:fldChar w:fldCharType="separate"/>
          </w:r>
          <w:r>
            <w:rPr>
              <w:rFonts w:hint="eastAsia" w:ascii="仿宋_GB2312" w:eastAsia="仿宋_GB2312"/>
              <w:sz w:val="24"/>
              <w:szCs w:val="24"/>
              <w:u w:val="single"/>
            </w:rPr>
            <w:t>第七条 付款方式</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_Toc25588106 \h </w:instrText>
          </w:r>
          <w:r>
            <w:rPr>
              <w:rFonts w:hint="eastAsia" w:ascii="仿宋_GB2312" w:eastAsia="仿宋_GB2312"/>
              <w:sz w:val="24"/>
              <w:szCs w:val="24"/>
            </w:rPr>
            <w:fldChar w:fldCharType="separate"/>
          </w:r>
          <w:r>
            <w:rPr>
              <w:rFonts w:ascii="仿宋_GB2312" w:eastAsia="仿宋_GB2312"/>
              <w:sz w:val="24"/>
              <w:szCs w:val="24"/>
            </w:rPr>
            <w:t>16</w:t>
          </w:r>
          <w:r>
            <w:rPr>
              <w:rFonts w:hint="eastAsia" w:ascii="仿宋_GB2312" w:eastAsia="仿宋_GB2312"/>
              <w:sz w:val="24"/>
              <w:szCs w:val="24"/>
            </w:rPr>
            <w:fldChar w:fldCharType="end"/>
          </w:r>
          <w:r>
            <w:rPr>
              <w:rFonts w:hint="eastAsia" w:ascii="仿宋_GB2312" w:eastAsia="仿宋_GB2312"/>
              <w:sz w:val="24"/>
              <w:szCs w:val="24"/>
            </w:rPr>
            <w:fldChar w:fldCharType="end"/>
          </w:r>
        </w:p>
        <w:p>
          <w:pPr>
            <w:tabs>
              <w:tab w:val="right" w:leader="dot" w:pos="9350"/>
            </w:tabs>
            <w:ind w:left="420" w:leftChars="200"/>
            <w:rPr>
              <w:rFonts w:ascii="仿宋_GB2312" w:eastAsia="仿宋_GB2312"/>
              <w:sz w:val="24"/>
              <w:szCs w:val="24"/>
            </w:rPr>
          </w:pPr>
          <w:r>
            <w:rPr>
              <w:sz w:val="24"/>
              <w:szCs w:val="24"/>
            </w:rPr>
            <w:fldChar w:fldCharType="begin"/>
          </w:r>
          <w:r>
            <w:rPr>
              <w:sz w:val="24"/>
              <w:szCs w:val="24"/>
            </w:rPr>
            <w:instrText xml:space="preserve"> HYPERLINK \l "_Toc25588107" </w:instrText>
          </w:r>
          <w:r>
            <w:rPr>
              <w:sz w:val="24"/>
              <w:szCs w:val="24"/>
            </w:rPr>
            <w:fldChar w:fldCharType="separate"/>
          </w:r>
          <w:r>
            <w:rPr>
              <w:rFonts w:hint="eastAsia" w:ascii="仿宋_GB2312" w:eastAsia="仿宋_GB2312"/>
              <w:sz w:val="24"/>
              <w:szCs w:val="24"/>
              <w:u w:val="single"/>
            </w:rPr>
            <w:t>第八条 违约和索赔</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_Toc25588107 \h </w:instrText>
          </w:r>
          <w:r>
            <w:rPr>
              <w:rFonts w:hint="eastAsia" w:ascii="仿宋_GB2312" w:eastAsia="仿宋_GB2312"/>
              <w:sz w:val="24"/>
              <w:szCs w:val="24"/>
            </w:rPr>
            <w:fldChar w:fldCharType="separate"/>
          </w:r>
          <w:r>
            <w:rPr>
              <w:rFonts w:ascii="仿宋_GB2312" w:eastAsia="仿宋_GB2312"/>
              <w:sz w:val="24"/>
              <w:szCs w:val="24"/>
            </w:rPr>
            <w:t>16</w:t>
          </w:r>
          <w:r>
            <w:rPr>
              <w:rFonts w:hint="eastAsia" w:ascii="仿宋_GB2312" w:eastAsia="仿宋_GB2312"/>
              <w:sz w:val="24"/>
              <w:szCs w:val="24"/>
            </w:rPr>
            <w:fldChar w:fldCharType="end"/>
          </w:r>
          <w:r>
            <w:rPr>
              <w:rFonts w:hint="eastAsia" w:ascii="仿宋_GB2312" w:eastAsia="仿宋_GB2312"/>
              <w:sz w:val="24"/>
              <w:szCs w:val="24"/>
            </w:rPr>
            <w:fldChar w:fldCharType="end"/>
          </w:r>
        </w:p>
        <w:p>
          <w:pPr>
            <w:tabs>
              <w:tab w:val="right" w:leader="dot" w:pos="9350"/>
            </w:tabs>
            <w:ind w:left="420" w:leftChars="200"/>
            <w:rPr>
              <w:rFonts w:ascii="仿宋_GB2312" w:eastAsia="仿宋_GB2312"/>
              <w:sz w:val="24"/>
              <w:szCs w:val="24"/>
            </w:rPr>
          </w:pPr>
          <w:r>
            <w:rPr>
              <w:sz w:val="24"/>
              <w:szCs w:val="24"/>
            </w:rPr>
            <w:fldChar w:fldCharType="begin"/>
          </w:r>
          <w:r>
            <w:rPr>
              <w:sz w:val="24"/>
              <w:szCs w:val="24"/>
            </w:rPr>
            <w:instrText xml:space="preserve"> HYPERLINK \l "_Toc25588108" </w:instrText>
          </w:r>
          <w:r>
            <w:rPr>
              <w:sz w:val="24"/>
              <w:szCs w:val="24"/>
            </w:rPr>
            <w:fldChar w:fldCharType="separate"/>
          </w:r>
          <w:r>
            <w:rPr>
              <w:rFonts w:hint="eastAsia" w:ascii="仿宋_GB2312" w:eastAsia="仿宋_GB2312"/>
              <w:sz w:val="24"/>
              <w:szCs w:val="24"/>
              <w:u w:val="single"/>
            </w:rPr>
            <w:t>第九条 不可抗力</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_Toc25588108 \h </w:instrText>
          </w:r>
          <w:r>
            <w:rPr>
              <w:rFonts w:hint="eastAsia" w:ascii="仿宋_GB2312" w:eastAsia="仿宋_GB2312"/>
              <w:sz w:val="24"/>
              <w:szCs w:val="24"/>
            </w:rPr>
            <w:fldChar w:fldCharType="separate"/>
          </w:r>
          <w:r>
            <w:rPr>
              <w:rFonts w:ascii="仿宋_GB2312" w:eastAsia="仿宋_GB2312"/>
              <w:sz w:val="24"/>
              <w:szCs w:val="24"/>
            </w:rPr>
            <w:t>16</w:t>
          </w:r>
          <w:r>
            <w:rPr>
              <w:rFonts w:hint="eastAsia" w:ascii="仿宋_GB2312" w:eastAsia="仿宋_GB2312"/>
              <w:sz w:val="24"/>
              <w:szCs w:val="24"/>
            </w:rPr>
            <w:fldChar w:fldCharType="end"/>
          </w:r>
          <w:r>
            <w:rPr>
              <w:rFonts w:hint="eastAsia" w:ascii="仿宋_GB2312" w:eastAsia="仿宋_GB2312"/>
              <w:sz w:val="24"/>
              <w:szCs w:val="24"/>
            </w:rPr>
            <w:fldChar w:fldCharType="end"/>
          </w:r>
        </w:p>
        <w:p>
          <w:pPr>
            <w:tabs>
              <w:tab w:val="right" w:leader="dot" w:pos="9350"/>
            </w:tabs>
            <w:ind w:left="420" w:leftChars="200"/>
            <w:rPr>
              <w:rFonts w:ascii="仿宋_GB2312" w:eastAsia="仿宋_GB2312"/>
              <w:sz w:val="24"/>
              <w:szCs w:val="24"/>
            </w:rPr>
          </w:pPr>
          <w:r>
            <w:rPr>
              <w:sz w:val="24"/>
              <w:szCs w:val="24"/>
            </w:rPr>
            <w:fldChar w:fldCharType="begin"/>
          </w:r>
          <w:r>
            <w:rPr>
              <w:sz w:val="24"/>
              <w:szCs w:val="24"/>
            </w:rPr>
            <w:instrText xml:space="preserve"> HYPERLINK \l "_Toc25588109" </w:instrText>
          </w:r>
          <w:r>
            <w:rPr>
              <w:sz w:val="24"/>
              <w:szCs w:val="24"/>
            </w:rPr>
            <w:fldChar w:fldCharType="separate"/>
          </w:r>
          <w:r>
            <w:rPr>
              <w:rFonts w:hint="eastAsia" w:ascii="仿宋_GB2312" w:eastAsia="仿宋_GB2312"/>
              <w:sz w:val="24"/>
              <w:szCs w:val="24"/>
              <w:u w:val="single"/>
            </w:rPr>
            <w:t>第十条 通知条款</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_Toc25588109 \h </w:instrText>
          </w:r>
          <w:r>
            <w:rPr>
              <w:rFonts w:hint="eastAsia" w:ascii="仿宋_GB2312" w:eastAsia="仿宋_GB2312"/>
              <w:sz w:val="24"/>
              <w:szCs w:val="24"/>
            </w:rPr>
            <w:fldChar w:fldCharType="separate"/>
          </w:r>
          <w:r>
            <w:rPr>
              <w:rFonts w:ascii="仿宋_GB2312" w:eastAsia="仿宋_GB2312"/>
              <w:sz w:val="24"/>
              <w:szCs w:val="24"/>
            </w:rPr>
            <w:t>17</w:t>
          </w:r>
          <w:r>
            <w:rPr>
              <w:rFonts w:hint="eastAsia" w:ascii="仿宋_GB2312" w:eastAsia="仿宋_GB2312"/>
              <w:sz w:val="24"/>
              <w:szCs w:val="24"/>
            </w:rPr>
            <w:fldChar w:fldCharType="end"/>
          </w:r>
          <w:r>
            <w:rPr>
              <w:rFonts w:hint="eastAsia" w:ascii="仿宋_GB2312" w:eastAsia="仿宋_GB2312"/>
              <w:sz w:val="24"/>
              <w:szCs w:val="24"/>
            </w:rPr>
            <w:fldChar w:fldCharType="end"/>
          </w:r>
        </w:p>
        <w:p>
          <w:pPr>
            <w:tabs>
              <w:tab w:val="right" w:leader="dot" w:pos="9350"/>
            </w:tabs>
            <w:ind w:left="420" w:leftChars="200"/>
            <w:rPr>
              <w:rFonts w:ascii="仿宋_GB2312" w:eastAsia="仿宋_GB2312"/>
              <w:sz w:val="24"/>
              <w:szCs w:val="24"/>
            </w:rPr>
          </w:pPr>
          <w:r>
            <w:rPr>
              <w:sz w:val="24"/>
              <w:szCs w:val="24"/>
            </w:rPr>
            <w:fldChar w:fldCharType="begin"/>
          </w:r>
          <w:r>
            <w:rPr>
              <w:sz w:val="24"/>
              <w:szCs w:val="24"/>
            </w:rPr>
            <w:instrText xml:space="preserve"> HYPERLINK \l "_Toc25588110" </w:instrText>
          </w:r>
          <w:r>
            <w:rPr>
              <w:sz w:val="24"/>
              <w:szCs w:val="24"/>
            </w:rPr>
            <w:fldChar w:fldCharType="separate"/>
          </w:r>
          <w:r>
            <w:rPr>
              <w:rFonts w:hint="eastAsia" w:ascii="仿宋_GB2312" w:eastAsia="仿宋_GB2312"/>
              <w:sz w:val="24"/>
              <w:szCs w:val="24"/>
              <w:u w:val="single"/>
            </w:rPr>
            <w:t>第十一条 保密条款</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_Toc25588110 \h </w:instrText>
          </w:r>
          <w:r>
            <w:rPr>
              <w:rFonts w:hint="eastAsia" w:ascii="仿宋_GB2312" w:eastAsia="仿宋_GB2312"/>
              <w:sz w:val="24"/>
              <w:szCs w:val="24"/>
            </w:rPr>
            <w:fldChar w:fldCharType="separate"/>
          </w:r>
          <w:r>
            <w:rPr>
              <w:rFonts w:ascii="仿宋_GB2312" w:eastAsia="仿宋_GB2312"/>
              <w:sz w:val="24"/>
              <w:szCs w:val="24"/>
            </w:rPr>
            <w:t>18</w:t>
          </w:r>
          <w:r>
            <w:rPr>
              <w:rFonts w:hint="eastAsia" w:ascii="仿宋_GB2312" w:eastAsia="仿宋_GB2312"/>
              <w:sz w:val="24"/>
              <w:szCs w:val="24"/>
            </w:rPr>
            <w:fldChar w:fldCharType="end"/>
          </w:r>
          <w:r>
            <w:rPr>
              <w:rFonts w:hint="eastAsia" w:ascii="仿宋_GB2312" w:eastAsia="仿宋_GB2312"/>
              <w:sz w:val="24"/>
              <w:szCs w:val="24"/>
            </w:rPr>
            <w:fldChar w:fldCharType="end"/>
          </w:r>
        </w:p>
        <w:p>
          <w:pPr>
            <w:tabs>
              <w:tab w:val="right" w:leader="dot" w:pos="9350"/>
            </w:tabs>
            <w:ind w:left="420" w:leftChars="200"/>
            <w:rPr>
              <w:rFonts w:ascii="仿宋_GB2312" w:eastAsia="仿宋_GB2312"/>
              <w:sz w:val="24"/>
              <w:szCs w:val="24"/>
            </w:rPr>
          </w:pPr>
          <w:r>
            <w:rPr>
              <w:sz w:val="24"/>
              <w:szCs w:val="24"/>
            </w:rPr>
            <w:fldChar w:fldCharType="begin"/>
          </w:r>
          <w:r>
            <w:rPr>
              <w:sz w:val="24"/>
              <w:szCs w:val="24"/>
            </w:rPr>
            <w:instrText xml:space="preserve"> HYPERLINK \l "_Toc25588111" </w:instrText>
          </w:r>
          <w:r>
            <w:rPr>
              <w:sz w:val="24"/>
              <w:szCs w:val="24"/>
            </w:rPr>
            <w:fldChar w:fldCharType="separate"/>
          </w:r>
          <w:r>
            <w:rPr>
              <w:rFonts w:hint="eastAsia" w:ascii="仿宋_GB2312" w:eastAsia="仿宋_GB2312"/>
              <w:sz w:val="24"/>
              <w:szCs w:val="24"/>
              <w:u w:val="single"/>
            </w:rPr>
            <w:t>第十二条 合同争议的解决方式</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_Toc25588111 \h </w:instrText>
          </w:r>
          <w:r>
            <w:rPr>
              <w:rFonts w:hint="eastAsia" w:ascii="仿宋_GB2312" w:eastAsia="仿宋_GB2312"/>
              <w:sz w:val="24"/>
              <w:szCs w:val="24"/>
            </w:rPr>
            <w:fldChar w:fldCharType="separate"/>
          </w:r>
          <w:r>
            <w:rPr>
              <w:rFonts w:ascii="仿宋_GB2312" w:eastAsia="仿宋_GB2312"/>
              <w:sz w:val="24"/>
              <w:szCs w:val="24"/>
            </w:rPr>
            <w:t>18</w:t>
          </w:r>
          <w:r>
            <w:rPr>
              <w:rFonts w:hint="eastAsia" w:ascii="仿宋_GB2312" w:eastAsia="仿宋_GB2312"/>
              <w:sz w:val="24"/>
              <w:szCs w:val="24"/>
            </w:rPr>
            <w:fldChar w:fldCharType="end"/>
          </w:r>
          <w:r>
            <w:rPr>
              <w:rFonts w:hint="eastAsia" w:ascii="仿宋_GB2312" w:eastAsia="仿宋_GB2312"/>
              <w:sz w:val="24"/>
              <w:szCs w:val="24"/>
            </w:rPr>
            <w:fldChar w:fldCharType="end"/>
          </w:r>
        </w:p>
        <w:p>
          <w:pPr>
            <w:tabs>
              <w:tab w:val="right" w:leader="dot" w:pos="9350"/>
            </w:tabs>
            <w:ind w:left="420" w:leftChars="200"/>
            <w:rPr>
              <w:rFonts w:ascii="仿宋_GB2312" w:eastAsia="仿宋_GB2312"/>
              <w:sz w:val="24"/>
              <w:szCs w:val="24"/>
            </w:rPr>
          </w:pPr>
          <w:r>
            <w:rPr>
              <w:sz w:val="24"/>
              <w:szCs w:val="24"/>
            </w:rPr>
            <w:fldChar w:fldCharType="begin"/>
          </w:r>
          <w:r>
            <w:rPr>
              <w:sz w:val="24"/>
              <w:szCs w:val="24"/>
            </w:rPr>
            <w:instrText xml:space="preserve"> HYPERLINK \l "_Toc25588112" </w:instrText>
          </w:r>
          <w:r>
            <w:rPr>
              <w:sz w:val="24"/>
              <w:szCs w:val="24"/>
            </w:rPr>
            <w:fldChar w:fldCharType="separate"/>
          </w:r>
          <w:r>
            <w:rPr>
              <w:rFonts w:hint="eastAsia" w:ascii="仿宋_GB2312" w:eastAsia="仿宋_GB2312"/>
              <w:sz w:val="24"/>
              <w:szCs w:val="24"/>
              <w:u w:val="single"/>
            </w:rPr>
            <w:t>第十三条 合同的变更和解除</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_Toc25588112 \h </w:instrText>
          </w:r>
          <w:r>
            <w:rPr>
              <w:rFonts w:hint="eastAsia" w:ascii="仿宋_GB2312" w:eastAsia="仿宋_GB2312"/>
              <w:sz w:val="24"/>
              <w:szCs w:val="24"/>
            </w:rPr>
            <w:fldChar w:fldCharType="separate"/>
          </w:r>
          <w:r>
            <w:rPr>
              <w:rFonts w:ascii="仿宋_GB2312" w:eastAsia="仿宋_GB2312"/>
              <w:sz w:val="24"/>
              <w:szCs w:val="24"/>
            </w:rPr>
            <w:t>18</w:t>
          </w:r>
          <w:r>
            <w:rPr>
              <w:rFonts w:hint="eastAsia" w:ascii="仿宋_GB2312" w:eastAsia="仿宋_GB2312"/>
              <w:sz w:val="24"/>
              <w:szCs w:val="24"/>
            </w:rPr>
            <w:fldChar w:fldCharType="end"/>
          </w:r>
          <w:r>
            <w:rPr>
              <w:rFonts w:hint="eastAsia" w:ascii="仿宋_GB2312" w:eastAsia="仿宋_GB2312"/>
              <w:sz w:val="24"/>
              <w:szCs w:val="24"/>
            </w:rPr>
            <w:fldChar w:fldCharType="end"/>
          </w:r>
        </w:p>
        <w:p>
          <w:pPr>
            <w:tabs>
              <w:tab w:val="right" w:leader="dot" w:pos="9350"/>
            </w:tabs>
            <w:ind w:left="420" w:leftChars="200"/>
            <w:rPr>
              <w:rFonts w:ascii="仿宋_GB2312" w:eastAsia="仿宋_GB2312"/>
              <w:sz w:val="24"/>
              <w:szCs w:val="24"/>
            </w:rPr>
          </w:pPr>
          <w:r>
            <w:rPr>
              <w:sz w:val="24"/>
              <w:szCs w:val="24"/>
            </w:rPr>
            <w:fldChar w:fldCharType="begin"/>
          </w:r>
          <w:r>
            <w:rPr>
              <w:sz w:val="24"/>
              <w:szCs w:val="24"/>
            </w:rPr>
            <w:instrText xml:space="preserve"> HYPERLINK \l "_Toc25588113" </w:instrText>
          </w:r>
          <w:r>
            <w:rPr>
              <w:sz w:val="24"/>
              <w:szCs w:val="24"/>
            </w:rPr>
            <w:fldChar w:fldCharType="separate"/>
          </w:r>
          <w:r>
            <w:rPr>
              <w:rFonts w:hint="eastAsia" w:ascii="仿宋_GB2312" w:eastAsia="仿宋_GB2312"/>
              <w:sz w:val="24"/>
              <w:szCs w:val="24"/>
              <w:u w:val="single"/>
            </w:rPr>
            <w:t>第十四条 合同生效及其他</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_Toc25588113 \h </w:instrText>
          </w:r>
          <w:r>
            <w:rPr>
              <w:rFonts w:hint="eastAsia" w:ascii="仿宋_GB2312" w:eastAsia="仿宋_GB2312"/>
              <w:sz w:val="24"/>
              <w:szCs w:val="24"/>
            </w:rPr>
            <w:fldChar w:fldCharType="separate"/>
          </w:r>
          <w:r>
            <w:rPr>
              <w:rFonts w:ascii="仿宋_GB2312" w:eastAsia="仿宋_GB2312"/>
              <w:sz w:val="24"/>
              <w:szCs w:val="24"/>
            </w:rPr>
            <w:t>18</w:t>
          </w:r>
          <w:r>
            <w:rPr>
              <w:rFonts w:hint="eastAsia" w:ascii="仿宋_GB2312" w:eastAsia="仿宋_GB2312"/>
              <w:sz w:val="24"/>
              <w:szCs w:val="24"/>
            </w:rPr>
            <w:fldChar w:fldCharType="end"/>
          </w:r>
          <w:r>
            <w:rPr>
              <w:rFonts w:hint="eastAsia" w:ascii="仿宋_GB2312" w:eastAsia="仿宋_GB2312"/>
              <w:sz w:val="24"/>
              <w:szCs w:val="24"/>
            </w:rPr>
            <w:fldChar w:fldCharType="end"/>
          </w:r>
        </w:p>
        <w:p>
          <w:pPr>
            <w:rPr>
              <w:szCs w:val="21"/>
            </w:rPr>
          </w:pPr>
          <w:r>
            <w:rPr>
              <w:rFonts w:hint="eastAsia" w:ascii="仿宋_GB2312" w:eastAsia="仿宋_GB2312"/>
              <w:b/>
              <w:bCs/>
              <w:sz w:val="24"/>
              <w:szCs w:val="24"/>
              <w:lang w:val="zh-CN"/>
            </w:rPr>
            <w:fldChar w:fldCharType="end"/>
          </w:r>
        </w:p>
      </w:sdtContent>
    </w:sdt>
    <w:p>
      <w:pPr>
        <w:ind w:firstLine="422" w:firstLineChars="200"/>
        <w:rPr>
          <w:rFonts w:cs="宋体"/>
          <w:b/>
          <w:bCs/>
          <w:szCs w:val="21"/>
        </w:rPr>
      </w:pPr>
    </w:p>
    <w:p>
      <w:pPr>
        <w:ind w:firstLine="422" w:firstLineChars="200"/>
        <w:rPr>
          <w:rFonts w:cs="宋体"/>
          <w:b/>
          <w:bCs/>
          <w:szCs w:val="21"/>
        </w:rPr>
        <w:sectPr>
          <w:footerReference r:id="rId3" w:type="default"/>
          <w:pgSz w:w="12240" w:h="15840"/>
          <w:pgMar w:top="1440" w:right="1440" w:bottom="1440" w:left="1440" w:header="720" w:footer="720" w:gutter="0"/>
          <w:cols w:space="720" w:num="1"/>
        </w:sectPr>
      </w:pPr>
    </w:p>
    <w:p>
      <w:pPr>
        <w:ind w:firstLine="422" w:firstLineChars="200"/>
        <w:rPr>
          <w:rFonts w:cs="宋体"/>
          <w:b/>
          <w:bCs/>
          <w:szCs w:val="21"/>
        </w:rPr>
      </w:pP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甲方（买方）：重庆机场集团有限公司</w:t>
      </w: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统一信用代码：91500000756209971P</w:t>
      </w: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送达地址：</w:t>
      </w: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 xml:space="preserve">联系人： </w:t>
      </w: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联系电话：</w:t>
      </w: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邮箱：401120</w:t>
      </w: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 xml:space="preserve">乙方（卖方）： </w:t>
      </w: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统一信用代码：</w:t>
      </w: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送达地址：</w:t>
      </w: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 xml:space="preserve">联系人： </w:t>
      </w: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联系电话：</w:t>
      </w: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邮箱：</w:t>
      </w: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 xml:space="preserve">签订地点： </w:t>
      </w: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签订时间：</w:t>
      </w:r>
      <w:r>
        <w:rPr>
          <w:rFonts w:hint="eastAsia" w:ascii="仿宋_GB2312" w:hAnsi="仿宋" w:eastAsia="仿宋_GB2312" w:cs="宋体"/>
          <w:b/>
          <w:bCs/>
          <w:sz w:val="30"/>
          <w:szCs w:val="30"/>
          <w:u w:val="single"/>
        </w:rPr>
        <w:t xml:space="preserve">    </w:t>
      </w:r>
      <w:r>
        <w:rPr>
          <w:rFonts w:hint="eastAsia" w:ascii="仿宋_GB2312" w:hAnsi="仿宋" w:eastAsia="仿宋_GB2312" w:cs="宋体"/>
          <w:b/>
          <w:bCs/>
          <w:sz w:val="30"/>
          <w:szCs w:val="30"/>
        </w:rPr>
        <w:t>年</w:t>
      </w:r>
      <w:r>
        <w:rPr>
          <w:rFonts w:hint="eastAsia" w:ascii="仿宋_GB2312" w:hAnsi="仿宋" w:eastAsia="仿宋_GB2312" w:cs="宋体"/>
          <w:b/>
          <w:bCs/>
          <w:sz w:val="30"/>
          <w:szCs w:val="30"/>
          <w:u w:val="single"/>
        </w:rPr>
        <w:t xml:space="preserve">  </w:t>
      </w:r>
      <w:r>
        <w:rPr>
          <w:rFonts w:hint="eastAsia" w:ascii="仿宋_GB2312" w:hAnsi="仿宋" w:eastAsia="仿宋_GB2312" w:cs="宋体"/>
          <w:b/>
          <w:bCs/>
          <w:sz w:val="30"/>
          <w:szCs w:val="30"/>
        </w:rPr>
        <w:t>月</w:t>
      </w:r>
      <w:r>
        <w:rPr>
          <w:rFonts w:hint="eastAsia" w:ascii="仿宋_GB2312" w:hAnsi="仿宋" w:eastAsia="仿宋_GB2312" w:cs="宋体"/>
          <w:b/>
          <w:bCs/>
          <w:sz w:val="30"/>
          <w:szCs w:val="30"/>
          <w:u w:val="single"/>
        </w:rPr>
        <w:t xml:space="preserve">  </w:t>
      </w:r>
      <w:r>
        <w:rPr>
          <w:rFonts w:hint="eastAsia" w:ascii="仿宋_GB2312" w:hAnsi="仿宋" w:eastAsia="仿宋_GB2312" w:cs="宋体"/>
          <w:b/>
          <w:bCs/>
          <w:sz w:val="30"/>
          <w:szCs w:val="30"/>
        </w:rPr>
        <w:t>日</w:t>
      </w:r>
    </w:p>
    <w:p>
      <w:pPr>
        <w:spacing w:line="360" w:lineRule="auto"/>
        <w:ind w:firstLine="600" w:firstLineChars="200"/>
        <w:rPr>
          <w:rFonts w:ascii="仿宋_GB2312" w:hAnsi="仿宋" w:eastAsia="仿宋_GB2312" w:cs="宋体"/>
          <w:sz w:val="30"/>
          <w:szCs w:val="30"/>
        </w:rPr>
      </w:pPr>
    </w:p>
    <w:p>
      <w:pPr>
        <w:spacing w:line="360" w:lineRule="auto"/>
        <w:ind w:firstLine="600" w:firstLineChars="200"/>
        <w:rPr>
          <w:rFonts w:ascii="仿宋_GB2312" w:hAnsi="仿宋_GB2312" w:eastAsia="仿宋_GB2312" w:cs="宋体"/>
          <w:sz w:val="30"/>
          <w:szCs w:val="30"/>
        </w:rPr>
      </w:pPr>
      <w:r>
        <w:rPr>
          <w:rFonts w:hint="eastAsia" w:ascii="仿宋_GB2312" w:hAnsi="仿宋_GB2312" w:eastAsia="仿宋_GB2312" w:cs="宋体"/>
          <w:sz w:val="30"/>
          <w:szCs w:val="30"/>
        </w:rPr>
        <w:t>甲乙双方依照《中华人民共和国</w:t>
      </w:r>
      <w:r>
        <w:rPr>
          <w:rFonts w:hint="eastAsia" w:ascii="仿宋_GB2312" w:hAnsi="仿宋_GB2312" w:eastAsia="仿宋_GB2312" w:cs="宋体"/>
          <w:sz w:val="30"/>
          <w:szCs w:val="30"/>
          <w:lang w:val="en-US" w:eastAsia="zh-CN"/>
        </w:rPr>
        <w:t>民法典</w:t>
      </w:r>
      <w:r>
        <w:rPr>
          <w:rFonts w:hint="eastAsia" w:ascii="仿宋_GB2312" w:hAnsi="仿宋_GB2312" w:eastAsia="仿宋_GB2312" w:cs="宋体"/>
          <w:sz w:val="30"/>
          <w:szCs w:val="30"/>
        </w:rPr>
        <w:t>》及相关法律、法规规定，本着平等、自愿的原则，经友好协商，现就甲方向乙方购买 负载均衡设备（并安装，调试）</w:t>
      </w:r>
      <w:r>
        <w:rPr>
          <w:rFonts w:ascii="仿宋_GB2312" w:hAnsi="仿宋_GB2312" w:eastAsia="仿宋_GB2312" w:cs="宋体"/>
          <w:sz w:val="30"/>
          <w:szCs w:val="30"/>
        </w:rPr>
        <w:t>事宜达成一致，签订本协议。：</w:t>
      </w:r>
    </w:p>
    <w:p>
      <w:pPr>
        <w:spacing w:before="120" w:after="120" w:line="360" w:lineRule="auto"/>
        <w:ind w:firstLine="600" w:firstLineChars="200"/>
        <w:outlineLvl w:val="1"/>
        <w:rPr>
          <w:rFonts w:ascii="仿宋_GB2312" w:hAnsi="仿宋" w:eastAsia="黑体" w:cs="宋体"/>
          <w:sz w:val="30"/>
          <w:szCs w:val="30"/>
        </w:rPr>
      </w:pPr>
      <w:bookmarkStart w:id="3" w:name="_Toc25588100"/>
      <w:r>
        <w:rPr>
          <w:rFonts w:ascii="仿宋_GB2312" w:hAnsi="仿宋" w:eastAsia="黑体" w:cs="宋体"/>
          <w:sz w:val="30"/>
          <w:szCs w:val="30"/>
        </w:rPr>
        <w:t>第</w:t>
      </w:r>
      <w:r>
        <w:rPr>
          <w:rFonts w:hint="eastAsia" w:ascii="仿宋_GB2312" w:hAnsi="仿宋" w:eastAsia="黑体" w:cs="宋体"/>
          <w:sz w:val="30"/>
          <w:szCs w:val="30"/>
        </w:rPr>
        <w:t>一</w:t>
      </w:r>
      <w:r>
        <w:rPr>
          <w:rFonts w:ascii="仿宋_GB2312" w:hAnsi="仿宋" w:eastAsia="黑体" w:cs="宋体"/>
          <w:sz w:val="30"/>
          <w:szCs w:val="30"/>
        </w:rPr>
        <w:t>条 货</w:t>
      </w:r>
      <w:r>
        <w:rPr>
          <w:rFonts w:hint="eastAsia" w:ascii="仿宋_GB2312" w:hAnsi="仿宋" w:eastAsia="黑体" w:cs="宋体"/>
          <w:sz w:val="30"/>
          <w:szCs w:val="30"/>
        </w:rPr>
        <w:t>物</w:t>
      </w:r>
      <w:r>
        <w:rPr>
          <w:rFonts w:ascii="仿宋_GB2312" w:hAnsi="仿宋" w:eastAsia="黑体" w:cs="宋体"/>
          <w:sz w:val="30"/>
          <w:szCs w:val="30"/>
        </w:rPr>
        <w:t>名称、数量及规格</w:t>
      </w:r>
      <w:bookmarkEnd w:id="3"/>
    </w:p>
    <w:p>
      <w:pPr>
        <w:spacing w:line="360" w:lineRule="auto"/>
        <w:ind w:firstLine="600" w:firstLineChars="200"/>
        <w:rPr>
          <w:rFonts w:ascii="仿宋_GB2312" w:hAnsi="仿宋_GB2312" w:eastAsia="仿宋_GB2312" w:cs="宋体"/>
          <w:sz w:val="30"/>
          <w:szCs w:val="30"/>
        </w:rPr>
      </w:pPr>
      <w:r>
        <w:rPr>
          <w:rFonts w:hint="eastAsia" w:ascii="仿宋_GB2312" w:hAnsi="仿宋" w:eastAsia="仿宋_GB2312" w:cs="宋体"/>
          <w:sz w:val="30"/>
          <w:szCs w:val="30"/>
        </w:rPr>
        <w:t>1</w:t>
      </w:r>
      <w:r>
        <w:rPr>
          <w:rFonts w:ascii="仿宋_GB2312" w:hAnsi="仿宋" w:eastAsia="仿宋_GB2312" w:cs="宋体"/>
          <w:sz w:val="30"/>
          <w:szCs w:val="30"/>
        </w:rPr>
        <w:t>.1本合同</w:t>
      </w:r>
      <w:r>
        <w:rPr>
          <w:rFonts w:hint="eastAsia" w:ascii="仿宋_GB2312" w:hAnsi="仿宋" w:eastAsia="仿宋_GB2312" w:cs="宋体"/>
          <w:sz w:val="30"/>
          <w:szCs w:val="30"/>
        </w:rPr>
        <w:t>项下乙方所供</w:t>
      </w:r>
      <w:r>
        <w:rPr>
          <w:rFonts w:ascii="仿宋_GB2312" w:hAnsi="仿宋" w:eastAsia="仿宋_GB2312" w:cs="宋体"/>
          <w:sz w:val="30"/>
          <w:szCs w:val="30"/>
        </w:rPr>
        <w:t>货物</w:t>
      </w:r>
      <w:r>
        <w:rPr>
          <w:rFonts w:hint="eastAsia" w:ascii="仿宋_GB2312" w:hAnsi="仿宋" w:eastAsia="仿宋_GB2312" w:cs="宋体"/>
          <w:sz w:val="30"/>
          <w:szCs w:val="30"/>
        </w:rPr>
        <w:t>情况</w:t>
      </w:r>
      <w:r>
        <w:rPr>
          <w:rFonts w:ascii="仿宋_GB2312" w:hAnsi="仿宋" w:eastAsia="仿宋_GB2312" w:cs="宋体"/>
          <w:sz w:val="30"/>
          <w:szCs w:val="30"/>
        </w:rPr>
        <w:t>如下：</w:t>
      </w:r>
    </w:p>
    <w:tbl>
      <w:tblPr>
        <w:tblStyle w:val="16"/>
        <w:tblW w:w="7072"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943"/>
        <w:gridCol w:w="1347"/>
        <w:gridCol w:w="1132"/>
        <w:gridCol w:w="1256"/>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133" w:type="dxa"/>
            <w:vAlign w:val="center"/>
          </w:tcPr>
          <w:p>
            <w:pPr>
              <w:spacing w:line="560" w:lineRule="exact"/>
              <w:jc w:val="center"/>
              <w:rPr>
                <w:rFonts w:ascii="仿宋_GB2312" w:hAnsi="仿宋_GB2312" w:eastAsia="仿宋_GB2312" w:cs="宋体"/>
                <w:kern w:val="0"/>
                <w:sz w:val="30"/>
                <w:szCs w:val="30"/>
              </w:rPr>
            </w:pPr>
            <w:r>
              <w:rPr>
                <w:rFonts w:hint="eastAsia" w:ascii="仿宋_GB2312" w:hAnsi="仿宋_GB2312" w:eastAsia="仿宋_GB2312" w:cs="宋体"/>
                <w:kern w:val="0"/>
                <w:sz w:val="30"/>
                <w:szCs w:val="30"/>
              </w:rPr>
              <w:t>名  称</w:t>
            </w:r>
          </w:p>
        </w:tc>
        <w:tc>
          <w:tcPr>
            <w:tcW w:w="943" w:type="dxa"/>
            <w:vAlign w:val="center"/>
          </w:tcPr>
          <w:p>
            <w:pPr>
              <w:spacing w:line="560" w:lineRule="exact"/>
              <w:jc w:val="center"/>
              <w:rPr>
                <w:rFonts w:ascii="仿宋_GB2312" w:hAnsi="仿宋_GB2312" w:eastAsia="仿宋_GB2312" w:cs="宋体"/>
                <w:kern w:val="0"/>
                <w:sz w:val="30"/>
                <w:szCs w:val="30"/>
              </w:rPr>
            </w:pPr>
            <w:r>
              <w:rPr>
                <w:rFonts w:hint="eastAsia" w:ascii="仿宋_GB2312" w:hAnsi="仿宋_GB2312" w:eastAsia="仿宋_GB2312" w:cs="宋体"/>
                <w:kern w:val="0"/>
                <w:sz w:val="30"/>
                <w:szCs w:val="30"/>
              </w:rPr>
              <w:t>品  牌</w:t>
            </w:r>
          </w:p>
        </w:tc>
        <w:tc>
          <w:tcPr>
            <w:tcW w:w="1347" w:type="dxa"/>
            <w:vAlign w:val="center"/>
          </w:tcPr>
          <w:p>
            <w:pPr>
              <w:spacing w:line="560" w:lineRule="exact"/>
              <w:jc w:val="center"/>
              <w:rPr>
                <w:rFonts w:ascii="仿宋_GB2312" w:hAnsi="仿宋_GB2312" w:eastAsia="仿宋_GB2312" w:cs="宋体"/>
                <w:kern w:val="0"/>
                <w:sz w:val="30"/>
                <w:szCs w:val="30"/>
              </w:rPr>
            </w:pPr>
            <w:r>
              <w:rPr>
                <w:rFonts w:hint="eastAsia" w:ascii="仿宋_GB2312" w:hAnsi="仿宋_GB2312" w:eastAsia="仿宋_GB2312" w:cs="宋体"/>
                <w:kern w:val="0"/>
                <w:sz w:val="30"/>
                <w:szCs w:val="30"/>
              </w:rPr>
              <w:t>规格（型号）</w:t>
            </w:r>
          </w:p>
        </w:tc>
        <w:tc>
          <w:tcPr>
            <w:tcW w:w="1132" w:type="dxa"/>
            <w:vAlign w:val="center"/>
          </w:tcPr>
          <w:p>
            <w:pPr>
              <w:spacing w:line="560" w:lineRule="exact"/>
              <w:jc w:val="center"/>
              <w:rPr>
                <w:rFonts w:ascii="仿宋_GB2312" w:hAnsi="仿宋_GB2312" w:eastAsia="仿宋_GB2312" w:cs="宋体"/>
                <w:kern w:val="0"/>
                <w:sz w:val="30"/>
                <w:szCs w:val="30"/>
              </w:rPr>
            </w:pPr>
            <w:r>
              <w:rPr>
                <w:rFonts w:hint="eastAsia" w:ascii="仿宋_GB2312" w:hAnsi="仿宋_GB2312" w:eastAsia="仿宋_GB2312" w:cs="宋体"/>
                <w:kern w:val="0"/>
                <w:sz w:val="30"/>
                <w:szCs w:val="30"/>
              </w:rPr>
              <w:t>数  量</w:t>
            </w:r>
          </w:p>
        </w:tc>
        <w:tc>
          <w:tcPr>
            <w:tcW w:w="1256" w:type="dxa"/>
            <w:vAlign w:val="center"/>
          </w:tcPr>
          <w:p>
            <w:pPr>
              <w:spacing w:line="360" w:lineRule="exact"/>
              <w:jc w:val="center"/>
              <w:rPr>
                <w:rFonts w:ascii="仿宋_GB2312" w:hAnsi="仿宋_GB2312" w:eastAsia="仿宋_GB2312" w:cs="宋体"/>
                <w:kern w:val="0"/>
                <w:sz w:val="30"/>
                <w:szCs w:val="30"/>
              </w:rPr>
            </w:pPr>
            <w:r>
              <w:rPr>
                <w:rFonts w:hint="eastAsia" w:ascii="仿宋_GB2312" w:hAnsi="仿宋_GB2312" w:eastAsia="仿宋_GB2312" w:cs="宋体"/>
                <w:kern w:val="0"/>
                <w:sz w:val="30"/>
                <w:szCs w:val="30"/>
              </w:rPr>
              <w:t>单价（含</w:t>
            </w:r>
            <w:r>
              <w:rPr>
                <w:rFonts w:hint="eastAsia" w:ascii="方正仿宋_GBK" w:hAnsi="方正仿宋_GBK" w:eastAsia="方正仿宋_GBK" w:cs="方正仿宋_GBK"/>
                <w:kern w:val="0"/>
                <w:sz w:val="30"/>
                <w:szCs w:val="30"/>
              </w:rPr>
              <w:t>增值税</w:t>
            </w:r>
            <w:r>
              <w:rPr>
                <w:rFonts w:hint="eastAsia" w:ascii="仿宋_GB2312" w:hAnsi="仿宋_GB2312" w:eastAsia="仿宋_GB2312" w:cs="宋体"/>
                <w:kern w:val="0"/>
                <w:sz w:val="30"/>
                <w:szCs w:val="30"/>
              </w:rPr>
              <w:t>）</w:t>
            </w:r>
          </w:p>
        </w:tc>
        <w:tc>
          <w:tcPr>
            <w:tcW w:w="1261" w:type="dxa"/>
            <w:vAlign w:val="center"/>
          </w:tcPr>
          <w:p>
            <w:pPr>
              <w:spacing w:line="360" w:lineRule="exact"/>
              <w:jc w:val="center"/>
              <w:rPr>
                <w:rFonts w:ascii="仿宋_GB2312" w:hAnsi="仿宋_GB2312" w:eastAsia="仿宋_GB2312" w:cs="宋体"/>
                <w:kern w:val="0"/>
                <w:sz w:val="30"/>
                <w:szCs w:val="30"/>
              </w:rPr>
            </w:pPr>
            <w:r>
              <w:rPr>
                <w:rFonts w:hint="eastAsia" w:ascii="仿宋_GB2312" w:hAnsi="仿宋_GB2312" w:eastAsia="仿宋_GB2312" w:cs="宋体"/>
                <w:kern w:val="0"/>
                <w:sz w:val="30"/>
                <w:szCs w:val="30"/>
              </w:rPr>
              <w:t>总价（含</w:t>
            </w:r>
            <w:r>
              <w:rPr>
                <w:rFonts w:hint="eastAsia" w:ascii="方正仿宋_GBK" w:hAnsi="方正仿宋_GBK" w:eastAsia="方正仿宋_GBK" w:cs="方正仿宋_GBK"/>
                <w:kern w:val="0"/>
                <w:sz w:val="30"/>
                <w:szCs w:val="30"/>
              </w:rPr>
              <w:t>增值税</w:t>
            </w:r>
            <w:r>
              <w:rPr>
                <w:rFonts w:hint="eastAsia" w:ascii="仿宋_GB2312" w:hAnsi="仿宋_GB2312" w:eastAsia="仿宋_GB2312" w:cs="宋体"/>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133" w:type="dxa"/>
            <w:vAlign w:val="center"/>
          </w:tcPr>
          <w:p>
            <w:pPr>
              <w:spacing w:line="560" w:lineRule="exact"/>
              <w:jc w:val="center"/>
              <w:rPr>
                <w:rFonts w:ascii="仿宋_GB2312" w:hAnsi="仿宋_GB2312" w:eastAsia="仿宋_GB2312" w:cs="宋体"/>
                <w:kern w:val="0"/>
                <w:sz w:val="30"/>
                <w:szCs w:val="30"/>
              </w:rPr>
            </w:pPr>
          </w:p>
        </w:tc>
        <w:tc>
          <w:tcPr>
            <w:tcW w:w="943" w:type="dxa"/>
            <w:vAlign w:val="center"/>
          </w:tcPr>
          <w:p>
            <w:pPr>
              <w:spacing w:line="560" w:lineRule="exact"/>
              <w:jc w:val="center"/>
              <w:rPr>
                <w:rFonts w:ascii="仿宋_GB2312" w:hAnsi="仿宋_GB2312" w:eastAsia="仿宋_GB2312" w:cs="宋体"/>
                <w:kern w:val="0"/>
                <w:sz w:val="30"/>
                <w:szCs w:val="30"/>
              </w:rPr>
            </w:pPr>
          </w:p>
        </w:tc>
        <w:tc>
          <w:tcPr>
            <w:tcW w:w="1347" w:type="dxa"/>
            <w:vAlign w:val="center"/>
          </w:tcPr>
          <w:p>
            <w:pPr>
              <w:spacing w:line="560" w:lineRule="exact"/>
              <w:jc w:val="center"/>
              <w:rPr>
                <w:rFonts w:ascii="仿宋_GB2312" w:hAnsi="仿宋_GB2312" w:eastAsia="仿宋_GB2312" w:cs="宋体"/>
                <w:kern w:val="0"/>
                <w:sz w:val="30"/>
                <w:szCs w:val="30"/>
              </w:rPr>
            </w:pPr>
          </w:p>
        </w:tc>
        <w:tc>
          <w:tcPr>
            <w:tcW w:w="1132" w:type="dxa"/>
            <w:vAlign w:val="center"/>
          </w:tcPr>
          <w:p>
            <w:pPr>
              <w:spacing w:line="560" w:lineRule="exact"/>
              <w:jc w:val="center"/>
              <w:rPr>
                <w:rFonts w:ascii="仿宋_GB2312" w:hAnsi="仿宋_GB2312" w:eastAsia="仿宋_GB2312" w:cs="宋体"/>
                <w:kern w:val="0"/>
                <w:sz w:val="30"/>
                <w:szCs w:val="30"/>
              </w:rPr>
            </w:pPr>
          </w:p>
        </w:tc>
        <w:tc>
          <w:tcPr>
            <w:tcW w:w="1256" w:type="dxa"/>
            <w:vAlign w:val="center"/>
          </w:tcPr>
          <w:p>
            <w:pPr>
              <w:spacing w:line="560" w:lineRule="exact"/>
              <w:jc w:val="center"/>
              <w:rPr>
                <w:rFonts w:ascii="仿宋_GB2312" w:hAnsi="仿宋_GB2312" w:eastAsia="仿宋_GB2312" w:cs="宋体"/>
                <w:kern w:val="0"/>
                <w:sz w:val="30"/>
                <w:szCs w:val="30"/>
              </w:rPr>
            </w:pPr>
          </w:p>
        </w:tc>
        <w:tc>
          <w:tcPr>
            <w:tcW w:w="1261" w:type="dxa"/>
            <w:vAlign w:val="center"/>
          </w:tcPr>
          <w:p>
            <w:pPr>
              <w:spacing w:line="560" w:lineRule="exact"/>
              <w:jc w:val="center"/>
              <w:rPr>
                <w:rFonts w:ascii="仿宋_GB2312" w:hAnsi="仿宋_GB2312" w:eastAsia="仿宋_GB2312"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133" w:type="dxa"/>
            <w:vAlign w:val="center"/>
          </w:tcPr>
          <w:p>
            <w:pPr>
              <w:spacing w:line="560" w:lineRule="exact"/>
              <w:jc w:val="center"/>
              <w:rPr>
                <w:rFonts w:ascii="仿宋_GB2312" w:hAnsi="仿宋_GB2312" w:eastAsia="仿宋_GB2312" w:cs="宋体"/>
                <w:kern w:val="0"/>
                <w:sz w:val="30"/>
                <w:szCs w:val="30"/>
              </w:rPr>
            </w:pPr>
          </w:p>
        </w:tc>
        <w:tc>
          <w:tcPr>
            <w:tcW w:w="943" w:type="dxa"/>
            <w:vAlign w:val="center"/>
          </w:tcPr>
          <w:p>
            <w:pPr>
              <w:spacing w:line="560" w:lineRule="exact"/>
              <w:jc w:val="center"/>
              <w:rPr>
                <w:rFonts w:ascii="仿宋_GB2312" w:hAnsi="仿宋_GB2312" w:eastAsia="仿宋_GB2312" w:cs="宋体"/>
                <w:kern w:val="0"/>
                <w:sz w:val="30"/>
                <w:szCs w:val="30"/>
              </w:rPr>
            </w:pPr>
          </w:p>
        </w:tc>
        <w:tc>
          <w:tcPr>
            <w:tcW w:w="1347" w:type="dxa"/>
            <w:vAlign w:val="center"/>
          </w:tcPr>
          <w:p>
            <w:pPr>
              <w:spacing w:line="560" w:lineRule="exact"/>
              <w:jc w:val="center"/>
              <w:rPr>
                <w:rFonts w:ascii="仿宋_GB2312" w:hAnsi="仿宋_GB2312" w:eastAsia="仿宋_GB2312" w:cs="宋体"/>
                <w:kern w:val="0"/>
                <w:sz w:val="30"/>
                <w:szCs w:val="30"/>
              </w:rPr>
            </w:pPr>
          </w:p>
        </w:tc>
        <w:tc>
          <w:tcPr>
            <w:tcW w:w="1132" w:type="dxa"/>
            <w:vAlign w:val="center"/>
          </w:tcPr>
          <w:p>
            <w:pPr>
              <w:spacing w:line="560" w:lineRule="exact"/>
              <w:jc w:val="center"/>
              <w:rPr>
                <w:rFonts w:ascii="仿宋_GB2312" w:hAnsi="仿宋_GB2312" w:eastAsia="仿宋_GB2312" w:cs="宋体"/>
                <w:kern w:val="0"/>
                <w:sz w:val="30"/>
                <w:szCs w:val="30"/>
              </w:rPr>
            </w:pPr>
          </w:p>
        </w:tc>
        <w:tc>
          <w:tcPr>
            <w:tcW w:w="1256" w:type="dxa"/>
            <w:vAlign w:val="center"/>
          </w:tcPr>
          <w:p>
            <w:pPr>
              <w:spacing w:line="560" w:lineRule="exact"/>
              <w:jc w:val="center"/>
              <w:rPr>
                <w:rFonts w:ascii="仿宋_GB2312" w:hAnsi="仿宋_GB2312" w:eastAsia="仿宋_GB2312" w:cs="宋体"/>
                <w:kern w:val="0"/>
                <w:sz w:val="30"/>
                <w:szCs w:val="30"/>
              </w:rPr>
            </w:pPr>
          </w:p>
        </w:tc>
        <w:tc>
          <w:tcPr>
            <w:tcW w:w="1261" w:type="dxa"/>
            <w:vAlign w:val="center"/>
          </w:tcPr>
          <w:p>
            <w:pPr>
              <w:spacing w:line="560" w:lineRule="exact"/>
              <w:jc w:val="center"/>
              <w:rPr>
                <w:rFonts w:ascii="仿宋_GB2312" w:hAnsi="仿宋_GB2312" w:eastAsia="仿宋_GB2312"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133" w:type="dxa"/>
            <w:vAlign w:val="center"/>
          </w:tcPr>
          <w:p>
            <w:pPr>
              <w:spacing w:line="560" w:lineRule="exact"/>
              <w:jc w:val="center"/>
              <w:rPr>
                <w:rFonts w:ascii="仿宋_GB2312" w:hAnsi="仿宋_GB2312" w:eastAsia="仿宋_GB2312" w:cs="宋体"/>
                <w:kern w:val="0"/>
                <w:sz w:val="30"/>
                <w:szCs w:val="30"/>
              </w:rPr>
            </w:pPr>
          </w:p>
        </w:tc>
        <w:tc>
          <w:tcPr>
            <w:tcW w:w="943" w:type="dxa"/>
            <w:vAlign w:val="center"/>
          </w:tcPr>
          <w:p>
            <w:pPr>
              <w:spacing w:line="560" w:lineRule="exact"/>
              <w:jc w:val="center"/>
              <w:rPr>
                <w:rFonts w:ascii="仿宋_GB2312" w:hAnsi="仿宋_GB2312" w:eastAsia="仿宋_GB2312" w:cs="宋体"/>
                <w:kern w:val="0"/>
                <w:sz w:val="30"/>
                <w:szCs w:val="30"/>
              </w:rPr>
            </w:pPr>
          </w:p>
        </w:tc>
        <w:tc>
          <w:tcPr>
            <w:tcW w:w="1347" w:type="dxa"/>
            <w:vAlign w:val="center"/>
          </w:tcPr>
          <w:p>
            <w:pPr>
              <w:spacing w:line="560" w:lineRule="exact"/>
              <w:jc w:val="center"/>
              <w:rPr>
                <w:rFonts w:ascii="仿宋_GB2312" w:hAnsi="仿宋_GB2312" w:eastAsia="仿宋_GB2312" w:cs="宋体"/>
                <w:kern w:val="0"/>
                <w:sz w:val="30"/>
                <w:szCs w:val="30"/>
              </w:rPr>
            </w:pPr>
          </w:p>
        </w:tc>
        <w:tc>
          <w:tcPr>
            <w:tcW w:w="1132" w:type="dxa"/>
            <w:vAlign w:val="center"/>
          </w:tcPr>
          <w:p>
            <w:pPr>
              <w:spacing w:line="560" w:lineRule="exact"/>
              <w:jc w:val="center"/>
              <w:rPr>
                <w:rFonts w:ascii="仿宋_GB2312" w:hAnsi="仿宋_GB2312" w:eastAsia="仿宋_GB2312" w:cs="宋体"/>
                <w:kern w:val="0"/>
                <w:sz w:val="30"/>
                <w:szCs w:val="30"/>
              </w:rPr>
            </w:pPr>
          </w:p>
        </w:tc>
        <w:tc>
          <w:tcPr>
            <w:tcW w:w="1256" w:type="dxa"/>
            <w:vAlign w:val="center"/>
          </w:tcPr>
          <w:p>
            <w:pPr>
              <w:spacing w:line="560" w:lineRule="exact"/>
              <w:jc w:val="center"/>
              <w:rPr>
                <w:rFonts w:ascii="仿宋_GB2312" w:hAnsi="仿宋_GB2312" w:eastAsia="仿宋_GB2312" w:cs="宋体"/>
                <w:kern w:val="0"/>
                <w:sz w:val="30"/>
                <w:szCs w:val="30"/>
              </w:rPr>
            </w:pPr>
          </w:p>
        </w:tc>
        <w:tc>
          <w:tcPr>
            <w:tcW w:w="1261" w:type="dxa"/>
            <w:vAlign w:val="center"/>
          </w:tcPr>
          <w:p>
            <w:pPr>
              <w:spacing w:line="560" w:lineRule="exact"/>
              <w:jc w:val="center"/>
              <w:rPr>
                <w:rFonts w:ascii="仿宋_GB2312" w:hAnsi="仿宋_GB2312" w:eastAsia="仿宋_GB2312"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133" w:type="dxa"/>
            <w:vAlign w:val="center"/>
          </w:tcPr>
          <w:p>
            <w:pPr>
              <w:spacing w:line="560" w:lineRule="exact"/>
              <w:jc w:val="center"/>
              <w:rPr>
                <w:rFonts w:ascii="仿宋_GB2312" w:hAnsi="仿宋_GB2312" w:eastAsia="仿宋_GB2312" w:cs="宋体"/>
                <w:kern w:val="0"/>
                <w:sz w:val="30"/>
                <w:szCs w:val="30"/>
              </w:rPr>
            </w:pPr>
            <w:r>
              <w:rPr>
                <w:rFonts w:hint="eastAsia" w:ascii="仿宋_GB2312" w:hAnsi="仿宋_GB2312" w:eastAsia="仿宋_GB2312" w:cs="宋体"/>
                <w:kern w:val="0"/>
                <w:sz w:val="30"/>
                <w:szCs w:val="30"/>
              </w:rPr>
              <w:t>总计</w:t>
            </w:r>
          </w:p>
        </w:tc>
        <w:tc>
          <w:tcPr>
            <w:tcW w:w="943" w:type="dxa"/>
            <w:vAlign w:val="center"/>
          </w:tcPr>
          <w:p>
            <w:pPr>
              <w:spacing w:line="560" w:lineRule="exact"/>
              <w:jc w:val="center"/>
              <w:rPr>
                <w:rFonts w:ascii="仿宋_GB2312" w:hAnsi="仿宋_GB2312" w:eastAsia="仿宋_GB2312" w:cs="宋体"/>
                <w:kern w:val="0"/>
                <w:sz w:val="30"/>
                <w:szCs w:val="30"/>
              </w:rPr>
            </w:pPr>
          </w:p>
        </w:tc>
        <w:tc>
          <w:tcPr>
            <w:tcW w:w="1347" w:type="dxa"/>
            <w:vAlign w:val="center"/>
          </w:tcPr>
          <w:p>
            <w:pPr>
              <w:spacing w:line="560" w:lineRule="exact"/>
              <w:jc w:val="center"/>
              <w:rPr>
                <w:rFonts w:ascii="仿宋_GB2312" w:hAnsi="仿宋_GB2312" w:eastAsia="仿宋_GB2312" w:cs="宋体"/>
                <w:kern w:val="0"/>
                <w:sz w:val="30"/>
                <w:szCs w:val="30"/>
              </w:rPr>
            </w:pPr>
          </w:p>
        </w:tc>
        <w:tc>
          <w:tcPr>
            <w:tcW w:w="1132" w:type="dxa"/>
            <w:vAlign w:val="center"/>
          </w:tcPr>
          <w:p>
            <w:pPr>
              <w:spacing w:line="560" w:lineRule="exact"/>
              <w:jc w:val="center"/>
              <w:rPr>
                <w:rFonts w:ascii="仿宋_GB2312" w:hAnsi="仿宋_GB2312" w:eastAsia="仿宋_GB2312" w:cs="宋体"/>
                <w:kern w:val="0"/>
                <w:sz w:val="30"/>
                <w:szCs w:val="30"/>
              </w:rPr>
            </w:pPr>
          </w:p>
        </w:tc>
        <w:tc>
          <w:tcPr>
            <w:tcW w:w="1256" w:type="dxa"/>
            <w:vAlign w:val="center"/>
          </w:tcPr>
          <w:p>
            <w:pPr>
              <w:spacing w:line="560" w:lineRule="exact"/>
              <w:jc w:val="center"/>
              <w:rPr>
                <w:rFonts w:ascii="仿宋_GB2312" w:hAnsi="仿宋_GB2312" w:eastAsia="仿宋_GB2312" w:cs="宋体"/>
                <w:kern w:val="0"/>
                <w:sz w:val="30"/>
                <w:szCs w:val="30"/>
              </w:rPr>
            </w:pPr>
          </w:p>
        </w:tc>
        <w:tc>
          <w:tcPr>
            <w:tcW w:w="1261" w:type="dxa"/>
            <w:vAlign w:val="center"/>
          </w:tcPr>
          <w:p>
            <w:pPr>
              <w:spacing w:line="560" w:lineRule="exact"/>
              <w:jc w:val="center"/>
              <w:rPr>
                <w:rFonts w:ascii="仿宋_GB2312" w:hAnsi="仿宋_GB2312" w:eastAsia="仿宋_GB2312" w:cs="宋体"/>
                <w:kern w:val="0"/>
                <w:sz w:val="30"/>
                <w:szCs w:val="30"/>
              </w:rPr>
            </w:pPr>
          </w:p>
        </w:tc>
      </w:tr>
    </w:tbl>
    <w:p>
      <w:pPr>
        <w:spacing w:before="120" w:after="120" w:line="360" w:lineRule="auto"/>
        <w:ind w:firstLine="600" w:firstLineChars="200"/>
        <w:outlineLvl w:val="1"/>
        <w:rPr>
          <w:rFonts w:ascii="仿宋_GB2312" w:hAnsi="仿宋" w:eastAsia="黑体" w:cs="宋体"/>
          <w:sz w:val="30"/>
          <w:szCs w:val="30"/>
        </w:rPr>
      </w:pPr>
      <w:bookmarkStart w:id="4" w:name="_Toc25588101"/>
      <w:r>
        <w:rPr>
          <w:rFonts w:ascii="仿宋_GB2312" w:hAnsi="仿宋" w:eastAsia="黑体" w:cs="宋体"/>
          <w:sz w:val="30"/>
          <w:szCs w:val="30"/>
        </w:rPr>
        <w:t>第</w:t>
      </w:r>
      <w:r>
        <w:rPr>
          <w:rFonts w:hint="eastAsia" w:ascii="仿宋_GB2312" w:hAnsi="仿宋" w:eastAsia="黑体" w:cs="宋体"/>
          <w:sz w:val="30"/>
          <w:szCs w:val="30"/>
        </w:rPr>
        <w:t>二</w:t>
      </w:r>
      <w:r>
        <w:rPr>
          <w:rFonts w:ascii="仿宋_GB2312" w:hAnsi="仿宋" w:eastAsia="黑体" w:cs="宋体"/>
          <w:sz w:val="30"/>
          <w:szCs w:val="30"/>
        </w:rPr>
        <w:t>条 合同价款</w:t>
      </w:r>
      <w:bookmarkEnd w:id="4"/>
    </w:p>
    <w:p>
      <w:pPr>
        <w:spacing w:line="360" w:lineRule="auto"/>
        <w:ind w:firstLine="600" w:firstLineChars="200"/>
        <w:rPr>
          <w:rFonts w:ascii="仿宋_GB2312" w:hAnsi="仿宋" w:eastAsia="仿宋_GB2312" w:cs="宋体"/>
          <w:sz w:val="30"/>
          <w:szCs w:val="30"/>
        </w:rPr>
      </w:pPr>
      <w:r>
        <w:rPr>
          <w:rFonts w:ascii="仿宋_GB2312" w:hAnsi="仿宋" w:eastAsia="仿宋_GB2312" w:cs="宋体"/>
          <w:sz w:val="30"/>
          <w:szCs w:val="30"/>
        </w:rPr>
        <w:t>2.1 合同</w:t>
      </w:r>
      <w:r>
        <w:rPr>
          <w:rFonts w:hint="eastAsia" w:ascii="仿宋_GB2312" w:hAnsi="仿宋" w:eastAsia="仿宋_GB2312" w:cs="宋体"/>
          <w:sz w:val="30"/>
          <w:szCs w:val="30"/>
        </w:rPr>
        <w:t>金额</w:t>
      </w:r>
      <w:r>
        <w:rPr>
          <w:rFonts w:hint="eastAsia" w:ascii="仿宋_GB2312" w:hAnsi="仿宋" w:eastAsia="仿宋_GB2312" w:cs="宋体"/>
          <w:b/>
          <w:bCs/>
          <w:sz w:val="30"/>
          <w:szCs w:val="30"/>
          <w:u w:val="single"/>
        </w:rPr>
        <w:t>（含增值税）</w:t>
      </w:r>
      <w:r>
        <w:rPr>
          <w:rFonts w:ascii="仿宋_GB2312" w:hAnsi="仿宋" w:eastAsia="仿宋_GB2312" w:cs="宋体"/>
          <w:sz w:val="30"/>
          <w:szCs w:val="30"/>
        </w:rPr>
        <w:t>为人民币</w:t>
      </w:r>
      <w:r>
        <w:rPr>
          <w:rFonts w:ascii="仿宋_GB2312" w:hAnsi="仿宋" w:eastAsia="仿宋_GB2312" w:cs="宋体"/>
          <w:sz w:val="30"/>
          <w:szCs w:val="30"/>
          <w:u w:val="single"/>
        </w:rPr>
        <w:t xml:space="preserve"> </w:t>
      </w:r>
      <w:r>
        <w:rPr>
          <w:rFonts w:ascii="Calibri" w:hAnsi="Calibri" w:eastAsia="仿宋_GB2312" w:cs="Calibri"/>
          <w:sz w:val="30"/>
          <w:szCs w:val="30"/>
          <w:u w:val="single"/>
        </w:rPr>
        <w:t>   </w:t>
      </w:r>
      <w:r>
        <w:rPr>
          <w:rFonts w:ascii="仿宋_GB2312" w:hAnsi="仿宋" w:eastAsia="仿宋_GB2312" w:cs="Calibri"/>
          <w:sz w:val="30"/>
          <w:szCs w:val="30"/>
          <w:u w:val="single"/>
        </w:rPr>
        <w:t xml:space="preserve">    </w:t>
      </w:r>
      <w:r>
        <w:rPr>
          <w:rFonts w:ascii="仿宋_GB2312" w:hAnsi="仿宋" w:eastAsia="仿宋_GB2312" w:cs="宋体"/>
          <w:sz w:val="30"/>
          <w:szCs w:val="30"/>
          <w:u w:val="single"/>
        </w:rPr>
        <w:t xml:space="preserve"> </w:t>
      </w:r>
      <w:r>
        <w:rPr>
          <w:rFonts w:ascii="Calibri" w:hAnsi="Calibri" w:eastAsia="仿宋_GB2312" w:cs="Calibri"/>
          <w:sz w:val="30"/>
          <w:szCs w:val="30"/>
          <w:u w:val="single"/>
        </w:rPr>
        <w:t>  </w:t>
      </w:r>
      <w:r>
        <w:rPr>
          <w:rFonts w:ascii="仿宋_GB2312" w:hAnsi="仿宋" w:eastAsia="仿宋_GB2312" w:cs="宋体"/>
          <w:sz w:val="30"/>
          <w:szCs w:val="30"/>
        </w:rPr>
        <w:t>元整(大写</w:t>
      </w:r>
      <w:r>
        <w:rPr>
          <w:rFonts w:ascii="仿宋_GB2312" w:hAnsi="仿宋" w:eastAsia="仿宋_GB2312" w:cs="Calibri"/>
          <w:sz w:val="30"/>
          <w:szCs w:val="30"/>
          <w:u w:val="single"/>
        </w:rPr>
        <w:t xml:space="preserve"> </w:t>
      </w:r>
      <w:r>
        <w:rPr>
          <w:rFonts w:hint="eastAsia" w:ascii="仿宋_GB2312" w:hAnsi="仿宋" w:eastAsia="仿宋_GB2312" w:cs="Calibri"/>
          <w:sz w:val="30"/>
          <w:szCs w:val="30"/>
          <w:u w:val="single"/>
        </w:rPr>
        <w:t xml:space="preserve">    </w:t>
      </w:r>
      <w:r>
        <w:rPr>
          <w:rFonts w:ascii="仿宋_GB2312" w:hAnsi="仿宋" w:eastAsia="仿宋_GB2312" w:cs="Calibri"/>
          <w:sz w:val="30"/>
          <w:szCs w:val="30"/>
          <w:u w:val="single"/>
        </w:rPr>
        <w:t xml:space="preserve"> </w:t>
      </w:r>
      <w:r>
        <w:rPr>
          <w:rFonts w:ascii="仿宋_GB2312" w:hAnsi="仿宋" w:eastAsia="仿宋_GB2312" w:cs="宋体"/>
          <w:sz w:val="30"/>
          <w:szCs w:val="30"/>
          <w:u w:val="single"/>
        </w:rPr>
        <w:t xml:space="preserve"> </w:t>
      </w:r>
      <w:r>
        <w:rPr>
          <w:rFonts w:ascii="Calibri" w:hAnsi="Calibri" w:eastAsia="仿宋_GB2312" w:cs="Calibri"/>
          <w:sz w:val="30"/>
          <w:szCs w:val="30"/>
          <w:u w:val="single"/>
        </w:rPr>
        <w:t>  </w:t>
      </w:r>
      <w:r>
        <w:rPr>
          <w:rFonts w:ascii="仿宋_GB2312" w:hAnsi="仿宋" w:eastAsia="仿宋_GB2312" w:cs="宋体"/>
          <w:sz w:val="30"/>
          <w:szCs w:val="30"/>
        </w:rPr>
        <w:t>元）</w:t>
      </w:r>
      <w:r>
        <w:rPr>
          <w:rFonts w:hint="eastAsia" w:ascii="仿宋_GB2312" w:hAnsi="仿宋" w:eastAsia="仿宋_GB2312" w:cs="宋体"/>
          <w:sz w:val="30"/>
          <w:szCs w:val="30"/>
        </w:rPr>
        <w:t>；增值税税率</w:t>
      </w:r>
      <w:r>
        <w:rPr>
          <w:rFonts w:ascii="仿宋_GB2312" w:hAnsi="仿宋" w:eastAsia="仿宋_GB2312" w:cs="宋体"/>
          <w:sz w:val="30"/>
          <w:szCs w:val="30"/>
          <w:u w:val="single"/>
        </w:rPr>
        <w:t xml:space="preserve"> </w:t>
      </w:r>
      <w:r>
        <w:rPr>
          <w:rFonts w:ascii="Calibri" w:hAnsi="Calibri" w:eastAsia="仿宋_GB2312" w:cs="Calibri"/>
          <w:sz w:val="30"/>
          <w:szCs w:val="30"/>
          <w:u w:val="single"/>
        </w:rPr>
        <w:t>   </w:t>
      </w:r>
      <w:r>
        <w:rPr>
          <w:rFonts w:ascii="仿宋_GB2312" w:hAnsi="仿宋" w:eastAsia="仿宋_GB2312" w:cs="Calibri"/>
          <w:sz w:val="30"/>
          <w:szCs w:val="30"/>
          <w:u w:val="single"/>
        </w:rPr>
        <w:t xml:space="preserve">    </w:t>
      </w:r>
      <w:r>
        <w:rPr>
          <w:rFonts w:hint="eastAsia" w:ascii="仿宋_GB2312" w:hAnsi="仿宋" w:eastAsia="仿宋_GB2312" w:cs="宋体"/>
          <w:sz w:val="30"/>
          <w:szCs w:val="30"/>
        </w:rPr>
        <w:t>%；</w:t>
      </w:r>
    </w:p>
    <w:p>
      <w:pPr>
        <w:spacing w:line="360" w:lineRule="auto"/>
        <w:ind w:firstLine="600" w:firstLineChars="200"/>
        <w:rPr>
          <w:rFonts w:ascii="仿宋_GB2312" w:hAnsi="仿宋" w:eastAsia="仿宋_GB2312" w:cs="宋体"/>
          <w:sz w:val="30"/>
          <w:szCs w:val="30"/>
        </w:rPr>
      </w:pPr>
      <w:r>
        <w:rPr>
          <w:rFonts w:ascii="仿宋_GB2312" w:hAnsi="仿宋" w:eastAsia="仿宋_GB2312" w:cs="宋体"/>
          <w:sz w:val="30"/>
          <w:szCs w:val="30"/>
        </w:rPr>
        <w:t>2.2 合同价款含</w:t>
      </w:r>
      <w:r>
        <w:rPr>
          <w:rFonts w:hint="eastAsia" w:ascii="仿宋_GB2312" w:hAnsi="仿宋" w:eastAsia="仿宋_GB2312" w:cs="宋体"/>
          <w:sz w:val="30"/>
          <w:szCs w:val="30"/>
        </w:rPr>
        <w:t>此次项目落地的所有费用（制作、辅料、运输、安装、维保、税费等）</w:t>
      </w:r>
      <w:r>
        <w:rPr>
          <w:rFonts w:ascii="仿宋_GB2312" w:hAnsi="仿宋" w:eastAsia="仿宋_GB2312" w:cs="宋体"/>
          <w:sz w:val="30"/>
          <w:szCs w:val="30"/>
        </w:rPr>
        <w:t>。</w:t>
      </w:r>
    </w:p>
    <w:p>
      <w:pPr>
        <w:spacing w:before="120" w:after="120" w:line="360" w:lineRule="auto"/>
        <w:ind w:firstLine="600" w:firstLineChars="200"/>
        <w:outlineLvl w:val="1"/>
        <w:rPr>
          <w:rFonts w:ascii="仿宋_GB2312" w:hAnsi="仿宋" w:eastAsia="黑体" w:cs="宋体"/>
          <w:sz w:val="30"/>
          <w:szCs w:val="30"/>
        </w:rPr>
      </w:pPr>
      <w:bookmarkStart w:id="5" w:name="_Toc25588102"/>
      <w:r>
        <w:rPr>
          <w:rFonts w:ascii="仿宋_GB2312" w:hAnsi="仿宋" w:eastAsia="黑体" w:cs="宋体"/>
          <w:sz w:val="30"/>
          <w:szCs w:val="30"/>
        </w:rPr>
        <w:t>第</w:t>
      </w:r>
      <w:r>
        <w:rPr>
          <w:rFonts w:hint="eastAsia" w:ascii="仿宋_GB2312" w:hAnsi="仿宋" w:eastAsia="黑体" w:cs="宋体"/>
          <w:sz w:val="30"/>
          <w:szCs w:val="30"/>
        </w:rPr>
        <w:t>三</w:t>
      </w:r>
      <w:r>
        <w:rPr>
          <w:rFonts w:ascii="仿宋_GB2312" w:hAnsi="仿宋" w:eastAsia="黑体" w:cs="宋体"/>
          <w:sz w:val="30"/>
          <w:szCs w:val="30"/>
        </w:rPr>
        <w:t>条</w:t>
      </w:r>
      <w:r>
        <w:rPr>
          <w:rFonts w:hint="eastAsia" w:ascii="仿宋_GB2312" w:hAnsi="仿宋" w:eastAsia="黑体" w:cs="宋体"/>
          <w:sz w:val="30"/>
          <w:szCs w:val="30"/>
        </w:rPr>
        <w:t xml:space="preserve"> </w:t>
      </w:r>
      <w:r>
        <w:rPr>
          <w:rFonts w:ascii="仿宋_GB2312" w:hAnsi="仿宋" w:eastAsia="黑体" w:cs="宋体"/>
          <w:sz w:val="30"/>
          <w:szCs w:val="30"/>
        </w:rPr>
        <w:t>技术标准及要求</w:t>
      </w:r>
      <w:bookmarkEnd w:id="5"/>
    </w:p>
    <w:p>
      <w:pPr>
        <w:spacing w:line="360" w:lineRule="auto"/>
        <w:ind w:firstLine="600" w:firstLineChars="200"/>
        <w:rPr>
          <w:rFonts w:ascii="仿宋_GB2312" w:hAnsi="仿宋" w:eastAsia="仿宋_GB2312" w:cs="宋体"/>
          <w:sz w:val="30"/>
          <w:szCs w:val="30"/>
        </w:rPr>
      </w:pPr>
      <w:r>
        <w:rPr>
          <w:rFonts w:ascii="仿宋_GB2312" w:hAnsi="仿宋" w:eastAsia="仿宋_GB2312" w:cs="宋体"/>
          <w:sz w:val="30"/>
          <w:szCs w:val="30"/>
        </w:rPr>
        <w:t>3.1 乙方应严格按甲方要求，并符合有关国家标准和行业标准进行供货。</w:t>
      </w:r>
    </w:p>
    <w:p>
      <w:pPr>
        <w:spacing w:line="360" w:lineRule="auto"/>
        <w:ind w:firstLine="600" w:firstLineChars="200"/>
        <w:rPr>
          <w:rFonts w:ascii="仿宋_GB2312" w:hAnsi="仿宋" w:eastAsia="仿宋_GB2312" w:cs="宋体"/>
          <w:sz w:val="30"/>
          <w:szCs w:val="30"/>
        </w:rPr>
      </w:pPr>
      <w:r>
        <w:rPr>
          <w:rFonts w:ascii="仿宋_GB2312" w:hAnsi="仿宋" w:eastAsia="仿宋_GB2312" w:cs="宋体"/>
          <w:sz w:val="30"/>
          <w:szCs w:val="30"/>
        </w:rPr>
        <w:t>3.2 在质保期内的使用过程中，乙方应负责处理出现的缺陷和服务问题，所需费用由乙方承担，对于甲方操作失误造成的问题，乙方应积极配合，予以解决，费用由甲方承担。</w:t>
      </w:r>
    </w:p>
    <w:p>
      <w:pPr>
        <w:spacing w:line="360" w:lineRule="auto"/>
        <w:ind w:firstLine="600" w:firstLineChars="200"/>
        <w:rPr>
          <w:rFonts w:ascii="仿宋" w:hAnsi="仿宋" w:eastAsia="仿宋" w:cs="宋体"/>
          <w:sz w:val="30"/>
          <w:szCs w:val="30"/>
        </w:rPr>
      </w:pPr>
      <w:r>
        <w:rPr>
          <w:rFonts w:hint="eastAsia" w:ascii="仿宋_GB2312" w:hAnsi="仿宋" w:eastAsia="仿宋_GB2312" w:cs="宋体"/>
          <w:sz w:val="30"/>
          <w:szCs w:val="30"/>
        </w:rPr>
        <w:t>3.3 乙方所供货物的质量保证期为</w:t>
      </w:r>
      <w:r>
        <w:rPr>
          <w:rFonts w:hint="eastAsia" w:ascii="仿宋_GB2312" w:hAnsi="仿宋" w:eastAsia="仿宋_GB2312" w:cs="宋体"/>
          <w:sz w:val="30"/>
          <w:szCs w:val="30"/>
          <w:u w:val="single"/>
        </w:rPr>
        <w:t xml:space="preserve"> 一 </w:t>
      </w:r>
      <w:r>
        <w:rPr>
          <w:rFonts w:hint="eastAsia" w:ascii="仿宋_GB2312" w:hAnsi="仿宋" w:eastAsia="仿宋_GB2312" w:cs="宋体"/>
          <w:sz w:val="30"/>
          <w:szCs w:val="30"/>
        </w:rPr>
        <w:t>年，</w:t>
      </w:r>
      <w:r>
        <w:rPr>
          <w:rFonts w:hint="eastAsia" w:ascii="仿宋" w:hAnsi="仿宋" w:eastAsia="仿宋" w:cs="宋体"/>
          <w:sz w:val="30"/>
          <w:szCs w:val="30"/>
        </w:rPr>
        <w:t>本批次项目货物验收合格之日起算。</w:t>
      </w:r>
    </w:p>
    <w:p>
      <w:pPr>
        <w:spacing w:line="360" w:lineRule="auto"/>
        <w:ind w:firstLine="600" w:firstLineChars="200"/>
        <w:rPr>
          <w:rFonts w:ascii="仿宋" w:hAnsi="仿宋" w:eastAsia="仿宋" w:cs="宋体"/>
          <w:sz w:val="30"/>
          <w:szCs w:val="30"/>
        </w:rPr>
      </w:pPr>
      <w:r>
        <w:rPr>
          <w:rFonts w:hint="eastAsia" w:ascii="仿宋" w:hAnsi="仿宋" w:eastAsia="仿宋" w:cs="宋体"/>
          <w:sz w:val="30"/>
          <w:szCs w:val="30"/>
        </w:rPr>
        <w:t>3.4乙方提供的物品在保修期内，根据甲方的实际需求由乙方免费进行维修。</w:t>
      </w:r>
    </w:p>
    <w:p>
      <w:pPr>
        <w:spacing w:line="360" w:lineRule="auto"/>
        <w:ind w:firstLine="600" w:firstLineChars="200"/>
        <w:rPr>
          <w:rFonts w:ascii="仿宋" w:hAnsi="仿宋" w:eastAsia="仿宋" w:cs="宋体"/>
          <w:sz w:val="30"/>
          <w:szCs w:val="30"/>
        </w:rPr>
      </w:pPr>
      <w:r>
        <w:rPr>
          <w:rFonts w:hint="eastAsia" w:ascii="仿宋" w:hAnsi="仿宋" w:eastAsia="仿宋" w:cs="宋体"/>
          <w:sz w:val="30"/>
          <w:szCs w:val="30"/>
        </w:rPr>
        <w:t>3.5接到甲方维保需求，乙方专业技术人员不超过4小时响应，保证</w:t>
      </w:r>
      <w:r>
        <w:rPr>
          <w:rFonts w:ascii="仿宋" w:hAnsi="仿宋" w:eastAsia="仿宋" w:cs="宋体"/>
          <w:sz w:val="30"/>
          <w:szCs w:val="30"/>
        </w:rPr>
        <w:t>24</w:t>
      </w:r>
      <w:r>
        <w:rPr>
          <w:rFonts w:hint="eastAsia" w:ascii="仿宋" w:hAnsi="仿宋" w:eastAsia="仿宋" w:cs="宋体"/>
          <w:sz w:val="30"/>
          <w:szCs w:val="30"/>
        </w:rPr>
        <w:t>小时不间断维保。</w:t>
      </w:r>
    </w:p>
    <w:p>
      <w:pPr>
        <w:spacing w:before="120" w:after="120" w:line="360" w:lineRule="auto"/>
        <w:ind w:firstLine="600" w:firstLineChars="200"/>
        <w:outlineLvl w:val="1"/>
        <w:rPr>
          <w:rFonts w:ascii="仿宋_GB2312" w:hAnsi="仿宋" w:eastAsia="黑体" w:cs="宋体"/>
          <w:sz w:val="30"/>
          <w:szCs w:val="30"/>
        </w:rPr>
      </w:pPr>
      <w:bookmarkStart w:id="6" w:name="_Toc25588103"/>
      <w:r>
        <w:rPr>
          <w:rFonts w:ascii="仿宋_GB2312" w:hAnsi="仿宋" w:eastAsia="黑体" w:cs="宋体"/>
          <w:sz w:val="30"/>
          <w:szCs w:val="30"/>
        </w:rPr>
        <w:t>第</w:t>
      </w:r>
      <w:r>
        <w:rPr>
          <w:rFonts w:hint="eastAsia" w:ascii="仿宋_GB2312" w:hAnsi="仿宋" w:eastAsia="黑体" w:cs="宋体"/>
          <w:sz w:val="30"/>
          <w:szCs w:val="30"/>
        </w:rPr>
        <w:t>四</w:t>
      </w:r>
      <w:r>
        <w:rPr>
          <w:rFonts w:ascii="仿宋_GB2312" w:hAnsi="仿宋" w:eastAsia="黑体" w:cs="宋体"/>
          <w:sz w:val="30"/>
          <w:szCs w:val="30"/>
        </w:rPr>
        <w:t>条 交货日期、方式和地点</w:t>
      </w:r>
      <w:bookmarkEnd w:id="6"/>
    </w:p>
    <w:p>
      <w:pPr>
        <w:spacing w:line="360" w:lineRule="auto"/>
        <w:ind w:firstLine="600" w:firstLineChars="200"/>
        <w:rPr>
          <w:rFonts w:ascii="仿宋_GB2312" w:hAnsi="仿宋" w:eastAsia="仿宋_GB2312" w:cs="宋体"/>
          <w:sz w:val="30"/>
          <w:szCs w:val="30"/>
          <w:u w:val="single"/>
        </w:rPr>
      </w:pPr>
      <w:r>
        <w:rPr>
          <w:rFonts w:ascii="仿宋_GB2312" w:hAnsi="仿宋" w:eastAsia="仿宋_GB2312" w:cs="宋体"/>
          <w:sz w:val="30"/>
          <w:szCs w:val="30"/>
        </w:rPr>
        <w:t>4.1 合同签订后，乙方应及时供货，并于</w:t>
      </w:r>
      <w:r>
        <w:rPr>
          <w:rFonts w:ascii="Calibri" w:hAnsi="Calibri" w:eastAsia="仿宋_GB2312" w:cs="宋体"/>
          <w:sz w:val="30"/>
          <w:szCs w:val="30"/>
          <w:u w:val="single"/>
        </w:rPr>
        <w:t> </w:t>
      </w:r>
      <w:r>
        <w:rPr>
          <w:rFonts w:hint="eastAsia" w:ascii="Calibri" w:hAnsi="Calibri" w:eastAsia="仿宋_GB2312" w:cs="宋体"/>
          <w:sz w:val="30"/>
          <w:szCs w:val="30"/>
          <w:u w:val="single"/>
        </w:rPr>
        <w:t xml:space="preserve">  </w:t>
      </w:r>
      <w:r>
        <w:rPr>
          <w:rFonts w:ascii="仿宋_GB2312" w:hAnsi="仿宋" w:eastAsia="仿宋_GB2312" w:cs="宋体"/>
          <w:sz w:val="30"/>
          <w:szCs w:val="30"/>
          <w:u w:val="single"/>
        </w:rPr>
        <w:t xml:space="preserve"> </w:t>
      </w:r>
      <w:r>
        <w:rPr>
          <w:rFonts w:ascii="Calibri" w:hAnsi="Calibri" w:eastAsia="仿宋_GB2312" w:cs="宋体"/>
          <w:sz w:val="30"/>
          <w:szCs w:val="30"/>
          <w:u w:val="single"/>
        </w:rPr>
        <w:t>  </w:t>
      </w:r>
      <w:r>
        <w:rPr>
          <w:rFonts w:ascii="仿宋_GB2312" w:hAnsi="仿宋" w:eastAsia="仿宋_GB2312" w:cs="宋体"/>
          <w:sz w:val="30"/>
          <w:szCs w:val="30"/>
        </w:rPr>
        <w:t>年</w:t>
      </w:r>
      <w:r>
        <w:rPr>
          <w:rFonts w:ascii="Calibri" w:hAnsi="Calibri" w:eastAsia="仿宋_GB2312" w:cs="宋体"/>
          <w:sz w:val="30"/>
          <w:szCs w:val="30"/>
          <w:u w:val="single"/>
        </w:rPr>
        <w:t> </w:t>
      </w:r>
      <w:r>
        <w:rPr>
          <w:rFonts w:ascii="仿宋_GB2312" w:hAnsi="仿宋" w:eastAsia="仿宋_GB2312" w:cs="宋体"/>
          <w:sz w:val="30"/>
          <w:szCs w:val="30"/>
          <w:u w:val="single"/>
        </w:rPr>
        <w:t xml:space="preserve"> </w:t>
      </w:r>
      <w:r>
        <w:rPr>
          <w:rFonts w:hint="eastAsia" w:ascii="仿宋_GB2312" w:hAnsi="仿宋" w:eastAsia="仿宋_GB2312" w:cs="宋体"/>
          <w:sz w:val="30"/>
          <w:szCs w:val="30"/>
          <w:u w:val="single"/>
        </w:rPr>
        <w:t xml:space="preserve">  </w:t>
      </w:r>
      <w:r>
        <w:rPr>
          <w:rFonts w:ascii="Calibri" w:hAnsi="Calibri" w:eastAsia="仿宋_GB2312" w:cs="宋体"/>
          <w:sz w:val="30"/>
          <w:szCs w:val="30"/>
          <w:u w:val="single"/>
        </w:rPr>
        <w:t>  </w:t>
      </w:r>
      <w:r>
        <w:rPr>
          <w:rFonts w:ascii="仿宋_GB2312" w:hAnsi="仿宋" w:eastAsia="仿宋_GB2312" w:cs="宋体"/>
          <w:sz w:val="30"/>
          <w:szCs w:val="30"/>
        </w:rPr>
        <w:t>月</w:t>
      </w:r>
      <w:r>
        <w:rPr>
          <w:rFonts w:ascii="Calibri" w:hAnsi="Calibri" w:eastAsia="仿宋_GB2312" w:cs="宋体"/>
          <w:sz w:val="30"/>
          <w:szCs w:val="30"/>
          <w:u w:val="single"/>
        </w:rPr>
        <w:t> </w:t>
      </w:r>
      <w:r>
        <w:rPr>
          <w:rFonts w:ascii="仿宋_GB2312" w:hAnsi="仿宋" w:eastAsia="仿宋_GB2312" w:cs="宋体"/>
          <w:sz w:val="30"/>
          <w:szCs w:val="30"/>
          <w:u w:val="single"/>
        </w:rPr>
        <w:t xml:space="preserve"> </w:t>
      </w:r>
      <w:r>
        <w:rPr>
          <w:rFonts w:hint="eastAsia" w:ascii="仿宋_GB2312" w:hAnsi="仿宋" w:eastAsia="仿宋_GB2312" w:cs="宋体"/>
          <w:sz w:val="30"/>
          <w:szCs w:val="30"/>
          <w:u w:val="single"/>
        </w:rPr>
        <w:t xml:space="preserve">  </w:t>
      </w:r>
      <w:r>
        <w:rPr>
          <w:rFonts w:ascii="Calibri" w:hAnsi="Calibri" w:eastAsia="仿宋_GB2312" w:cs="宋体"/>
          <w:sz w:val="30"/>
          <w:szCs w:val="30"/>
          <w:u w:val="single"/>
        </w:rPr>
        <w:t>  </w:t>
      </w:r>
      <w:r>
        <w:rPr>
          <w:rFonts w:ascii="仿宋_GB2312" w:hAnsi="仿宋" w:eastAsia="仿宋_GB2312" w:cs="宋体"/>
          <w:sz w:val="30"/>
          <w:szCs w:val="30"/>
        </w:rPr>
        <w:t>日</w:t>
      </w:r>
      <w:r>
        <w:rPr>
          <w:rFonts w:hint="eastAsia" w:ascii="仿宋_GB2312" w:hAnsi="仿宋" w:eastAsia="仿宋_GB2312" w:cs="宋体"/>
          <w:sz w:val="30"/>
          <w:szCs w:val="30"/>
        </w:rPr>
        <w:t>前完成交货，交货地点：</w:t>
      </w:r>
      <w:r>
        <w:rPr>
          <w:rFonts w:ascii="Calibri" w:hAnsi="Calibri" w:eastAsia="仿宋_GB2312" w:cs="宋体"/>
          <w:sz w:val="30"/>
          <w:szCs w:val="30"/>
          <w:u w:val="single"/>
        </w:rPr>
        <w:t> </w:t>
      </w:r>
      <w:r>
        <w:rPr>
          <w:rFonts w:ascii="仿宋_GB2312" w:hAnsi="仿宋" w:eastAsia="仿宋_GB2312" w:cs="宋体"/>
          <w:sz w:val="30"/>
          <w:szCs w:val="30"/>
          <w:u w:val="single"/>
        </w:rPr>
        <w:t xml:space="preserve"> </w:t>
      </w:r>
      <w:r>
        <w:rPr>
          <w:rFonts w:ascii="Calibri" w:hAnsi="Calibri" w:eastAsia="仿宋_GB2312" w:cs="宋体"/>
          <w:sz w:val="30"/>
          <w:szCs w:val="30"/>
          <w:u w:val="single"/>
        </w:rPr>
        <w:t> </w:t>
      </w:r>
      <w:r>
        <w:rPr>
          <w:rFonts w:hint="eastAsia" w:ascii="仿宋_GB2312" w:hAnsi="仿宋" w:eastAsia="仿宋_GB2312" w:cs="宋体"/>
          <w:sz w:val="30"/>
          <w:szCs w:val="30"/>
          <w:u w:val="single"/>
        </w:rPr>
        <w:t xml:space="preserve">              </w:t>
      </w:r>
      <w:r>
        <w:rPr>
          <w:rFonts w:ascii="Calibri" w:hAnsi="Calibri" w:eastAsia="仿宋_GB2312" w:cs="宋体"/>
          <w:sz w:val="30"/>
          <w:szCs w:val="30"/>
          <w:u w:val="single"/>
        </w:rPr>
        <w:t> </w:t>
      </w:r>
      <w:r>
        <w:rPr>
          <w:rFonts w:hint="eastAsia" w:ascii="仿宋_GB2312" w:hAnsi="仿宋" w:eastAsia="仿宋_GB2312" w:cs="宋体"/>
          <w:sz w:val="30"/>
          <w:szCs w:val="30"/>
        </w:rPr>
        <w:t>。（以安装调试完成，并正常适用为完成交货义务）</w:t>
      </w:r>
    </w:p>
    <w:p>
      <w:pPr>
        <w:spacing w:before="120" w:after="120" w:line="360" w:lineRule="auto"/>
        <w:ind w:firstLine="600" w:firstLineChars="200"/>
        <w:outlineLvl w:val="1"/>
        <w:rPr>
          <w:rFonts w:ascii="仿宋_GB2312" w:hAnsi="仿宋" w:eastAsia="黑体" w:cs="宋体"/>
          <w:sz w:val="30"/>
          <w:szCs w:val="30"/>
        </w:rPr>
      </w:pPr>
      <w:bookmarkStart w:id="7" w:name="_Toc25588104"/>
      <w:r>
        <w:rPr>
          <w:rFonts w:ascii="仿宋_GB2312" w:hAnsi="仿宋" w:eastAsia="黑体" w:cs="宋体"/>
          <w:sz w:val="30"/>
          <w:szCs w:val="30"/>
        </w:rPr>
        <w:t>第</w:t>
      </w:r>
      <w:r>
        <w:rPr>
          <w:rFonts w:hint="eastAsia" w:ascii="仿宋_GB2312" w:hAnsi="仿宋" w:eastAsia="黑体" w:cs="宋体"/>
          <w:sz w:val="30"/>
          <w:szCs w:val="30"/>
        </w:rPr>
        <w:t>五</w:t>
      </w:r>
      <w:r>
        <w:rPr>
          <w:rFonts w:ascii="仿宋_GB2312" w:hAnsi="仿宋" w:eastAsia="黑体" w:cs="宋体"/>
          <w:sz w:val="30"/>
          <w:szCs w:val="30"/>
        </w:rPr>
        <w:t>条 验收办法</w:t>
      </w:r>
      <w:bookmarkEnd w:id="7"/>
    </w:p>
    <w:p>
      <w:pPr>
        <w:spacing w:line="360" w:lineRule="auto"/>
        <w:ind w:firstLine="600" w:firstLineChars="200"/>
        <w:rPr>
          <w:rFonts w:ascii="仿宋_GB2312" w:hAnsi="仿宋" w:eastAsia="仿宋_GB2312" w:cs="宋体"/>
          <w:sz w:val="30"/>
          <w:szCs w:val="30"/>
        </w:rPr>
      </w:pPr>
      <w:r>
        <w:rPr>
          <w:rFonts w:ascii="仿宋_GB2312" w:hAnsi="仿宋" w:eastAsia="仿宋_GB2312" w:cs="宋体"/>
          <w:sz w:val="30"/>
          <w:szCs w:val="30"/>
        </w:rPr>
        <w:t xml:space="preserve">5.1 </w:t>
      </w:r>
      <w:r>
        <w:rPr>
          <w:rFonts w:hint="eastAsia" w:ascii="仿宋_GB2312" w:hAnsi="仿宋" w:eastAsia="仿宋_GB2312" w:cs="宋体"/>
          <w:sz w:val="30"/>
          <w:szCs w:val="30"/>
        </w:rPr>
        <w:t>货到交货地点后，乙方应负责将货物卸至甲方指定地点，甲方对货物的数量和质量进行初步验收，除本合同另有约定的外，乙方所供货物应是全新的，未被使用过的。乙方按照甲方的需求，将货物安装至指定位置，安装调试正常后，方能通过验收。</w:t>
      </w:r>
    </w:p>
    <w:p>
      <w:pPr>
        <w:spacing w:before="120" w:after="120" w:line="360" w:lineRule="auto"/>
        <w:ind w:firstLine="600" w:firstLineChars="200"/>
        <w:outlineLvl w:val="1"/>
        <w:rPr>
          <w:rFonts w:ascii="仿宋_GB2312" w:hAnsi="仿宋" w:eastAsia="黑体" w:cs="宋体"/>
          <w:sz w:val="30"/>
          <w:szCs w:val="30"/>
        </w:rPr>
      </w:pPr>
      <w:bookmarkStart w:id="8" w:name="_Toc25588105"/>
      <w:r>
        <w:rPr>
          <w:rFonts w:hint="eastAsia" w:ascii="仿宋_GB2312" w:hAnsi="仿宋" w:eastAsia="黑体" w:cs="宋体"/>
          <w:sz w:val="30"/>
          <w:szCs w:val="30"/>
        </w:rPr>
        <w:t>第六条 保证金</w:t>
      </w:r>
      <w:bookmarkEnd w:id="8"/>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6.1 乙方应在</w:t>
      </w:r>
      <w:r>
        <w:rPr>
          <w:rFonts w:hint="eastAsia" w:ascii="仿宋_GB2312" w:hAnsi="仿宋" w:eastAsia="仿宋_GB2312" w:cs="宋体"/>
          <w:sz w:val="30"/>
          <w:szCs w:val="30"/>
          <w:lang w:val="en-US" w:eastAsia="zh-CN"/>
        </w:rPr>
        <w:t>收到成交</w:t>
      </w:r>
      <w:r>
        <w:rPr>
          <w:rFonts w:hint="eastAsia" w:ascii="仿宋_GB2312" w:hAnsi="仿宋" w:eastAsia="仿宋_GB2312" w:cs="宋体"/>
          <w:sz w:val="30"/>
          <w:szCs w:val="30"/>
        </w:rPr>
        <w:t>通知书10日内以</w:t>
      </w:r>
      <w:r>
        <w:rPr>
          <w:rFonts w:hint="eastAsia" w:ascii="仿宋_GB2312" w:hAnsi="仿宋" w:eastAsia="仿宋_GB2312" w:cs="宋体"/>
          <w:sz w:val="30"/>
          <w:szCs w:val="30"/>
          <w:u w:val="single"/>
        </w:rPr>
        <w:t xml:space="preserve"> 银行转账 </w:t>
      </w:r>
      <w:r>
        <w:rPr>
          <w:rFonts w:hint="eastAsia" w:ascii="仿宋_GB2312" w:hAnsi="仿宋" w:eastAsia="仿宋_GB2312" w:cs="宋体"/>
          <w:sz w:val="30"/>
          <w:szCs w:val="30"/>
        </w:rPr>
        <w:t>形式向甲方缴纳履约保证金，以作为乙方履行本合同项下相关义务的担保 。履约保证金为合同总价款的5%，人民币</w:t>
      </w:r>
      <w:r>
        <w:rPr>
          <w:rFonts w:hint="eastAsia" w:ascii="仿宋_GB2312" w:hAnsi="仿宋" w:eastAsia="仿宋_GB2312" w:cs="宋体"/>
          <w:sz w:val="30"/>
          <w:szCs w:val="30"/>
          <w:u w:val="single"/>
        </w:rPr>
        <w:t xml:space="preserve">   </w:t>
      </w:r>
      <w:r>
        <w:rPr>
          <w:rFonts w:hint="eastAsia" w:ascii="仿宋_GB2312" w:hAnsi="仿宋" w:eastAsia="仿宋_GB2312" w:cs="宋体"/>
          <w:sz w:val="30"/>
          <w:szCs w:val="30"/>
          <w:u w:val="single"/>
          <w:lang w:val="en-US" w:eastAsia="zh-CN"/>
        </w:rPr>
        <w:t xml:space="preserve">  </w:t>
      </w:r>
      <w:r>
        <w:rPr>
          <w:rFonts w:hint="eastAsia" w:ascii="仿宋_GB2312" w:hAnsi="仿宋" w:eastAsia="仿宋_GB2312" w:cs="宋体"/>
          <w:sz w:val="30"/>
          <w:szCs w:val="30"/>
          <w:u w:val="single"/>
        </w:rPr>
        <w:t xml:space="preserve">   </w:t>
      </w:r>
      <w:r>
        <w:rPr>
          <w:rFonts w:hint="eastAsia" w:ascii="仿宋_GB2312" w:hAnsi="仿宋" w:eastAsia="仿宋_GB2312" w:cs="宋体"/>
          <w:sz w:val="30"/>
          <w:szCs w:val="30"/>
        </w:rPr>
        <w:t>元，大写人民币</w:t>
      </w:r>
      <w:r>
        <w:rPr>
          <w:rFonts w:hint="eastAsia" w:ascii="仿宋_GB2312" w:hAnsi="仿宋" w:eastAsia="仿宋_GB2312" w:cs="宋体"/>
          <w:sz w:val="30"/>
          <w:szCs w:val="30"/>
          <w:u w:val="single"/>
        </w:rPr>
        <w:t xml:space="preserve">    </w:t>
      </w:r>
      <w:r>
        <w:rPr>
          <w:rFonts w:hint="eastAsia" w:ascii="仿宋_GB2312" w:hAnsi="仿宋" w:eastAsia="仿宋_GB2312" w:cs="宋体"/>
          <w:sz w:val="30"/>
          <w:szCs w:val="30"/>
          <w:u w:val="single"/>
          <w:lang w:val="en-US" w:eastAsia="zh-CN"/>
        </w:rPr>
        <w:t xml:space="preserve">  </w:t>
      </w:r>
      <w:r>
        <w:rPr>
          <w:rFonts w:hint="eastAsia" w:ascii="仿宋_GB2312" w:hAnsi="仿宋" w:eastAsia="仿宋_GB2312" w:cs="宋体"/>
          <w:sz w:val="30"/>
          <w:szCs w:val="30"/>
          <w:u w:val="single"/>
        </w:rPr>
        <w:t xml:space="preserve">  </w:t>
      </w:r>
      <w:r>
        <w:rPr>
          <w:rFonts w:hint="eastAsia" w:ascii="仿宋_GB2312" w:hAnsi="仿宋" w:eastAsia="仿宋_GB2312" w:cs="宋体"/>
          <w:sz w:val="30"/>
          <w:szCs w:val="30"/>
        </w:rPr>
        <w:t>元。待乙方将货物全部安装完毕并验收合格后20个工作日内无息退还；</w:t>
      </w:r>
    </w:p>
    <w:p>
      <w:pPr>
        <w:spacing w:line="360" w:lineRule="auto"/>
        <w:ind w:firstLine="600" w:firstLineChars="200"/>
        <w:rPr>
          <w:rFonts w:hint="eastAsia" w:ascii="仿宋_GB2312" w:hAnsi="仿宋" w:eastAsia="仿宋_GB2312" w:cs="宋体"/>
          <w:sz w:val="30"/>
          <w:szCs w:val="30"/>
          <w:lang w:val="en-US" w:eastAsia="zh-CN"/>
        </w:rPr>
      </w:pPr>
      <w:r>
        <w:rPr>
          <w:rFonts w:hint="eastAsia" w:ascii="仿宋_GB2312" w:hAnsi="仿宋" w:eastAsia="仿宋_GB2312" w:cs="宋体"/>
          <w:sz w:val="30"/>
          <w:szCs w:val="30"/>
        </w:rPr>
        <w:t>6.2 合同总价的</w:t>
      </w:r>
      <w:r>
        <w:rPr>
          <w:rFonts w:ascii="Calibri" w:hAnsi="Calibri" w:eastAsia="仿宋_GB2312" w:cs="Calibri"/>
          <w:sz w:val="30"/>
          <w:szCs w:val="30"/>
          <w:u w:val="single"/>
        </w:rPr>
        <w:t xml:space="preserve">  </w:t>
      </w:r>
      <w:r>
        <w:rPr>
          <w:rFonts w:hint="eastAsia" w:ascii="Calibri" w:hAnsi="Calibri" w:eastAsia="仿宋_GB2312" w:cs="Calibri"/>
          <w:sz w:val="30"/>
          <w:szCs w:val="30"/>
          <w:u w:val="single"/>
        </w:rPr>
        <w:t>5</w:t>
      </w:r>
      <w:r>
        <w:rPr>
          <w:rFonts w:ascii="Calibri" w:hAnsi="Calibri" w:eastAsia="仿宋_GB2312" w:cs="Calibri"/>
          <w:sz w:val="30"/>
          <w:szCs w:val="30"/>
          <w:u w:val="single"/>
        </w:rPr>
        <w:t xml:space="preserve">  </w:t>
      </w:r>
      <w:r>
        <w:rPr>
          <w:rFonts w:ascii="仿宋_GB2312" w:hAnsi="仿宋" w:eastAsia="仿宋_GB2312" w:cs="宋体"/>
          <w:sz w:val="30"/>
          <w:szCs w:val="30"/>
        </w:rPr>
        <w:t>%</w:t>
      </w:r>
      <w:r>
        <w:rPr>
          <w:rFonts w:hint="eastAsia" w:ascii="仿宋_GB2312" w:hAnsi="仿宋" w:eastAsia="仿宋_GB2312" w:cs="宋体"/>
          <w:sz w:val="30"/>
          <w:szCs w:val="30"/>
        </w:rPr>
        <w:t>为乙方所供货物的质量保证金，质保期满后，无质量问题后，</w:t>
      </w:r>
      <w:r>
        <w:rPr>
          <w:rFonts w:hint="eastAsia" w:ascii="仿宋_GB2312" w:hAnsi="仿宋" w:eastAsia="仿宋_GB2312" w:cs="宋体"/>
          <w:sz w:val="30"/>
          <w:szCs w:val="30"/>
          <w:lang w:val="en-US" w:eastAsia="zh-CN"/>
        </w:rPr>
        <w:t>按本合同7.2方式执行。</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6.3 保证金应由乙方名义开立的账户支付到甲方账户，否则视为未支付，甲方有权追究乙方逾期付款责任。</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6.4 乙方支付履约保证金时，应在“付款备注”中写明“（合同编号）重庆机场负载均衡设备采购合同履约保证金”。乙方不得与其他合同、其他缴费项目一起支付履约保证金，若因混合支付造成无法确认为本合同款项到账的，视为逾期未支付。</w:t>
      </w:r>
    </w:p>
    <w:p>
      <w:pPr>
        <w:spacing w:before="120" w:after="120" w:line="360" w:lineRule="auto"/>
        <w:ind w:firstLine="600" w:firstLineChars="200"/>
        <w:outlineLvl w:val="1"/>
        <w:rPr>
          <w:rFonts w:ascii="仿宋_GB2312" w:hAnsi="仿宋" w:eastAsia="黑体" w:cs="宋体"/>
          <w:sz w:val="30"/>
          <w:szCs w:val="30"/>
        </w:rPr>
      </w:pPr>
      <w:bookmarkStart w:id="9" w:name="_Toc25588106"/>
      <w:r>
        <w:rPr>
          <w:rFonts w:ascii="仿宋_GB2312" w:hAnsi="仿宋" w:eastAsia="黑体" w:cs="宋体"/>
          <w:sz w:val="30"/>
          <w:szCs w:val="30"/>
        </w:rPr>
        <w:t>第</w:t>
      </w:r>
      <w:r>
        <w:rPr>
          <w:rFonts w:hint="eastAsia" w:ascii="仿宋_GB2312" w:hAnsi="仿宋" w:eastAsia="黑体" w:cs="宋体"/>
          <w:sz w:val="30"/>
          <w:szCs w:val="30"/>
        </w:rPr>
        <w:t>七</w:t>
      </w:r>
      <w:r>
        <w:rPr>
          <w:rFonts w:ascii="仿宋_GB2312" w:hAnsi="仿宋" w:eastAsia="黑体" w:cs="宋体"/>
          <w:sz w:val="30"/>
          <w:szCs w:val="30"/>
        </w:rPr>
        <w:t>条 付款方式</w:t>
      </w:r>
      <w:bookmarkEnd w:id="9"/>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7.1</w:t>
      </w:r>
      <w:r>
        <w:rPr>
          <w:rFonts w:ascii="仿宋_GB2312" w:hAnsi="仿宋" w:eastAsia="仿宋_GB2312" w:cs="宋体"/>
          <w:sz w:val="30"/>
          <w:szCs w:val="30"/>
        </w:rPr>
        <w:t>合同标的物运至甲方现场</w:t>
      </w:r>
      <w:r>
        <w:rPr>
          <w:rFonts w:hint="eastAsia" w:ascii="仿宋_GB2312" w:hAnsi="仿宋" w:eastAsia="仿宋_GB2312" w:cs="宋体"/>
          <w:sz w:val="30"/>
          <w:szCs w:val="30"/>
        </w:rPr>
        <w:t>并安装调试验收完成</w:t>
      </w:r>
      <w:r>
        <w:rPr>
          <w:rFonts w:ascii="仿宋_GB2312" w:hAnsi="仿宋" w:eastAsia="仿宋_GB2312" w:cs="宋体"/>
          <w:sz w:val="30"/>
          <w:szCs w:val="30"/>
        </w:rPr>
        <w:t>，</w:t>
      </w:r>
      <w:r>
        <w:rPr>
          <w:rFonts w:hint="eastAsia" w:ascii="仿宋_GB2312" w:hAnsi="仿宋" w:eastAsia="仿宋_GB2312" w:cs="宋体"/>
          <w:sz w:val="30"/>
          <w:szCs w:val="30"/>
        </w:rPr>
        <w:t>甲方收到乙方开具全额增值税发票后，银行转账或开具银行承兑汇票</w:t>
      </w:r>
      <w:r>
        <w:rPr>
          <w:rFonts w:ascii="仿宋_GB2312" w:hAnsi="仿宋" w:eastAsia="仿宋_GB2312" w:cs="宋体"/>
          <w:sz w:val="30"/>
          <w:szCs w:val="30"/>
        </w:rPr>
        <w:t>支付合同总价款的95%</w:t>
      </w:r>
      <w:r>
        <w:rPr>
          <w:rFonts w:hint="eastAsia" w:ascii="仿宋_GB2312" w:hAnsi="仿宋" w:eastAsia="仿宋_GB2312" w:cs="宋体"/>
          <w:sz w:val="30"/>
          <w:szCs w:val="30"/>
        </w:rPr>
        <w:t>，退还履约保证金；</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7.2质保期满后</w:t>
      </w:r>
      <w:r>
        <w:rPr>
          <w:rFonts w:ascii="仿宋_GB2312" w:hAnsi="仿宋" w:eastAsia="仿宋_GB2312" w:cs="宋体"/>
          <w:sz w:val="30"/>
          <w:szCs w:val="30"/>
        </w:rPr>
        <w:t>，无任何质量问题，甲方</w:t>
      </w:r>
      <w:r>
        <w:rPr>
          <w:rFonts w:hint="eastAsia" w:ascii="仿宋_GB2312" w:hAnsi="仿宋" w:eastAsia="仿宋_GB2312" w:cs="宋体"/>
          <w:sz w:val="30"/>
          <w:szCs w:val="30"/>
        </w:rPr>
        <w:t>收到乙方提出付款申请后，支付剩余5%合同价</w:t>
      </w:r>
      <w:r>
        <w:rPr>
          <w:rFonts w:ascii="仿宋_GB2312" w:hAnsi="仿宋" w:eastAsia="仿宋_GB2312" w:cs="宋体"/>
          <w:sz w:val="30"/>
          <w:szCs w:val="30"/>
        </w:rPr>
        <w:t>款。</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7.3乙方需向甲方提供正规增值税发票。如果乙方提供增值税普通发票，甲方支付金额为不含增值税金额；如果乙方提供增值税专用发票，甲方支付金额</w:t>
      </w:r>
      <w:r>
        <w:rPr>
          <w:rFonts w:ascii="仿宋_GB2312" w:hAnsi="仿宋" w:eastAsia="仿宋_GB2312" w:cs="宋体"/>
          <w:sz w:val="30"/>
          <w:szCs w:val="30"/>
        </w:rPr>
        <w:t>=不含增值税金额+增值税税额。</w:t>
      </w:r>
    </w:p>
    <w:p>
      <w:pPr>
        <w:spacing w:before="120" w:after="120" w:line="360" w:lineRule="auto"/>
        <w:ind w:firstLine="600" w:firstLineChars="200"/>
        <w:outlineLvl w:val="1"/>
        <w:rPr>
          <w:rFonts w:ascii="仿宋_GB2312" w:hAnsi="仿宋" w:eastAsia="黑体" w:cs="宋体"/>
          <w:sz w:val="30"/>
          <w:szCs w:val="30"/>
        </w:rPr>
      </w:pPr>
      <w:bookmarkStart w:id="10" w:name="_Toc25588107"/>
      <w:r>
        <w:rPr>
          <w:rFonts w:ascii="仿宋_GB2312" w:hAnsi="仿宋" w:eastAsia="黑体" w:cs="宋体"/>
          <w:sz w:val="30"/>
          <w:szCs w:val="30"/>
        </w:rPr>
        <w:t>第</w:t>
      </w:r>
      <w:r>
        <w:rPr>
          <w:rFonts w:hint="eastAsia" w:ascii="仿宋_GB2312" w:hAnsi="仿宋" w:eastAsia="黑体" w:cs="宋体"/>
          <w:sz w:val="30"/>
          <w:szCs w:val="30"/>
        </w:rPr>
        <w:t>八</w:t>
      </w:r>
      <w:r>
        <w:rPr>
          <w:rFonts w:ascii="仿宋_GB2312" w:hAnsi="仿宋" w:eastAsia="黑体" w:cs="宋体"/>
          <w:sz w:val="30"/>
          <w:szCs w:val="30"/>
        </w:rPr>
        <w:t>条 违约和索赔</w:t>
      </w:r>
      <w:bookmarkEnd w:id="10"/>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8</w:t>
      </w:r>
      <w:r>
        <w:rPr>
          <w:rFonts w:ascii="仿宋_GB2312" w:hAnsi="仿宋" w:eastAsia="仿宋_GB2312" w:cs="宋体"/>
          <w:sz w:val="30"/>
          <w:szCs w:val="30"/>
        </w:rPr>
        <w:t>. 1乙方逾期交</w:t>
      </w:r>
      <w:r>
        <w:rPr>
          <w:rFonts w:hint="eastAsia" w:ascii="仿宋_GB2312" w:hAnsi="仿宋" w:eastAsia="仿宋_GB2312" w:cs="宋体"/>
          <w:sz w:val="30"/>
          <w:szCs w:val="30"/>
        </w:rPr>
        <w:t>货</w:t>
      </w:r>
      <w:r>
        <w:rPr>
          <w:rFonts w:ascii="仿宋_GB2312" w:hAnsi="仿宋" w:eastAsia="仿宋_GB2312" w:cs="宋体"/>
          <w:sz w:val="30"/>
          <w:szCs w:val="30"/>
        </w:rPr>
        <w:t>，乙方应向甲方偿付逾期交付违约金。逾期违约金按</w:t>
      </w:r>
      <w:r>
        <w:rPr>
          <w:rFonts w:hint="eastAsia" w:ascii="仿宋_GB2312" w:hAnsi="仿宋" w:eastAsia="仿宋_GB2312" w:cs="宋体"/>
          <w:sz w:val="30"/>
          <w:szCs w:val="30"/>
        </w:rPr>
        <w:t>照合同总价款每日万分之三计算。</w:t>
      </w:r>
      <w:r>
        <w:rPr>
          <w:rFonts w:ascii="仿宋_GB2312" w:hAnsi="仿宋" w:eastAsia="仿宋_GB2312" w:cs="宋体"/>
          <w:sz w:val="30"/>
          <w:szCs w:val="30"/>
        </w:rPr>
        <w:t>甲方可在</w:t>
      </w:r>
      <w:r>
        <w:rPr>
          <w:rFonts w:hint="eastAsia" w:ascii="仿宋_GB2312" w:hAnsi="仿宋" w:eastAsia="仿宋_GB2312" w:cs="宋体"/>
          <w:sz w:val="30"/>
          <w:szCs w:val="30"/>
        </w:rPr>
        <w:t>货物</w:t>
      </w:r>
      <w:r>
        <w:rPr>
          <w:rFonts w:ascii="仿宋_GB2312" w:hAnsi="仿宋" w:eastAsia="仿宋_GB2312" w:cs="宋体"/>
          <w:sz w:val="30"/>
          <w:szCs w:val="30"/>
        </w:rPr>
        <w:t>结算款中扣除。违约金尚不能补偿对方损失时，有权向对方追索实际损失的赔偿金。</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8</w:t>
      </w:r>
      <w:r>
        <w:rPr>
          <w:rFonts w:ascii="仿宋_GB2312" w:hAnsi="仿宋" w:eastAsia="仿宋_GB2312" w:cs="宋体"/>
          <w:sz w:val="30"/>
          <w:szCs w:val="30"/>
        </w:rPr>
        <w:t>.2 乙方</w:t>
      </w:r>
      <w:r>
        <w:rPr>
          <w:rFonts w:hint="eastAsia" w:ascii="仿宋_GB2312" w:hAnsi="仿宋" w:eastAsia="仿宋_GB2312" w:cs="宋体"/>
          <w:sz w:val="30"/>
          <w:szCs w:val="30"/>
        </w:rPr>
        <w:t>逾期交货，</w:t>
      </w:r>
      <w:r>
        <w:rPr>
          <w:rFonts w:ascii="仿宋_GB2312" w:hAnsi="仿宋" w:eastAsia="仿宋_GB2312" w:cs="宋体"/>
          <w:sz w:val="30"/>
          <w:szCs w:val="30"/>
        </w:rPr>
        <w:t>或不履行售后服务，</w:t>
      </w:r>
      <w:r>
        <w:rPr>
          <w:rFonts w:hint="eastAsia" w:ascii="仿宋_GB2312" w:hAnsi="仿宋" w:eastAsia="仿宋_GB2312" w:cs="宋体"/>
          <w:sz w:val="30"/>
          <w:szCs w:val="30"/>
        </w:rPr>
        <w:t>经甲方催告后仍不能履行的，</w:t>
      </w:r>
      <w:r>
        <w:rPr>
          <w:rFonts w:ascii="仿宋_GB2312" w:hAnsi="仿宋" w:eastAsia="仿宋_GB2312" w:cs="宋体"/>
          <w:sz w:val="30"/>
          <w:szCs w:val="30"/>
        </w:rPr>
        <w:t>甲方有权</w:t>
      </w:r>
      <w:r>
        <w:rPr>
          <w:rFonts w:hint="eastAsia" w:ascii="仿宋_GB2312" w:hAnsi="仿宋" w:eastAsia="仿宋_GB2312" w:cs="宋体"/>
          <w:sz w:val="30"/>
          <w:szCs w:val="30"/>
        </w:rPr>
        <w:t>解除合同，保证金作为违约金不予退还。保证金不足以弥补甲方损失的，甲方有权追偿。</w:t>
      </w:r>
    </w:p>
    <w:p>
      <w:pPr>
        <w:spacing w:line="360" w:lineRule="auto"/>
        <w:ind w:firstLine="600" w:firstLineChars="200"/>
        <w:rPr>
          <w:rFonts w:ascii="仿宋_GB2312" w:hAnsi="仿宋" w:eastAsia="仿宋_GB2312" w:cs="宋体"/>
          <w:bCs/>
          <w:sz w:val="30"/>
          <w:szCs w:val="30"/>
        </w:rPr>
      </w:pPr>
      <w:r>
        <w:rPr>
          <w:rFonts w:hint="eastAsia" w:ascii="仿宋_GB2312" w:hAnsi="仿宋" w:eastAsia="仿宋_GB2312" w:cs="宋体"/>
          <w:sz w:val="30"/>
          <w:szCs w:val="30"/>
        </w:rPr>
        <w:t>8</w:t>
      </w:r>
      <w:r>
        <w:rPr>
          <w:rFonts w:ascii="仿宋_GB2312" w:hAnsi="仿宋" w:eastAsia="仿宋_GB2312" w:cs="宋体"/>
          <w:sz w:val="30"/>
          <w:szCs w:val="30"/>
        </w:rPr>
        <w:t xml:space="preserve">.3 </w:t>
      </w:r>
      <w:r>
        <w:rPr>
          <w:rFonts w:hint="eastAsia" w:ascii="仿宋_GB2312" w:hAnsi="仿宋" w:eastAsia="仿宋_GB2312" w:cs="宋体"/>
          <w:bCs/>
          <w:sz w:val="30"/>
          <w:szCs w:val="30"/>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spacing w:line="360" w:lineRule="auto"/>
        <w:ind w:firstLine="600" w:firstLineChars="200"/>
        <w:rPr>
          <w:rFonts w:ascii="仿宋_GB2312" w:hAnsi="仿宋" w:eastAsia="仿宋_GB2312" w:cs="宋体"/>
          <w:bCs/>
          <w:sz w:val="30"/>
          <w:szCs w:val="30"/>
        </w:rPr>
      </w:pPr>
      <w:r>
        <w:rPr>
          <w:rFonts w:hint="eastAsia" w:ascii="仿宋_GB2312" w:hAnsi="仿宋" w:eastAsia="仿宋_GB2312" w:cs="宋体"/>
          <w:bCs/>
          <w:sz w:val="30"/>
          <w:szCs w:val="30"/>
        </w:rPr>
        <w:t>8.4因产品质量瑕疵或缺陷导致甲方或第三人损害的，甲方有权向乙方索赔。</w:t>
      </w:r>
    </w:p>
    <w:p>
      <w:pPr>
        <w:spacing w:before="120" w:after="120" w:line="360" w:lineRule="auto"/>
        <w:ind w:firstLine="600" w:firstLineChars="200"/>
        <w:outlineLvl w:val="1"/>
        <w:rPr>
          <w:rFonts w:ascii="仿宋_GB2312" w:hAnsi="仿宋" w:eastAsia="黑体" w:cs="宋体"/>
          <w:sz w:val="30"/>
          <w:szCs w:val="30"/>
        </w:rPr>
      </w:pPr>
      <w:bookmarkStart w:id="11" w:name="_Toc25588108"/>
      <w:r>
        <w:rPr>
          <w:rFonts w:ascii="仿宋_GB2312" w:hAnsi="仿宋" w:eastAsia="黑体" w:cs="宋体"/>
          <w:sz w:val="30"/>
          <w:szCs w:val="30"/>
        </w:rPr>
        <w:t>第</w:t>
      </w:r>
      <w:r>
        <w:rPr>
          <w:rFonts w:hint="eastAsia" w:ascii="仿宋_GB2312" w:hAnsi="仿宋" w:eastAsia="黑体" w:cs="宋体"/>
          <w:sz w:val="30"/>
          <w:szCs w:val="30"/>
        </w:rPr>
        <w:t>九</w:t>
      </w:r>
      <w:r>
        <w:rPr>
          <w:rFonts w:ascii="仿宋_GB2312" w:hAnsi="仿宋" w:eastAsia="黑体" w:cs="宋体"/>
          <w:sz w:val="30"/>
          <w:szCs w:val="30"/>
        </w:rPr>
        <w:t>条 不可抗力</w:t>
      </w:r>
      <w:bookmarkEnd w:id="11"/>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9</w:t>
      </w:r>
      <w:r>
        <w:rPr>
          <w:rFonts w:ascii="仿宋_GB2312" w:hAnsi="仿宋" w:eastAsia="仿宋_GB2312" w:cs="宋体"/>
          <w:sz w:val="30"/>
          <w:szCs w:val="30"/>
        </w:rPr>
        <w:t xml:space="preserve">.1 </w:t>
      </w:r>
      <w:r>
        <w:rPr>
          <w:rFonts w:hint="eastAsia" w:ascii="仿宋_GB2312" w:hAnsi="仿宋" w:eastAsia="仿宋_GB2312" w:cs="宋体"/>
          <w:sz w:val="30"/>
          <w:szCs w:val="30"/>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9</w:t>
      </w:r>
      <w:r>
        <w:rPr>
          <w:rFonts w:ascii="仿宋_GB2312" w:hAnsi="仿宋" w:eastAsia="仿宋_GB2312" w:cs="宋体"/>
          <w:sz w:val="30"/>
          <w:szCs w:val="30"/>
        </w:rPr>
        <w:t xml:space="preserve">.2 </w:t>
      </w:r>
      <w:r>
        <w:rPr>
          <w:rFonts w:hint="eastAsia" w:ascii="仿宋_GB2312" w:hAnsi="仿宋" w:eastAsia="仿宋_GB2312" w:cs="宋体"/>
          <w:sz w:val="30"/>
          <w:szCs w:val="30"/>
        </w:rPr>
        <w:t>因不可抗力的影响，使甲方或乙方无法正常履行本合同，经双方协商可终止本合同或修改本合同的执行，双方已履行部分应在履行方案确定后</w:t>
      </w:r>
      <w:r>
        <w:rPr>
          <w:rFonts w:ascii="仿宋_GB2312" w:hAnsi="仿宋" w:eastAsia="仿宋_GB2312" w:cs="宋体"/>
          <w:sz w:val="30"/>
          <w:szCs w:val="30"/>
        </w:rPr>
        <w:t>30个工作日内据实结算完毕。迟</w:t>
      </w:r>
      <w:r>
        <w:rPr>
          <w:rFonts w:hint="eastAsia" w:ascii="仿宋_GB2312" w:hAnsi="仿宋" w:eastAsia="仿宋_GB2312" w:cs="宋体"/>
          <w:sz w:val="30"/>
          <w:szCs w:val="30"/>
        </w:rPr>
        <w:t>延履行后发生不可抗力的，不能免除违约责任。</w:t>
      </w:r>
      <w:r>
        <w:rPr>
          <w:rFonts w:ascii="仿宋_GB2312" w:hAnsi="仿宋" w:eastAsia="仿宋_GB2312" w:cs="宋体"/>
          <w:sz w:val="30"/>
          <w:szCs w:val="30"/>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before="120" w:after="120" w:line="360" w:lineRule="auto"/>
        <w:ind w:firstLine="600" w:firstLineChars="200"/>
        <w:outlineLvl w:val="1"/>
        <w:rPr>
          <w:rFonts w:ascii="仿宋_GB2312" w:hAnsi="仿宋" w:eastAsia="黑体" w:cs="宋体"/>
          <w:sz w:val="30"/>
          <w:szCs w:val="30"/>
        </w:rPr>
      </w:pPr>
      <w:bookmarkStart w:id="12" w:name="_Toc25588109"/>
      <w:r>
        <w:rPr>
          <w:rFonts w:hint="eastAsia" w:ascii="仿宋_GB2312" w:hAnsi="仿宋" w:eastAsia="黑体" w:cs="宋体"/>
          <w:sz w:val="30"/>
          <w:szCs w:val="30"/>
        </w:rPr>
        <w:t>第十条 通知条款</w:t>
      </w:r>
      <w:bookmarkEnd w:id="12"/>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甲方指定的联系方式：</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联系人：</w:t>
      </w:r>
      <w:r>
        <w:rPr>
          <w:rFonts w:eastAsia="仿宋_GB2312"/>
          <w:sz w:val="30"/>
          <w:szCs w:val="30"/>
        </w:rPr>
        <w:t>_____________________________</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联系电话：</w:t>
      </w:r>
      <w:r>
        <w:rPr>
          <w:rFonts w:eastAsia="仿宋_GB2312"/>
          <w:sz w:val="30"/>
          <w:szCs w:val="30"/>
        </w:rPr>
        <w:t>___________________________</w:t>
      </w:r>
    </w:p>
    <w:p>
      <w:pPr>
        <w:spacing w:line="360" w:lineRule="auto"/>
        <w:ind w:firstLine="600" w:firstLineChars="200"/>
        <w:rPr>
          <w:rFonts w:eastAsia="仿宋_GB2312"/>
          <w:sz w:val="30"/>
          <w:szCs w:val="30"/>
        </w:rPr>
      </w:pPr>
      <w:r>
        <w:rPr>
          <w:rFonts w:hint="eastAsia" w:ascii="仿宋_GB2312" w:hAnsi="仿宋" w:eastAsia="仿宋_GB2312" w:cs="宋体"/>
          <w:sz w:val="30"/>
          <w:szCs w:val="30"/>
        </w:rPr>
        <w:t>通讯地址：</w:t>
      </w:r>
      <w:r>
        <w:rPr>
          <w:rFonts w:eastAsia="仿宋_GB2312"/>
          <w:sz w:val="30"/>
          <w:szCs w:val="30"/>
        </w:rPr>
        <w:t>___________________________</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电子邮件：</w:t>
      </w:r>
      <w:r>
        <w:rPr>
          <w:rFonts w:eastAsia="仿宋_GB2312"/>
          <w:sz w:val="30"/>
          <w:szCs w:val="30"/>
        </w:rPr>
        <w:t>___________________________</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乙方指定的联系方式：</w:t>
      </w:r>
    </w:p>
    <w:p>
      <w:pPr>
        <w:spacing w:line="360" w:lineRule="auto"/>
        <w:ind w:firstLine="600" w:firstLineChars="200"/>
        <w:rPr>
          <w:rFonts w:eastAsia="仿宋_GB2312"/>
          <w:sz w:val="30"/>
          <w:szCs w:val="30"/>
        </w:rPr>
      </w:pPr>
      <w:r>
        <w:rPr>
          <w:rFonts w:hint="eastAsia" w:ascii="仿宋_GB2312" w:hAnsi="仿宋" w:eastAsia="仿宋_GB2312" w:cs="宋体"/>
          <w:sz w:val="30"/>
          <w:szCs w:val="30"/>
        </w:rPr>
        <w:t>联系人：</w:t>
      </w:r>
      <w:r>
        <w:rPr>
          <w:rFonts w:eastAsia="仿宋_GB2312"/>
          <w:sz w:val="30"/>
          <w:szCs w:val="30"/>
        </w:rPr>
        <w:t>_____________________________</w:t>
      </w:r>
    </w:p>
    <w:p>
      <w:pPr>
        <w:spacing w:line="360" w:lineRule="auto"/>
        <w:ind w:firstLine="600" w:firstLineChars="200"/>
        <w:rPr>
          <w:rFonts w:eastAsia="仿宋_GB2312"/>
          <w:sz w:val="30"/>
          <w:szCs w:val="30"/>
        </w:rPr>
      </w:pPr>
      <w:r>
        <w:rPr>
          <w:rFonts w:hint="eastAsia" w:ascii="仿宋_GB2312" w:hAnsi="仿宋" w:eastAsia="仿宋_GB2312" w:cs="宋体"/>
          <w:sz w:val="30"/>
          <w:szCs w:val="30"/>
        </w:rPr>
        <w:t>联系电话：</w:t>
      </w:r>
      <w:r>
        <w:rPr>
          <w:rFonts w:eastAsia="仿宋_GB2312"/>
          <w:sz w:val="30"/>
          <w:szCs w:val="30"/>
        </w:rPr>
        <w:t>___________________________</w:t>
      </w:r>
    </w:p>
    <w:p>
      <w:pPr>
        <w:spacing w:line="360" w:lineRule="auto"/>
        <w:ind w:firstLine="600" w:firstLineChars="200"/>
        <w:rPr>
          <w:rFonts w:eastAsia="仿宋_GB2312"/>
          <w:sz w:val="30"/>
          <w:szCs w:val="30"/>
        </w:rPr>
      </w:pPr>
      <w:r>
        <w:rPr>
          <w:rFonts w:hint="eastAsia" w:ascii="仿宋_GB2312" w:hAnsi="仿宋" w:eastAsia="仿宋_GB2312" w:cs="宋体"/>
          <w:sz w:val="30"/>
          <w:szCs w:val="30"/>
        </w:rPr>
        <w:t>通讯地址：</w:t>
      </w:r>
      <w:r>
        <w:rPr>
          <w:rFonts w:eastAsia="仿宋_GB2312"/>
          <w:sz w:val="30"/>
          <w:szCs w:val="30"/>
        </w:rPr>
        <w:t>___________________________</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电子邮件：</w:t>
      </w:r>
      <w:r>
        <w:rPr>
          <w:rFonts w:eastAsia="仿宋_GB2312"/>
          <w:sz w:val="30"/>
          <w:szCs w:val="30"/>
        </w:rPr>
        <w:t>___________________________</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10</w:t>
      </w:r>
      <w:r>
        <w:rPr>
          <w:rFonts w:ascii="仿宋_GB2312" w:hAnsi="仿宋" w:eastAsia="仿宋_GB2312" w:cs="宋体"/>
          <w:sz w:val="30"/>
          <w:szCs w:val="30"/>
        </w:rPr>
        <w:t>.1采用当面签收的，应由合同中指定的联系人或双方授权的代表签收，签收日期即为送达时间。</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10</w:t>
      </w:r>
      <w:r>
        <w:rPr>
          <w:rFonts w:ascii="仿宋_GB2312" w:hAnsi="仿宋" w:eastAsia="仿宋_GB2312" w:cs="宋体"/>
          <w:sz w:val="30"/>
          <w:szCs w:val="30"/>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10</w:t>
      </w:r>
      <w:r>
        <w:rPr>
          <w:rFonts w:ascii="仿宋_GB2312" w:hAnsi="仿宋" w:eastAsia="仿宋_GB2312" w:cs="宋体"/>
          <w:sz w:val="30"/>
          <w:szCs w:val="30"/>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10</w:t>
      </w:r>
      <w:r>
        <w:rPr>
          <w:rFonts w:ascii="仿宋_GB2312" w:hAnsi="仿宋" w:eastAsia="仿宋_GB2312" w:cs="宋体"/>
          <w:sz w:val="30"/>
          <w:szCs w:val="30"/>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10</w:t>
      </w:r>
      <w:r>
        <w:rPr>
          <w:rFonts w:ascii="仿宋_GB2312" w:hAnsi="仿宋" w:eastAsia="仿宋_GB2312" w:cs="宋体"/>
          <w:sz w:val="30"/>
          <w:szCs w:val="30"/>
        </w:rPr>
        <w:t>.5收件一方若认为邮件封面标题与邮件中实际文件内容不符的，应在收到邮件后三日内通知相对人，逾期视为邮件封面标题与邮件中实际文件内容一致，并视为有效送达收件人。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10</w:t>
      </w:r>
      <w:r>
        <w:rPr>
          <w:rFonts w:ascii="仿宋_GB2312" w:hAnsi="仿宋" w:eastAsia="仿宋_GB2312" w:cs="宋体"/>
          <w:sz w:val="30"/>
          <w:szCs w:val="30"/>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10</w:t>
      </w:r>
      <w:r>
        <w:rPr>
          <w:rFonts w:ascii="仿宋_GB2312" w:hAnsi="仿宋" w:eastAsia="仿宋_GB2312" w:cs="宋体"/>
          <w:sz w:val="30"/>
          <w:szCs w:val="30"/>
        </w:rPr>
        <w:t>.7本合同约定的联系方式与送达方式同时可作为法律文书的联系方式与送达方式。</w:t>
      </w:r>
    </w:p>
    <w:p>
      <w:pPr>
        <w:spacing w:before="120" w:after="120" w:line="360" w:lineRule="auto"/>
        <w:ind w:firstLine="600" w:firstLineChars="200"/>
        <w:outlineLvl w:val="1"/>
        <w:rPr>
          <w:rFonts w:ascii="仿宋_GB2312" w:hAnsi="仿宋" w:eastAsia="黑体" w:cs="宋体"/>
          <w:sz w:val="30"/>
          <w:szCs w:val="30"/>
        </w:rPr>
      </w:pPr>
      <w:bookmarkStart w:id="13" w:name="_Toc25588110"/>
      <w:r>
        <w:rPr>
          <w:rFonts w:ascii="仿宋_GB2312" w:hAnsi="仿宋" w:eastAsia="黑体" w:cs="宋体"/>
          <w:sz w:val="30"/>
          <w:szCs w:val="30"/>
        </w:rPr>
        <w:t>第</w:t>
      </w:r>
      <w:r>
        <w:rPr>
          <w:rFonts w:hint="eastAsia" w:ascii="仿宋_GB2312" w:hAnsi="仿宋" w:eastAsia="黑体" w:cs="宋体"/>
          <w:sz w:val="30"/>
          <w:szCs w:val="30"/>
        </w:rPr>
        <w:t>十一</w:t>
      </w:r>
      <w:r>
        <w:rPr>
          <w:rFonts w:ascii="仿宋_GB2312" w:hAnsi="仿宋" w:eastAsia="黑体" w:cs="宋体"/>
          <w:sz w:val="30"/>
          <w:szCs w:val="30"/>
        </w:rPr>
        <w:t xml:space="preserve">条 </w:t>
      </w:r>
      <w:r>
        <w:rPr>
          <w:rFonts w:hint="eastAsia" w:ascii="仿宋_GB2312" w:hAnsi="仿宋" w:eastAsia="黑体" w:cs="宋体"/>
          <w:sz w:val="30"/>
          <w:szCs w:val="30"/>
        </w:rPr>
        <w:t>保密条款</w:t>
      </w:r>
      <w:bookmarkEnd w:id="13"/>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rFonts w:ascii="仿宋_GB2312" w:hAnsi="仿宋" w:eastAsia="仿宋_GB2312" w:cs="宋体"/>
          <w:sz w:val="30"/>
          <w:szCs w:val="30"/>
        </w:rPr>
        <w:t>。</w:t>
      </w:r>
    </w:p>
    <w:p>
      <w:pPr>
        <w:spacing w:before="120" w:after="120" w:line="360" w:lineRule="auto"/>
        <w:ind w:firstLine="600" w:firstLineChars="200"/>
        <w:outlineLvl w:val="1"/>
        <w:rPr>
          <w:rFonts w:ascii="仿宋_GB2312" w:hAnsi="仿宋" w:eastAsia="黑体" w:cs="宋体"/>
          <w:sz w:val="30"/>
          <w:szCs w:val="30"/>
        </w:rPr>
      </w:pPr>
      <w:bookmarkStart w:id="14" w:name="_Toc25588111"/>
      <w:r>
        <w:rPr>
          <w:rFonts w:ascii="仿宋_GB2312" w:hAnsi="仿宋" w:eastAsia="黑体" w:cs="宋体"/>
          <w:sz w:val="30"/>
          <w:szCs w:val="30"/>
        </w:rPr>
        <w:t>第</w:t>
      </w:r>
      <w:r>
        <w:rPr>
          <w:rFonts w:hint="eastAsia" w:ascii="仿宋_GB2312" w:hAnsi="仿宋" w:eastAsia="黑体" w:cs="宋体"/>
          <w:sz w:val="30"/>
          <w:szCs w:val="30"/>
        </w:rPr>
        <w:t>十二</w:t>
      </w:r>
      <w:r>
        <w:rPr>
          <w:rFonts w:ascii="仿宋_GB2312" w:hAnsi="仿宋" w:eastAsia="黑体" w:cs="宋体"/>
          <w:sz w:val="30"/>
          <w:szCs w:val="30"/>
        </w:rPr>
        <w:t xml:space="preserve">条 </w:t>
      </w:r>
      <w:r>
        <w:rPr>
          <w:rFonts w:hint="eastAsia" w:ascii="仿宋_GB2312" w:hAnsi="仿宋" w:eastAsia="黑体" w:cs="宋体"/>
          <w:sz w:val="30"/>
          <w:szCs w:val="30"/>
        </w:rPr>
        <w:t>合同争议的解决方式</w:t>
      </w:r>
      <w:bookmarkEnd w:id="14"/>
    </w:p>
    <w:p>
      <w:pPr>
        <w:spacing w:line="360" w:lineRule="auto"/>
        <w:ind w:firstLine="600" w:firstLineChars="200"/>
        <w:rPr>
          <w:rFonts w:ascii="仿宋_GB2312" w:hAnsi="仿宋" w:eastAsia="仿宋_GB2312" w:cs="宋体"/>
          <w:sz w:val="30"/>
          <w:szCs w:val="30"/>
        </w:rPr>
      </w:pPr>
      <w:r>
        <w:rPr>
          <w:rFonts w:ascii="仿宋_GB2312" w:hAnsi="仿宋" w:eastAsia="仿宋_GB2312" w:cs="宋体"/>
          <w:sz w:val="30"/>
          <w:szCs w:val="30"/>
        </w:rPr>
        <w:t>1</w:t>
      </w:r>
      <w:r>
        <w:rPr>
          <w:rFonts w:hint="eastAsia" w:ascii="仿宋_GB2312" w:hAnsi="仿宋" w:eastAsia="仿宋_GB2312" w:cs="宋体"/>
          <w:sz w:val="30"/>
          <w:szCs w:val="30"/>
        </w:rPr>
        <w:t>2</w:t>
      </w:r>
      <w:r>
        <w:rPr>
          <w:rFonts w:ascii="仿宋_GB2312" w:hAnsi="仿宋" w:eastAsia="仿宋_GB2312" w:cs="宋体"/>
          <w:sz w:val="30"/>
          <w:szCs w:val="30"/>
        </w:rPr>
        <w:t xml:space="preserve">.1 </w:t>
      </w:r>
      <w:r>
        <w:rPr>
          <w:rFonts w:hint="eastAsia" w:ascii="仿宋_GB2312" w:hAnsi="仿宋" w:eastAsia="仿宋_GB2312" w:cs="宋体"/>
          <w:sz w:val="30"/>
          <w:szCs w:val="30"/>
        </w:rPr>
        <w:t>若在合同履行过程中发生争议，甲乙双方应当友好协商解决，协商不成，按以下第（二</w:t>
      </w:r>
      <w:r>
        <w:rPr>
          <w:rFonts w:ascii="仿宋_GB2312" w:hAnsi="仿宋" w:eastAsia="仿宋_GB2312" w:cs="宋体"/>
          <w:sz w:val="30"/>
          <w:szCs w:val="30"/>
        </w:rPr>
        <w:t xml:space="preserve"> ） 种方式解决：</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（一）提交重庆仲裁委员会，按照申请仲裁时该会现行有效的仲裁规则进行仲裁。</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（二）向</w:t>
      </w:r>
      <w:r>
        <w:rPr>
          <w:rFonts w:ascii="仿宋_GB2312" w:hAnsi="仿宋" w:eastAsia="仿宋_GB2312" w:cs="宋体"/>
          <w:sz w:val="30"/>
          <w:szCs w:val="30"/>
        </w:rPr>
        <w:t>甲方所在地人民法院起诉。</w:t>
      </w:r>
    </w:p>
    <w:p>
      <w:pPr>
        <w:spacing w:line="360" w:lineRule="auto"/>
        <w:ind w:firstLine="600" w:firstLineChars="200"/>
        <w:rPr>
          <w:rFonts w:ascii="仿宋_GB2312" w:hAnsi="仿宋" w:eastAsia="仿宋_GB2312" w:cs="宋体"/>
          <w:sz w:val="30"/>
          <w:szCs w:val="30"/>
        </w:rPr>
      </w:pPr>
      <w:r>
        <w:rPr>
          <w:rFonts w:ascii="仿宋_GB2312" w:hAnsi="仿宋" w:eastAsia="仿宋_GB2312" w:cs="宋体"/>
          <w:sz w:val="30"/>
          <w:szCs w:val="30"/>
        </w:rPr>
        <w:t>1</w:t>
      </w:r>
      <w:r>
        <w:rPr>
          <w:rFonts w:hint="eastAsia" w:ascii="仿宋_GB2312" w:hAnsi="仿宋" w:eastAsia="仿宋_GB2312" w:cs="宋体"/>
          <w:sz w:val="30"/>
          <w:szCs w:val="30"/>
        </w:rPr>
        <w:t>2</w:t>
      </w:r>
      <w:r>
        <w:rPr>
          <w:rFonts w:ascii="仿宋_GB2312" w:hAnsi="仿宋" w:eastAsia="仿宋_GB2312" w:cs="宋体"/>
          <w:sz w:val="30"/>
          <w:szCs w:val="30"/>
        </w:rPr>
        <w:t>.2在诉讼期间，除正在进行诉讼的部分外，合同其它部分继续执行。</w:t>
      </w:r>
    </w:p>
    <w:p>
      <w:pPr>
        <w:spacing w:before="120" w:after="120" w:line="360" w:lineRule="auto"/>
        <w:ind w:firstLine="600" w:firstLineChars="200"/>
        <w:outlineLvl w:val="1"/>
        <w:rPr>
          <w:rFonts w:ascii="仿宋_GB2312" w:hAnsi="仿宋" w:eastAsia="黑体" w:cs="宋体"/>
          <w:sz w:val="30"/>
          <w:szCs w:val="30"/>
        </w:rPr>
      </w:pPr>
      <w:bookmarkStart w:id="15" w:name="_Toc25588112"/>
      <w:r>
        <w:rPr>
          <w:rFonts w:hint="eastAsia" w:ascii="仿宋_GB2312" w:hAnsi="仿宋" w:eastAsia="黑体" w:cs="宋体"/>
          <w:sz w:val="30"/>
          <w:szCs w:val="30"/>
        </w:rPr>
        <w:t xml:space="preserve">第十三条 </w:t>
      </w:r>
      <w:r>
        <w:rPr>
          <w:rFonts w:ascii="仿宋_GB2312" w:hAnsi="仿宋" w:eastAsia="黑体" w:cs="宋体"/>
          <w:sz w:val="30"/>
          <w:szCs w:val="30"/>
        </w:rPr>
        <w:t>合同的变更和解除</w:t>
      </w:r>
      <w:bookmarkEnd w:id="15"/>
    </w:p>
    <w:p>
      <w:pPr>
        <w:spacing w:line="360" w:lineRule="auto"/>
        <w:ind w:firstLine="600" w:firstLineChars="200"/>
        <w:rPr>
          <w:rFonts w:ascii="仿宋_GB2312" w:hAnsi="仿宋" w:eastAsia="仿宋_GB2312" w:cs="宋体"/>
          <w:sz w:val="30"/>
          <w:szCs w:val="30"/>
        </w:rPr>
      </w:pPr>
      <w:r>
        <w:rPr>
          <w:rFonts w:ascii="仿宋_GB2312" w:hAnsi="仿宋" w:eastAsia="仿宋_GB2312" w:cs="宋体"/>
          <w:sz w:val="30"/>
          <w:szCs w:val="30"/>
        </w:rPr>
        <w:t>1</w:t>
      </w:r>
      <w:r>
        <w:rPr>
          <w:rFonts w:hint="eastAsia" w:ascii="仿宋_GB2312" w:hAnsi="仿宋" w:eastAsia="仿宋_GB2312" w:cs="宋体"/>
          <w:sz w:val="30"/>
          <w:szCs w:val="30"/>
        </w:rPr>
        <w:t>3</w:t>
      </w:r>
      <w:r>
        <w:rPr>
          <w:rFonts w:ascii="仿宋_GB2312" w:hAnsi="仿宋" w:eastAsia="仿宋_GB2312" w:cs="宋体"/>
          <w:sz w:val="30"/>
          <w:szCs w:val="30"/>
        </w:rPr>
        <w:t>.1 本合同履行过程中，如果合同履行条件发生变化</w:t>
      </w:r>
      <w:r>
        <w:rPr>
          <w:rFonts w:hint="eastAsia" w:ascii="仿宋_GB2312" w:hAnsi="仿宋" w:eastAsia="仿宋_GB2312" w:cs="宋体"/>
          <w:sz w:val="30"/>
          <w:szCs w:val="30"/>
        </w:rPr>
        <w:t>，</w:t>
      </w:r>
      <w:r>
        <w:rPr>
          <w:rFonts w:ascii="仿宋_GB2312" w:hAnsi="仿宋" w:eastAsia="仿宋_GB2312" w:cs="宋体"/>
          <w:sz w:val="30"/>
          <w:szCs w:val="30"/>
        </w:rPr>
        <w:t>由双方进行协商，并以签订补充合同的方式加以确认，补充合同与本合同具有同等效力。若补充协议内容与本合同内容矛盾的，以时间在后的内容为准。</w:t>
      </w:r>
    </w:p>
    <w:p>
      <w:pPr>
        <w:spacing w:line="360" w:lineRule="auto"/>
        <w:ind w:firstLine="600" w:firstLineChars="200"/>
        <w:rPr>
          <w:rFonts w:ascii="仿宋_GB2312" w:hAnsi="仿宋" w:eastAsia="仿宋_GB2312" w:cs="宋体"/>
          <w:sz w:val="30"/>
          <w:szCs w:val="30"/>
        </w:rPr>
      </w:pPr>
      <w:r>
        <w:rPr>
          <w:rFonts w:ascii="仿宋_GB2312" w:hAnsi="仿宋" w:eastAsia="仿宋_GB2312" w:cs="宋体"/>
          <w:sz w:val="30"/>
          <w:szCs w:val="30"/>
        </w:rPr>
        <w:t>1</w:t>
      </w:r>
      <w:r>
        <w:rPr>
          <w:rFonts w:hint="eastAsia" w:ascii="仿宋_GB2312" w:hAnsi="仿宋" w:eastAsia="仿宋_GB2312" w:cs="宋体"/>
          <w:sz w:val="30"/>
          <w:szCs w:val="30"/>
        </w:rPr>
        <w:t>3</w:t>
      </w:r>
      <w:r>
        <w:rPr>
          <w:rFonts w:ascii="仿宋_GB2312" w:hAnsi="仿宋" w:eastAsia="仿宋_GB2312" w:cs="宋体"/>
          <w:sz w:val="30"/>
          <w:szCs w:val="30"/>
        </w:rPr>
        <w:t>.2 经双方协商一致，并达成书面合同后，本合同可以解除</w:t>
      </w:r>
      <w:r>
        <w:rPr>
          <w:rFonts w:hint="eastAsia" w:ascii="仿宋_GB2312" w:hAnsi="仿宋" w:eastAsia="仿宋_GB2312" w:cs="宋体"/>
          <w:sz w:val="30"/>
          <w:szCs w:val="30"/>
        </w:rPr>
        <w:t>，</w:t>
      </w:r>
      <w:r>
        <w:rPr>
          <w:rFonts w:ascii="仿宋_GB2312" w:hAnsi="仿宋" w:eastAsia="仿宋_GB2312" w:cs="宋体"/>
          <w:sz w:val="30"/>
          <w:szCs w:val="30"/>
        </w:rPr>
        <w:t>双方应就合同解除的后果在解约合同中一并做出约定。</w:t>
      </w:r>
      <w:r>
        <w:rPr>
          <w:rFonts w:hint="eastAsia" w:ascii="仿宋_GB2312" w:hAnsi="仿宋" w:eastAsia="仿宋_GB2312" w:cs="宋体"/>
          <w:sz w:val="30"/>
          <w:szCs w:val="30"/>
        </w:rPr>
        <w:t>一方也可根据合同约定单方行使合同解除权</w:t>
      </w:r>
      <w:r>
        <w:rPr>
          <w:rFonts w:ascii="仿宋_GB2312" w:hAnsi="仿宋" w:eastAsia="仿宋_GB2312" w:cs="宋体"/>
          <w:sz w:val="30"/>
          <w:szCs w:val="30"/>
        </w:rPr>
        <w:t>。</w:t>
      </w:r>
    </w:p>
    <w:p>
      <w:pPr>
        <w:spacing w:before="120" w:after="120" w:line="360" w:lineRule="auto"/>
        <w:ind w:firstLine="600" w:firstLineChars="200"/>
        <w:outlineLvl w:val="1"/>
        <w:rPr>
          <w:rFonts w:ascii="仿宋_GB2312" w:hAnsi="仿宋" w:eastAsia="黑体" w:cs="宋体"/>
          <w:sz w:val="30"/>
          <w:szCs w:val="30"/>
        </w:rPr>
      </w:pPr>
      <w:bookmarkStart w:id="16" w:name="_Toc25588113"/>
      <w:r>
        <w:rPr>
          <w:rFonts w:ascii="仿宋_GB2312" w:hAnsi="仿宋" w:eastAsia="黑体" w:cs="宋体"/>
          <w:sz w:val="30"/>
          <w:szCs w:val="30"/>
        </w:rPr>
        <w:t>第</w:t>
      </w:r>
      <w:r>
        <w:rPr>
          <w:rFonts w:hint="eastAsia" w:ascii="仿宋_GB2312" w:hAnsi="仿宋" w:eastAsia="黑体" w:cs="宋体"/>
          <w:sz w:val="30"/>
          <w:szCs w:val="30"/>
        </w:rPr>
        <w:t>十四</w:t>
      </w:r>
      <w:r>
        <w:rPr>
          <w:rFonts w:ascii="仿宋_GB2312" w:hAnsi="仿宋" w:eastAsia="黑体" w:cs="宋体"/>
          <w:sz w:val="30"/>
          <w:szCs w:val="30"/>
        </w:rPr>
        <w:t>条 合同生效及其他</w:t>
      </w:r>
      <w:bookmarkEnd w:id="16"/>
    </w:p>
    <w:p>
      <w:pPr>
        <w:spacing w:line="360" w:lineRule="auto"/>
        <w:ind w:firstLine="600" w:firstLineChars="200"/>
        <w:rPr>
          <w:rFonts w:ascii="仿宋_GB2312" w:hAnsi="仿宋" w:eastAsia="仿宋_GB2312" w:cs="宋体"/>
          <w:sz w:val="30"/>
          <w:szCs w:val="30"/>
        </w:rPr>
      </w:pPr>
      <w:r>
        <w:rPr>
          <w:rFonts w:ascii="仿宋_GB2312" w:hAnsi="仿宋" w:eastAsia="仿宋_GB2312" w:cs="宋体"/>
          <w:sz w:val="30"/>
          <w:szCs w:val="30"/>
        </w:rPr>
        <w:t>1</w:t>
      </w:r>
      <w:r>
        <w:rPr>
          <w:rFonts w:hint="eastAsia" w:ascii="仿宋_GB2312" w:hAnsi="仿宋" w:eastAsia="仿宋_GB2312" w:cs="宋体"/>
          <w:sz w:val="30"/>
          <w:szCs w:val="30"/>
        </w:rPr>
        <w:t>4</w:t>
      </w:r>
      <w:r>
        <w:rPr>
          <w:rFonts w:ascii="仿宋_GB2312" w:hAnsi="仿宋" w:eastAsia="仿宋_GB2312" w:cs="宋体"/>
          <w:sz w:val="30"/>
          <w:szCs w:val="30"/>
        </w:rPr>
        <w:t xml:space="preserve">.1 </w:t>
      </w:r>
      <w:r>
        <w:rPr>
          <w:rFonts w:hint="eastAsia" w:ascii="仿宋_GB2312" w:hAnsi="仿宋" w:eastAsia="仿宋_GB2312" w:cs="宋体"/>
          <w:sz w:val="30"/>
          <w:szCs w:val="30"/>
        </w:rPr>
        <w:t>乙方和甲方约定合同内容双方签字或盖章后生效，生效后不得以其他原因单方取消约定</w:t>
      </w:r>
      <w:r>
        <w:rPr>
          <w:rFonts w:ascii="仿宋_GB2312" w:hAnsi="仿宋" w:eastAsia="仿宋_GB2312" w:cs="宋体"/>
          <w:sz w:val="30"/>
          <w:szCs w:val="30"/>
        </w:rPr>
        <w:t>。</w:t>
      </w:r>
    </w:p>
    <w:p>
      <w:pPr>
        <w:spacing w:line="360" w:lineRule="auto"/>
        <w:ind w:firstLine="600" w:firstLineChars="200"/>
        <w:rPr>
          <w:rFonts w:ascii="仿宋_GB2312" w:hAnsi="仿宋" w:eastAsia="仿宋_GB2312" w:cs="宋体"/>
          <w:sz w:val="30"/>
          <w:szCs w:val="30"/>
        </w:rPr>
      </w:pPr>
      <w:r>
        <w:rPr>
          <w:rFonts w:ascii="仿宋_GB2312" w:hAnsi="仿宋" w:eastAsia="仿宋_GB2312" w:cs="宋体"/>
          <w:sz w:val="30"/>
          <w:szCs w:val="30"/>
        </w:rPr>
        <w:t>1</w:t>
      </w:r>
      <w:r>
        <w:rPr>
          <w:rFonts w:hint="eastAsia" w:ascii="仿宋_GB2312" w:hAnsi="仿宋" w:eastAsia="仿宋_GB2312" w:cs="宋体"/>
          <w:sz w:val="30"/>
          <w:szCs w:val="30"/>
        </w:rPr>
        <w:t>4</w:t>
      </w:r>
      <w:r>
        <w:rPr>
          <w:rFonts w:ascii="仿宋_GB2312" w:hAnsi="仿宋" w:eastAsia="仿宋_GB2312" w:cs="宋体"/>
          <w:sz w:val="30"/>
          <w:szCs w:val="30"/>
        </w:rPr>
        <w:t>.</w:t>
      </w:r>
      <w:r>
        <w:rPr>
          <w:rFonts w:hint="eastAsia" w:ascii="仿宋_GB2312" w:hAnsi="仿宋" w:eastAsia="仿宋_GB2312" w:cs="宋体"/>
          <w:sz w:val="30"/>
          <w:szCs w:val="30"/>
        </w:rPr>
        <w:t>2</w:t>
      </w:r>
      <w:r>
        <w:rPr>
          <w:rFonts w:ascii="仿宋_GB2312" w:hAnsi="仿宋" w:eastAsia="仿宋_GB2312" w:cs="宋体"/>
          <w:sz w:val="30"/>
          <w:szCs w:val="30"/>
        </w:rPr>
        <w:t xml:space="preserve"> 本合同一式</w:t>
      </w:r>
      <w:r>
        <w:rPr>
          <w:rFonts w:hint="eastAsia" w:ascii="仿宋_GB2312" w:hAnsi="仿宋" w:eastAsia="仿宋_GB2312" w:cs="宋体"/>
          <w:sz w:val="30"/>
          <w:szCs w:val="30"/>
        </w:rPr>
        <w:t>【柒】</w:t>
      </w:r>
      <w:r>
        <w:rPr>
          <w:rFonts w:ascii="仿宋_GB2312" w:hAnsi="仿宋" w:eastAsia="仿宋_GB2312" w:cs="宋体"/>
          <w:sz w:val="30"/>
          <w:szCs w:val="30"/>
        </w:rPr>
        <w:t>份，甲方执</w:t>
      </w:r>
      <w:r>
        <w:rPr>
          <w:rFonts w:hint="eastAsia" w:ascii="仿宋_GB2312" w:hAnsi="仿宋" w:eastAsia="仿宋_GB2312" w:cs="宋体"/>
          <w:sz w:val="30"/>
          <w:szCs w:val="30"/>
        </w:rPr>
        <w:t>【伍】</w:t>
      </w:r>
      <w:r>
        <w:rPr>
          <w:rFonts w:ascii="仿宋_GB2312" w:hAnsi="仿宋" w:eastAsia="仿宋_GB2312" w:cs="宋体"/>
          <w:sz w:val="30"/>
          <w:szCs w:val="30"/>
        </w:rPr>
        <w:t>份，乙方执</w:t>
      </w:r>
      <w:r>
        <w:rPr>
          <w:rFonts w:hint="eastAsia" w:ascii="仿宋_GB2312" w:hAnsi="仿宋" w:eastAsia="仿宋_GB2312" w:cs="宋体"/>
          <w:sz w:val="30"/>
          <w:szCs w:val="30"/>
        </w:rPr>
        <w:t>【贰】</w:t>
      </w:r>
      <w:r>
        <w:rPr>
          <w:rFonts w:ascii="仿宋_GB2312" w:hAnsi="仿宋" w:eastAsia="仿宋_GB2312" w:cs="宋体"/>
          <w:sz w:val="30"/>
          <w:szCs w:val="30"/>
        </w:rPr>
        <w:t>份</w:t>
      </w:r>
      <w:r>
        <w:rPr>
          <w:rFonts w:hint="eastAsia" w:ascii="仿宋_GB2312" w:hAnsi="仿宋" w:eastAsia="仿宋_GB2312" w:cs="宋体"/>
          <w:sz w:val="30"/>
          <w:szCs w:val="30"/>
        </w:rPr>
        <w:t>，具有同等法律效力</w:t>
      </w:r>
      <w:r>
        <w:rPr>
          <w:rFonts w:ascii="仿宋_GB2312" w:hAnsi="仿宋" w:eastAsia="仿宋_GB2312" w:cs="宋体"/>
          <w:sz w:val="30"/>
          <w:szCs w:val="30"/>
        </w:rPr>
        <w:t>。</w:t>
      </w:r>
    </w:p>
    <w:p>
      <w:pPr>
        <w:spacing w:line="360" w:lineRule="auto"/>
        <w:ind w:firstLine="600" w:firstLineChars="200"/>
        <w:rPr>
          <w:rFonts w:ascii="仿宋_GB2312" w:hAnsi="仿宋" w:eastAsia="仿宋_GB2312" w:cs="宋体"/>
          <w:sz w:val="30"/>
          <w:szCs w:val="30"/>
        </w:rPr>
      </w:pPr>
      <w:r>
        <w:rPr>
          <w:rFonts w:ascii="仿宋_GB2312" w:hAnsi="仿宋" w:eastAsia="仿宋_GB2312" w:cs="宋体"/>
          <w:sz w:val="30"/>
          <w:szCs w:val="30"/>
        </w:rPr>
        <w:br w:type="textWrapping"/>
      </w:r>
      <w:r>
        <w:rPr>
          <w:rFonts w:ascii="仿宋_GB2312" w:hAnsi="仿宋" w:eastAsia="仿宋_GB2312" w:cs="宋体"/>
          <w:b/>
          <w:bCs/>
          <w:sz w:val="30"/>
          <w:szCs w:val="30"/>
        </w:rPr>
        <w:t>甲方（盖章）：</w:t>
      </w:r>
    </w:p>
    <w:p>
      <w:pPr>
        <w:spacing w:line="360" w:lineRule="auto"/>
        <w:ind w:firstLine="600" w:firstLineChars="200"/>
        <w:rPr>
          <w:rFonts w:ascii="仿宋_GB2312" w:hAnsi="仿宋" w:eastAsia="仿宋_GB2312" w:cs="宋体"/>
          <w:sz w:val="30"/>
          <w:szCs w:val="30"/>
        </w:rPr>
      </w:pPr>
      <w:r>
        <w:rPr>
          <w:rFonts w:ascii="仿宋_GB2312" w:hAnsi="仿宋" w:eastAsia="仿宋_GB2312" w:cs="宋体"/>
          <w:sz w:val="30"/>
          <w:szCs w:val="30"/>
        </w:rPr>
        <w:t>法定代表人或授权代表（签字）：</w:t>
      </w:r>
    </w:p>
    <w:p>
      <w:pPr>
        <w:spacing w:line="360" w:lineRule="auto"/>
        <w:ind w:firstLine="600" w:firstLineChars="200"/>
        <w:rPr>
          <w:rFonts w:ascii="仿宋_GB2312" w:hAnsi="仿宋" w:eastAsia="仿宋_GB2312" w:cs="宋体"/>
          <w:sz w:val="30"/>
          <w:szCs w:val="30"/>
        </w:rPr>
      </w:pPr>
    </w:p>
    <w:p>
      <w:pPr>
        <w:spacing w:line="360" w:lineRule="auto"/>
        <w:ind w:firstLine="600" w:firstLineChars="200"/>
        <w:rPr>
          <w:rFonts w:ascii="仿宋_GB2312" w:hAnsi="仿宋" w:eastAsia="仿宋_GB2312" w:cs="宋体"/>
          <w:sz w:val="30"/>
          <w:szCs w:val="30"/>
        </w:rPr>
      </w:pPr>
      <w:r>
        <w:rPr>
          <w:rFonts w:ascii="仿宋_GB2312" w:hAnsi="仿宋" w:eastAsia="仿宋_GB2312" w:cs="宋体"/>
          <w:sz w:val="30"/>
          <w:szCs w:val="30"/>
        </w:rPr>
        <w:br w:type="textWrapping"/>
      </w:r>
      <w:r>
        <w:rPr>
          <w:rFonts w:ascii="仿宋_GB2312" w:hAnsi="仿宋" w:eastAsia="仿宋_GB2312" w:cs="宋体"/>
          <w:b/>
          <w:bCs/>
          <w:sz w:val="30"/>
          <w:szCs w:val="30"/>
        </w:rPr>
        <w:t>乙方（盖章）：</w:t>
      </w:r>
    </w:p>
    <w:p>
      <w:pPr>
        <w:spacing w:line="360" w:lineRule="auto"/>
        <w:ind w:firstLine="600" w:firstLineChars="200"/>
        <w:rPr>
          <w:rFonts w:ascii="等线" w:hAnsi="等线" w:eastAsia="等线" w:cs="宋体"/>
          <w:sz w:val="30"/>
          <w:szCs w:val="30"/>
        </w:rPr>
      </w:pPr>
      <w:r>
        <w:rPr>
          <w:rFonts w:ascii="仿宋_GB2312" w:hAnsi="仿宋" w:eastAsia="仿宋_GB2312" w:cs="宋体"/>
          <w:sz w:val="30"/>
          <w:szCs w:val="30"/>
        </w:rPr>
        <w:t>法定代表人或授权代表（签字）：</w:t>
      </w:r>
    </w:p>
    <w:p>
      <w:pPr>
        <w:snapToGrid w:val="0"/>
        <w:spacing w:line="360" w:lineRule="auto"/>
        <w:rPr>
          <w:rFonts w:ascii="仿宋" w:hAnsi="仿宋" w:eastAsia="仿宋"/>
          <w:sz w:val="30"/>
          <w:szCs w:val="30"/>
        </w:rPr>
      </w:pPr>
    </w:p>
    <w:p>
      <w:pPr>
        <w:widowControl/>
        <w:jc w:val="left"/>
        <w:rPr>
          <w:rFonts w:hint="eastAsia" w:ascii="仿宋" w:hAnsi="仿宋" w:eastAsia="仿宋"/>
          <w:b/>
          <w:bCs/>
          <w:sz w:val="28"/>
          <w:szCs w:val="28"/>
        </w:rPr>
      </w:pPr>
      <w:r>
        <w:rPr>
          <w:rFonts w:ascii="仿宋" w:hAnsi="仿宋" w:eastAsia="仿宋"/>
          <w:b/>
          <w:bCs/>
          <w:sz w:val="28"/>
          <w:szCs w:val="28"/>
        </w:rPr>
        <w:br w:type="page"/>
      </w: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color w:val="auto"/>
          <w:sz w:val="28"/>
          <w:szCs w:val="28"/>
        </w:rPr>
        <w:t>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bCs/>
          <w:sz w:val="28"/>
          <w:szCs w:val="28"/>
        </w:rPr>
      </w:pPr>
      <w:r>
        <w:rPr>
          <w:rFonts w:hint="eastAsia" w:ascii="仿宋" w:hAnsi="仿宋" w:eastAsia="仿宋"/>
          <w:b/>
          <w:bCs/>
          <w:sz w:val="28"/>
          <w:szCs w:val="28"/>
        </w:rPr>
        <w:br w:type="page"/>
      </w: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
      <w:pPr>
        <w:pStyle w:val="2"/>
      </w:pPr>
    </w:p>
    <w:p/>
    <w:p>
      <w:pPr>
        <w:pStyle w:val="2"/>
      </w:pPr>
    </w:p>
    <w:p/>
    <w:p>
      <w:pPr>
        <w:rPr>
          <w:rFonts w:ascii="Calibri" w:hAnsi="Calibri"/>
          <w:b/>
          <w:bCs/>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sz w:val="32"/>
          <w:szCs w:val="32"/>
        </w:rPr>
      </w:pPr>
      <w:r>
        <w:rPr>
          <w:rFonts w:hint="eastAsia" w:ascii="仿宋" w:hAnsi="仿宋" w:eastAsia="仿宋"/>
          <w:b/>
          <w:bCs/>
          <w:sz w:val="28"/>
          <w:szCs w:val="28"/>
        </w:rPr>
        <w:t>附被授权人代理人身份证复印件</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caps/>
        <w:sz w:val="21"/>
        <w:szCs w:val="21"/>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97472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pPr>
                            <w:pStyle w:val="8"/>
                            <w:rPr>
                              <w:rFonts w:eastAsiaTheme="minorEastAsia"/>
                            </w:rPr>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 共 </w:t>
                          </w:r>
                          <w:r>
                            <w:fldChar w:fldCharType="begin"/>
                          </w:r>
                          <w:r>
                            <w:instrText xml:space="preserve"> NUMPAGES  \* MERGEFORMAT </w:instrText>
                          </w:r>
                          <w:r>
                            <w:fldChar w:fldCharType="separate"/>
                          </w:r>
                          <w:r>
                            <w:t>27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75pt;mso-position-horizontal:right;mso-position-horizontal-relative:margin;mso-wrap-style:none;z-index:251659264;mso-width-relative:page;mso-height-relative:page;" filled="f" stroked="f" coordsize="21600,21600" o:gfxdata="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FrrD40gAAAAQBAAAPAAAA&#10;AAAAAAEAIAAAACIAAABkcnMvZG93bnJldi54bWxQSwECFAAUAAAACACHTuJAgSdVURsCAAATBAAA&#10;DgAAAAAAAAABACAAAAAhAQAAZHJzL2Uyb0RvYy54bWxQSwUGAAAAAAYABgBZAQAArgUAAAAA&#10;">
              <v:fill on="f" focussize="0,0"/>
              <v:stroke on="f" weight="0.5pt"/>
              <v:imagedata o:title=""/>
              <o:lock v:ext="edit" aspectratio="f"/>
              <v:textbox inset="0mm,0mm,0mm,0mm" style="mso-fit-shape-to-text:t;">
                <w:txbxContent>
                  <w:p>
                    <w:pPr>
                      <w:pStyle w:val="8"/>
                      <w:rPr>
                        <w:rFonts w:eastAsiaTheme="minorEastAsia"/>
                      </w:rPr>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 共 </w:t>
                    </w:r>
                    <w:r>
                      <w:fldChar w:fldCharType="begin"/>
                    </w:r>
                    <w:r>
                      <w:instrText xml:space="preserve"> NUMPAGES  \* MERGEFORMAT </w:instrText>
                    </w:r>
                    <w:r>
                      <w:fldChar w:fldCharType="separate"/>
                    </w:r>
                    <w:r>
                      <w:t>27</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19</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E6B2B"/>
    <w:multiLevelType w:val="multilevel"/>
    <w:tmpl w:val="4DEE6B2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CC8"/>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53E"/>
    <w:rsid w:val="000B7659"/>
    <w:rsid w:val="000C02DD"/>
    <w:rsid w:val="000D521A"/>
    <w:rsid w:val="000E2F2F"/>
    <w:rsid w:val="000E5E1E"/>
    <w:rsid w:val="000F3310"/>
    <w:rsid w:val="000F4E07"/>
    <w:rsid w:val="00103882"/>
    <w:rsid w:val="00103D6F"/>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05A"/>
    <w:rsid w:val="00192AF6"/>
    <w:rsid w:val="00196FD2"/>
    <w:rsid w:val="00197314"/>
    <w:rsid w:val="001C452E"/>
    <w:rsid w:val="001D0060"/>
    <w:rsid w:val="001E04F7"/>
    <w:rsid w:val="001E0DD3"/>
    <w:rsid w:val="001F2E0C"/>
    <w:rsid w:val="001F52E9"/>
    <w:rsid w:val="00202EEA"/>
    <w:rsid w:val="0020792F"/>
    <w:rsid w:val="002111D0"/>
    <w:rsid w:val="002146E5"/>
    <w:rsid w:val="002170C0"/>
    <w:rsid w:val="00223328"/>
    <w:rsid w:val="00224DEB"/>
    <w:rsid w:val="00230435"/>
    <w:rsid w:val="002334E4"/>
    <w:rsid w:val="002362BD"/>
    <w:rsid w:val="002369A5"/>
    <w:rsid w:val="002441FE"/>
    <w:rsid w:val="00264544"/>
    <w:rsid w:val="00266533"/>
    <w:rsid w:val="0028006E"/>
    <w:rsid w:val="002834F6"/>
    <w:rsid w:val="00286536"/>
    <w:rsid w:val="00287E0A"/>
    <w:rsid w:val="002B2F73"/>
    <w:rsid w:val="002B75E8"/>
    <w:rsid w:val="002C46DA"/>
    <w:rsid w:val="002C52F9"/>
    <w:rsid w:val="002D6F8E"/>
    <w:rsid w:val="002E5FDE"/>
    <w:rsid w:val="002F5A5B"/>
    <w:rsid w:val="002F6E00"/>
    <w:rsid w:val="002F7CA1"/>
    <w:rsid w:val="002F7F31"/>
    <w:rsid w:val="00300C2A"/>
    <w:rsid w:val="00306DDC"/>
    <w:rsid w:val="00311324"/>
    <w:rsid w:val="00317034"/>
    <w:rsid w:val="003308C4"/>
    <w:rsid w:val="00332BF8"/>
    <w:rsid w:val="00333793"/>
    <w:rsid w:val="00333BD0"/>
    <w:rsid w:val="00340E6F"/>
    <w:rsid w:val="0034710B"/>
    <w:rsid w:val="00347BDE"/>
    <w:rsid w:val="00351066"/>
    <w:rsid w:val="003534A4"/>
    <w:rsid w:val="00357C50"/>
    <w:rsid w:val="00370602"/>
    <w:rsid w:val="003723A5"/>
    <w:rsid w:val="00374978"/>
    <w:rsid w:val="00381031"/>
    <w:rsid w:val="003840CF"/>
    <w:rsid w:val="00391B61"/>
    <w:rsid w:val="0039200A"/>
    <w:rsid w:val="00392422"/>
    <w:rsid w:val="0039415B"/>
    <w:rsid w:val="00396376"/>
    <w:rsid w:val="003A2048"/>
    <w:rsid w:val="003A228A"/>
    <w:rsid w:val="003A2974"/>
    <w:rsid w:val="003A4373"/>
    <w:rsid w:val="003B3EA4"/>
    <w:rsid w:val="003B7133"/>
    <w:rsid w:val="003B79B9"/>
    <w:rsid w:val="003C7185"/>
    <w:rsid w:val="003D6803"/>
    <w:rsid w:val="003E074E"/>
    <w:rsid w:val="003E7FB7"/>
    <w:rsid w:val="003F0A60"/>
    <w:rsid w:val="003F0EB1"/>
    <w:rsid w:val="003F167C"/>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79F1"/>
    <w:rsid w:val="004E7A4A"/>
    <w:rsid w:val="004F2FAB"/>
    <w:rsid w:val="004F307F"/>
    <w:rsid w:val="004F3384"/>
    <w:rsid w:val="004F3F16"/>
    <w:rsid w:val="004F6B0B"/>
    <w:rsid w:val="0052266E"/>
    <w:rsid w:val="00550BF1"/>
    <w:rsid w:val="00566ECB"/>
    <w:rsid w:val="005766B4"/>
    <w:rsid w:val="0058393D"/>
    <w:rsid w:val="005863EB"/>
    <w:rsid w:val="00591811"/>
    <w:rsid w:val="005A5B24"/>
    <w:rsid w:val="005B0811"/>
    <w:rsid w:val="005B2C03"/>
    <w:rsid w:val="005B5E40"/>
    <w:rsid w:val="005B623B"/>
    <w:rsid w:val="005B6DF6"/>
    <w:rsid w:val="005B72F8"/>
    <w:rsid w:val="005C4CBA"/>
    <w:rsid w:val="005C7814"/>
    <w:rsid w:val="005C79AE"/>
    <w:rsid w:val="005D3B6B"/>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5E26"/>
    <w:rsid w:val="0066710E"/>
    <w:rsid w:val="0066722C"/>
    <w:rsid w:val="006700E0"/>
    <w:rsid w:val="0067214B"/>
    <w:rsid w:val="00677C64"/>
    <w:rsid w:val="00693C5F"/>
    <w:rsid w:val="00694CA2"/>
    <w:rsid w:val="00694E61"/>
    <w:rsid w:val="006964FC"/>
    <w:rsid w:val="006B78A8"/>
    <w:rsid w:val="006C49D1"/>
    <w:rsid w:val="006D17D4"/>
    <w:rsid w:val="006D7AC4"/>
    <w:rsid w:val="006E0BFC"/>
    <w:rsid w:val="006E55F4"/>
    <w:rsid w:val="006E7700"/>
    <w:rsid w:val="006E7EC8"/>
    <w:rsid w:val="006F0D23"/>
    <w:rsid w:val="00701961"/>
    <w:rsid w:val="0070395B"/>
    <w:rsid w:val="007058D7"/>
    <w:rsid w:val="007118BA"/>
    <w:rsid w:val="00722EF1"/>
    <w:rsid w:val="00736352"/>
    <w:rsid w:val="00741B15"/>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37D79"/>
    <w:rsid w:val="008602A9"/>
    <w:rsid w:val="00860574"/>
    <w:rsid w:val="0086704C"/>
    <w:rsid w:val="008760AC"/>
    <w:rsid w:val="008800A8"/>
    <w:rsid w:val="00883BBC"/>
    <w:rsid w:val="00883E00"/>
    <w:rsid w:val="00883F8F"/>
    <w:rsid w:val="008903C7"/>
    <w:rsid w:val="008913B8"/>
    <w:rsid w:val="008A0078"/>
    <w:rsid w:val="008A3A6F"/>
    <w:rsid w:val="008B073C"/>
    <w:rsid w:val="008B5D37"/>
    <w:rsid w:val="008C5EA9"/>
    <w:rsid w:val="008C74BC"/>
    <w:rsid w:val="008E2C9F"/>
    <w:rsid w:val="009153BB"/>
    <w:rsid w:val="009325DE"/>
    <w:rsid w:val="00941604"/>
    <w:rsid w:val="00942CCC"/>
    <w:rsid w:val="00956D31"/>
    <w:rsid w:val="0096421C"/>
    <w:rsid w:val="00973BDE"/>
    <w:rsid w:val="0098379E"/>
    <w:rsid w:val="009865AA"/>
    <w:rsid w:val="00990CE0"/>
    <w:rsid w:val="009B30A2"/>
    <w:rsid w:val="009B4B99"/>
    <w:rsid w:val="009C1103"/>
    <w:rsid w:val="009D00D9"/>
    <w:rsid w:val="009D1F92"/>
    <w:rsid w:val="009D5971"/>
    <w:rsid w:val="009E193A"/>
    <w:rsid w:val="009F1A57"/>
    <w:rsid w:val="00A06661"/>
    <w:rsid w:val="00A079DB"/>
    <w:rsid w:val="00A12488"/>
    <w:rsid w:val="00A2327E"/>
    <w:rsid w:val="00A279E1"/>
    <w:rsid w:val="00A307C5"/>
    <w:rsid w:val="00A410C8"/>
    <w:rsid w:val="00A51639"/>
    <w:rsid w:val="00A64B28"/>
    <w:rsid w:val="00A6743C"/>
    <w:rsid w:val="00A70F36"/>
    <w:rsid w:val="00A73150"/>
    <w:rsid w:val="00A73E6F"/>
    <w:rsid w:val="00A74F64"/>
    <w:rsid w:val="00A809A4"/>
    <w:rsid w:val="00A9211E"/>
    <w:rsid w:val="00AA3DFD"/>
    <w:rsid w:val="00AA7541"/>
    <w:rsid w:val="00AB18AB"/>
    <w:rsid w:val="00AC6169"/>
    <w:rsid w:val="00AD0062"/>
    <w:rsid w:val="00AD04F5"/>
    <w:rsid w:val="00AD1B3B"/>
    <w:rsid w:val="00AD3C9F"/>
    <w:rsid w:val="00AD460B"/>
    <w:rsid w:val="00AD5218"/>
    <w:rsid w:val="00AE1E61"/>
    <w:rsid w:val="00AE450D"/>
    <w:rsid w:val="00AF13E9"/>
    <w:rsid w:val="00AF1739"/>
    <w:rsid w:val="00AF6F3E"/>
    <w:rsid w:val="00B07E47"/>
    <w:rsid w:val="00B1393E"/>
    <w:rsid w:val="00B13BD8"/>
    <w:rsid w:val="00B22AD5"/>
    <w:rsid w:val="00B23001"/>
    <w:rsid w:val="00B27562"/>
    <w:rsid w:val="00B31151"/>
    <w:rsid w:val="00B3115C"/>
    <w:rsid w:val="00B44196"/>
    <w:rsid w:val="00B7070E"/>
    <w:rsid w:val="00B719CE"/>
    <w:rsid w:val="00B73FE8"/>
    <w:rsid w:val="00B75B2B"/>
    <w:rsid w:val="00B81C3E"/>
    <w:rsid w:val="00B83591"/>
    <w:rsid w:val="00BA0571"/>
    <w:rsid w:val="00BA1401"/>
    <w:rsid w:val="00BA1D26"/>
    <w:rsid w:val="00BA3661"/>
    <w:rsid w:val="00BA7A8A"/>
    <w:rsid w:val="00BB07FB"/>
    <w:rsid w:val="00BB0CC3"/>
    <w:rsid w:val="00BC0647"/>
    <w:rsid w:val="00BC4195"/>
    <w:rsid w:val="00BD6F11"/>
    <w:rsid w:val="00BE72AF"/>
    <w:rsid w:val="00BF544F"/>
    <w:rsid w:val="00C03881"/>
    <w:rsid w:val="00C062CB"/>
    <w:rsid w:val="00C075FD"/>
    <w:rsid w:val="00C25DD0"/>
    <w:rsid w:val="00C26752"/>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C4C22"/>
    <w:rsid w:val="00CE63A2"/>
    <w:rsid w:val="00CF5BF8"/>
    <w:rsid w:val="00CF7A22"/>
    <w:rsid w:val="00D125EB"/>
    <w:rsid w:val="00D149F1"/>
    <w:rsid w:val="00D45135"/>
    <w:rsid w:val="00D47F13"/>
    <w:rsid w:val="00D63B4A"/>
    <w:rsid w:val="00D64587"/>
    <w:rsid w:val="00D6507B"/>
    <w:rsid w:val="00D66438"/>
    <w:rsid w:val="00D75600"/>
    <w:rsid w:val="00D80CA9"/>
    <w:rsid w:val="00D81DC5"/>
    <w:rsid w:val="00D83800"/>
    <w:rsid w:val="00DA1CBE"/>
    <w:rsid w:val="00DB73DB"/>
    <w:rsid w:val="00DD501E"/>
    <w:rsid w:val="00DD6002"/>
    <w:rsid w:val="00DE57E2"/>
    <w:rsid w:val="00DF0117"/>
    <w:rsid w:val="00DF18B6"/>
    <w:rsid w:val="00DF642B"/>
    <w:rsid w:val="00DF6498"/>
    <w:rsid w:val="00E01F30"/>
    <w:rsid w:val="00E039E8"/>
    <w:rsid w:val="00E053CA"/>
    <w:rsid w:val="00E06C9E"/>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1F63"/>
    <w:rsid w:val="00E76761"/>
    <w:rsid w:val="00E77B0B"/>
    <w:rsid w:val="00E8758A"/>
    <w:rsid w:val="00E90678"/>
    <w:rsid w:val="00E91556"/>
    <w:rsid w:val="00E94D9E"/>
    <w:rsid w:val="00E96BE1"/>
    <w:rsid w:val="00EA4005"/>
    <w:rsid w:val="00EB0F23"/>
    <w:rsid w:val="00EB444A"/>
    <w:rsid w:val="00EC4E18"/>
    <w:rsid w:val="00EE616E"/>
    <w:rsid w:val="00F02E67"/>
    <w:rsid w:val="00F1365F"/>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2F41"/>
    <w:rsid w:val="00F74A15"/>
    <w:rsid w:val="00F77D17"/>
    <w:rsid w:val="00F8042D"/>
    <w:rsid w:val="00F85181"/>
    <w:rsid w:val="00FA17E2"/>
    <w:rsid w:val="00FA6503"/>
    <w:rsid w:val="00FB4220"/>
    <w:rsid w:val="00FC7961"/>
    <w:rsid w:val="00FD5645"/>
    <w:rsid w:val="00FD5A31"/>
    <w:rsid w:val="00FE7DA0"/>
    <w:rsid w:val="00FF1C7D"/>
    <w:rsid w:val="00FF5E49"/>
    <w:rsid w:val="018E717F"/>
    <w:rsid w:val="053A30F5"/>
    <w:rsid w:val="06926D13"/>
    <w:rsid w:val="06B0704C"/>
    <w:rsid w:val="07672918"/>
    <w:rsid w:val="097050E0"/>
    <w:rsid w:val="101B284F"/>
    <w:rsid w:val="12A53375"/>
    <w:rsid w:val="13A51C33"/>
    <w:rsid w:val="15925856"/>
    <w:rsid w:val="16301051"/>
    <w:rsid w:val="1AE76FFF"/>
    <w:rsid w:val="1C2D30C9"/>
    <w:rsid w:val="1E461309"/>
    <w:rsid w:val="1F35392A"/>
    <w:rsid w:val="212D69FF"/>
    <w:rsid w:val="2350563A"/>
    <w:rsid w:val="26DF36D3"/>
    <w:rsid w:val="29A84003"/>
    <w:rsid w:val="2B3542A3"/>
    <w:rsid w:val="2BD72CF4"/>
    <w:rsid w:val="38333537"/>
    <w:rsid w:val="38BA4CF1"/>
    <w:rsid w:val="38FA1B4F"/>
    <w:rsid w:val="3A175922"/>
    <w:rsid w:val="3A9C6630"/>
    <w:rsid w:val="3EC95C23"/>
    <w:rsid w:val="476A02AE"/>
    <w:rsid w:val="482F185E"/>
    <w:rsid w:val="4C0842E9"/>
    <w:rsid w:val="4F226B33"/>
    <w:rsid w:val="4F5A7728"/>
    <w:rsid w:val="5125584C"/>
    <w:rsid w:val="521C4028"/>
    <w:rsid w:val="54A1509F"/>
    <w:rsid w:val="56373ED6"/>
    <w:rsid w:val="57A71AC0"/>
    <w:rsid w:val="58094566"/>
    <w:rsid w:val="59AE32A4"/>
    <w:rsid w:val="5C3A4E1A"/>
    <w:rsid w:val="5F457474"/>
    <w:rsid w:val="60681418"/>
    <w:rsid w:val="667D7612"/>
    <w:rsid w:val="67F65044"/>
    <w:rsid w:val="697D23A3"/>
    <w:rsid w:val="6B995283"/>
    <w:rsid w:val="71193D3B"/>
    <w:rsid w:val="71A74B98"/>
    <w:rsid w:val="76ED7632"/>
    <w:rsid w:val="77611D7E"/>
    <w:rsid w:val="794774C6"/>
    <w:rsid w:val="7A424D83"/>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18"/>
    <w:qFormat/>
    <w:locked/>
    <w:uiPriority w:val="1"/>
    <w:pPr>
      <w:spacing w:before="120" w:after="120"/>
      <w:outlineLvl w:val="1"/>
    </w:pPr>
    <w:rPr>
      <w:rFonts w:eastAsia="黑体"/>
      <w:sz w:val="32"/>
    </w:rPr>
  </w:style>
  <w:style w:type="paragraph" w:styleId="5">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3">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alloon Text"/>
    <w:basedOn w:val="1"/>
    <w:link w:val="19"/>
    <w:qFormat/>
    <w:uiPriority w:val="99"/>
    <w:rPr>
      <w:sz w:val="18"/>
      <w:szCs w:val="18"/>
    </w:rPr>
  </w:style>
  <w:style w:type="paragraph" w:styleId="8">
    <w:name w:val="footer"/>
    <w:basedOn w:val="1"/>
    <w:link w:val="20"/>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99"/>
    <w:rPr>
      <w:rFonts w:ascii="Calibri" w:hAnsi="Calibri"/>
      <w:b/>
      <w:szCs w:val="20"/>
    </w:rPr>
  </w:style>
  <w:style w:type="paragraph" w:styleId="11">
    <w:name w:val="toc 2"/>
    <w:basedOn w:val="1"/>
    <w:next w:val="1"/>
    <w:unhideWhenUsed/>
    <w:qFormat/>
    <w:locked/>
    <w:uiPriority w:val="39"/>
    <w:pPr>
      <w:widowControl/>
      <w:spacing w:before="100" w:beforeAutospacing="1" w:after="100" w:afterAutospacing="1"/>
      <w:ind w:left="420" w:leftChars="200"/>
      <w:jc w:val="left"/>
    </w:pPr>
    <w:rPr>
      <w:rFonts w:asciiTheme="minorHAnsi" w:hAnsiTheme="minorHAnsi" w:eastAsiaTheme="minorEastAsia" w:cstheme="minorBidi"/>
      <w:kern w:val="0"/>
      <w:sz w:val="22"/>
      <w:szCs w:val="22"/>
      <w:lang w:eastAsia="en-US"/>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标题 1 字符"/>
    <w:basedOn w:val="13"/>
    <w:link w:val="3"/>
    <w:qFormat/>
    <w:uiPriority w:val="0"/>
    <w:rPr>
      <w:b/>
      <w:bCs/>
      <w:kern w:val="44"/>
      <w:sz w:val="44"/>
      <w:szCs w:val="44"/>
    </w:rPr>
  </w:style>
  <w:style w:type="character" w:customStyle="1" w:styleId="18">
    <w:name w:val="标题 2 字符"/>
    <w:basedOn w:val="13"/>
    <w:link w:val="4"/>
    <w:qFormat/>
    <w:uiPriority w:val="1"/>
    <w:rPr>
      <w:rFonts w:eastAsia="黑体"/>
      <w:kern w:val="2"/>
      <w:sz w:val="32"/>
      <w:szCs w:val="24"/>
    </w:rPr>
  </w:style>
  <w:style w:type="character" w:customStyle="1" w:styleId="19">
    <w:name w:val="批注框文本 字符"/>
    <w:basedOn w:val="13"/>
    <w:link w:val="7"/>
    <w:semiHidden/>
    <w:qFormat/>
    <w:locked/>
    <w:uiPriority w:val="99"/>
    <w:rPr>
      <w:rFonts w:ascii="Times New Roman" w:hAnsi="Times New Roman"/>
      <w:kern w:val="2"/>
      <w:sz w:val="18"/>
    </w:rPr>
  </w:style>
  <w:style w:type="character" w:customStyle="1" w:styleId="20">
    <w:name w:val="页脚 字符"/>
    <w:basedOn w:val="13"/>
    <w:link w:val="8"/>
    <w:qFormat/>
    <w:locked/>
    <w:uiPriority w:val="99"/>
    <w:rPr>
      <w:sz w:val="18"/>
    </w:rPr>
  </w:style>
  <w:style w:type="character" w:customStyle="1" w:styleId="21">
    <w:name w:val="页眉 字符"/>
    <w:basedOn w:val="13"/>
    <w:link w:val="9"/>
    <w:qFormat/>
    <w:locked/>
    <w:uiPriority w:val="99"/>
    <w:rPr>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paragraph" w:customStyle="1" w:styleId="27">
    <w:name w:val="zjb正文"/>
    <w:basedOn w:val="1"/>
    <w:link w:val="30"/>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customStyle="1" w:styleId="28">
    <w:name w:val="zjb標題1"/>
    <w:basedOn w:val="1"/>
    <w:link w:val="29"/>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character" w:customStyle="1" w:styleId="29">
    <w:name w:val="zjb標題1 字符"/>
    <w:basedOn w:val="13"/>
    <w:link w:val="28"/>
    <w:qFormat/>
    <w:uiPriority w:val="0"/>
    <w:rPr>
      <w:rFonts w:eastAsia="华文中宋"/>
      <w:b/>
      <w:color w:val="000000"/>
      <w:sz w:val="72"/>
      <w:szCs w:val="72"/>
      <w:lang w:eastAsia="en-US"/>
    </w:rPr>
  </w:style>
  <w:style w:type="character" w:customStyle="1" w:styleId="30">
    <w:name w:val="zjb正文 字符"/>
    <w:basedOn w:val="13"/>
    <w:link w:val="27"/>
    <w:qFormat/>
    <w:uiPriority w:val="0"/>
    <w:rPr>
      <w:rFonts w:ascii="仿宋_GB2312" w:hAnsi="仿宋" w:eastAsia="仿宋_GB2312" w:cs="宋体"/>
      <w:color w:val="000000"/>
      <w:sz w:val="30"/>
      <w:szCs w:val="30"/>
      <w:lang w:eastAsia="en-US"/>
    </w:rPr>
  </w:style>
  <w:style w:type="paragraph" w:styleId="31">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paragraph" w:customStyle="1" w:styleId="32">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3">
    <w:name w:val="Body text (2)_"/>
    <w:link w:val="34"/>
    <w:qFormat/>
    <w:uiPriority w:val="99"/>
    <w:rPr>
      <w:rFonts w:ascii="MingLiU" w:hAnsi="Calibri" w:eastAsia="MingLiU" w:cs="MingLiU"/>
      <w:sz w:val="30"/>
      <w:szCs w:val="30"/>
      <w:shd w:val="clear" w:color="auto" w:fill="FFFFFF"/>
    </w:rPr>
  </w:style>
  <w:style w:type="paragraph" w:customStyle="1" w:styleId="34">
    <w:name w:val="Body text (2)1"/>
    <w:basedOn w:val="1"/>
    <w:link w:val="33"/>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5ACB9C-A46E-4060-BA29-6D370CBABAD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2499</Words>
  <Characters>14249</Characters>
  <Lines>118</Lines>
  <Paragraphs>33</Paragraphs>
  <TotalTime>26</TotalTime>
  <ScaleCrop>false</ScaleCrop>
  <LinksUpToDate>false</LinksUpToDate>
  <CharactersWithSpaces>16715</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2021-10-11T07:58:00Z</dcterms:created>
  <dc:creator>syx</dc:creator>
  <cp:lastModifiedBy>重庆管理员</cp:lastModifiedBy>
  <cp:lastPrinted>2020-12-02T02:22:00Z</cp:lastPrinted>
  <dcterms:modified xsi:type="dcterms:W3CDTF">2021-11-05T01:27:59Z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28B2CC15BA7A463B8F6E1DE4B9361087</vt:lpwstr>
  </property>
</Properties>
</file>