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牛奶采购项目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二〇二一年</w:t>
      </w:r>
      <w:r>
        <w:rPr>
          <w:rFonts w:hint="eastAsia" w:ascii="仿宋_GB2312" w:hAnsi="仿宋_GB2312" w:eastAsia="仿宋_GB2312" w:cs="仿宋_GB2312"/>
          <w:color w:val="000000" w:themeColor="text1"/>
          <w:sz w:val="36"/>
          <w:szCs w:val="36"/>
          <w:lang w:eastAsia="zh-CN"/>
          <w14:textFill>
            <w14:solidFill>
              <w14:schemeClr w14:val="tx1"/>
            </w14:solidFill>
          </w14:textFill>
        </w:rPr>
        <w:t>十</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牛奶采购项目比选文件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航站楼要客区及两舱贵宾室为旅客提供的牛奶项目邀请符合相应条件的供应商就本项目进行比选。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1.1.2具有有效的营业执照，且经营范围涉及预包装饮品、食品，散装食品销售经营等相关内容（提供有效的营业执照复印件加盖企业鲜章）。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1.2.1项目简介：在重庆江北机场T2、T3航站楼要客区、两舱贵宾室为旅客提供牛奶。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重庆空港贵宾服务有限公司牛奶采购项目，经统计，两舱贵宾室全年牛奶使用量约为</w:t>
      </w:r>
      <w:r>
        <w:rPr>
          <w:rFonts w:ascii="方正仿宋_GBK" w:hAnsi="方正仿宋_GBK" w:eastAsia="方正仿宋_GBK" w:cs="方正仿宋_GBK"/>
          <w:color w:val="000000" w:themeColor="text1"/>
          <w:sz w:val="28"/>
          <w:szCs w:val="28"/>
          <w14:textFill>
            <w14:solidFill>
              <w14:schemeClr w14:val="tx1"/>
            </w14:solidFill>
          </w14:textFill>
        </w:rPr>
        <w:t>2690</w:t>
      </w:r>
      <w:r>
        <w:rPr>
          <w:rFonts w:hint="eastAsia" w:ascii="方正仿宋_GBK" w:hAnsi="方正仿宋_GBK" w:eastAsia="方正仿宋_GBK" w:cs="方正仿宋_GBK"/>
          <w:color w:val="000000" w:themeColor="text1"/>
          <w:sz w:val="28"/>
          <w:szCs w:val="28"/>
          <w14:textFill>
            <w14:solidFill>
              <w14:schemeClr w14:val="tx1"/>
            </w14:solidFill>
          </w14:textFill>
        </w:rPr>
        <w:t>件（每件</w:t>
      </w:r>
      <w:r>
        <w:rPr>
          <w:rFonts w:ascii="方正仿宋_GBK" w:hAnsi="方正仿宋_GBK" w:eastAsia="方正仿宋_GBK" w:cs="方正仿宋_GBK"/>
          <w:color w:val="000000" w:themeColor="text1"/>
          <w:sz w:val="28"/>
          <w:szCs w:val="28"/>
          <w14:textFill>
            <w14:solidFill>
              <w14:schemeClr w14:val="tx1"/>
            </w14:solidFill>
          </w14:textFill>
        </w:rPr>
        <w:t>24</w:t>
      </w:r>
      <w:r>
        <w:rPr>
          <w:rFonts w:hint="eastAsia" w:ascii="方正仿宋_GBK" w:hAnsi="方正仿宋_GBK" w:eastAsia="方正仿宋_GBK" w:cs="方正仿宋_GBK"/>
          <w:color w:val="000000" w:themeColor="text1"/>
          <w:sz w:val="28"/>
          <w:szCs w:val="28"/>
          <w14:textFill>
            <w14:solidFill>
              <w14:schemeClr w14:val="tx1"/>
            </w14:solidFill>
          </w14:textFill>
        </w:rPr>
        <w:t>盒，每盒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r>
        <w:rPr>
          <w:rFonts w:ascii="方正仿宋_GBK" w:hAnsi="方正仿宋_GBK" w:eastAsia="方正仿宋_GBK" w:cs="方正仿宋_GBK"/>
          <w:color w:val="000000" w:themeColor="text1"/>
          <w:sz w:val="28"/>
          <w:szCs w:val="28"/>
          <w14:textFill>
            <w14:solidFill>
              <w14:schemeClr w14:val="tx1"/>
            </w14:solidFill>
          </w14:textFill>
        </w:rPr>
        <w:t>-250ML</w:t>
      </w:r>
      <w:r>
        <w:rPr>
          <w:rFonts w:hint="eastAsia" w:ascii="方正仿宋_GBK" w:hAnsi="方正仿宋_GBK" w:eastAsia="方正仿宋_GBK" w:cs="方正仿宋_GBK"/>
          <w:color w:val="000000" w:themeColor="text1"/>
          <w:sz w:val="28"/>
          <w:szCs w:val="28"/>
          <w14:textFill>
            <w14:solidFill>
              <w14:schemeClr w14:val="tx1"/>
            </w14:solidFill>
          </w14:textFill>
        </w:rPr>
        <w:t>），要客区全年牛奶使用量约为</w:t>
      </w:r>
      <w:r>
        <w:rPr>
          <w:rFonts w:ascii="方正仿宋_GBK" w:hAnsi="方正仿宋_GBK" w:eastAsia="方正仿宋_GBK" w:cs="方正仿宋_GBK"/>
          <w:color w:val="000000" w:themeColor="text1"/>
          <w:sz w:val="28"/>
          <w:szCs w:val="28"/>
          <w14:textFill>
            <w14:solidFill>
              <w14:schemeClr w14:val="tx1"/>
            </w14:solidFill>
          </w14:textFill>
        </w:rPr>
        <w:t>500</w:t>
      </w:r>
      <w:r>
        <w:rPr>
          <w:rFonts w:hint="eastAsia" w:ascii="方正仿宋_GBK" w:hAnsi="方正仿宋_GBK" w:eastAsia="方正仿宋_GBK" w:cs="方正仿宋_GBK"/>
          <w:color w:val="000000" w:themeColor="text1"/>
          <w:sz w:val="28"/>
          <w:szCs w:val="28"/>
          <w14:textFill>
            <w14:solidFill>
              <w14:schemeClr w14:val="tx1"/>
            </w14:solidFill>
          </w14:textFill>
        </w:rPr>
        <w:t>件（每件</w:t>
      </w:r>
      <w:r>
        <w:rPr>
          <w:rFonts w:ascii="方正仿宋_GBK" w:hAnsi="方正仿宋_GBK" w:eastAsia="方正仿宋_GBK" w:cs="方正仿宋_GBK"/>
          <w:color w:val="000000" w:themeColor="text1"/>
          <w:sz w:val="28"/>
          <w:szCs w:val="28"/>
          <w14:textFill>
            <w14:solidFill>
              <w14:schemeClr w14:val="tx1"/>
            </w14:solidFill>
          </w14:textFill>
        </w:rPr>
        <w:t>24</w:t>
      </w:r>
      <w:r>
        <w:rPr>
          <w:rFonts w:hint="eastAsia" w:ascii="方正仿宋_GBK" w:hAnsi="方正仿宋_GBK" w:eastAsia="方正仿宋_GBK" w:cs="方正仿宋_GBK"/>
          <w:color w:val="000000" w:themeColor="text1"/>
          <w:sz w:val="28"/>
          <w:szCs w:val="28"/>
          <w14:textFill>
            <w14:solidFill>
              <w14:schemeClr w14:val="tx1"/>
            </w14:solidFill>
          </w14:textFill>
        </w:rPr>
        <w:t>盒，每盒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r>
        <w:rPr>
          <w:rFonts w:ascii="方正仿宋_GBK" w:hAnsi="方正仿宋_GBK" w:eastAsia="方正仿宋_GBK" w:cs="方正仿宋_GBK"/>
          <w:color w:val="000000" w:themeColor="text1"/>
          <w:sz w:val="28"/>
          <w:szCs w:val="28"/>
          <w14:textFill>
            <w14:solidFill>
              <w14:schemeClr w14:val="tx1"/>
            </w14:solidFill>
          </w14:textFill>
        </w:rPr>
        <w:t>-250ML</w:t>
      </w:r>
      <w:r>
        <w:rPr>
          <w:rFonts w:hint="eastAsia" w:ascii="方正仿宋_GBK" w:hAnsi="方正仿宋_GBK" w:eastAsia="方正仿宋_GBK" w:cs="方正仿宋_GBK"/>
          <w:color w:val="000000" w:themeColor="text1"/>
          <w:sz w:val="28"/>
          <w:szCs w:val="28"/>
          <w14:textFill>
            <w14:solidFill>
              <w14:schemeClr w14:val="tx1"/>
            </w14:solidFill>
          </w14:textFill>
        </w:rPr>
        <w:t>），合计全年使用量约为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3190</w:t>
      </w:r>
      <w:r>
        <w:rPr>
          <w:rFonts w:hint="eastAsia" w:ascii="方正仿宋_GBK" w:hAnsi="方正仿宋_GBK" w:eastAsia="方正仿宋_GBK" w:cs="方正仿宋_GBK"/>
          <w:color w:val="000000" w:themeColor="text1"/>
          <w:sz w:val="28"/>
          <w:szCs w:val="28"/>
          <w14:textFill>
            <w14:solidFill>
              <w14:schemeClr w14:val="tx1"/>
            </w14:solidFill>
          </w14:textFill>
        </w:rPr>
        <w:t>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124600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元（大写金额：拾贰万肆仟陆佰元整），超过最高限价，将取消比选响应方的比选资格。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1.2.4.1项目要求：响应人所提供产品质量必须要符合《食品安全法》《食品生产通用卫生规范》等法律法规要求，无不合格物品。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1.2.4.2产品标准、卫生标准，符合国家食品安全卫生要求和抽样检验，符合食品卫生标准，无不合格检验披露。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规格（件/盒/ML）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39.05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48.01</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备注：2</w:t>
      </w:r>
      <w:r>
        <w:rPr>
          <w:rFonts w:ascii="方正仿宋_GBK" w:hAnsi="方正仿宋_GBK" w:eastAsia="方正仿宋_GBK" w:cs="方正仿宋_GBK"/>
          <w:color w:val="000000" w:themeColor="text1"/>
          <w:sz w:val="28"/>
          <w:szCs w:val="28"/>
          <w:lang w:val="en-GB"/>
          <w14:textFill>
            <w14:solidFill>
              <w14:schemeClr w14:val="tx1"/>
            </w14:solidFill>
          </w14:textFill>
        </w:rPr>
        <w:t>50ML</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/盒规格的牛奶仅作为当2</w:t>
      </w:r>
      <w:r>
        <w:rPr>
          <w:rFonts w:ascii="方正仿宋_GBK" w:hAnsi="方正仿宋_GBK" w:eastAsia="方正仿宋_GBK" w:cs="方正仿宋_GBK"/>
          <w:color w:val="000000" w:themeColor="text1"/>
          <w:sz w:val="28"/>
          <w:szCs w:val="28"/>
          <w:lang w:val="en-GB"/>
          <w14:textFill>
            <w14:solidFill>
              <w14:schemeClr w14:val="tx1"/>
            </w14:solidFill>
          </w14:textFill>
        </w:rPr>
        <w:t>00ML/</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盒牛奶缺货时的备用产品。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2.2响应人须提供合格有效的《食品流通许可证》或《食品经营许可证》。（提供《食品流通许可证》或《食品经营许可证》副本复印件加盖鲜章）。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2500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6000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7.2采用通知送货形式，供货方需在24小时内将牛奶送达指定位置。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电话：023-67153609</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bookmarkStart w:id="1" w:name="_GoBack"/>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牛奶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牛奶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规格（件/盒/ML）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（3）我方将严格遵守《中华人民共和国食品安全法》《餐饮业和集体用餐配送单位卫生规范》等相关法律法规的规定。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将依法承担相应的产品质量责任，主动接受政府职能部门和采购人监督和检查，认真强化和落实食品安全第一责任人的规定，加强食品安全管理。若因我方配送的商品造成食物中毒、食用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（6）我方保证建立食品及原料采购索证和验收制度；保证从食品原料采购、食品加工销售，实施有效的全过程质量管理；保证所采购的食品及其原料索取发票，有效证件与记录相一致。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（7）我方保证不使用不符合国家《食品添加剂使用卫生标准》以及未列入国家新增品种公告目录的食品添加剂；不采购使用无卫生许可证的食品添加剂；不超范围、不超剂量滥用食品添加剂。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 我方保证不采购使用标签标识不全，以及包装破损或超过保质期的食品。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（10）我方若配送不合格商品，或配送的食品造成了安全事故，采购人有权单方面中止与我方达成的购货协议，且不承担由此给我方带来的损失。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牛奶报价表</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1B30DB"/>
    <w:rsid w:val="001D3ABB"/>
    <w:rsid w:val="002317A3"/>
    <w:rsid w:val="00347A32"/>
    <w:rsid w:val="00381729"/>
    <w:rsid w:val="003E2D11"/>
    <w:rsid w:val="00433235"/>
    <w:rsid w:val="00455DB0"/>
    <w:rsid w:val="00580F6B"/>
    <w:rsid w:val="0059344F"/>
    <w:rsid w:val="005D74AB"/>
    <w:rsid w:val="005F695E"/>
    <w:rsid w:val="00630F6A"/>
    <w:rsid w:val="006D385A"/>
    <w:rsid w:val="006E605F"/>
    <w:rsid w:val="00792E85"/>
    <w:rsid w:val="00797197"/>
    <w:rsid w:val="007A122E"/>
    <w:rsid w:val="007C6001"/>
    <w:rsid w:val="008063AD"/>
    <w:rsid w:val="00871074"/>
    <w:rsid w:val="008B171F"/>
    <w:rsid w:val="009615FB"/>
    <w:rsid w:val="00994965"/>
    <w:rsid w:val="009B00DA"/>
    <w:rsid w:val="009C084A"/>
    <w:rsid w:val="00A82597"/>
    <w:rsid w:val="00B701C0"/>
    <w:rsid w:val="00B75C39"/>
    <w:rsid w:val="00BA14B0"/>
    <w:rsid w:val="00BD5C20"/>
    <w:rsid w:val="00C30923"/>
    <w:rsid w:val="00C3221A"/>
    <w:rsid w:val="00CF6D7B"/>
    <w:rsid w:val="00D63796"/>
    <w:rsid w:val="00D90718"/>
    <w:rsid w:val="00DD2DDB"/>
    <w:rsid w:val="00FD7924"/>
    <w:rsid w:val="07B63546"/>
    <w:rsid w:val="0CB16337"/>
    <w:rsid w:val="0D093610"/>
    <w:rsid w:val="113E4D46"/>
    <w:rsid w:val="122C3CE3"/>
    <w:rsid w:val="1514228F"/>
    <w:rsid w:val="17EC7CEA"/>
    <w:rsid w:val="1A647CD4"/>
    <w:rsid w:val="1C196F4A"/>
    <w:rsid w:val="20BC606A"/>
    <w:rsid w:val="234C1F8D"/>
    <w:rsid w:val="2ABD7C9D"/>
    <w:rsid w:val="2DB3043F"/>
    <w:rsid w:val="2DFD1F35"/>
    <w:rsid w:val="2E800F2C"/>
    <w:rsid w:val="38CE7C1E"/>
    <w:rsid w:val="38E97072"/>
    <w:rsid w:val="3A822364"/>
    <w:rsid w:val="3AD670EE"/>
    <w:rsid w:val="3CF753F7"/>
    <w:rsid w:val="41A501D7"/>
    <w:rsid w:val="424B4AF8"/>
    <w:rsid w:val="42AC4422"/>
    <w:rsid w:val="43D54B50"/>
    <w:rsid w:val="44085948"/>
    <w:rsid w:val="4B8372DA"/>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1716</Words>
  <Characters>9783</Characters>
  <Lines>81</Lines>
  <Paragraphs>22</Paragraphs>
  <TotalTime>187</TotalTime>
  <ScaleCrop>false</ScaleCrop>
  <LinksUpToDate>false</LinksUpToDate>
  <CharactersWithSpaces>11477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2021-07-08T08:03:00Z</cp:lastPrinted>
  <dcterms:modified xsi:type="dcterms:W3CDTF">2021-10-25T02:09:01Z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