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ERP副本数据管理一体机采购项目</w:t>
      </w: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lang w:val="zh-CN"/>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编号：</w:t>
      </w:r>
      <w:r>
        <w:rPr>
          <w:rFonts w:hint="eastAsia" w:ascii="仿宋_GB2312" w:hAnsi="仿宋" w:eastAsia="仿宋_GB2312" w:cs="宋体"/>
          <w:b/>
          <w:bCs/>
          <w:color w:val="000000"/>
          <w:sz w:val="36"/>
          <w:szCs w:val="36"/>
          <w:lang w:val="en-US" w:eastAsia="zh-CN"/>
        </w:rPr>
        <w:t>设备 2021-002</w:t>
      </w:r>
      <w:r>
        <w:rPr>
          <w:rFonts w:ascii="仿宋_GB2312" w:hAnsi="仿宋" w:eastAsia="仿宋_GB2312" w:cs="宋体"/>
          <w:b/>
          <w:bCs/>
          <w:color w:val="000000"/>
          <w:sz w:val="36"/>
          <w:szCs w:val="36"/>
          <w:lang w:val="zh-CN"/>
        </w:rPr>
        <w:t xml:space="preserve"> </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重庆机场集团有限公司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采购办公室（代章）</w:t>
      </w:r>
    </w:p>
    <w:p>
      <w:pPr>
        <w:rPr>
          <w:rFonts w:ascii="仿宋" w:hAnsi="仿宋" w:eastAsia="仿宋"/>
          <w:b/>
          <w:color w:val="000000"/>
          <w:sz w:val="32"/>
          <w:szCs w:val="32"/>
        </w:rPr>
      </w:pP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二〇二一年</w:t>
      </w:r>
      <w:r>
        <w:rPr>
          <w:rFonts w:hint="eastAsia" w:ascii="仿宋_GB2312" w:hAnsi="仿宋" w:eastAsia="仿宋_GB2312" w:cs="宋体"/>
          <w:b/>
          <w:bCs/>
          <w:color w:val="000000"/>
          <w:sz w:val="32"/>
          <w:szCs w:val="32"/>
          <w:lang w:val="en-US" w:eastAsia="zh-CN"/>
        </w:rPr>
        <w:t>十</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Pr>
        <w:pStyle w:val="2"/>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我司决定于近期将对ERP副本数据管理一体机采购项目进行比选采购。本比选采购办法适用于我司范围内公开招标限额以下的采购活动。</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项目名称：ERP副本数据管理一体机采购项目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项目内容：采购ERP副本数据管理一体机一台。</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410"/>
        <w:gridCol w:w="4603"/>
        <w:gridCol w:w="679"/>
        <w:gridCol w:w="498"/>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834" w:type="dxa"/>
            <w:vAlign w:val="center"/>
          </w:tcPr>
          <w:p>
            <w:pPr>
              <w:jc w:val="center"/>
              <w:rPr>
                <w:b/>
                <w:sz w:val="28"/>
                <w:szCs w:val="28"/>
              </w:rPr>
            </w:pPr>
            <w:r>
              <w:rPr>
                <w:rFonts w:hint="eastAsia"/>
                <w:b/>
                <w:sz w:val="28"/>
                <w:szCs w:val="28"/>
              </w:rPr>
              <w:t>序号</w:t>
            </w:r>
          </w:p>
        </w:tc>
        <w:tc>
          <w:tcPr>
            <w:tcW w:w="1410" w:type="dxa"/>
            <w:vAlign w:val="center"/>
          </w:tcPr>
          <w:p>
            <w:pPr>
              <w:jc w:val="center"/>
              <w:rPr>
                <w:b/>
                <w:sz w:val="28"/>
                <w:szCs w:val="28"/>
              </w:rPr>
            </w:pPr>
            <w:r>
              <w:rPr>
                <w:rFonts w:hint="eastAsia"/>
                <w:b/>
                <w:sz w:val="28"/>
                <w:szCs w:val="28"/>
              </w:rPr>
              <w:t>品名</w:t>
            </w:r>
          </w:p>
        </w:tc>
        <w:tc>
          <w:tcPr>
            <w:tcW w:w="4603" w:type="dxa"/>
            <w:vAlign w:val="center"/>
          </w:tcPr>
          <w:p>
            <w:pPr>
              <w:jc w:val="center"/>
              <w:rPr>
                <w:b/>
                <w:sz w:val="28"/>
                <w:szCs w:val="28"/>
              </w:rPr>
            </w:pPr>
            <w:r>
              <w:rPr>
                <w:rFonts w:hint="eastAsia"/>
                <w:b/>
                <w:sz w:val="28"/>
                <w:szCs w:val="28"/>
              </w:rPr>
              <w:t>规格</w:t>
            </w:r>
          </w:p>
        </w:tc>
        <w:tc>
          <w:tcPr>
            <w:tcW w:w="679" w:type="dxa"/>
            <w:vAlign w:val="center"/>
          </w:tcPr>
          <w:p>
            <w:pPr>
              <w:jc w:val="center"/>
              <w:rPr>
                <w:b/>
                <w:sz w:val="28"/>
                <w:szCs w:val="28"/>
              </w:rPr>
            </w:pPr>
            <w:r>
              <w:rPr>
                <w:rFonts w:hint="eastAsia"/>
                <w:b/>
                <w:sz w:val="28"/>
                <w:szCs w:val="28"/>
              </w:rPr>
              <w:t>单位</w:t>
            </w:r>
          </w:p>
        </w:tc>
        <w:tc>
          <w:tcPr>
            <w:tcW w:w="498" w:type="dxa"/>
            <w:vAlign w:val="center"/>
          </w:tcPr>
          <w:p>
            <w:pPr>
              <w:jc w:val="center"/>
              <w:rPr>
                <w:b/>
                <w:sz w:val="28"/>
                <w:szCs w:val="28"/>
              </w:rPr>
            </w:pPr>
            <w:r>
              <w:rPr>
                <w:rFonts w:hint="eastAsia"/>
                <w:b/>
                <w:sz w:val="28"/>
                <w:szCs w:val="28"/>
              </w:rPr>
              <w:t>数量</w:t>
            </w:r>
          </w:p>
        </w:tc>
        <w:tc>
          <w:tcPr>
            <w:tcW w:w="498" w:type="dxa"/>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834" w:type="dxa"/>
            <w:vAlign w:val="center"/>
          </w:tcPr>
          <w:p>
            <w:pPr>
              <w:widowControl/>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410" w:type="dxa"/>
            <w:vAlign w:val="center"/>
          </w:tcPr>
          <w:p>
            <w:pPr>
              <w:widowControl/>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ERP副本数据管理一体机</w:t>
            </w:r>
          </w:p>
        </w:tc>
        <w:tc>
          <w:tcPr>
            <w:tcW w:w="4603" w:type="dxa"/>
            <w:vAlign w:val="center"/>
          </w:tcPr>
          <w:p>
            <w:pPr>
              <w:widowControl/>
              <w:spacing w:line="360" w:lineRule="auto"/>
              <w:ind w:firstLine="560"/>
              <w:jc w:val="left"/>
              <w:rPr>
                <w:rFonts w:ascii="方正仿宋_GBK" w:hAnsi="方正仿宋_GBK" w:eastAsia="方正仿宋_GBK" w:cs="方正仿宋_GBK"/>
                <w:sz w:val="28"/>
                <w:szCs w:val="28"/>
              </w:rPr>
            </w:pPr>
            <w:r>
              <w:rPr>
                <w:rFonts w:hint="eastAsia" w:ascii="仿宋" w:hAnsi="仿宋" w:eastAsia="仿宋"/>
                <w:sz w:val="24"/>
                <w:lang w:val="zh-CN"/>
              </w:rPr>
              <w:t>2U机架式备份容灾存储设备，提供12个3.5英寸数据存储硬盘槽位，存储系统软件与备份容灾软件整合为一体，无需再额外配置备份服务器，配置 2颗2.2GHz 十核 Intel Silver 4210处理器，配置64GB高速缓存，可扩展至768GB，配置2块240GB企业级SSD，8块12TB SATA磁盘 ，提供2个板载千兆GE网口+2个10GE光口（含光模块）；配置不限数据类型、客户端数量的定时备份的开放备份授权（保护虚拟化平台、数据库、操作系统），方便灵活扩展。包含设备、软件及安装调试工作。三年硬件质保软件版本升级。</w:t>
            </w:r>
          </w:p>
        </w:tc>
        <w:tc>
          <w:tcPr>
            <w:tcW w:w="679" w:type="dxa"/>
            <w:vAlign w:val="center"/>
          </w:tcPr>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498" w:type="dxa"/>
            <w:vAlign w:val="center"/>
          </w:tcPr>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498" w:type="dxa"/>
            <w:vAlign w:val="center"/>
          </w:tcPr>
          <w:p>
            <w:pPr>
              <w:widowControl/>
              <w:spacing w:line="360" w:lineRule="auto"/>
              <w:ind w:firstLine="560"/>
              <w:jc w:val="left"/>
              <w:rPr>
                <w:rFonts w:ascii="方正仿宋_GBK" w:hAnsi="方正仿宋_GBK" w:eastAsia="方正仿宋_GBK" w:cs="方正仿宋_GBK"/>
                <w:sz w:val="28"/>
                <w:szCs w:val="28"/>
              </w:rPr>
            </w:pPr>
          </w:p>
        </w:tc>
      </w:tr>
    </w:tbl>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工期（或服务期）：自合同签订之日起</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日历天内完成送货、安装、调试。</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质保期：3年</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提供有效的产品制造商售后服务承诺函（须提供加盖制造商鲜章的售后服务承诺函原件）。</w:t>
      </w:r>
    </w:p>
    <w:p>
      <w:pPr>
        <w:widowControl/>
        <w:spacing w:line="360" w:lineRule="auto"/>
        <w:ind w:firstLine="562"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信誉要求：①没有处于被责令停业，参与招标采购资格被取消，财产被接管、冻结，破产状态；②比选响应人没有进入采购人黑名单库；③具有履行合同所必需的设备和专业技术能力。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比选响应人如提供虚假材料或未达到上述要求，采购人有权取消其比选资格或成交资格；提供虚假材料的，不予退还其比选响应保证金，并且将列入采购人黑名单库。</w:t>
      </w: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详见</w:t>
      </w:r>
      <w:bookmarkStart w:id="17" w:name="_GoBack"/>
      <w:r>
        <w:rPr>
          <w:rFonts w:hint="eastAsia" w:ascii="方正仿宋_GBK" w:hAnsi="方正仿宋_GBK" w:eastAsia="方正仿宋_GBK" w:cs="方正仿宋_GBK"/>
          <w:sz w:val="28"/>
          <w:szCs w:val="28"/>
        </w:rPr>
        <w:t>附件</w:t>
      </w:r>
      <w:r>
        <w:rPr>
          <w:rFonts w:ascii="方正仿宋_GBK" w:hAnsi="方正仿宋_GBK" w:eastAsia="方正仿宋_GBK" w:cs="方正仿宋_GBK"/>
          <w:sz w:val="28"/>
          <w:szCs w:val="28"/>
        </w:rPr>
        <w:t>5</w:t>
      </w:r>
      <w:bookmarkEnd w:id="17"/>
      <w:r>
        <w:rPr>
          <w:rFonts w:hint="eastAsia" w:ascii="方正仿宋_GBK" w:hAnsi="方正仿宋_GBK" w:eastAsia="方正仿宋_GBK" w:cs="方正仿宋_GBK"/>
          <w:sz w:val="28"/>
          <w:szCs w:val="28"/>
        </w:rPr>
        <w:t>。</w:t>
      </w:r>
    </w:p>
    <w:p>
      <w:pPr>
        <w:widowControl/>
        <w:spacing w:line="360" w:lineRule="auto"/>
        <w:ind w:firstLine="562" w:firstLineChars="200"/>
        <w:jc w:val="left"/>
        <w:rPr>
          <w:rFonts w:ascii="方正仿宋_GBK" w:hAnsi="方正仿宋_GBK" w:eastAsia="方正仿宋_GBK" w:cs="方正仿宋_GBK"/>
          <w:b/>
          <w:sz w:val="28"/>
          <w:szCs w:val="28"/>
        </w:rPr>
      </w:pPr>
    </w:p>
    <w:p>
      <w:pPr>
        <w:widowControl/>
        <w:spacing w:line="360" w:lineRule="auto"/>
        <w:ind w:firstLine="562"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含增值税）。本项目报价为包干价，不再另行增加费用。报价的货币应为人民币。</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本项目含增值税税额的最高限价为人民币</w:t>
      </w:r>
      <w:r>
        <w:rPr>
          <w:rFonts w:ascii="方正仿宋_GBK" w:hAnsi="方正仿宋_GBK" w:eastAsia="方正仿宋_GBK" w:cs="方正仿宋_GBK"/>
          <w:sz w:val="28"/>
          <w:szCs w:val="28"/>
        </w:rPr>
        <w:t>85</w:t>
      </w:r>
      <w:r>
        <w:rPr>
          <w:rFonts w:hint="eastAsia" w:ascii="方正仿宋_GBK" w:hAnsi="方正仿宋_GBK" w:eastAsia="方正仿宋_GBK" w:cs="方正仿宋_GBK"/>
          <w:sz w:val="28"/>
          <w:szCs w:val="28"/>
        </w:rPr>
        <w:t>万元（大写金额：捌拾</w:t>
      </w:r>
      <w:r>
        <w:rPr>
          <w:rFonts w:ascii="方正仿宋_GBK" w:hAnsi="方正仿宋_GBK" w:eastAsia="方正仿宋_GBK" w:cs="方正仿宋_GBK"/>
          <w:sz w:val="28"/>
          <w:szCs w:val="28"/>
        </w:rPr>
        <w:t>伍</w:t>
      </w:r>
      <w:r>
        <w:rPr>
          <w:rFonts w:hint="eastAsia" w:ascii="方正仿宋_GBK" w:hAnsi="方正仿宋_GBK" w:eastAsia="方正仿宋_GBK" w:cs="方正仿宋_GBK"/>
          <w:sz w:val="28"/>
          <w:szCs w:val="28"/>
        </w:rPr>
        <w:t>万元整），报价超过最高限价，将取消比选响应方的比选资格。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根据符合采购需求、质量和服务，且报价最低的原则确定成交候选人</w:t>
      </w:r>
      <w:r>
        <w:rPr>
          <w:rFonts w:hint="eastAsia" w:ascii="方正仿宋_GBK" w:hAnsi="方正仿宋_GBK" w:eastAsia="方正仿宋_GBK" w:cs="方正仿宋_GBK"/>
          <w:bCs/>
          <w:color w:val="000000"/>
          <w:sz w:val="28"/>
          <w:szCs w:val="28"/>
        </w:rPr>
        <w:t>。</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：00前将疑问函（加盖单位鲜公章的扫描件）以电子邮件形式发至比选采购人电子邮箱</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50320784</w:t>
      </w:r>
      <w:r>
        <w:rPr>
          <w:rFonts w:ascii="方正仿宋_GBK" w:hAnsi="方正仿宋_GBK" w:eastAsia="方正仿宋_GBK" w:cs="方正仿宋_GBK"/>
          <w:color w:val="000000" w:themeColor="text1"/>
          <w:kern w:val="0"/>
          <w:sz w:val="28"/>
          <w:szCs w:val="28"/>
          <w14:textFill>
            <w14:solidFill>
              <w14:schemeClr w14:val="tx1"/>
            </w14:solidFill>
          </w14:textFill>
        </w:rPr>
        <w:t>@</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qq</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，并电话通知比选采购人，过期不再受理。采购人将在比选采购文件提问截止时间后及时组织答疑，答疑内容在重庆机场集团有限公司官方网站（www.cqa.cn）以公告形式发布。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日17：00前在重庆机场集团有限公司官方网站（www.cqa.cn）以公告形式发布。</w:t>
      </w:r>
    </w:p>
    <w:p>
      <w:pPr>
        <w:adjustRightInd w:val="0"/>
        <w:snapToGrid w:val="0"/>
        <w:spacing w:line="360" w:lineRule="auto"/>
        <w:ind w:firstLine="562"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注：各比选响应人应当随时关注重庆机场集团有限公司官方网站（www.cqa.cn）所发布的相关答疑、澄清或补遗资料，各比选响应人不管下载与否都将被视为已知晓。由此产生的一切后果由比选响应人自负。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八、比选响应保证金及履约保证金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比选响应保证金</w:t>
      </w:r>
    </w:p>
    <w:p>
      <w:pPr>
        <w:adjustRightInd w:val="0"/>
        <w:snapToGrid w:val="0"/>
        <w:spacing w:line="360" w:lineRule="auto"/>
        <w:ind w:firstLine="560" w:firstLineChars="200"/>
        <w:rPr>
          <w:rFonts w:ascii="方正仿宋_GBK" w:hAnsi="方正仿宋_GBK" w:eastAsia="方正仿宋_GBK" w:cs="方正仿宋_GBK"/>
          <w:color w:val="FF0000"/>
          <w:kern w:val="0"/>
          <w:sz w:val="28"/>
          <w:szCs w:val="28"/>
        </w:rPr>
      </w:pPr>
      <w:r>
        <w:rPr>
          <w:rFonts w:hint="eastAsia" w:ascii="方正仿宋_GBK" w:hAnsi="方正仿宋_GBK" w:eastAsia="方正仿宋_GBK" w:cs="方正仿宋_GBK"/>
          <w:color w:val="000000"/>
          <w:kern w:val="0"/>
          <w:sz w:val="28"/>
          <w:szCs w:val="28"/>
        </w:rPr>
        <w:t>8</w:t>
      </w:r>
      <w:r>
        <w:rPr>
          <w:rFonts w:ascii="方正仿宋_GBK" w:hAnsi="方正仿宋_GBK" w:eastAsia="方正仿宋_GBK" w:cs="方正仿宋_GBK"/>
          <w:color w:val="000000"/>
          <w:kern w:val="0"/>
          <w:sz w:val="28"/>
          <w:szCs w:val="28"/>
        </w:rPr>
        <w:t xml:space="preserve">.1.1 </w:t>
      </w:r>
      <w:r>
        <w:rPr>
          <w:rFonts w:hint="eastAsia" w:ascii="方正仿宋_GBK" w:hAnsi="方正仿宋_GBK" w:eastAsia="方正仿宋_GBK" w:cs="方正仿宋_GBK"/>
          <w:color w:val="000000"/>
          <w:kern w:val="0"/>
          <w:sz w:val="28"/>
          <w:szCs w:val="28"/>
        </w:rPr>
        <w:t>有意愿参与本项目比选的单位应按规定缴纳比选响应保证金（作投标保证金理解），本项目比选响应保证金金额为人民币</w:t>
      </w:r>
      <w:r>
        <w:rPr>
          <w:rFonts w:hint="eastAsia" w:ascii="方正仿宋_GBK" w:hAnsi="方正仿宋_GBK" w:eastAsia="方正仿宋_GBK" w:cs="方正仿宋_GBK"/>
          <w:kern w:val="0"/>
          <w:sz w:val="28"/>
          <w:szCs w:val="28"/>
          <w:u w:val="single"/>
        </w:rPr>
        <w:t xml:space="preserve"> </w:t>
      </w:r>
      <w:r>
        <w:rPr>
          <w:rFonts w:ascii="方正仿宋_GBK" w:hAnsi="方正仿宋_GBK" w:eastAsia="方正仿宋_GBK" w:cs="方正仿宋_GBK"/>
          <w:kern w:val="0"/>
          <w:sz w:val="28"/>
          <w:szCs w:val="28"/>
          <w:u w:val="single"/>
        </w:rPr>
        <w:t>10000</w:t>
      </w:r>
      <w:r>
        <w:rPr>
          <w:rFonts w:hint="eastAsia" w:ascii="方正仿宋_GBK" w:hAnsi="方正仿宋_GBK" w:eastAsia="方正仿宋_GBK" w:cs="方正仿宋_GBK"/>
          <w:color w:val="000000"/>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2</w:t>
      </w:r>
      <w:r>
        <w:rPr>
          <w:rFonts w:hint="eastAsia" w:ascii="方正仿宋_GBK" w:hAnsi="方正仿宋_GBK" w:eastAsia="方正仿宋_GBK" w:cs="方正仿宋_GBK"/>
          <w:color w:val="000000"/>
          <w:kern w:val="0"/>
          <w:sz w:val="28"/>
          <w:szCs w:val="28"/>
        </w:rPr>
        <w:t xml:space="preserve"> 提交时间：比选开始前</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adjustRightInd w:val="0"/>
        <w:snapToGrid w:val="0"/>
        <w:spacing w:line="360" w:lineRule="auto"/>
        <w:ind w:firstLine="562" w:firstLineChars="200"/>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注意：比选响应人在比选开始前递交比选响应文件时应出示采购人财务部门开具的项目比选保证金收据，否则，采购人将拒收比选响应文件。</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8</w:t>
      </w:r>
      <w:r>
        <w:rPr>
          <w:rFonts w:hint="eastAsia" w:ascii="方正仿宋_GBK" w:hAnsi="方正仿宋_GBK" w:eastAsia="方正仿宋_GBK" w:cs="方正仿宋_GBK"/>
          <w:color w:val="000000"/>
          <w:kern w:val="0"/>
          <w:sz w:val="28"/>
          <w:szCs w:val="28"/>
        </w:rPr>
        <w:t>.1.</w:t>
      </w:r>
      <w:r>
        <w:rPr>
          <w:rFonts w:ascii="方正仿宋_GBK" w:hAnsi="方正仿宋_GBK" w:eastAsia="方正仿宋_GBK" w:cs="方正仿宋_GBK"/>
          <w:color w:val="000000"/>
          <w:kern w:val="0"/>
          <w:sz w:val="28"/>
          <w:szCs w:val="28"/>
        </w:rPr>
        <w:t>4</w:t>
      </w:r>
      <w:r>
        <w:rPr>
          <w:rFonts w:hint="eastAsia" w:ascii="方正仿宋_GBK" w:hAnsi="方正仿宋_GBK" w:eastAsia="方正仿宋_GBK" w:cs="方正仿宋_GBK"/>
          <w:color w:val="000000"/>
          <w:kern w:val="0"/>
          <w:sz w:val="28"/>
          <w:szCs w:val="28"/>
        </w:rPr>
        <w:t xml:space="preserve"> 项目比选响应保证金的退还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成交候选人范围内的单位提交的本项目比选响应保证金，在本项目合同签订完成后退还，退还手续同上。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sz w:val="28"/>
        </w:rPr>
        <w:t>成交的比选人缴纳的比选响应保证金将转为</w:t>
      </w:r>
      <w:r>
        <w:rPr>
          <w:rFonts w:hint="eastAsia" w:ascii="方正仿宋_GBK" w:hAnsi="方正仿宋_GBK" w:eastAsia="方正仿宋_GBK" w:cs="方正仿宋_GBK"/>
          <w:sz w:val="28"/>
          <w:szCs w:val="28"/>
        </w:rPr>
        <w:t>履约保证金的一部分。</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比选保证金退还办理地址：</w:t>
      </w:r>
      <w:r>
        <w:rPr>
          <w:rFonts w:hint="eastAsia" w:ascii="方正仿宋_GBK" w:hAnsi="方正仿宋_GBK" w:eastAsia="方正仿宋_GBK" w:cs="方正仿宋_GBK"/>
          <w:color w:val="000000"/>
          <w:kern w:val="0"/>
          <w:sz w:val="28"/>
          <w:szCs w:val="28"/>
        </w:rPr>
        <w:t>重庆机场集团有限公司建设部6</w:t>
      </w:r>
      <w:r>
        <w:rPr>
          <w:rFonts w:ascii="方正仿宋_GBK" w:hAnsi="方正仿宋_GBK" w:eastAsia="方正仿宋_GBK" w:cs="方正仿宋_GBK"/>
          <w:color w:val="000000"/>
          <w:kern w:val="0"/>
          <w:sz w:val="28"/>
          <w:szCs w:val="28"/>
        </w:rPr>
        <w:t>010</w:t>
      </w:r>
      <w:r>
        <w:rPr>
          <w:rFonts w:hint="eastAsia" w:ascii="方正仿宋_GBK" w:hAnsi="方正仿宋_GBK" w:eastAsia="方正仿宋_GBK" w:cs="方正仿宋_GBK"/>
          <w:color w:val="000000"/>
          <w:kern w:val="0"/>
          <w:sz w:val="28"/>
          <w:szCs w:val="28"/>
        </w:rPr>
        <w:t>室</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比选保证金退还联系电话：0</w:t>
      </w: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7156808</w:t>
      </w:r>
      <w:r>
        <w:rPr>
          <w:rFonts w:hint="eastAsia" w:ascii="方正仿宋_GBK" w:hAnsi="方正仿宋_GBK" w:eastAsia="方正仿宋_GBK" w:cs="方正仿宋_GBK"/>
          <w:sz w:val="28"/>
          <w:szCs w:val="28"/>
        </w:rPr>
        <w:t>。</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.2 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履约保证金为合同总价款的5%</w:t>
      </w:r>
      <w:r>
        <w:rPr>
          <w:rFonts w:hint="eastAsia" w:ascii="方正仿宋_GBK" w:hAnsi="方正仿宋_GBK" w:eastAsia="方正仿宋_GBK" w:cs="方正仿宋_GBK"/>
          <w:sz w:val="28"/>
          <w:szCs w:val="28"/>
        </w:rPr>
        <w:t>，在收到成交通知书10日内足额缴纳，于履约结束，货物全部安装调试完毕且通过比选方验收合格后，一次性退还（不计利息）。</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技术部分。主要包括材料的材质工艺和详细说明等。本采购文件附件</w:t>
      </w:r>
      <w:r>
        <w:rPr>
          <w:rFonts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zh-CN"/>
        </w:rPr>
        <w:t>中1</w:t>
      </w:r>
      <w:r>
        <w:rPr>
          <w:rFonts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zh-CN"/>
        </w:rPr>
        <w:t>至1</w:t>
      </w:r>
      <w:r>
        <w:rPr>
          <w:rFonts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zh-CN"/>
        </w:rPr>
        <w:t>为技术条款，投标人必须全部“满足”，并按要求对满足情况进行说明、证明，并填写附件</w:t>
      </w:r>
      <w:r>
        <w:rPr>
          <w:rFonts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zh-CN"/>
        </w:rPr>
        <w:t>。如不满足</w:t>
      </w:r>
      <w:r>
        <w:rPr>
          <w:rFonts w:hint="eastAsia" w:ascii="方正仿宋_GBK" w:hAnsi="方正仿宋_GBK" w:eastAsia="方正仿宋_GBK" w:cs="方正仿宋_GBK"/>
          <w:sz w:val="28"/>
          <w:szCs w:val="28"/>
        </w:rPr>
        <w:t>将取消比选响应方的比选资格。</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0</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十一、比选响应文件作废条款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.8 有串通比选、弄虚作假、失信处罚期未满以及有其他违法违规行为的。</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十二、响应人违约等行为约束要求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12.2</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12.3</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12.5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十四、监督部门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w:t>
      </w:r>
      <w:r>
        <w:rPr>
          <w:rFonts w:ascii="方正仿宋_GBK" w:hAnsi="方正仿宋_GBK" w:eastAsia="方正仿宋_GBK" w:cs="方正仿宋_GBK"/>
          <w:color w:val="000000"/>
          <w:sz w:val="28"/>
          <w:szCs w:val="28"/>
        </w:rPr>
        <w:t>7345</w:t>
      </w:r>
    </w:p>
    <w:p>
      <w:pPr>
        <w:autoSpaceDE w:val="0"/>
        <w:autoSpaceDN w:val="0"/>
        <w:adjustRightIn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lang w:val="en-US" w:eastAsia="zh-CN"/>
        </w:rPr>
        <w:t>2021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kern w:val="0"/>
          <w:sz w:val="28"/>
          <w:szCs w:val="28"/>
        </w:rPr>
        <w:t>9:00至10:00时送到重庆机场有限公司办公楼</w:t>
      </w:r>
      <w:r>
        <w:rPr>
          <w:rFonts w:hint="eastAsia" w:ascii="方正仿宋_GBK" w:hAnsi="方正仿宋_GBK" w:eastAsia="方正仿宋_GBK" w:cs="方正仿宋_GBK"/>
          <w:sz w:val="28"/>
          <w:szCs w:val="28"/>
        </w:rPr>
        <w:t>（重庆市渝北区机场东二路19号）</w:t>
      </w:r>
      <w:r>
        <w:rPr>
          <w:rFonts w:hint="eastAsia" w:ascii="方正仿宋_GBK" w:hAnsi="方正仿宋_GBK" w:eastAsia="方正仿宋_GBK" w:cs="方正仿宋_GBK"/>
          <w:kern w:val="0"/>
          <w:sz w:val="28"/>
          <w:szCs w:val="28"/>
        </w:rPr>
        <w:t>6010室，过期不予受理。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 xml:space="preserve">.2  </w:t>
      </w:r>
      <w:r>
        <w:rPr>
          <w:rFonts w:hint="eastAsia" w:ascii="方正仿宋_GBK" w:hAnsi="方正仿宋_GBK" w:eastAsia="方正仿宋_GBK" w:cs="方正仿宋_GBK"/>
          <w:color w:val="000000"/>
          <w:sz w:val="28"/>
          <w:szCs w:val="28"/>
          <w:lang w:val="en-US" w:eastAsia="zh-CN"/>
        </w:rPr>
        <w:t>2021</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18</w:t>
      </w:r>
      <w:r>
        <w:rPr>
          <w:rFonts w:hint="eastAsia" w:ascii="方正仿宋_GBK" w:hAnsi="方正仿宋_GBK" w:eastAsia="方正仿宋_GBK" w:cs="方正仿宋_GBK"/>
          <w:color w:val="000000"/>
          <w:sz w:val="28"/>
          <w:szCs w:val="28"/>
        </w:rPr>
        <w:t>日10:00时在重庆机场集团有限公司办公楼对本项目进行比选，各比选响应人须参加。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注：比选开始前，各比选响应人须在重庆机场集团公司办公楼6010室等候通知具体比选地点。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rPr>
        <w:t>.4 比选结果通知：拟成交结果将公示在重庆机场集团有限公司</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官方网站（www.cqa.cn）</w:t>
      </w:r>
      <w:r>
        <w:rPr>
          <w:rFonts w:hint="eastAsia" w:ascii="方正仿宋_GBK" w:hAnsi="方正仿宋_GBK" w:eastAsia="方正仿宋_GBK" w:cs="方正仿宋_GBK"/>
          <w:color w:val="000000"/>
          <w:sz w:val="28"/>
          <w:szCs w:val="28"/>
        </w:rPr>
        <w:t>，待结果确定后会及时通知，原则上只通知被选中的比选响应人，对未被选中的比选响应人不通知、不解释，响应文件不予退还。</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十七、采购人</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采购人：重庆机场集团有限公司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联系人：徐老师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w:t>
      </w:r>
      <w:r>
        <w:rPr>
          <w:rFonts w:ascii="方正仿宋_GBK" w:hAnsi="方正仿宋_GBK" w:eastAsia="方正仿宋_GBK" w:cs="方正仿宋_GBK"/>
          <w:sz w:val="28"/>
          <w:szCs w:val="28"/>
        </w:rPr>
        <w:t>23-67156808</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合同条款及格式</w:t>
      </w:r>
    </w:p>
    <w:p>
      <w:pPr>
        <w:ind w:firstLine="560" w:firstLineChars="200"/>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
      <w:pPr>
        <w:pStyle w:val="2"/>
      </w:pPr>
    </w:p>
    <w:p/>
    <w:p>
      <w:pPr>
        <w:pStyle w:val="2"/>
      </w:pPr>
    </w:p>
    <w:p/>
    <w:p>
      <w:pPr>
        <w:pStyle w:val="2"/>
      </w:pPr>
    </w:p>
    <w:p/>
    <w:p>
      <w:pPr>
        <w:pStyle w:val="2"/>
      </w:pPr>
    </w:p>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Pr>
        <w:rPr>
          <w:rFonts w:ascii="方正仿宋_GBK" w:hAnsi="方正仿宋_GBK" w:eastAsia="方正仿宋_GBK" w:cs="方正仿宋_GBK"/>
          <w:color w:val="FF0000"/>
          <w:sz w:val="28"/>
          <w:szCs w:val="28"/>
        </w:rPr>
      </w:pPr>
    </w:p>
    <w:p>
      <w:pPr>
        <w:pStyle w:val="2"/>
        <w:rPr>
          <w:rFonts w:ascii="方正仿宋_GBK" w:hAnsi="方正仿宋_GBK" w:eastAsia="方正仿宋_GBK" w:cs="方正仿宋_GBK"/>
          <w:color w:val="FF0000"/>
          <w:sz w:val="28"/>
          <w:szCs w:val="28"/>
        </w:rPr>
      </w:pPr>
    </w:p>
    <w:p/>
    <w:p>
      <w:pPr>
        <w:spacing w:line="360" w:lineRule="auto"/>
        <w:ind w:right="600" w:firstLine="480" w:firstLineChars="200"/>
        <w:jc w:val="right"/>
        <w:rPr>
          <w:rFonts w:ascii="仿宋_GB2312" w:hAnsi="仿宋" w:eastAsia="仿宋_GB2312" w:cs="宋体"/>
          <w:sz w:val="30"/>
          <w:szCs w:val="30"/>
        </w:rPr>
      </w:pPr>
      <w:r>
        <w:rPr>
          <w:rFonts w:hint="eastAsia" w:ascii="黑体" w:hAnsi="黑体" w:eastAsia="黑体" w:cs="宋体"/>
          <w:sz w:val="24"/>
          <w:szCs w:val="30"/>
        </w:rPr>
        <w:t>合同编号：CQA</w:t>
      </w:r>
      <w:r>
        <w:rPr>
          <w:rFonts w:hint="eastAsia" w:ascii="仿宋_GB2312" w:hAnsi="仿宋" w:eastAsia="仿宋_GB2312" w:cs="宋体"/>
          <w:sz w:val="30"/>
          <w:szCs w:val="30"/>
        </w:rPr>
        <w:t xml:space="preserve"> </w:t>
      </w:r>
      <w:r>
        <w:rPr>
          <w:rFonts w:ascii="仿宋_GB2312" w:hAnsi="仿宋" w:eastAsia="仿宋_GB2312" w:cs="宋体"/>
          <w:sz w:val="30"/>
          <w:szCs w:val="30"/>
        </w:rPr>
        <w:t xml:space="preserve">           </w:t>
      </w:r>
    </w:p>
    <w:p>
      <w:pPr>
        <w:snapToGrid w:val="0"/>
        <w:spacing w:line="360" w:lineRule="auto"/>
        <w:rPr>
          <w:rFonts w:ascii="等线" w:hAnsi="等线" w:eastAsia="等线"/>
          <w:sz w:val="44"/>
          <w:szCs w:val="36"/>
        </w:rPr>
      </w:pPr>
    </w:p>
    <w:p>
      <w:pPr>
        <w:jc w:val="center"/>
        <w:rPr>
          <w:b/>
          <w:sz w:val="44"/>
        </w:rPr>
      </w:pPr>
      <w:r>
        <w:rPr>
          <w:b/>
          <w:sz w:val="44"/>
        </w:rPr>
        <w:t>_____________________________</w:t>
      </w:r>
    </w:p>
    <w:p>
      <w:pPr>
        <w:jc w:val="center"/>
        <w:rPr>
          <w:rFonts w:eastAsia="华文中宋"/>
          <w:b/>
          <w:sz w:val="72"/>
          <w:szCs w:val="72"/>
        </w:rPr>
      </w:pPr>
      <w:bookmarkStart w:id="1" w:name="_Hlk18508344"/>
      <w:r>
        <w:rPr>
          <w:rFonts w:hint="eastAsia" w:eastAsia="华文中宋"/>
          <w:b/>
          <w:sz w:val="72"/>
          <w:szCs w:val="72"/>
        </w:rPr>
        <w:t>重庆机场ERP副本数据管理一体机项目</w:t>
      </w:r>
    </w:p>
    <w:p>
      <w:pPr>
        <w:jc w:val="center"/>
        <w:rPr>
          <w:rFonts w:eastAsia="华文中宋"/>
          <w:b/>
          <w:sz w:val="72"/>
          <w:szCs w:val="72"/>
        </w:rPr>
      </w:pPr>
      <w:r>
        <w:rPr>
          <w:rFonts w:hint="eastAsia" w:eastAsia="华文中宋"/>
          <w:b/>
          <w:sz w:val="72"/>
          <w:szCs w:val="72"/>
        </w:rPr>
        <w:t>采购合同</w:t>
      </w:r>
    </w:p>
    <w:bookmarkEnd w:id="1"/>
    <w:p>
      <w:pPr>
        <w:jc w:val="center"/>
        <w:rPr>
          <w:b/>
          <w:sz w:val="44"/>
        </w:rPr>
      </w:pPr>
      <w:r>
        <w:rPr>
          <w:b/>
          <w:sz w:val="44"/>
        </w:rPr>
        <w:t>______________________________</w:t>
      </w:r>
    </w:p>
    <w:p>
      <w:pPr>
        <w:ind w:firstLine="880" w:firstLineChars="200"/>
        <w:jc w:val="center"/>
        <w:rPr>
          <w:rFonts w:ascii="等线" w:hAnsi="等线" w:eastAsia="等线"/>
          <w:b/>
          <w:sz w:val="44"/>
        </w:rPr>
      </w:pPr>
    </w:p>
    <w:p>
      <w:pPr>
        <w:ind w:firstLine="420" w:firstLineChars="200"/>
        <w:jc w:val="center"/>
        <w:rPr>
          <w:rFonts w:ascii="等线" w:hAnsi="等线" w:eastAsia="等线"/>
          <w:b/>
        </w:rPr>
      </w:pPr>
    </w:p>
    <w:p>
      <w:pPr>
        <w:snapToGrid w:val="0"/>
        <w:spacing w:line="360" w:lineRule="auto"/>
        <w:jc w:val="center"/>
        <w:rPr>
          <w:rFonts w:ascii="宋体" w:hAnsi="宋体"/>
          <w:b/>
          <w:sz w:val="32"/>
          <w:szCs w:val="32"/>
        </w:rPr>
      </w:pPr>
      <w:bookmarkStart w:id="2" w:name="_Hlk18506346"/>
      <w:r>
        <w:rPr>
          <w:rFonts w:hint="eastAsia" w:ascii="宋体" w:hAnsi="宋体"/>
          <w:b/>
          <w:sz w:val="32"/>
          <w:szCs w:val="32"/>
        </w:rPr>
        <w:t>甲方：重庆机场集团有限公司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bookmarkEnd w:id="2"/>
    <w:p>
      <w:pPr>
        <w:ind w:firstLine="422" w:firstLineChars="200"/>
        <w:rPr>
          <w:rFonts w:cs="宋体"/>
          <w:b/>
          <w:bCs/>
        </w:rPr>
        <w:sectPr>
          <w:pgSz w:w="12240" w:h="15840"/>
          <w:pgMar w:top="1440" w:right="1440" w:bottom="1440" w:left="1440" w:header="720" w:footer="720" w:gutter="0"/>
          <w:cols w:space="720" w:num="1"/>
          <w:titlePg/>
        </w:sectPr>
      </w:pPr>
      <w:r>
        <w:rPr>
          <w:rFonts w:cs="宋体"/>
          <w:b/>
          <w:bCs/>
        </w:rPr>
        <w:br w:type="page"/>
      </w:r>
    </w:p>
    <w:sdt>
      <w:sdtPr>
        <w:rPr>
          <w:rFonts w:asciiTheme="minorHAnsi" w:hAnsiTheme="minorHAnsi" w:eastAsiaTheme="minorEastAsia" w:cstheme="minorBidi"/>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sz w:val="21"/>
          <w:szCs w:val="21"/>
          <w:lang w:val="zh-CN" w:eastAsia="en-US"/>
        </w:rPr>
      </w:sdtEndPr>
      <w:sdtContent>
        <w:p>
          <w:pPr>
            <w:keepNext/>
            <w:keepLines/>
            <w:spacing w:before="240" w:line="259" w:lineRule="auto"/>
            <w:jc w:val="center"/>
            <w:rPr>
              <w:rFonts w:ascii="仿宋_GB2312" w:eastAsia="仿宋_GB2312" w:hAnsiTheme="majorHAnsi" w:cstheme="majorBidi"/>
              <w:kern w:val="0"/>
              <w:szCs w:val="21"/>
            </w:rPr>
          </w:pPr>
          <w:r>
            <w:rPr>
              <w:rFonts w:hint="eastAsia" w:ascii="仿宋_GB2312" w:eastAsia="仿宋_GB2312" w:hAnsiTheme="majorHAnsi" w:cstheme="majorBidi"/>
              <w:kern w:val="0"/>
              <w:szCs w:val="21"/>
              <w:lang w:val="zh-CN"/>
            </w:rPr>
            <w:t>目录</w:t>
          </w:r>
        </w:p>
        <w:p>
          <w:pPr>
            <w:tabs>
              <w:tab w:val="right" w:leader="dot" w:pos="9350"/>
            </w:tabs>
            <w:ind w:left="420" w:leftChars="200"/>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TOC \o "1-3" \h \z \u </w:instrText>
          </w:r>
          <w:r>
            <w:rPr>
              <w:rFonts w:hint="eastAsia" w:ascii="仿宋_GB2312" w:eastAsia="仿宋_GB2312"/>
              <w:szCs w:val="21"/>
            </w:rPr>
            <w:fldChar w:fldCharType="separate"/>
          </w:r>
          <w:r>
            <w:fldChar w:fldCharType="begin"/>
          </w:r>
          <w:r>
            <w:instrText xml:space="preserve"> HYPERLINK \l "_Toc25588100" </w:instrText>
          </w:r>
          <w:r>
            <w:fldChar w:fldCharType="separate"/>
          </w:r>
          <w:r>
            <w:rPr>
              <w:rFonts w:hint="eastAsia" w:ascii="仿宋_GB2312" w:eastAsia="仿宋_GB2312"/>
              <w:szCs w:val="21"/>
              <w:u w:val="single"/>
            </w:rPr>
            <w:t>第一条 货物名称、数量及规格</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_Toc25588100 \h </w:instrText>
          </w:r>
          <w:r>
            <w:rPr>
              <w:rFonts w:hint="eastAsia" w:ascii="仿宋_GB2312" w:eastAsia="仿宋_GB2312"/>
              <w:szCs w:val="21"/>
            </w:rPr>
            <w:fldChar w:fldCharType="separate"/>
          </w:r>
          <w:r>
            <w:rPr>
              <w:rFonts w:ascii="仿宋_GB2312" w:eastAsia="仿宋_GB2312"/>
              <w:szCs w:val="21"/>
            </w:rPr>
            <w:t>14</w:t>
          </w:r>
          <w:r>
            <w:rPr>
              <w:rFonts w:hint="eastAsia" w:ascii="仿宋_GB2312" w:eastAsia="仿宋_GB2312"/>
              <w:szCs w:val="21"/>
            </w:rPr>
            <w:fldChar w:fldCharType="end"/>
          </w:r>
          <w:r>
            <w:rPr>
              <w:rFonts w:hint="eastAsia" w:ascii="仿宋_GB2312" w:eastAsia="仿宋_GB2312"/>
              <w:szCs w:val="21"/>
            </w:rPr>
            <w:fldChar w:fldCharType="end"/>
          </w:r>
        </w:p>
        <w:p>
          <w:pPr>
            <w:tabs>
              <w:tab w:val="right" w:leader="dot" w:pos="9350"/>
            </w:tabs>
            <w:ind w:left="420" w:leftChars="200"/>
            <w:rPr>
              <w:rFonts w:ascii="仿宋_GB2312" w:eastAsia="仿宋_GB2312"/>
              <w:szCs w:val="21"/>
            </w:rPr>
          </w:pPr>
          <w:r>
            <w:fldChar w:fldCharType="begin"/>
          </w:r>
          <w:r>
            <w:instrText xml:space="preserve"> HYPERLINK \l "_Toc25588101" </w:instrText>
          </w:r>
          <w:r>
            <w:fldChar w:fldCharType="separate"/>
          </w:r>
          <w:r>
            <w:rPr>
              <w:rFonts w:hint="eastAsia" w:ascii="仿宋_GB2312" w:eastAsia="仿宋_GB2312"/>
              <w:szCs w:val="21"/>
              <w:u w:val="single"/>
            </w:rPr>
            <w:t>第二条 合同价款</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_Toc25588101 \h </w:instrText>
          </w:r>
          <w:r>
            <w:rPr>
              <w:rFonts w:hint="eastAsia" w:ascii="仿宋_GB2312" w:eastAsia="仿宋_GB2312"/>
              <w:szCs w:val="21"/>
            </w:rPr>
            <w:fldChar w:fldCharType="separate"/>
          </w:r>
          <w:r>
            <w:rPr>
              <w:rFonts w:ascii="仿宋_GB2312" w:eastAsia="仿宋_GB2312"/>
              <w:szCs w:val="21"/>
            </w:rPr>
            <w:t>14</w:t>
          </w:r>
          <w:r>
            <w:rPr>
              <w:rFonts w:hint="eastAsia" w:ascii="仿宋_GB2312" w:eastAsia="仿宋_GB2312"/>
              <w:szCs w:val="21"/>
            </w:rPr>
            <w:fldChar w:fldCharType="end"/>
          </w:r>
          <w:r>
            <w:rPr>
              <w:rFonts w:hint="eastAsia" w:ascii="仿宋_GB2312" w:eastAsia="仿宋_GB2312"/>
              <w:szCs w:val="21"/>
            </w:rPr>
            <w:fldChar w:fldCharType="end"/>
          </w:r>
        </w:p>
        <w:p>
          <w:pPr>
            <w:tabs>
              <w:tab w:val="right" w:leader="dot" w:pos="9350"/>
            </w:tabs>
            <w:ind w:left="420" w:leftChars="200"/>
            <w:rPr>
              <w:rFonts w:ascii="仿宋_GB2312" w:eastAsia="仿宋_GB2312"/>
              <w:szCs w:val="21"/>
            </w:rPr>
          </w:pPr>
          <w:r>
            <w:fldChar w:fldCharType="begin"/>
          </w:r>
          <w:r>
            <w:instrText xml:space="preserve"> HYPERLINK \l "_Toc25588102" </w:instrText>
          </w:r>
          <w:r>
            <w:fldChar w:fldCharType="separate"/>
          </w:r>
          <w:r>
            <w:rPr>
              <w:rFonts w:hint="eastAsia" w:ascii="仿宋_GB2312" w:eastAsia="仿宋_GB2312"/>
              <w:szCs w:val="21"/>
              <w:u w:val="single"/>
            </w:rPr>
            <w:t>第三条 技术标准及要求</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_Toc25588102 \h </w:instrText>
          </w:r>
          <w:r>
            <w:rPr>
              <w:rFonts w:hint="eastAsia" w:ascii="仿宋_GB2312" w:eastAsia="仿宋_GB2312"/>
              <w:szCs w:val="21"/>
            </w:rPr>
            <w:fldChar w:fldCharType="separate"/>
          </w:r>
          <w:r>
            <w:rPr>
              <w:rFonts w:ascii="仿宋_GB2312" w:eastAsia="仿宋_GB2312"/>
              <w:szCs w:val="21"/>
            </w:rPr>
            <w:t>15</w:t>
          </w:r>
          <w:r>
            <w:rPr>
              <w:rFonts w:hint="eastAsia" w:ascii="仿宋_GB2312" w:eastAsia="仿宋_GB2312"/>
              <w:szCs w:val="21"/>
            </w:rPr>
            <w:fldChar w:fldCharType="end"/>
          </w:r>
          <w:r>
            <w:rPr>
              <w:rFonts w:hint="eastAsia" w:ascii="仿宋_GB2312" w:eastAsia="仿宋_GB2312"/>
              <w:szCs w:val="21"/>
            </w:rPr>
            <w:fldChar w:fldCharType="end"/>
          </w:r>
        </w:p>
        <w:p>
          <w:pPr>
            <w:tabs>
              <w:tab w:val="right" w:leader="dot" w:pos="9350"/>
            </w:tabs>
            <w:ind w:left="420" w:leftChars="200"/>
            <w:rPr>
              <w:rFonts w:ascii="仿宋_GB2312" w:eastAsia="仿宋_GB2312"/>
              <w:szCs w:val="21"/>
            </w:rPr>
          </w:pPr>
          <w:r>
            <w:fldChar w:fldCharType="begin"/>
          </w:r>
          <w:r>
            <w:instrText xml:space="preserve"> HYPERLINK \l "_Toc25588103" </w:instrText>
          </w:r>
          <w:r>
            <w:fldChar w:fldCharType="separate"/>
          </w:r>
          <w:r>
            <w:rPr>
              <w:rFonts w:hint="eastAsia" w:ascii="仿宋_GB2312" w:eastAsia="仿宋_GB2312"/>
              <w:szCs w:val="21"/>
              <w:u w:val="single"/>
            </w:rPr>
            <w:t>第四条 交货日期、方式和地点</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_Toc25588103 \h </w:instrText>
          </w:r>
          <w:r>
            <w:rPr>
              <w:rFonts w:hint="eastAsia" w:ascii="仿宋_GB2312" w:eastAsia="仿宋_GB2312"/>
              <w:szCs w:val="21"/>
            </w:rPr>
            <w:fldChar w:fldCharType="separate"/>
          </w:r>
          <w:r>
            <w:rPr>
              <w:rFonts w:ascii="仿宋_GB2312" w:eastAsia="仿宋_GB2312"/>
              <w:szCs w:val="21"/>
            </w:rPr>
            <w:t>15</w:t>
          </w:r>
          <w:r>
            <w:rPr>
              <w:rFonts w:hint="eastAsia" w:ascii="仿宋_GB2312" w:eastAsia="仿宋_GB2312"/>
              <w:szCs w:val="21"/>
            </w:rPr>
            <w:fldChar w:fldCharType="end"/>
          </w:r>
          <w:r>
            <w:rPr>
              <w:rFonts w:hint="eastAsia" w:ascii="仿宋_GB2312" w:eastAsia="仿宋_GB2312"/>
              <w:szCs w:val="21"/>
            </w:rPr>
            <w:fldChar w:fldCharType="end"/>
          </w:r>
        </w:p>
        <w:p>
          <w:pPr>
            <w:tabs>
              <w:tab w:val="right" w:leader="dot" w:pos="9350"/>
            </w:tabs>
            <w:ind w:left="420" w:leftChars="200"/>
            <w:rPr>
              <w:rFonts w:ascii="仿宋_GB2312" w:eastAsia="仿宋_GB2312"/>
              <w:szCs w:val="21"/>
            </w:rPr>
          </w:pPr>
          <w:r>
            <w:fldChar w:fldCharType="begin"/>
          </w:r>
          <w:r>
            <w:instrText xml:space="preserve"> HYPERLINK \l "_Toc25588104" </w:instrText>
          </w:r>
          <w:r>
            <w:fldChar w:fldCharType="separate"/>
          </w:r>
          <w:r>
            <w:rPr>
              <w:rFonts w:hint="eastAsia" w:ascii="仿宋_GB2312" w:eastAsia="仿宋_GB2312"/>
              <w:szCs w:val="21"/>
              <w:u w:val="single"/>
            </w:rPr>
            <w:t>第五条 验收办法</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_Toc25588104 \h </w:instrText>
          </w:r>
          <w:r>
            <w:rPr>
              <w:rFonts w:hint="eastAsia" w:ascii="仿宋_GB2312" w:eastAsia="仿宋_GB2312"/>
              <w:szCs w:val="21"/>
            </w:rPr>
            <w:fldChar w:fldCharType="separate"/>
          </w:r>
          <w:r>
            <w:rPr>
              <w:rFonts w:ascii="仿宋_GB2312" w:eastAsia="仿宋_GB2312"/>
              <w:szCs w:val="21"/>
            </w:rPr>
            <w:t>15</w:t>
          </w:r>
          <w:r>
            <w:rPr>
              <w:rFonts w:hint="eastAsia" w:ascii="仿宋_GB2312" w:eastAsia="仿宋_GB2312"/>
              <w:szCs w:val="21"/>
            </w:rPr>
            <w:fldChar w:fldCharType="end"/>
          </w:r>
          <w:r>
            <w:rPr>
              <w:rFonts w:hint="eastAsia" w:ascii="仿宋_GB2312" w:eastAsia="仿宋_GB2312"/>
              <w:szCs w:val="21"/>
            </w:rPr>
            <w:fldChar w:fldCharType="end"/>
          </w:r>
        </w:p>
        <w:p>
          <w:pPr>
            <w:tabs>
              <w:tab w:val="right" w:leader="dot" w:pos="9350"/>
            </w:tabs>
            <w:ind w:left="420" w:leftChars="200"/>
            <w:rPr>
              <w:rFonts w:ascii="仿宋_GB2312" w:eastAsia="仿宋_GB2312"/>
              <w:szCs w:val="21"/>
            </w:rPr>
          </w:pPr>
          <w:r>
            <w:fldChar w:fldCharType="begin"/>
          </w:r>
          <w:r>
            <w:instrText xml:space="preserve"> HYPERLINK \l "_Toc25588105" </w:instrText>
          </w:r>
          <w:r>
            <w:fldChar w:fldCharType="separate"/>
          </w:r>
          <w:r>
            <w:rPr>
              <w:rFonts w:hint="eastAsia" w:ascii="仿宋_GB2312" w:eastAsia="仿宋_GB2312"/>
              <w:szCs w:val="21"/>
              <w:u w:val="single"/>
            </w:rPr>
            <w:t>第六条 保证金</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_Toc25588105 \h </w:instrText>
          </w:r>
          <w:r>
            <w:rPr>
              <w:rFonts w:hint="eastAsia" w:ascii="仿宋_GB2312" w:eastAsia="仿宋_GB2312"/>
              <w:szCs w:val="21"/>
            </w:rPr>
            <w:fldChar w:fldCharType="separate"/>
          </w:r>
          <w:r>
            <w:rPr>
              <w:rFonts w:ascii="仿宋_GB2312" w:eastAsia="仿宋_GB2312"/>
              <w:szCs w:val="21"/>
            </w:rPr>
            <w:t>15</w:t>
          </w:r>
          <w:r>
            <w:rPr>
              <w:rFonts w:hint="eastAsia" w:ascii="仿宋_GB2312" w:eastAsia="仿宋_GB2312"/>
              <w:szCs w:val="21"/>
            </w:rPr>
            <w:fldChar w:fldCharType="end"/>
          </w:r>
          <w:r>
            <w:rPr>
              <w:rFonts w:hint="eastAsia" w:ascii="仿宋_GB2312" w:eastAsia="仿宋_GB2312"/>
              <w:szCs w:val="21"/>
            </w:rPr>
            <w:fldChar w:fldCharType="end"/>
          </w:r>
        </w:p>
        <w:p>
          <w:pPr>
            <w:tabs>
              <w:tab w:val="right" w:leader="dot" w:pos="9350"/>
            </w:tabs>
            <w:ind w:left="420" w:leftChars="200"/>
            <w:rPr>
              <w:rFonts w:ascii="仿宋_GB2312" w:eastAsia="仿宋_GB2312"/>
              <w:szCs w:val="21"/>
            </w:rPr>
          </w:pPr>
          <w:r>
            <w:fldChar w:fldCharType="begin"/>
          </w:r>
          <w:r>
            <w:instrText xml:space="preserve"> HYPERLINK \l "_Toc25588106" </w:instrText>
          </w:r>
          <w:r>
            <w:fldChar w:fldCharType="separate"/>
          </w:r>
          <w:r>
            <w:rPr>
              <w:rFonts w:hint="eastAsia" w:ascii="仿宋_GB2312" w:eastAsia="仿宋_GB2312"/>
              <w:szCs w:val="21"/>
              <w:u w:val="single"/>
            </w:rPr>
            <w:t>第七条 付款方式</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_Toc25588106 \h </w:instrText>
          </w:r>
          <w:r>
            <w:rPr>
              <w:rFonts w:hint="eastAsia" w:ascii="仿宋_GB2312" w:eastAsia="仿宋_GB2312"/>
              <w:szCs w:val="21"/>
            </w:rPr>
            <w:fldChar w:fldCharType="separate"/>
          </w:r>
          <w:r>
            <w:rPr>
              <w:rFonts w:ascii="仿宋_GB2312" w:eastAsia="仿宋_GB2312"/>
              <w:szCs w:val="21"/>
            </w:rPr>
            <w:t>16</w:t>
          </w:r>
          <w:r>
            <w:rPr>
              <w:rFonts w:hint="eastAsia" w:ascii="仿宋_GB2312" w:eastAsia="仿宋_GB2312"/>
              <w:szCs w:val="21"/>
            </w:rPr>
            <w:fldChar w:fldCharType="end"/>
          </w:r>
          <w:r>
            <w:rPr>
              <w:rFonts w:hint="eastAsia" w:ascii="仿宋_GB2312" w:eastAsia="仿宋_GB2312"/>
              <w:szCs w:val="21"/>
            </w:rPr>
            <w:fldChar w:fldCharType="end"/>
          </w:r>
        </w:p>
        <w:p>
          <w:pPr>
            <w:tabs>
              <w:tab w:val="right" w:leader="dot" w:pos="9350"/>
            </w:tabs>
            <w:ind w:left="420" w:leftChars="200"/>
            <w:rPr>
              <w:rFonts w:ascii="仿宋_GB2312" w:eastAsia="仿宋_GB2312"/>
              <w:szCs w:val="21"/>
            </w:rPr>
          </w:pPr>
          <w:r>
            <w:fldChar w:fldCharType="begin"/>
          </w:r>
          <w:r>
            <w:instrText xml:space="preserve"> HYPERLINK \l "_Toc25588107" </w:instrText>
          </w:r>
          <w:r>
            <w:fldChar w:fldCharType="separate"/>
          </w:r>
          <w:r>
            <w:rPr>
              <w:rFonts w:hint="eastAsia" w:ascii="仿宋_GB2312" w:eastAsia="仿宋_GB2312"/>
              <w:szCs w:val="21"/>
              <w:u w:val="single"/>
            </w:rPr>
            <w:t>第八条 违约和索赔</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_Toc25588107 \h </w:instrText>
          </w:r>
          <w:r>
            <w:rPr>
              <w:rFonts w:hint="eastAsia" w:ascii="仿宋_GB2312" w:eastAsia="仿宋_GB2312"/>
              <w:szCs w:val="21"/>
            </w:rPr>
            <w:fldChar w:fldCharType="separate"/>
          </w:r>
          <w:r>
            <w:rPr>
              <w:rFonts w:ascii="仿宋_GB2312" w:eastAsia="仿宋_GB2312"/>
              <w:szCs w:val="21"/>
            </w:rPr>
            <w:t>16</w:t>
          </w:r>
          <w:r>
            <w:rPr>
              <w:rFonts w:hint="eastAsia" w:ascii="仿宋_GB2312" w:eastAsia="仿宋_GB2312"/>
              <w:szCs w:val="21"/>
            </w:rPr>
            <w:fldChar w:fldCharType="end"/>
          </w:r>
          <w:r>
            <w:rPr>
              <w:rFonts w:hint="eastAsia" w:ascii="仿宋_GB2312" w:eastAsia="仿宋_GB2312"/>
              <w:szCs w:val="21"/>
            </w:rPr>
            <w:fldChar w:fldCharType="end"/>
          </w:r>
        </w:p>
        <w:p>
          <w:pPr>
            <w:tabs>
              <w:tab w:val="right" w:leader="dot" w:pos="9350"/>
            </w:tabs>
            <w:ind w:left="420" w:leftChars="200"/>
            <w:rPr>
              <w:rFonts w:ascii="仿宋_GB2312" w:eastAsia="仿宋_GB2312"/>
              <w:szCs w:val="21"/>
            </w:rPr>
          </w:pPr>
          <w:r>
            <w:fldChar w:fldCharType="begin"/>
          </w:r>
          <w:r>
            <w:instrText xml:space="preserve"> HYPERLINK \l "_Toc25588108" </w:instrText>
          </w:r>
          <w:r>
            <w:fldChar w:fldCharType="separate"/>
          </w:r>
          <w:r>
            <w:rPr>
              <w:rFonts w:hint="eastAsia" w:ascii="仿宋_GB2312" w:eastAsia="仿宋_GB2312"/>
              <w:szCs w:val="21"/>
              <w:u w:val="single"/>
            </w:rPr>
            <w:t>第九条 不可抗力</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_Toc25588108 \h </w:instrText>
          </w:r>
          <w:r>
            <w:rPr>
              <w:rFonts w:hint="eastAsia" w:ascii="仿宋_GB2312" w:eastAsia="仿宋_GB2312"/>
              <w:szCs w:val="21"/>
            </w:rPr>
            <w:fldChar w:fldCharType="separate"/>
          </w:r>
          <w:r>
            <w:rPr>
              <w:rFonts w:ascii="仿宋_GB2312" w:eastAsia="仿宋_GB2312"/>
              <w:szCs w:val="21"/>
            </w:rPr>
            <w:t>16</w:t>
          </w:r>
          <w:r>
            <w:rPr>
              <w:rFonts w:hint="eastAsia" w:ascii="仿宋_GB2312" w:eastAsia="仿宋_GB2312"/>
              <w:szCs w:val="21"/>
            </w:rPr>
            <w:fldChar w:fldCharType="end"/>
          </w:r>
          <w:r>
            <w:rPr>
              <w:rFonts w:hint="eastAsia" w:ascii="仿宋_GB2312" w:eastAsia="仿宋_GB2312"/>
              <w:szCs w:val="21"/>
            </w:rPr>
            <w:fldChar w:fldCharType="end"/>
          </w:r>
        </w:p>
        <w:p>
          <w:pPr>
            <w:tabs>
              <w:tab w:val="right" w:leader="dot" w:pos="9350"/>
            </w:tabs>
            <w:ind w:left="420" w:leftChars="200"/>
            <w:rPr>
              <w:rFonts w:ascii="仿宋_GB2312" w:eastAsia="仿宋_GB2312"/>
              <w:szCs w:val="21"/>
            </w:rPr>
          </w:pPr>
          <w:r>
            <w:fldChar w:fldCharType="begin"/>
          </w:r>
          <w:r>
            <w:instrText xml:space="preserve"> HYPERLINK \l "_Toc25588109" </w:instrText>
          </w:r>
          <w:r>
            <w:fldChar w:fldCharType="separate"/>
          </w:r>
          <w:r>
            <w:rPr>
              <w:rFonts w:hint="eastAsia" w:ascii="仿宋_GB2312" w:eastAsia="仿宋_GB2312"/>
              <w:szCs w:val="21"/>
              <w:u w:val="single"/>
            </w:rPr>
            <w:t>第十条 通知条款</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_Toc25588109 \h </w:instrText>
          </w:r>
          <w:r>
            <w:rPr>
              <w:rFonts w:hint="eastAsia" w:ascii="仿宋_GB2312" w:eastAsia="仿宋_GB2312"/>
              <w:szCs w:val="21"/>
            </w:rPr>
            <w:fldChar w:fldCharType="separate"/>
          </w:r>
          <w:r>
            <w:rPr>
              <w:rFonts w:ascii="仿宋_GB2312" w:eastAsia="仿宋_GB2312"/>
              <w:szCs w:val="21"/>
            </w:rPr>
            <w:t>17</w:t>
          </w:r>
          <w:r>
            <w:rPr>
              <w:rFonts w:hint="eastAsia" w:ascii="仿宋_GB2312" w:eastAsia="仿宋_GB2312"/>
              <w:szCs w:val="21"/>
            </w:rPr>
            <w:fldChar w:fldCharType="end"/>
          </w:r>
          <w:r>
            <w:rPr>
              <w:rFonts w:hint="eastAsia" w:ascii="仿宋_GB2312" w:eastAsia="仿宋_GB2312"/>
              <w:szCs w:val="21"/>
            </w:rPr>
            <w:fldChar w:fldCharType="end"/>
          </w:r>
        </w:p>
        <w:p>
          <w:pPr>
            <w:tabs>
              <w:tab w:val="right" w:leader="dot" w:pos="9350"/>
            </w:tabs>
            <w:ind w:left="420" w:leftChars="200"/>
            <w:rPr>
              <w:rFonts w:ascii="仿宋_GB2312" w:eastAsia="仿宋_GB2312"/>
              <w:szCs w:val="21"/>
            </w:rPr>
          </w:pPr>
          <w:r>
            <w:fldChar w:fldCharType="begin"/>
          </w:r>
          <w:r>
            <w:instrText xml:space="preserve"> HYPERLINK \l "_Toc25588110" </w:instrText>
          </w:r>
          <w:r>
            <w:fldChar w:fldCharType="separate"/>
          </w:r>
          <w:r>
            <w:rPr>
              <w:rFonts w:hint="eastAsia" w:ascii="仿宋_GB2312" w:eastAsia="仿宋_GB2312"/>
              <w:szCs w:val="21"/>
              <w:u w:val="single"/>
            </w:rPr>
            <w:t>第十一条 保密条款</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_Toc25588110 \h </w:instrText>
          </w:r>
          <w:r>
            <w:rPr>
              <w:rFonts w:hint="eastAsia" w:ascii="仿宋_GB2312" w:eastAsia="仿宋_GB2312"/>
              <w:szCs w:val="21"/>
            </w:rPr>
            <w:fldChar w:fldCharType="separate"/>
          </w:r>
          <w:r>
            <w:rPr>
              <w:rFonts w:ascii="仿宋_GB2312" w:eastAsia="仿宋_GB2312"/>
              <w:szCs w:val="21"/>
            </w:rPr>
            <w:t>18</w:t>
          </w:r>
          <w:r>
            <w:rPr>
              <w:rFonts w:hint="eastAsia" w:ascii="仿宋_GB2312" w:eastAsia="仿宋_GB2312"/>
              <w:szCs w:val="21"/>
            </w:rPr>
            <w:fldChar w:fldCharType="end"/>
          </w:r>
          <w:r>
            <w:rPr>
              <w:rFonts w:hint="eastAsia" w:ascii="仿宋_GB2312" w:eastAsia="仿宋_GB2312"/>
              <w:szCs w:val="21"/>
            </w:rPr>
            <w:fldChar w:fldCharType="end"/>
          </w:r>
        </w:p>
        <w:p>
          <w:pPr>
            <w:tabs>
              <w:tab w:val="right" w:leader="dot" w:pos="9350"/>
            </w:tabs>
            <w:ind w:left="420" w:leftChars="200"/>
            <w:rPr>
              <w:rFonts w:ascii="仿宋_GB2312" w:eastAsia="仿宋_GB2312"/>
              <w:szCs w:val="21"/>
            </w:rPr>
          </w:pPr>
          <w:r>
            <w:fldChar w:fldCharType="begin"/>
          </w:r>
          <w:r>
            <w:instrText xml:space="preserve"> HYPERLINK \l "_Toc25588111" </w:instrText>
          </w:r>
          <w:r>
            <w:fldChar w:fldCharType="separate"/>
          </w:r>
          <w:r>
            <w:rPr>
              <w:rFonts w:hint="eastAsia" w:ascii="仿宋_GB2312" w:eastAsia="仿宋_GB2312"/>
              <w:szCs w:val="21"/>
              <w:u w:val="single"/>
            </w:rPr>
            <w:t>第十二条 合同争议的解决方式</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_Toc25588111 \h </w:instrText>
          </w:r>
          <w:r>
            <w:rPr>
              <w:rFonts w:hint="eastAsia" w:ascii="仿宋_GB2312" w:eastAsia="仿宋_GB2312"/>
              <w:szCs w:val="21"/>
            </w:rPr>
            <w:fldChar w:fldCharType="separate"/>
          </w:r>
          <w:r>
            <w:rPr>
              <w:rFonts w:ascii="仿宋_GB2312" w:eastAsia="仿宋_GB2312"/>
              <w:szCs w:val="21"/>
            </w:rPr>
            <w:t>18</w:t>
          </w:r>
          <w:r>
            <w:rPr>
              <w:rFonts w:hint="eastAsia" w:ascii="仿宋_GB2312" w:eastAsia="仿宋_GB2312"/>
              <w:szCs w:val="21"/>
            </w:rPr>
            <w:fldChar w:fldCharType="end"/>
          </w:r>
          <w:r>
            <w:rPr>
              <w:rFonts w:hint="eastAsia" w:ascii="仿宋_GB2312" w:eastAsia="仿宋_GB2312"/>
              <w:szCs w:val="21"/>
            </w:rPr>
            <w:fldChar w:fldCharType="end"/>
          </w:r>
        </w:p>
        <w:p>
          <w:pPr>
            <w:tabs>
              <w:tab w:val="right" w:leader="dot" w:pos="9350"/>
            </w:tabs>
            <w:ind w:left="420" w:leftChars="200"/>
            <w:rPr>
              <w:rFonts w:ascii="仿宋_GB2312" w:eastAsia="仿宋_GB2312"/>
              <w:szCs w:val="21"/>
            </w:rPr>
          </w:pPr>
          <w:r>
            <w:fldChar w:fldCharType="begin"/>
          </w:r>
          <w:r>
            <w:instrText xml:space="preserve"> HYPERLINK \l "_Toc25588112" </w:instrText>
          </w:r>
          <w:r>
            <w:fldChar w:fldCharType="separate"/>
          </w:r>
          <w:r>
            <w:rPr>
              <w:rFonts w:hint="eastAsia" w:ascii="仿宋_GB2312" w:eastAsia="仿宋_GB2312"/>
              <w:szCs w:val="21"/>
              <w:u w:val="single"/>
            </w:rPr>
            <w:t>第十三条 合同的变更和解除</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_Toc25588112 \h </w:instrText>
          </w:r>
          <w:r>
            <w:rPr>
              <w:rFonts w:hint="eastAsia" w:ascii="仿宋_GB2312" w:eastAsia="仿宋_GB2312"/>
              <w:szCs w:val="21"/>
            </w:rPr>
            <w:fldChar w:fldCharType="separate"/>
          </w:r>
          <w:r>
            <w:rPr>
              <w:rFonts w:ascii="仿宋_GB2312" w:eastAsia="仿宋_GB2312"/>
              <w:szCs w:val="21"/>
            </w:rPr>
            <w:t>18</w:t>
          </w:r>
          <w:r>
            <w:rPr>
              <w:rFonts w:hint="eastAsia" w:ascii="仿宋_GB2312" w:eastAsia="仿宋_GB2312"/>
              <w:szCs w:val="21"/>
            </w:rPr>
            <w:fldChar w:fldCharType="end"/>
          </w:r>
          <w:r>
            <w:rPr>
              <w:rFonts w:hint="eastAsia" w:ascii="仿宋_GB2312" w:eastAsia="仿宋_GB2312"/>
              <w:szCs w:val="21"/>
            </w:rPr>
            <w:fldChar w:fldCharType="end"/>
          </w:r>
        </w:p>
        <w:p>
          <w:pPr>
            <w:tabs>
              <w:tab w:val="right" w:leader="dot" w:pos="9350"/>
            </w:tabs>
            <w:ind w:left="420" w:leftChars="200"/>
            <w:rPr>
              <w:rFonts w:ascii="仿宋_GB2312" w:eastAsia="仿宋_GB2312"/>
              <w:szCs w:val="21"/>
            </w:rPr>
          </w:pPr>
          <w:r>
            <w:fldChar w:fldCharType="begin"/>
          </w:r>
          <w:r>
            <w:instrText xml:space="preserve"> HYPERLINK \l "_Toc25588113" </w:instrText>
          </w:r>
          <w:r>
            <w:fldChar w:fldCharType="separate"/>
          </w:r>
          <w:r>
            <w:rPr>
              <w:rFonts w:hint="eastAsia" w:ascii="仿宋_GB2312" w:eastAsia="仿宋_GB2312"/>
              <w:szCs w:val="21"/>
              <w:u w:val="single"/>
            </w:rPr>
            <w:t>第十四条 合同生效及其他</w:t>
          </w:r>
          <w:r>
            <w:rPr>
              <w:rFonts w:hint="eastAsia" w:ascii="仿宋_GB2312" w:eastAsia="仿宋_GB2312"/>
              <w:szCs w:val="21"/>
            </w:rPr>
            <w:tab/>
          </w:r>
          <w:r>
            <w:rPr>
              <w:rFonts w:hint="eastAsia" w:ascii="仿宋_GB2312" w:eastAsia="仿宋_GB2312"/>
              <w:szCs w:val="21"/>
            </w:rPr>
            <w:fldChar w:fldCharType="begin"/>
          </w:r>
          <w:r>
            <w:rPr>
              <w:rFonts w:hint="eastAsia" w:ascii="仿宋_GB2312" w:eastAsia="仿宋_GB2312"/>
              <w:szCs w:val="21"/>
            </w:rPr>
            <w:instrText xml:space="preserve"> PAGEREF _Toc25588113 \h </w:instrText>
          </w:r>
          <w:r>
            <w:rPr>
              <w:rFonts w:hint="eastAsia" w:ascii="仿宋_GB2312" w:eastAsia="仿宋_GB2312"/>
              <w:szCs w:val="21"/>
            </w:rPr>
            <w:fldChar w:fldCharType="separate"/>
          </w:r>
          <w:r>
            <w:rPr>
              <w:rFonts w:ascii="仿宋_GB2312" w:eastAsia="仿宋_GB2312"/>
              <w:szCs w:val="21"/>
            </w:rPr>
            <w:t>18</w:t>
          </w:r>
          <w:r>
            <w:rPr>
              <w:rFonts w:hint="eastAsia" w:ascii="仿宋_GB2312" w:eastAsia="仿宋_GB2312"/>
              <w:szCs w:val="21"/>
            </w:rPr>
            <w:fldChar w:fldCharType="end"/>
          </w:r>
          <w:r>
            <w:rPr>
              <w:rFonts w:hint="eastAsia" w:ascii="仿宋_GB2312" w:eastAsia="仿宋_GB2312"/>
              <w:szCs w:val="21"/>
            </w:rPr>
            <w:fldChar w:fldCharType="end"/>
          </w:r>
        </w:p>
        <w:p>
          <w:pPr>
            <w:rPr>
              <w:szCs w:val="21"/>
            </w:rPr>
          </w:pPr>
          <w:r>
            <w:rPr>
              <w:rFonts w:hint="eastAsia" w:ascii="仿宋_GB2312" w:eastAsia="仿宋_GB2312"/>
              <w:b/>
              <w:bCs/>
              <w:szCs w:val="21"/>
              <w:lang w:val="zh-CN"/>
            </w:rPr>
            <w:fldChar w:fldCharType="end"/>
          </w:r>
        </w:p>
      </w:sdtContent>
    </w:sdt>
    <w:p>
      <w:pPr>
        <w:ind w:firstLine="422" w:firstLineChars="200"/>
        <w:rPr>
          <w:rFonts w:cs="宋体"/>
          <w:b/>
          <w:bCs/>
          <w:szCs w:val="21"/>
        </w:rPr>
      </w:pPr>
    </w:p>
    <w:p>
      <w:pPr>
        <w:ind w:firstLine="422" w:firstLineChars="200"/>
        <w:rPr>
          <w:rFonts w:cs="宋体"/>
          <w:b/>
          <w:bCs/>
          <w:szCs w:val="21"/>
        </w:rPr>
        <w:sectPr>
          <w:footerReference r:id="rId3" w:type="default"/>
          <w:pgSz w:w="12240" w:h="15840"/>
          <w:pgMar w:top="1440" w:right="1440" w:bottom="1440" w:left="1440" w:header="720" w:footer="720" w:gutter="0"/>
          <w:cols w:space="720" w:num="1"/>
        </w:sectPr>
      </w:pPr>
    </w:p>
    <w:p>
      <w:pPr>
        <w:ind w:firstLine="422" w:firstLineChars="200"/>
        <w:rPr>
          <w:rFonts w:cs="宋体"/>
          <w:b/>
          <w:bCs/>
          <w:szCs w:val="21"/>
        </w:rPr>
      </w:pP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甲方（买方）：重庆机场集团有限公司</w:t>
      </w: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统一信用代码：91500000756209971P</w:t>
      </w: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送达地址：</w:t>
      </w: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 xml:space="preserve">联系人： </w:t>
      </w: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联系电话：</w:t>
      </w: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邮箱：</w:t>
      </w: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 xml:space="preserve">乙方（卖方）： </w:t>
      </w: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统一信用代码：</w:t>
      </w: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送达地址：</w:t>
      </w: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 xml:space="preserve">联系人： </w:t>
      </w: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联系电话：</w:t>
      </w: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邮箱：</w:t>
      </w: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 xml:space="preserve">签订地点： </w:t>
      </w:r>
    </w:p>
    <w:p>
      <w:pPr>
        <w:spacing w:line="360" w:lineRule="auto"/>
        <w:ind w:firstLine="422" w:firstLineChars="200"/>
        <w:rPr>
          <w:rFonts w:ascii="仿宋_GB2312" w:hAnsi="仿宋" w:eastAsia="仿宋_GB2312" w:cs="宋体"/>
          <w:b/>
          <w:bCs/>
          <w:szCs w:val="21"/>
        </w:rPr>
      </w:pPr>
      <w:r>
        <w:rPr>
          <w:rFonts w:hint="eastAsia" w:ascii="仿宋_GB2312" w:hAnsi="仿宋" w:eastAsia="仿宋_GB2312" w:cs="宋体"/>
          <w:b/>
          <w:bCs/>
          <w:szCs w:val="21"/>
        </w:rPr>
        <w:t>签订时间：</w:t>
      </w:r>
      <w:r>
        <w:rPr>
          <w:rFonts w:hint="eastAsia" w:ascii="仿宋_GB2312" w:hAnsi="仿宋" w:eastAsia="仿宋_GB2312" w:cs="宋体"/>
          <w:b/>
          <w:bCs/>
          <w:szCs w:val="21"/>
          <w:u w:val="single"/>
        </w:rPr>
        <w:t xml:space="preserve">    </w:t>
      </w:r>
      <w:r>
        <w:rPr>
          <w:rFonts w:hint="eastAsia" w:ascii="仿宋_GB2312" w:hAnsi="仿宋" w:eastAsia="仿宋_GB2312" w:cs="宋体"/>
          <w:b/>
          <w:bCs/>
          <w:szCs w:val="21"/>
        </w:rPr>
        <w:t>年</w:t>
      </w:r>
      <w:r>
        <w:rPr>
          <w:rFonts w:hint="eastAsia" w:ascii="仿宋_GB2312" w:hAnsi="仿宋" w:eastAsia="仿宋_GB2312" w:cs="宋体"/>
          <w:b/>
          <w:bCs/>
          <w:szCs w:val="21"/>
          <w:u w:val="single"/>
        </w:rPr>
        <w:t xml:space="preserve">  </w:t>
      </w:r>
      <w:r>
        <w:rPr>
          <w:rFonts w:hint="eastAsia" w:ascii="仿宋_GB2312" w:hAnsi="仿宋" w:eastAsia="仿宋_GB2312" w:cs="宋体"/>
          <w:b/>
          <w:bCs/>
          <w:szCs w:val="21"/>
        </w:rPr>
        <w:t>月</w:t>
      </w:r>
      <w:r>
        <w:rPr>
          <w:rFonts w:hint="eastAsia" w:ascii="仿宋_GB2312" w:hAnsi="仿宋" w:eastAsia="仿宋_GB2312" w:cs="宋体"/>
          <w:b/>
          <w:bCs/>
          <w:szCs w:val="21"/>
          <w:u w:val="single"/>
        </w:rPr>
        <w:t xml:space="preserve">  </w:t>
      </w:r>
      <w:r>
        <w:rPr>
          <w:rFonts w:hint="eastAsia" w:ascii="仿宋_GB2312" w:hAnsi="仿宋" w:eastAsia="仿宋_GB2312" w:cs="宋体"/>
          <w:b/>
          <w:bCs/>
          <w:szCs w:val="21"/>
        </w:rPr>
        <w:t>日</w:t>
      </w:r>
    </w:p>
    <w:p>
      <w:pPr>
        <w:spacing w:line="360" w:lineRule="auto"/>
        <w:ind w:firstLine="420" w:firstLineChars="200"/>
        <w:rPr>
          <w:rFonts w:ascii="仿宋_GB2312" w:hAnsi="仿宋" w:eastAsia="仿宋_GB2312" w:cs="宋体"/>
          <w:szCs w:val="21"/>
        </w:rPr>
      </w:pPr>
    </w:p>
    <w:p>
      <w:pPr>
        <w:spacing w:line="360" w:lineRule="auto"/>
        <w:ind w:firstLine="420" w:firstLineChars="200"/>
        <w:rPr>
          <w:rFonts w:ascii="仿宋_GB2312" w:hAnsi="仿宋_GB2312" w:eastAsia="仿宋_GB2312" w:cs="宋体"/>
          <w:szCs w:val="21"/>
        </w:rPr>
      </w:pPr>
      <w:r>
        <w:rPr>
          <w:rFonts w:hint="eastAsia" w:ascii="仿宋_GB2312" w:hAnsi="仿宋_GB2312" w:eastAsia="仿宋_GB2312" w:cs="宋体"/>
          <w:szCs w:val="21"/>
        </w:rPr>
        <w:t>甲乙双方依照《中华人民共和国民法典》及相关法律、法规规定，本着平等、自愿的原则，经友好协商，现就甲方向乙方购买 负载均衡设备（并安装，调试）</w:t>
      </w:r>
      <w:r>
        <w:rPr>
          <w:rFonts w:ascii="仿宋_GB2312" w:hAnsi="仿宋_GB2312" w:eastAsia="仿宋_GB2312" w:cs="宋体"/>
          <w:szCs w:val="21"/>
        </w:rPr>
        <w:t>事宜达成一致，签订本协议。：</w:t>
      </w:r>
    </w:p>
    <w:p>
      <w:pPr>
        <w:spacing w:before="120" w:after="120" w:line="360" w:lineRule="auto"/>
        <w:ind w:firstLine="420" w:firstLineChars="200"/>
        <w:outlineLvl w:val="1"/>
        <w:rPr>
          <w:rFonts w:ascii="仿宋_GB2312" w:hAnsi="仿宋" w:eastAsia="黑体" w:cs="宋体"/>
          <w:szCs w:val="21"/>
        </w:rPr>
      </w:pPr>
      <w:bookmarkStart w:id="3" w:name="_Toc25588100"/>
      <w:r>
        <w:rPr>
          <w:rFonts w:ascii="仿宋_GB2312" w:hAnsi="仿宋" w:eastAsia="黑体" w:cs="宋体"/>
          <w:szCs w:val="21"/>
        </w:rPr>
        <w:t>第</w:t>
      </w:r>
      <w:r>
        <w:rPr>
          <w:rFonts w:hint="eastAsia" w:ascii="仿宋_GB2312" w:hAnsi="仿宋" w:eastAsia="黑体" w:cs="宋体"/>
          <w:szCs w:val="21"/>
        </w:rPr>
        <w:t>一</w:t>
      </w:r>
      <w:r>
        <w:rPr>
          <w:rFonts w:ascii="仿宋_GB2312" w:hAnsi="仿宋" w:eastAsia="黑体" w:cs="宋体"/>
          <w:szCs w:val="21"/>
        </w:rPr>
        <w:t>条 货</w:t>
      </w:r>
      <w:r>
        <w:rPr>
          <w:rFonts w:hint="eastAsia" w:ascii="仿宋_GB2312" w:hAnsi="仿宋" w:eastAsia="黑体" w:cs="宋体"/>
          <w:szCs w:val="21"/>
        </w:rPr>
        <w:t>物</w:t>
      </w:r>
      <w:r>
        <w:rPr>
          <w:rFonts w:ascii="仿宋_GB2312" w:hAnsi="仿宋" w:eastAsia="黑体" w:cs="宋体"/>
          <w:szCs w:val="21"/>
        </w:rPr>
        <w:t>名称、数量及规格</w:t>
      </w:r>
      <w:bookmarkEnd w:id="3"/>
    </w:p>
    <w:p>
      <w:pPr>
        <w:spacing w:line="360" w:lineRule="auto"/>
        <w:ind w:firstLine="420" w:firstLineChars="200"/>
        <w:rPr>
          <w:rFonts w:ascii="仿宋_GB2312" w:hAnsi="仿宋_GB2312" w:eastAsia="仿宋_GB2312" w:cs="宋体"/>
          <w:szCs w:val="21"/>
        </w:rPr>
      </w:pPr>
      <w:r>
        <w:rPr>
          <w:rFonts w:hint="eastAsia" w:ascii="仿宋_GB2312" w:hAnsi="仿宋" w:eastAsia="仿宋_GB2312" w:cs="宋体"/>
          <w:szCs w:val="21"/>
        </w:rPr>
        <w:t>1</w:t>
      </w:r>
      <w:r>
        <w:rPr>
          <w:rFonts w:ascii="仿宋_GB2312" w:hAnsi="仿宋" w:eastAsia="仿宋_GB2312" w:cs="宋体"/>
          <w:szCs w:val="21"/>
        </w:rPr>
        <w:t>.1本合同</w:t>
      </w:r>
      <w:r>
        <w:rPr>
          <w:rFonts w:hint="eastAsia" w:ascii="仿宋_GB2312" w:hAnsi="仿宋" w:eastAsia="仿宋_GB2312" w:cs="宋体"/>
          <w:szCs w:val="21"/>
        </w:rPr>
        <w:t>项下乙方所供</w:t>
      </w:r>
      <w:r>
        <w:rPr>
          <w:rFonts w:ascii="仿宋_GB2312" w:hAnsi="仿宋" w:eastAsia="仿宋_GB2312" w:cs="宋体"/>
          <w:szCs w:val="21"/>
        </w:rPr>
        <w:t>货物</w:t>
      </w:r>
      <w:r>
        <w:rPr>
          <w:rFonts w:hint="eastAsia" w:ascii="仿宋_GB2312" w:hAnsi="仿宋" w:eastAsia="仿宋_GB2312" w:cs="宋体"/>
          <w:szCs w:val="21"/>
        </w:rPr>
        <w:t>情况</w:t>
      </w:r>
      <w:r>
        <w:rPr>
          <w:rFonts w:ascii="仿宋_GB2312" w:hAnsi="仿宋" w:eastAsia="仿宋_GB2312" w:cs="宋体"/>
          <w:szCs w:val="21"/>
        </w:rPr>
        <w:t>如下：</w:t>
      </w:r>
    </w:p>
    <w:tbl>
      <w:tblPr>
        <w:tblStyle w:val="7"/>
        <w:tblW w:w="7072"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43"/>
        <w:gridCol w:w="1347"/>
        <w:gridCol w:w="1132"/>
        <w:gridCol w:w="125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kern w:val="0"/>
                <w:sz w:val="20"/>
                <w:szCs w:val="21"/>
              </w:rPr>
            </w:pPr>
            <w:r>
              <w:rPr>
                <w:rFonts w:hint="eastAsia" w:ascii="仿宋_GB2312" w:hAnsi="仿宋_GB2312" w:eastAsia="仿宋_GB2312" w:cs="宋体"/>
                <w:kern w:val="0"/>
                <w:sz w:val="20"/>
                <w:szCs w:val="21"/>
              </w:rPr>
              <w:t>名  称</w:t>
            </w:r>
          </w:p>
        </w:tc>
        <w:tc>
          <w:tcPr>
            <w:tcW w:w="943" w:type="dxa"/>
            <w:vAlign w:val="center"/>
          </w:tcPr>
          <w:p>
            <w:pPr>
              <w:spacing w:line="560" w:lineRule="exact"/>
              <w:jc w:val="center"/>
              <w:rPr>
                <w:rFonts w:ascii="仿宋_GB2312" w:hAnsi="仿宋_GB2312" w:eastAsia="仿宋_GB2312" w:cs="宋体"/>
                <w:kern w:val="0"/>
                <w:sz w:val="20"/>
                <w:szCs w:val="21"/>
              </w:rPr>
            </w:pPr>
            <w:r>
              <w:rPr>
                <w:rFonts w:hint="eastAsia" w:ascii="仿宋_GB2312" w:hAnsi="仿宋_GB2312" w:eastAsia="仿宋_GB2312" w:cs="宋体"/>
                <w:kern w:val="0"/>
                <w:sz w:val="20"/>
                <w:szCs w:val="21"/>
              </w:rPr>
              <w:t>品  牌</w:t>
            </w:r>
          </w:p>
        </w:tc>
        <w:tc>
          <w:tcPr>
            <w:tcW w:w="1347" w:type="dxa"/>
            <w:vAlign w:val="center"/>
          </w:tcPr>
          <w:p>
            <w:pPr>
              <w:spacing w:line="560" w:lineRule="exact"/>
              <w:jc w:val="center"/>
              <w:rPr>
                <w:rFonts w:ascii="仿宋_GB2312" w:hAnsi="仿宋_GB2312" w:eastAsia="仿宋_GB2312" w:cs="宋体"/>
                <w:kern w:val="0"/>
                <w:sz w:val="20"/>
                <w:szCs w:val="21"/>
              </w:rPr>
            </w:pPr>
            <w:r>
              <w:rPr>
                <w:rFonts w:hint="eastAsia" w:ascii="仿宋_GB2312" w:hAnsi="仿宋_GB2312" w:eastAsia="仿宋_GB2312" w:cs="宋体"/>
                <w:kern w:val="0"/>
                <w:sz w:val="20"/>
                <w:szCs w:val="21"/>
              </w:rPr>
              <w:t>规格（型号）</w:t>
            </w:r>
          </w:p>
        </w:tc>
        <w:tc>
          <w:tcPr>
            <w:tcW w:w="1132" w:type="dxa"/>
            <w:vAlign w:val="center"/>
          </w:tcPr>
          <w:p>
            <w:pPr>
              <w:spacing w:line="560" w:lineRule="exact"/>
              <w:jc w:val="center"/>
              <w:rPr>
                <w:rFonts w:ascii="仿宋_GB2312" w:hAnsi="仿宋_GB2312" w:eastAsia="仿宋_GB2312" w:cs="宋体"/>
                <w:kern w:val="0"/>
                <w:sz w:val="20"/>
                <w:szCs w:val="21"/>
              </w:rPr>
            </w:pPr>
            <w:r>
              <w:rPr>
                <w:rFonts w:hint="eastAsia" w:ascii="仿宋_GB2312" w:hAnsi="仿宋_GB2312" w:eastAsia="仿宋_GB2312" w:cs="宋体"/>
                <w:kern w:val="0"/>
                <w:sz w:val="20"/>
                <w:szCs w:val="21"/>
              </w:rPr>
              <w:t>数  量</w:t>
            </w:r>
          </w:p>
        </w:tc>
        <w:tc>
          <w:tcPr>
            <w:tcW w:w="1256" w:type="dxa"/>
            <w:vAlign w:val="center"/>
          </w:tcPr>
          <w:p>
            <w:pPr>
              <w:spacing w:line="360" w:lineRule="exact"/>
              <w:jc w:val="center"/>
              <w:rPr>
                <w:rFonts w:ascii="仿宋_GB2312" w:hAnsi="仿宋_GB2312" w:eastAsia="仿宋_GB2312" w:cs="宋体"/>
                <w:kern w:val="0"/>
                <w:sz w:val="20"/>
                <w:szCs w:val="21"/>
              </w:rPr>
            </w:pPr>
            <w:r>
              <w:rPr>
                <w:rFonts w:hint="eastAsia" w:ascii="仿宋_GB2312" w:hAnsi="仿宋_GB2312" w:eastAsia="仿宋_GB2312" w:cs="宋体"/>
                <w:kern w:val="0"/>
                <w:sz w:val="20"/>
                <w:szCs w:val="21"/>
              </w:rPr>
              <w:t>单价</w:t>
            </w:r>
            <w:r>
              <w:rPr>
                <w:rFonts w:hint="eastAsia" w:ascii="仿宋_GB2312" w:hAnsi="仿宋_GB2312" w:eastAsia="仿宋_GB2312" w:cs="宋体"/>
                <w:kern w:val="0"/>
                <w:sz w:val="15"/>
                <w:szCs w:val="15"/>
              </w:rPr>
              <w:t>（含</w:t>
            </w:r>
            <w:r>
              <w:rPr>
                <w:rFonts w:hint="eastAsia" w:ascii="方正仿宋_GBK" w:hAnsi="方正仿宋_GBK" w:eastAsia="方正仿宋_GBK" w:cs="方正仿宋_GBK"/>
                <w:kern w:val="0"/>
                <w:sz w:val="15"/>
                <w:szCs w:val="15"/>
              </w:rPr>
              <w:t>增值税</w:t>
            </w:r>
            <w:r>
              <w:rPr>
                <w:rFonts w:hint="eastAsia" w:ascii="仿宋_GB2312" w:hAnsi="仿宋_GB2312" w:eastAsia="仿宋_GB2312" w:cs="宋体"/>
                <w:kern w:val="0"/>
                <w:sz w:val="15"/>
                <w:szCs w:val="15"/>
              </w:rPr>
              <w:t>）</w:t>
            </w:r>
          </w:p>
        </w:tc>
        <w:tc>
          <w:tcPr>
            <w:tcW w:w="1261" w:type="dxa"/>
            <w:vAlign w:val="center"/>
          </w:tcPr>
          <w:p>
            <w:pPr>
              <w:spacing w:line="360" w:lineRule="exact"/>
              <w:jc w:val="center"/>
              <w:rPr>
                <w:rFonts w:ascii="仿宋_GB2312" w:hAnsi="仿宋_GB2312" w:eastAsia="仿宋_GB2312" w:cs="宋体"/>
                <w:kern w:val="0"/>
                <w:sz w:val="20"/>
                <w:szCs w:val="21"/>
              </w:rPr>
            </w:pPr>
            <w:r>
              <w:rPr>
                <w:rFonts w:hint="eastAsia" w:ascii="仿宋_GB2312" w:hAnsi="仿宋_GB2312" w:eastAsia="仿宋_GB2312" w:cs="宋体"/>
                <w:kern w:val="0"/>
                <w:sz w:val="20"/>
                <w:szCs w:val="21"/>
              </w:rPr>
              <w:t>总价</w:t>
            </w:r>
            <w:r>
              <w:rPr>
                <w:rFonts w:hint="eastAsia" w:ascii="仿宋_GB2312" w:hAnsi="仿宋_GB2312" w:eastAsia="仿宋_GB2312" w:cs="宋体"/>
                <w:kern w:val="0"/>
                <w:sz w:val="15"/>
                <w:szCs w:val="15"/>
              </w:rPr>
              <w:t>（含</w:t>
            </w:r>
            <w:r>
              <w:rPr>
                <w:rFonts w:hint="eastAsia" w:ascii="方正仿宋_GBK" w:hAnsi="方正仿宋_GBK" w:eastAsia="方正仿宋_GBK" w:cs="方正仿宋_GBK"/>
                <w:kern w:val="0"/>
                <w:sz w:val="15"/>
                <w:szCs w:val="15"/>
              </w:rPr>
              <w:t>增值税</w:t>
            </w:r>
            <w:r>
              <w:rPr>
                <w:rFonts w:hint="eastAsia" w:ascii="仿宋_GB2312" w:hAnsi="仿宋_GB2312" w:eastAsia="仿宋_GB2312" w:cs="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kern w:val="0"/>
                <w:sz w:val="20"/>
                <w:szCs w:val="21"/>
              </w:rPr>
            </w:pPr>
          </w:p>
        </w:tc>
        <w:tc>
          <w:tcPr>
            <w:tcW w:w="943" w:type="dxa"/>
            <w:vAlign w:val="center"/>
          </w:tcPr>
          <w:p>
            <w:pPr>
              <w:spacing w:line="560" w:lineRule="exact"/>
              <w:jc w:val="center"/>
              <w:rPr>
                <w:rFonts w:ascii="仿宋_GB2312" w:hAnsi="仿宋_GB2312" w:eastAsia="仿宋_GB2312" w:cs="宋体"/>
                <w:kern w:val="0"/>
                <w:sz w:val="20"/>
                <w:szCs w:val="21"/>
              </w:rPr>
            </w:pPr>
          </w:p>
        </w:tc>
        <w:tc>
          <w:tcPr>
            <w:tcW w:w="1347" w:type="dxa"/>
            <w:vAlign w:val="center"/>
          </w:tcPr>
          <w:p>
            <w:pPr>
              <w:spacing w:line="560" w:lineRule="exact"/>
              <w:jc w:val="center"/>
              <w:rPr>
                <w:rFonts w:ascii="仿宋_GB2312" w:hAnsi="仿宋_GB2312" w:eastAsia="仿宋_GB2312" w:cs="宋体"/>
                <w:kern w:val="0"/>
                <w:sz w:val="20"/>
                <w:szCs w:val="21"/>
              </w:rPr>
            </w:pPr>
          </w:p>
        </w:tc>
        <w:tc>
          <w:tcPr>
            <w:tcW w:w="1132" w:type="dxa"/>
            <w:vAlign w:val="center"/>
          </w:tcPr>
          <w:p>
            <w:pPr>
              <w:spacing w:line="560" w:lineRule="exact"/>
              <w:jc w:val="center"/>
              <w:rPr>
                <w:rFonts w:ascii="仿宋_GB2312" w:hAnsi="仿宋_GB2312" w:eastAsia="仿宋_GB2312" w:cs="宋体"/>
                <w:kern w:val="0"/>
                <w:sz w:val="20"/>
                <w:szCs w:val="21"/>
              </w:rPr>
            </w:pPr>
          </w:p>
        </w:tc>
        <w:tc>
          <w:tcPr>
            <w:tcW w:w="1256" w:type="dxa"/>
            <w:vAlign w:val="center"/>
          </w:tcPr>
          <w:p>
            <w:pPr>
              <w:spacing w:line="560" w:lineRule="exact"/>
              <w:jc w:val="center"/>
              <w:rPr>
                <w:rFonts w:ascii="仿宋_GB2312" w:hAnsi="仿宋_GB2312" w:eastAsia="仿宋_GB2312" w:cs="宋体"/>
                <w:kern w:val="0"/>
                <w:sz w:val="20"/>
                <w:szCs w:val="21"/>
              </w:rPr>
            </w:pPr>
          </w:p>
        </w:tc>
        <w:tc>
          <w:tcPr>
            <w:tcW w:w="1261" w:type="dxa"/>
            <w:vAlign w:val="center"/>
          </w:tcPr>
          <w:p>
            <w:pPr>
              <w:spacing w:line="560" w:lineRule="exact"/>
              <w:jc w:val="center"/>
              <w:rPr>
                <w:rFonts w:ascii="仿宋_GB2312" w:hAnsi="仿宋_GB2312" w:eastAsia="仿宋_GB2312"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kern w:val="0"/>
                <w:sz w:val="20"/>
                <w:szCs w:val="21"/>
              </w:rPr>
            </w:pPr>
          </w:p>
        </w:tc>
        <w:tc>
          <w:tcPr>
            <w:tcW w:w="943" w:type="dxa"/>
            <w:vAlign w:val="center"/>
          </w:tcPr>
          <w:p>
            <w:pPr>
              <w:spacing w:line="560" w:lineRule="exact"/>
              <w:jc w:val="center"/>
              <w:rPr>
                <w:rFonts w:ascii="仿宋_GB2312" w:hAnsi="仿宋_GB2312" w:eastAsia="仿宋_GB2312" w:cs="宋体"/>
                <w:kern w:val="0"/>
                <w:sz w:val="20"/>
                <w:szCs w:val="21"/>
              </w:rPr>
            </w:pPr>
          </w:p>
        </w:tc>
        <w:tc>
          <w:tcPr>
            <w:tcW w:w="1347" w:type="dxa"/>
            <w:vAlign w:val="center"/>
          </w:tcPr>
          <w:p>
            <w:pPr>
              <w:spacing w:line="560" w:lineRule="exact"/>
              <w:jc w:val="center"/>
              <w:rPr>
                <w:rFonts w:ascii="仿宋_GB2312" w:hAnsi="仿宋_GB2312" w:eastAsia="仿宋_GB2312" w:cs="宋体"/>
                <w:kern w:val="0"/>
                <w:sz w:val="20"/>
                <w:szCs w:val="21"/>
              </w:rPr>
            </w:pPr>
          </w:p>
        </w:tc>
        <w:tc>
          <w:tcPr>
            <w:tcW w:w="1132" w:type="dxa"/>
            <w:vAlign w:val="center"/>
          </w:tcPr>
          <w:p>
            <w:pPr>
              <w:spacing w:line="560" w:lineRule="exact"/>
              <w:jc w:val="center"/>
              <w:rPr>
                <w:rFonts w:ascii="仿宋_GB2312" w:hAnsi="仿宋_GB2312" w:eastAsia="仿宋_GB2312" w:cs="宋体"/>
                <w:kern w:val="0"/>
                <w:sz w:val="20"/>
                <w:szCs w:val="21"/>
              </w:rPr>
            </w:pPr>
          </w:p>
        </w:tc>
        <w:tc>
          <w:tcPr>
            <w:tcW w:w="1256" w:type="dxa"/>
            <w:vAlign w:val="center"/>
          </w:tcPr>
          <w:p>
            <w:pPr>
              <w:spacing w:line="560" w:lineRule="exact"/>
              <w:jc w:val="center"/>
              <w:rPr>
                <w:rFonts w:ascii="仿宋_GB2312" w:hAnsi="仿宋_GB2312" w:eastAsia="仿宋_GB2312" w:cs="宋体"/>
                <w:kern w:val="0"/>
                <w:sz w:val="20"/>
                <w:szCs w:val="21"/>
              </w:rPr>
            </w:pPr>
          </w:p>
        </w:tc>
        <w:tc>
          <w:tcPr>
            <w:tcW w:w="1261" w:type="dxa"/>
            <w:vAlign w:val="center"/>
          </w:tcPr>
          <w:p>
            <w:pPr>
              <w:spacing w:line="560" w:lineRule="exact"/>
              <w:jc w:val="center"/>
              <w:rPr>
                <w:rFonts w:ascii="仿宋_GB2312" w:hAnsi="仿宋_GB2312" w:eastAsia="仿宋_GB2312"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133" w:type="dxa"/>
            <w:vAlign w:val="center"/>
          </w:tcPr>
          <w:p>
            <w:pPr>
              <w:spacing w:line="560" w:lineRule="exact"/>
              <w:jc w:val="center"/>
              <w:rPr>
                <w:rFonts w:ascii="仿宋_GB2312" w:hAnsi="仿宋_GB2312" w:eastAsia="仿宋_GB2312" w:cs="宋体"/>
                <w:kern w:val="0"/>
                <w:sz w:val="20"/>
                <w:szCs w:val="21"/>
              </w:rPr>
            </w:pPr>
          </w:p>
        </w:tc>
        <w:tc>
          <w:tcPr>
            <w:tcW w:w="943" w:type="dxa"/>
            <w:vAlign w:val="center"/>
          </w:tcPr>
          <w:p>
            <w:pPr>
              <w:spacing w:line="560" w:lineRule="exact"/>
              <w:jc w:val="center"/>
              <w:rPr>
                <w:rFonts w:ascii="仿宋_GB2312" w:hAnsi="仿宋_GB2312" w:eastAsia="仿宋_GB2312" w:cs="宋体"/>
                <w:kern w:val="0"/>
                <w:sz w:val="20"/>
                <w:szCs w:val="21"/>
              </w:rPr>
            </w:pPr>
          </w:p>
        </w:tc>
        <w:tc>
          <w:tcPr>
            <w:tcW w:w="1347" w:type="dxa"/>
            <w:vAlign w:val="center"/>
          </w:tcPr>
          <w:p>
            <w:pPr>
              <w:spacing w:line="560" w:lineRule="exact"/>
              <w:jc w:val="center"/>
              <w:rPr>
                <w:rFonts w:ascii="仿宋_GB2312" w:hAnsi="仿宋_GB2312" w:eastAsia="仿宋_GB2312" w:cs="宋体"/>
                <w:kern w:val="0"/>
                <w:sz w:val="20"/>
                <w:szCs w:val="21"/>
              </w:rPr>
            </w:pPr>
          </w:p>
        </w:tc>
        <w:tc>
          <w:tcPr>
            <w:tcW w:w="1132" w:type="dxa"/>
            <w:vAlign w:val="center"/>
          </w:tcPr>
          <w:p>
            <w:pPr>
              <w:spacing w:line="560" w:lineRule="exact"/>
              <w:jc w:val="center"/>
              <w:rPr>
                <w:rFonts w:ascii="仿宋_GB2312" w:hAnsi="仿宋_GB2312" w:eastAsia="仿宋_GB2312" w:cs="宋体"/>
                <w:kern w:val="0"/>
                <w:sz w:val="20"/>
                <w:szCs w:val="21"/>
              </w:rPr>
            </w:pPr>
          </w:p>
        </w:tc>
        <w:tc>
          <w:tcPr>
            <w:tcW w:w="1256" w:type="dxa"/>
            <w:vAlign w:val="center"/>
          </w:tcPr>
          <w:p>
            <w:pPr>
              <w:spacing w:line="560" w:lineRule="exact"/>
              <w:jc w:val="center"/>
              <w:rPr>
                <w:rFonts w:ascii="仿宋_GB2312" w:hAnsi="仿宋_GB2312" w:eastAsia="仿宋_GB2312" w:cs="宋体"/>
                <w:kern w:val="0"/>
                <w:sz w:val="20"/>
                <w:szCs w:val="21"/>
              </w:rPr>
            </w:pPr>
          </w:p>
        </w:tc>
        <w:tc>
          <w:tcPr>
            <w:tcW w:w="1261" w:type="dxa"/>
            <w:vAlign w:val="center"/>
          </w:tcPr>
          <w:p>
            <w:pPr>
              <w:spacing w:line="560" w:lineRule="exact"/>
              <w:jc w:val="center"/>
              <w:rPr>
                <w:rFonts w:ascii="仿宋_GB2312" w:hAnsi="仿宋_GB2312" w:eastAsia="仿宋_GB2312"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33" w:type="dxa"/>
            <w:vAlign w:val="center"/>
          </w:tcPr>
          <w:p>
            <w:pPr>
              <w:spacing w:line="560" w:lineRule="exact"/>
              <w:jc w:val="center"/>
              <w:rPr>
                <w:rFonts w:ascii="仿宋_GB2312" w:hAnsi="仿宋_GB2312" w:eastAsia="仿宋_GB2312" w:cs="宋体"/>
                <w:kern w:val="0"/>
                <w:sz w:val="20"/>
                <w:szCs w:val="21"/>
              </w:rPr>
            </w:pPr>
            <w:r>
              <w:rPr>
                <w:rFonts w:hint="eastAsia" w:ascii="仿宋_GB2312" w:hAnsi="仿宋_GB2312" w:eastAsia="仿宋_GB2312" w:cs="宋体"/>
                <w:kern w:val="0"/>
                <w:sz w:val="20"/>
                <w:szCs w:val="21"/>
              </w:rPr>
              <w:t>总计</w:t>
            </w:r>
          </w:p>
        </w:tc>
        <w:tc>
          <w:tcPr>
            <w:tcW w:w="943" w:type="dxa"/>
            <w:vAlign w:val="center"/>
          </w:tcPr>
          <w:p>
            <w:pPr>
              <w:spacing w:line="560" w:lineRule="exact"/>
              <w:jc w:val="center"/>
              <w:rPr>
                <w:rFonts w:ascii="仿宋_GB2312" w:hAnsi="仿宋_GB2312" w:eastAsia="仿宋_GB2312" w:cs="宋体"/>
                <w:kern w:val="0"/>
                <w:sz w:val="20"/>
                <w:szCs w:val="21"/>
              </w:rPr>
            </w:pPr>
          </w:p>
        </w:tc>
        <w:tc>
          <w:tcPr>
            <w:tcW w:w="1347" w:type="dxa"/>
            <w:vAlign w:val="center"/>
          </w:tcPr>
          <w:p>
            <w:pPr>
              <w:spacing w:line="560" w:lineRule="exact"/>
              <w:jc w:val="center"/>
              <w:rPr>
                <w:rFonts w:ascii="仿宋_GB2312" w:hAnsi="仿宋_GB2312" w:eastAsia="仿宋_GB2312" w:cs="宋体"/>
                <w:kern w:val="0"/>
                <w:sz w:val="20"/>
                <w:szCs w:val="21"/>
              </w:rPr>
            </w:pPr>
          </w:p>
        </w:tc>
        <w:tc>
          <w:tcPr>
            <w:tcW w:w="1132" w:type="dxa"/>
            <w:vAlign w:val="center"/>
          </w:tcPr>
          <w:p>
            <w:pPr>
              <w:spacing w:line="560" w:lineRule="exact"/>
              <w:jc w:val="center"/>
              <w:rPr>
                <w:rFonts w:ascii="仿宋_GB2312" w:hAnsi="仿宋_GB2312" w:eastAsia="仿宋_GB2312" w:cs="宋体"/>
                <w:kern w:val="0"/>
                <w:sz w:val="20"/>
                <w:szCs w:val="21"/>
              </w:rPr>
            </w:pPr>
          </w:p>
        </w:tc>
        <w:tc>
          <w:tcPr>
            <w:tcW w:w="1256" w:type="dxa"/>
            <w:vAlign w:val="center"/>
          </w:tcPr>
          <w:p>
            <w:pPr>
              <w:spacing w:line="560" w:lineRule="exact"/>
              <w:jc w:val="center"/>
              <w:rPr>
                <w:rFonts w:ascii="仿宋_GB2312" w:hAnsi="仿宋_GB2312" w:eastAsia="仿宋_GB2312" w:cs="宋体"/>
                <w:kern w:val="0"/>
                <w:sz w:val="20"/>
                <w:szCs w:val="21"/>
              </w:rPr>
            </w:pPr>
          </w:p>
        </w:tc>
        <w:tc>
          <w:tcPr>
            <w:tcW w:w="1261" w:type="dxa"/>
            <w:vAlign w:val="center"/>
          </w:tcPr>
          <w:p>
            <w:pPr>
              <w:spacing w:line="560" w:lineRule="exact"/>
              <w:jc w:val="center"/>
              <w:rPr>
                <w:rFonts w:ascii="仿宋_GB2312" w:hAnsi="仿宋_GB2312" w:eastAsia="仿宋_GB2312" w:cs="宋体"/>
                <w:kern w:val="0"/>
                <w:sz w:val="20"/>
                <w:szCs w:val="21"/>
              </w:rPr>
            </w:pPr>
          </w:p>
        </w:tc>
      </w:tr>
    </w:tbl>
    <w:p>
      <w:pPr>
        <w:spacing w:before="120" w:after="120" w:line="360" w:lineRule="auto"/>
        <w:ind w:firstLine="420" w:firstLineChars="200"/>
        <w:outlineLvl w:val="1"/>
        <w:rPr>
          <w:rFonts w:ascii="仿宋_GB2312" w:hAnsi="仿宋" w:eastAsia="黑体" w:cs="宋体"/>
          <w:szCs w:val="21"/>
        </w:rPr>
      </w:pPr>
      <w:bookmarkStart w:id="4" w:name="_Toc25588101"/>
      <w:r>
        <w:rPr>
          <w:rFonts w:ascii="仿宋_GB2312" w:hAnsi="仿宋" w:eastAsia="黑体" w:cs="宋体"/>
          <w:szCs w:val="21"/>
        </w:rPr>
        <w:t>第</w:t>
      </w:r>
      <w:r>
        <w:rPr>
          <w:rFonts w:hint="eastAsia" w:ascii="仿宋_GB2312" w:hAnsi="仿宋" w:eastAsia="黑体" w:cs="宋体"/>
          <w:szCs w:val="21"/>
        </w:rPr>
        <w:t>二</w:t>
      </w:r>
      <w:r>
        <w:rPr>
          <w:rFonts w:ascii="仿宋_GB2312" w:hAnsi="仿宋" w:eastAsia="黑体" w:cs="宋体"/>
          <w:szCs w:val="21"/>
        </w:rPr>
        <w:t>条 合同价款</w:t>
      </w:r>
      <w:bookmarkEnd w:id="4"/>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2.1 合同</w:t>
      </w:r>
      <w:r>
        <w:rPr>
          <w:rFonts w:hint="eastAsia" w:ascii="仿宋_GB2312" w:hAnsi="仿宋" w:eastAsia="仿宋_GB2312" w:cs="宋体"/>
          <w:szCs w:val="21"/>
        </w:rPr>
        <w:t>金额</w:t>
      </w:r>
      <w:r>
        <w:rPr>
          <w:rFonts w:hint="eastAsia" w:ascii="仿宋_GB2312" w:hAnsi="仿宋" w:eastAsia="仿宋_GB2312" w:cs="宋体"/>
          <w:b/>
          <w:bCs/>
          <w:szCs w:val="21"/>
          <w:u w:val="single"/>
        </w:rPr>
        <w:t>（含增值税）</w:t>
      </w:r>
      <w:r>
        <w:rPr>
          <w:rFonts w:ascii="仿宋_GB2312" w:hAnsi="仿宋" w:eastAsia="仿宋_GB2312" w:cs="宋体"/>
          <w:szCs w:val="21"/>
        </w:rPr>
        <w:t>为人民币</w:t>
      </w:r>
      <w:r>
        <w:rPr>
          <w:rFonts w:ascii="仿宋_GB2312" w:hAnsi="仿宋" w:eastAsia="仿宋_GB2312" w:cs="宋体"/>
          <w:szCs w:val="21"/>
          <w:u w:val="single"/>
        </w:rPr>
        <w:t xml:space="preserve"> </w:t>
      </w:r>
      <w:r>
        <w:rPr>
          <w:rFonts w:ascii="Calibri" w:hAnsi="Calibri" w:eastAsia="仿宋_GB2312" w:cs="Calibri"/>
          <w:szCs w:val="21"/>
          <w:u w:val="single"/>
        </w:rPr>
        <w:t>   </w:t>
      </w:r>
      <w:r>
        <w:rPr>
          <w:rFonts w:ascii="仿宋_GB2312" w:hAnsi="仿宋" w:eastAsia="仿宋_GB2312" w:cs="Calibri"/>
          <w:szCs w:val="21"/>
          <w:u w:val="single"/>
        </w:rPr>
        <w:t xml:space="preserve">    </w:t>
      </w:r>
      <w:r>
        <w:rPr>
          <w:rFonts w:ascii="仿宋_GB2312" w:hAnsi="仿宋" w:eastAsia="仿宋_GB2312" w:cs="宋体"/>
          <w:szCs w:val="21"/>
          <w:u w:val="single"/>
        </w:rPr>
        <w:t xml:space="preserve"> </w:t>
      </w:r>
      <w:r>
        <w:rPr>
          <w:rFonts w:ascii="Calibri" w:hAnsi="Calibri" w:eastAsia="仿宋_GB2312" w:cs="Calibri"/>
          <w:szCs w:val="21"/>
          <w:u w:val="single"/>
        </w:rPr>
        <w:t>  </w:t>
      </w:r>
      <w:r>
        <w:rPr>
          <w:rFonts w:ascii="仿宋_GB2312" w:hAnsi="仿宋" w:eastAsia="仿宋_GB2312" w:cs="宋体"/>
          <w:szCs w:val="21"/>
        </w:rPr>
        <w:t>元整(大写</w:t>
      </w:r>
      <w:r>
        <w:rPr>
          <w:rFonts w:ascii="仿宋_GB2312" w:hAnsi="仿宋" w:eastAsia="仿宋_GB2312" w:cs="Calibri"/>
          <w:szCs w:val="21"/>
          <w:u w:val="single"/>
        </w:rPr>
        <w:t xml:space="preserve"> </w:t>
      </w:r>
      <w:r>
        <w:rPr>
          <w:rFonts w:hint="eastAsia" w:ascii="仿宋_GB2312" w:hAnsi="仿宋" w:eastAsia="仿宋_GB2312" w:cs="Calibri"/>
          <w:szCs w:val="21"/>
          <w:u w:val="single"/>
        </w:rPr>
        <w:t xml:space="preserve">    </w:t>
      </w:r>
      <w:r>
        <w:rPr>
          <w:rFonts w:ascii="仿宋_GB2312" w:hAnsi="仿宋" w:eastAsia="仿宋_GB2312" w:cs="Calibri"/>
          <w:szCs w:val="21"/>
          <w:u w:val="single"/>
        </w:rPr>
        <w:t xml:space="preserve"> </w:t>
      </w:r>
      <w:r>
        <w:rPr>
          <w:rFonts w:ascii="仿宋_GB2312" w:hAnsi="仿宋" w:eastAsia="仿宋_GB2312" w:cs="宋体"/>
          <w:szCs w:val="21"/>
          <w:u w:val="single"/>
        </w:rPr>
        <w:t xml:space="preserve"> </w:t>
      </w:r>
      <w:r>
        <w:rPr>
          <w:rFonts w:ascii="Calibri" w:hAnsi="Calibri" w:eastAsia="仿宋_GB2312" w:cs="Calibri"/>
          <w:szCs w:val="21"/>
          <w:u w:val="single"/>
        </w:rPr>
        <w:t>  </w:t>
      </w:r>
      <w:r>
        <w:rPr>
          <w:rFonts w:ascii="仿宋_GB2312" w:hAnsi="仿宋" w:eastAsia="仿宋_GB2312" w:cs="宋体"/>
          <w:szCs w:val="21"/>
        </w:rPr>
        <w:t>元）</w:t>
      </w:r>
      <w:r>
        <w:rPr>
          <w:rFonts w:hint="eastAsia" w:ascii="仿宋_GB2312" w:hAnsi="仿宋" w:eastAsia="仿宋_GB2312" w:cs="宋体"/>
          <w:szCs w:val="21"/>
        </w:rPr>
        <w:t>；增值税税率</w:t>
      </w:r>
      <w:r>
        <w:rPr>
          <w:rFonts w:ascii="仿宋_GB2312" w:hAnsi="仿宋" w:eastAsia="仿宋_GB2312" w:cs="宋体"/>
          <w:szCs w:val="21"/>
          <w:u w:val="single"/>
        </w:rPr>
        <w:t xml:space="preserve"> </w:t>
      </w:r>
      <w:r>
        <w:rPr>
          <w:rFonts w:ascii="Calibri" w:hAnsi="Calibri" w:eastAsia="仿宋_GB2312" w:cs="Calibri"/>
          <w:szCs w:val="21"/>
          <w:u w:val="single"/>
        </w:rPr>
        <w:t>   </w:t>
      </w:r>
      <w:r>
        <w:rPr>
          <w:rFonts w:ascii="仿宋_GB2312" w:hAnsi="仿宋" w:eastAsia="仿宋_GB2312" w:cs="Calibri"/>
          <w:szCs w:val="21"/>
          <w:u w:val="single"/>
        </w:rPr>
        <w:t xml:space="preserve">    </w:t>
      </w:r>
      <w:r>
        <w:rPr>
          <w:rFonts w:hint="eastAsia" w:ascii="仿宋_GB2312" w:hAnsi="仿宋" w:eastAsia="仿宋_GB2312" w:cs="宋体"/>
          <w:szCs w:val="21"/>
        </w:rPr>
        <w:t>%；</w:t>
      </w:r>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2.2 合同价款含</w:t>
      </w:r>
      <w:r>
        <w:rPr>
          <w:rFonts w:hint="eastAsia" w:ascii="仿宋_GB2312" w:hAnsi="仿宋" w:eastAsia="仿宋_GB2312" w:cs="宋体"/>
          <w:szCs w:val="21"/>
        </w:rPr>
        <w:t>此次项目落地的所有费用（制作、辅料、运输、安装、维保、税费等）</w:t>
      </w:r>
      <w:r>
        <w:rPr>
          <w:rFonts w:ascii="仿宋_GB2312" w:hAnsi="仿宋" w:eastAsia="仿宋_GB2312" w:cs="宋体"/>
          <w:szCs w:val="21"/>
        </w:rPr>
        <w:t>。</w:t>
      </w:r>
    </w:p>
    <w:p>
      <w:pPr>
        <w:spacing w:before="120" w:after="120" w:line="360" w:lineRule="auto"/>
        <w:ind w:firstLine="420" w:firstLineChars="200"/>
        <w:outlineLvl w:val="1"/>
        <w:rPr>
          <w:rFonts w:ascii="仿宋_GB2312" w:hAnsi="仿宋" w:eastAsia="黑体" w:cs="宋体"/>
          <w:szCs w:val="21"/>
        </w:rPr>
      </w:pPr>
      <w:bookmarkStart w:id="5" w:name="_Toc25588102"/>
      <w:r>
        <w:rPr>
          <w:rFonts w:ascii="仿宋_GB2312" w:hAnsi="仿宋" w:eastAsia="黑体" w:cs="宋体"/>
          <w:szCs w:val="21"/>
        </w:rPr>
        <w:t>第</w:t>
      </w:r>
      <w:r>
        <w:rPr>
          <w:rFonts w:hint="eastAsia" w:ascii="仿宋_GB2312" w:hAnsi="仿宋" w:eastAsia="黑体" w:cs="宋体"/>
          <w:szCs w:val="21"/>
        </w:rPr>
        <w:t>三</w:t>
      </w:r>
      <w:r>
        <w:rPr>
          <w:rFonts w:ascii="仿宋_GB2312" w:hAnsi="仿宋" w:eastAsia="黑体" w:cs="宋体"/>
          <w:szCs w:val="21"/>
        </w:rPr>
        <w:t>条</w:t>
      </w:r>
      <w:r>
        <w:rPr>
          <w:rFonts w:hint="eastAsia" w:ascii="仿宋_GB2312" w:hAnsi="仿宋" w:eastAsia="黑体" w:cs="宋体"/>
          <w:szCs w:val="21"/>
        </w:rPr>
        <w:t xml:space="preserve"> </w:t>
      </w:r>
      <w:r>
        <w:rPr>
          <w:rFonts w:ascii="仿宋_GB2312" w:hAnsi="仿宋" w:eastAsia="黑体" w:cs="宋体"/>
          <w:szCs w:val="21"/>
        </w:rPr>
        <w:t>技术标准及要求</w:t>
      </w:r>
      <w:bookmarkEnd w:id="5"/>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3.1 乙方应严格按甲方要求，并符合有关国家标准和行业标准进行供货。</w:t>
      </w:r>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3.2 在质保期内的使用过程中，乙方应负责处理出现的缺陷和服务问题，所需费用由乙方承担，对于甲方操作失误造成的问题，乙方应积极配合，予以解决，费用由甲方承担。</w:t>
      </w:r>
    </w:p>
    <w:p>
      <w:pPr>
        <w:spacing w:line="360" w:lineRule="auto"/>
        <w:ind w:firstLine="420" w:firstLineChars="200"/>
        <w:rPr>
          <w:rFonts w:ascii="仿宋" w:hAnsi="仿宋" w:eastAsia="仿宋" w:cs="宋体"/>
          <w:szCs w:val="21"/>
        </w:rPr>
      </w:pPr>
      <w:r>
        <w:rPr>
          <w:rFonts w:hint="eastAsia" w:ascii="仿宋_GB2312" w:hAnsi="仿宋" w:eastAsia="仿宋_GB2312" w:cs="宋体"/>
          <w:szCs w:val="21"/>
        </w:rPr>
        <w:t>3.3 乙方所供货物的质量保证期为</w:t>
      </w:r>
      <w:r>
        <w:rPr>
          <w:rFonts w:hint="eastAsia" w:ascii="仿宋_GB2312" w:hAnsi="仿宋" w:eastAsia="仿宋_GB2312" w:cs="宋体"/>
          <w:szCs w:val="21"/>
          <w:u w:val="single"/>
        </w:rPr>
        <w:t xml:space="preserve"> 三 </w:t>
      </w:r>
      <w:r>
        <w:rPr>
          <w:rFonts w:hint="eastAsia" w:ascii="仿宋_GB2312" w:hAnsi="仿宋" w:eastAsia="仿宋_GB2312" w:cs="宋体"/>
          <w:szCs w:val="21"/>
        </w:rPr>
        <w:t>年，</w:t>
      </w:r>
      <w:r>
        <w:rPr>
          <w:rFonts w:hint="eastAsia" w:ascii="仿宋" w:hAnsi="仿宋" w:eastAsia="仿宋" w:cs="宋体"/>
          <w:szCs w:val="21"/>
        </w:rPr>
        <w:t>本批次项目货物验收合格之日起算。</w:t>
      </w:r>
    </w:p>
    <w:p>
      <w:pPr>
        <w:spacing w:line="360" w:lineRule="auto"/>
        <w:ind w:firstLine="420" w:firstLineChars="200"/>
        <w:rPr>
          <w:rFonts w:ascii="仿宋" w:hAnsi="仿宋" w:eastAsia="仿宋" w:cs="宋体"/>
          <w:szCs w:val="21"/>
        </w:rPr>
      </w:pPr>
      <w:r>
        <w:rPr>
          <w:rFonts w:hint="eastAsia" w:ascii="仿宋" w:hAnsi="仿宋" w:eastAsia="仿宋" w:cs="宋体"/>
          <w:szCs w:val="21"/>
        </w:rPr>
        <w:t>3.4乙方提供的物品在保修期内，根据甲方的实际需求由乙方免费进行维修。</w:t>
      </w:r>
    </w:p>
    <w:p>
      <w:pPr>
        <w:spacing w:line="360" w:lineRule="auto"/>
        <w:ind w:firstLine="420" w:firstLineChars="200"/>
        <w:rPr>
          <w:rFonts w:ascii="仿宋" w:hAnsi="仿宋" w:eastAsia="仿宋" w:cs="宋体"/>
          <w:szCs w:val="21"/>
        </w:rPr>
      </w:pPr>
      <w:r>
        <w:rPr>
          <w:rFonts w:hint="eastAsia" w:ascii="仿宋" w:hAnsi="仿宋" w:eastAsia="仿宋" w:cs="宋体"/>
          <w:szCs w:val="21"/>
        </w:rPr>
        <w:t>3.5接到甲方维保需求，乙方专业技术人员不超过4小时响应，保证</w:t>
      </w:r>
      <w:r>
        <w:rPr>
          <w:rFonts w:ascii="仿宋" w:hAnsi="仿宋" w:eastAsia="仿宋" w:cs="宋体"/>
          <w:szCs w:val="21"/>
        </w:rPr>
        <w:t>24</w:t>
      </w:r>
      <w:r>
        <w:rPr>
          <w:rFonts w:hint="eastAsia" w:ascii="仿宋" w:hAnsi="仿宋" w:eastAsia="仿宋" w:cs="宋体"/>
          <w:szCs w:val="21"/>
        </w:rPr>
        <w:t>小时不间断维保。</w:t>
      </w:r>
    </w:p>
    <w:p>
      <w:pPr>
        <w:spacing w:before="120" w:after="120" w:line="360" w:lineRule="auto"/>
        <w:ind w:firstLine="420" w:firstLineChars="200"/>
        <w:outlineLvl w:val="1"/>
        <w:rPr>
          <w:rFonts w:ascii="仿宋_GB2312" w:hAnsi="仿宋" w:eastAsia="黑体" w:cs="宋体"/>
          <w:szCs w:val="21"/>
        </w:rPr>
      </w:pPr>
      <w:bookmarkStart w:id="6" w:name="_Toc25588103"/>
      <w:r>
        <w:rPr>
          <w:rFonts w:ascii="仿宋_GB2312" w:hAnsi="仿宋" w:eastAsia="黑体" w:cs="宋体"/>
          <w:szCs w:val="21"/>
        </w:rPr>
        <w:t>第</w:t>
      </w:r>
      <w:r>
        <w:rPr>
          <w:rFonts w:hint="eastAsia" w:ascii="仿宋_GB2312" w:hAnsi="仿宋" w:eastAsia="黑体" w:cs="宋体"/>
          <w:szCs w:val="21"/>
        </w:rPr>
        <w:t>四</w:t>
      </w:r>
      <w:r>
        <w:rPr>
          <w:rFonts w:ascii="仿宋_GB2312" w:hAnsi="仿宋" w:eastAsia="黑体" w:cs="宋体"/>
          <w:szCs w:val="21"/>
        </w:rPr>
        <w:t>条 交货日期、方式和地点</w:t>
      </w:r>
      <w:bookmarkEnd w:id="6"/>
    </w:p>
    <w:p>
      <w:pPr>
        <w:spacing w:line="360" w:lineRule="auto"/>
        <w:ind w:firstLine="420" w:firstLineChars="200"/>
        <w:rPr>
          <w:rFonts w:ascii="仿宋_GB2312" w:hAnsi="仿宋" w:eastAsia="仿宋_GB2312" w:cs="宋体"/>
          <w:szCs w:val="21"/>
          <w:u w:val="single"/>
        </w:rPr>
      </w:pPr>
      <w:r>
        <w:rPr>
          <w:rFonts w:ascii="仿宋_GB2312" w:hAnsi="仿宋" w:eastAsia="仿宋_GB2312" w:cs="宋体"/>
          <w:szCs w:val="21"/>
        </w:rPr>
        <w:t>4.1 合同签订后，乙方应及时供货，并于</w:t>
      </w:r>
      <w:r>
        <w:rPr>
          <w:rFonts w:ascii="Calibri" w:hAnsi="Calibri" w:eastAsia="仿宋_GB2312" w:cs="宋体"/>
          <w:szCs w:val="21"/>
          <w:u w:val="single"/>
        </w:rPr>
        <w:t> </w:t>
      </w:r>
      <w:r>
        <w:rPr>
          <w:rFonts w:hint="eastAsia" w:ascii="Calibri" w:hAnsi="Calibri" w:eastAsia="仿宋_GB2312" w:cs="宋体"/>
          <w:szCs w:val="21"/>
          <w:u w:val="single"/>
        </w:rPr>
        <w:t xml:space="preserve">  </w:t>
      </w:r>
      <w:r>
        <w:rPr>
          <w:rFonts w:ascii="仿宋_GB2312" w:hAnsi="仿宋" w:eastAsia="仿宋_GB2312" w:cs="宋体"/>
          <w:szCs w:val="21"/>
          <w:u w:val="single"/>
        </w:rPr>
        <w:t xml:space="preserve"> </w:t>
      </w:r>
      <w:r>
        <w:rPr>
          <w:rFonts w:ascii="Calibri" w:hAnsi="Calibri" w:eastAsia="仿宋_GB2312" w:cs="宋体"/>
          <w:szCs w:val="21"/>
          <w:u w:val="single"/>
        </w:rPr>
        <w:t>  </w:t>
      </w:r>
      <w:r>
        <w:rPr>
          <w:rFonts w:ascii="仿宋_GB2312" w:hAnsi="仿宋" w:eastAsia="仿宋_GB2312" w:cs="宋体"/>
          <w:szCs w:val="21"/>
        </w:rPr>
        <w:t>年</w:t>
      </w:r>
      <w:r>
        <w:rPr>
          <w:rFonts w:ascii="Calibri" w:hAnsi="Calibri" w:eastAsia="仿宋_GB2312" w:cs="宋体"/>
          <w:szCs w:val="21"/>
          <w:u w:val="single"/>
        </w:rPr>
        <w:t> </w:t>
      </w:r>
      <w:r>
        <w:rPr>
          <w:rFonts w:ascii="仿宋_GB2312" w:hAnsi="仿宋" w:eastAsia="仿宋_GB2312" w:cs="宋体"/>
          <w:szCs w:val="21"/>
          <w:u w:val="single"/>
        </w:rPr>
        <w:t xml:space="preserve"> </w:t>
      </w:r>
      <w:r>
        <w:rPr>
          <w:rFonts w:hint="eastAsia" w:ascii="仿宋_GB2312" w:hAnsi="仿宋" w:eastAsia="仿宋_GB2312" w:cs="宋体"/>
          <w:szCs w:val="21"/>
          <w:u w:val="single"/>
        </w:rPr>
        <w:t xml:space="preserve">  </w:t>
      </w:r>
      <w:r>
        <w:rPr>
          <w:rFonts w:ascii="Calibri" w:hAnsi="Calibri" w:eastAsia="仿宋_GB2312" w:cs="宋体"/>
          <w:szCs w:val="21"/>
          <w:u w:val="single"/>
        </w:rPr>
        <w:t>  </w:t>
      </w:r>
      <w:r>
        <w:rPr>
          <w:rFonts w:ascii="仿宋_GB2312" w:hAnsi="仿宋" w:eastAsia="仿宋_GB2312" w:cs="宋体"/>
          <w:szCs w:val="21"/>
        </w:rPr>
        <w:t>月</w:t>
      </w:r>
      <w:r>
        <w:rPr>
          <w:rFonts w:ascii="Calibri" w:hAnsi="Calibri" w:eastAsia="仿宋_GB2312" w:cs="宋体"/>
          <w:szCs w:val="21"/>
          <w:u w:val="single"/>
        </w:rPr>
        <w:t> </w:t>
      </w:r>
      <w:r>
        <w:rPr>
          <w:rFonts w:ascii="仿宋_GB2312" w:hAnsi="仿宋" w:eastAsia="仿宋_GB2312" w:cs="宋体"/>
          <w:szCs w:val="21"/>
          <w:u w:val="single"/>
        </w:rPr>
        <w:t xml:space="preserve"> </w:t>
      </w:r>
      <w:r>
        <w:rPr>
          <w:rFonts w:hint="eastAsia" w:ascii="仿宋_GB2312" w:hAnsi="仿宋" w:eastAsia="仿宋_GB2312" w:cs="宋体"/>
          <w:szCs w:val="21"/>
          <w:u w:val="single"/>
        </w:rPr>
        <w:t xml:space="preserve">  </w:t>
      </w:r>
      <w:r>
        <w:rPr>
          <w:rFonts w:ascii="Calibri" w:hAnsi="Calibri" w:eastAsia="仿宋_GB2312" w:cs="宋体"/>
          <w:szCs w:val="21"/>
          <w:u w:val="single"/>
        </w:rPr>
        <w:t>  </w:t>
      </w:r>
      <w:r>
        <w:rPr>
          <w:rFonts w:ascii="仿宋_GB2312" w:hAnsi="仿宋" w:eastAsia="仿宋_GB2312" w:cs="宋体"/>
          <w:szCs w:val="21"/>
        </w:rPr>
        <w:t>日</w:t>
      </w:r>
      <w:r>
        <w:rPr>
          <w:rFonts w:hint="eastAsia" w:ascii="仿宋_GB2312" w:hAnsi="仿宋" w:eastAsia="仿宋_GB2312" w:cs="宋体"/>
          <w:szCs w:val="21"/>
        </w:rPr>
        <w:t>前完成交货，交货地点：</w:t>
      </w:r>
      <w:r>
        <w:rPr>
          <w:rFonts w:ascii="Calibri" w:hAnsi="Calibri" w:eastAsia="仿宋_GB2312" w:cs="宋体"/>
          <w:szCs w:val="21"/>
          <w:u w:val="single"/>
        </w:rPr>
        <w:t> </w:t>
      </w:r>
      <w:r>
        <w:rPr>
          <w:rFonts w:ascii="仿宋_GB2312" w:hAnsi="仿宋" w:eastAsia="仿宋_GB2312" w:cs="宋体"/>
          <w:szCs w:val="21"/>
          <w:u w:val="single"/>
        </w:rPr>
        <w:t xml:space="preserve"> </w:t>
      </w:r>
      <w:r>
        <w:rPr>
          <w:rFonts w:ascii="Calibri" w:hAnsi="Calibri" w:eastAsia="仿宋_GB2312" w:cs="宋体"/>
          <w:szCs w:val="21"/>
          <w:u w:val="single"/>
        </w:rPr>
        <w:t> </w:t>
      </w:r>
      <w:r>
        <w:rPr>
          <w:rFonts w:hint="eastAsia" w:ascii="仿宋_GB2312" w:hAnsi="仿宋" w:eastAsia="仿宋_GB2312" w:cs="宋体"/>
          <w:szCs w:val="21"/>
          <w:u w:val="single"/>
        </w:rPr>
        <w:t xml:space="preserve">              </w:t>
      </w:r>
      <w:r>
        <w:rPr>
          <w:rFonts w:ascii="Calibri" w:hAnsi="Calibri" w:eastAsia="仿宋_GB2312" w:cs="宋体"/>
          <w:szCs w:val="21"/>
          <w:u w:val="single"/>
        </w:rPr>
        <w:t> </w:t>
      </w:r>
      <w:r>
        <w:rPr>
          <w:rFonts w:hint="eastAsia" w:ascii="仿宋_GB2312" w:hAnsi="仿宋" w:eastAsia="仿宋_GB2312" w:cs="宋体"/>
          <w:szCs w:val="21"/>
        </w:rPr>
        <w:t>。（以安装调试完成，并正常适用为完成交货义务）</w:t>
      </w:r>
    </w:p>
    <w:p>
      <w:pPr>
        <w:spacing w:before="120" w:after="120" w:line="360" w:lineRule="auto"/>
        <w:ind w:firstLine="420" w:firstLineChars="200"/>
        <w:outlineLvl w:val="1"/>
        <w:rPr>
          <w:rFonts w:ascii="仿宋_GB2312" w:hAnsi="仿宋" w:eastAsia="黑体" w:cs="宋体"/>
          <w:szCs w:val="21"/>
        </w:rPr>
      </w:pPr>
      <w:bookmarkStart w:id="7" w:name="_Toc25588104"/>
      <w:r>
        <w:rPr>
          <w:rFonts w:ascii="仿宋_GB2312" w:hAnsi="仿宋" w:eastAsia="黑体" w:cs="宋体"/>
          <w:szCs w:val="21"/>
        </w:rPr>
        <w:t>第</w:t>
      </w:r>
      <w:r>
        <w:rPr>
          <w:rFonts w:hint="eastAsia" w:ascii="仿宋_GB2312" w:hAnsi="仿宋" w:eastAsia="黑体" w:cs="宋体"/>
          <w:szCs w:val="21"/>
        </w:rPr>
        <w:t>五</w:t>
      </w:r>
      <w:r>
        <w:rPr>
          <w:rFonts w:ascii="仿宋_GB2312" w:hAnsi="仿宋" w:eastAsia="黑体" w:cs="宋体"/>
          <w:szCs w:val="21"/>
        </w:rPr>
        <w:t>条 验收办法</w:t>
      </w:r>
      <w:bookmarkEnd w:id="7"/>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 xml:space="preserve">5.1 </w:t>
      </w:r>
      <w:r>
        <w:rPr>
          <w:rFonts w:hint="eastAsia" w:ascii="仿宋_GB2312" w:hAnsi="仿宋" w:eastAsia="仿宋_GB2312" w:cs="宋体"/>
          <w:szCs w:val="21"/>
        </w:rPr>
        <w:t>货到交货地点后，乙方应负责将货物卸至甲方指定地点，甲方对货物的数量和质量进行初步验收，除本合同另有约定的外，乙方所供货物应是全新的，未被使用过的。乙方按照甲方的需求，将货物安装至指定位置，安装调试正常后，方能通过验收。</w:t>
      </w:r>
    </w:p>
    <w:p>
      <w:pPr>
        <w:spacing w:before="120" w:after="120" w:line="360" w:lineRule="auto"/>
        <w:ind w:firstLine="420" w:firstLineChars="200"/>
        <w:outlineLvl w:val="1"/>
        <w:rPr>
          <w:rFonts w:ascii="仿宋_GB2312" w:hAnsi="仿宋" w:eastAsia="黑体" w:cs="宋体"/>
          <w:szCs w:val="21"/>
        </w:rPr>
      </w:pPr>
      <w:bookmarkStart w:id="8" w:name="_Toc25588105"/>
      <w:r>
        <w:rPr>
          <w:rFonts w:hint="eastAsia" w:ascii="仿宋_GB2312" w:hAnsi="仿宋" w:eastAsia="黑体" w:cs="宋体"/>
          <w:szCs w:val="21"/>
        </w:rPr>
        <w:t>第六条 保证金</w:t>
      </w:r>
      <w:bookmarkEnd w:id="8"/>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 xml:space="preserve">6.1 乙方应在中标通知书发出后10日内（或本合同签订10日之前）  </w:t>
      </w:r>
      <w:r>
        <w:rPr>
          <w:rFonts w:hint="eastAsia" w:ascii="仿宋_GB2312" w:hAnsi="仿宋" w:eastAsia="仿宋_GB2312" w:cs="宋体"/>
          <w:szCs w:val="21"/>
          <w:u w:val="single"/>
        </w:rPr>
        <w:t xml:space="preserve">       </w:t>
      </w:r>
      <w:r>
        <w:rPr>
          <w:rFonts w:hint="eastAsia" w:ascii="仿宋_GB2312" w:hAnsi="仿宋" w:eastAsia="仿宋_GB2312" w:cs="宋体"/>
          <w:szCs w:val="21"/>
        </w:rPr>
        <w:t>以</w:t>
      </w:r>
      <w:r>
        <w:rPr>
          <w:rFonts w:hint="eastAsia" w:ascii="仿宋_GB2312" w:hAnsi="仿宋" w:eastAsia="仿宋_GB2312" w:cs="宋体"/>
          <w:szCs w:val="21"/>
          <w:u w:val="single"/>
        </w:rPr>
        <w:t xml:space="preserve"> 银行转账 </w:t>
      </w:r>
      <w:r>
        <w:rPr>
          <w:rFonts w:hint="eastAsia" w:ascii="仿宋_GB2312" w:hAnsi="仿宋" w:eastAsia="仿宋_GB2312" w:cs="宋体"/>
          <w:szCs w:val="21"/>
        </w:rPr>
        <w:t>形式向甲方缴纳履约保证金，以作为乙方履行本合同项下相关义务的担保 。履约保证金为合同总价款的5%，人民币</w:t>
      </w:r>
      <w:r>
        <w:rPr>
          <w:rFonts w:hint="eastAsia" w:ascii="仿宋_GB2312" w:hAnsi="仿宋" w:eastAsia="仿宋_GB2312" w:cs="宋体"/>
          <w:szCs w:val="21"/>
          <w:u w:val="single"/>
        </w:rPr>
        <w:t xml:space="preserve">      </w:t>
      </w:r>
      <w:r>
        <w:rPr>
          <w:rFonts w:hint="eastAsia" w:ascii="仿宋_GB2312" w:hAnsi="仿宋" w:eastAsia="仿宋_GB2312" w:cs="宋体"/>
          <w:szCs w:val="21"/>
        </w:rPr>
        <w:t>元，大写人民币</w:t>
      </w:r>
      <w:r>
        <w:rPr>
          <w:rFonts w:hint="eastAsia" w:ascii="仿宋_GB2312" w:hAnsi="仿宋" w:eastAsia="仿宋_GB2312" w:cs="宋体"/>
          <w:szCs w:val="21"/>
          <w:u w:val="single"/>
        </w:rPr>
        <w:t xml:space="preserve">      </w:t>
      </w:r>
      <w:r>
        <w:rPr>
          <w:rFonts w:hint="eastAsia" w:ascii="仿宋_GB2312" w:hAnsi="仿宋" w:eastAsia="仿宋_GB2312" w:cs="宋体"/>
          <w:szCs w:val="21"/>
        </w:rPr>
        <w:t>元。待乙方将货物全部安装完毕并验收合格后20个工作日内无息退还；</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6.2 合同总价的</w:t>
      </w:r>
      <w:r>
        <w:rPr>
          <w:rFonts w:ascii="Calibri" w:hAnsi="Calibri" w:eastAsia="仿宋_GB2312" w:cs="Calibri"/>
          <w:szCs w:val="21"/>
          <w:u w:val="single"/>
        </w:rPr>
        <w:t xml:space="preserve">  </w:t>
      </w:r>
      <w:r>
        <w:rPr>
          <w:rFonts w:hint="eastAsia" w:ascii="Calibri" w:hAnsi="Calibri" w:eastAsia="仿宋_GB2312" w:cs="Calibri"/>
          <w:szCs w:val="21"/>
          <w:u w:val="single"/>
        </w:rPr>
        <w:t>5</w:t>
      </w:r>
      <w:r>
        <w:rPr>
          <w:rFonts w:ascii="Calibri" w:hAnsi="Calibri" w:eastAsia="仿宋_GB2312" w:cs="Calibri"/>
          <w:szCs w:val="21"/>
          <w:u w:val="single"/>
        </w:rPr>
        <w:t xml:space="preserve">  </w:t>
      </w:r>
      <w:r>
        <w:rPr>
          <w:rFonts w:ascii="仿宋_GB2312" w:hAnsi="仿宋" w:eastAsia="仿宋_GB2312" w:cs="宋体"/>
          <w:szCs w:val="21"/>
        </w:rPr>
        <w:t>%</w:t>
      </w:r>
      <w:r>
        <w:rPr>
          <w:rFonts w:hint="eastAsia" w:ascii="仿宋_GB2312" w:hAnsi="仿宋" w:eastAsia="仿宋_GB2312" w:cs="宋体"/>
          <w:szCs w:val="21"/>
        </w:rPr>
        <w:t>为乙方所供货物的质量保证金。</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6.3 保证金应由乙方名义开立的账户支付到甲方账户，否则视为未支付，甲方有权追究乙方逾期付款责任。</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6.4 乙方支付履约保证金时，应在“付款备注”中写明“（合同编号）重庆机场负载均衡设备采购合同履约保证金”。乙方不得与其他合同、其他缴费项目一起支付履约保证金，若因混合支付造成无法确认为本合同款项到账的，视为逾期未支付。</w:t>
      </w:r>
    </w:p>
    <w:p>
      <w:pPr>
        <w:spacing w:before="120" w:after="120" w:line="360" w:lineRule="auto"/>
        <w:ind w:firstLine="420" w:firstLineChars="200"/>
        <w:outlineLvl w:val="1"/>
        <w:rPr>
          <w:rFonts w:ascii="仿宋_GB2312" w:hAnsi="仿宋" w:eastAsia="黑体" w:cs="宋体"/>
          <w:szCs w:val="21"/>
        </w:rPr>
      </w:pPr>
      <w:bookmarkStart w:id="9" w:name="_Toc25588106"/>
      <w:r>
        <w:rPr>
          <w:rFonts w:ascii="仿宋_GB2312" w:hAnsi="仿宋" w:eastAsia="黑体" w:cs="宋体"/>
          <w:szCs w:val="21"/>
        </w:rPr>
        <w:t>第</w:t>
      </w:r>
      <w:r>
        <w:rPr>
          <w:rFonts w:hint="eastAsia" w:ascii="仿宋_GB2312" w:hAnsi="仿宋" w:eastAsia="黑体" w:cs="宋体"/>
          <w:szCs w:val="21"/>
        </w:rPr>
        <w:t>七</w:t>
      </w:r>
      <w:r>
        <w:rPr>
          <w:rFonts w:ascii="仿宋_GB2312" w:hAnsi="仿宋" w:eastAsia="黑体" w:cs="宋体"/>
          <w:szCs w:val="21"/>
        </w:rPr>
        <w:t>条 付款方式</w:t>
      </w:r>
      <w:bookmarkEnd w:id="9"/>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7.1</w:t>
      </w:r>
      <w:r>
        <w:rPr>
          <w:rFonts w:ascii="仿宋_GB2312" w:hAnsi="仿宋" w:eastAsia="仿宋_GB2312" w:cs="宋体"/>
          <w:szCs w:val="21"/>
        </w:rPr>
        <w:t>合同标的物运至甲方现场</w:t>
      </w:r>
      <w:r>
        <w:rPr>
          <w:rFonts w:hint="eastAsia" w:ascii="仿宋_GB2312" w:hAnsi="仿宋" w:eastAsia="仿宋_GB2312" w:cs="宋体"/>
          <w:szCs w:val="21"/>
        </w:rPr>
        <w:t>并安装调试验收完成</w:t>
      </w:r>
      <w:r>
        <w:rPr>
          <w:rFonts w:ascii="仿宋_GB2312" w:hAnsi="仿宋" w:eastAsia="仿宋_GB2312" w:cs="宋体"/>
          <w:szCs w:val="21"/>
        </w:rPr>
        <w:t>，</w:t>
      </w:r>
      <w:r>
        <w:rPr>
          <w:rFonts w:hint="eastAsia" w:ascii="仿宋_GB2312" w:hAnsi="仿宋" w:eastAsia="仿宋_GB2312" w:cs="宋体"/>
          <w:szCs w:val="21"/>
        </w:rPr>
        <w:t>甲方收到乙方开具全额增值税发票后，银行转账或开具银行承兑汇票</w:t>
      </w:r>
      <w:r>
        <w:rPr>
          <w:rFonts w:ascii="仿宋_GB2312" w:hAnsi="仿宋" w:eastAsia="仿宋_GB2312" w:cs="宋体"/>
          <w:szCs w:val="21"/>
        </w:rPr>
        <w:t>支付合同总价款的95%</w:t>
      </w:r>
      <w:r>
        <w:rPr>
          <w:rFonts w:hint="eastAsia" w:ascii="仿宋_GB2312" w:hAnsi="仿宋" w:eastAsia="仿宋_GB2312" w:cs="宋体"/>
          <w:szCs w:val="21"/>
        </w:rPr>
        <w:t>，退还履约保证金；</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7.2质保期满后</w:t>
      </w:r>
      <w:r>
        <w:rPr>
          <w:rFonts w:ascii="仿宋_GB2312" w:hAnsi="仿宋" w:eastAsia="仿宋_GB2312" w:cs="宋体"/>
          <w:szCs w:val="21"/>
        </w:rPr>
        <w:t>，无任何质量问题，甲方</w:t>
      </w:r>
      <w:r>
        <w:rPr>
          <w:rFonts w:hint="eastAsia" w:ascii="仿宋_GB2312" w:hAnsi="仿宋" w:eastAsia="仿宋_GB2312" w:cs="宋体"/>
          <w:szCs w:val="21"/>
        </w:rPr>
        <w:t>收到乙方提出付款申请后，支付剩余5%合同价</w:t>
      </w:r>
      <w:r>
        <w:rPr>
          <w:rFonts w:ascii="仿宋_GB2312" w:hAnsi="仿宋" w:eastAsia="仿宋_GB2312" w:cs="宋体"/>
          <w:szCs w:val="21"/>
        </w:rPr>
        <w:t>款。</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7.3乙方需向甲方提供正规增值税发票。如果乙方提供增值税普通发票，甲方支付金额为不含增值税金额；如果乙方提供增值税专用发票，甲方支付金额</w:t>
      </w:r>
      <w:r>
        <w:rPr>
          <w:rFonts w:ascii="仿宋_GB2312" w:hAnsi="仿宋" w:eastAsia="仿宋_GB2312" w:cs="宋体"/>
          <w:szCs w:val="21"/>
        </w:rPr>
        <w:t>=不含增值税金额+增值税税额。</w:t>
      </w:r>
    </w:p>
    <w:p>
      <w:pPr>
        <w:spacing w:before="120" w:after="120" w:line="360" w:lineRule="auto"/>
        <w:ind w:firstLine="420" w:firstLineChars="200"/>
        <w:outlineLvl w:val="1"/>
        <w:rPr>
          <w:rFonts w:ascii="仿宋_GB2312" w:hAnsi="仿宋" w:eastAsia="黑体" w:cs="宋体"/>
          <w:szCs w:val="21"/>
        </w:rPr>
      </w:pPr>
      <w:bookmarkStart w:id="10" w:name="_Toc25588107"/>
      <w:r>
        <w:rPr>
          <w:rFonts w:ascii="仿宋_GB2312" w:hAnsi="仿宋" w:eastAsia="黑体" w:cs="宋体"/>
          <w:szCs w:val="21"/>
        </w:rPr>
        <w:t>第</w:t>
      </w:r>
      <w:r>
        <w:rPr>
          <w:rFonts w:hint="eastAsia" w:ascii="仿宋_GB2312" w:hAnsi="仿宋" w:eastAsia="黑体" w:cs="宋体"/>
          <w:szCs w:val="21"/>
        </w:rPr>
        <w:t>八</w:t>
      </w:r>
      <w:r>
        <w:rPr>
          <w:rFonts w:ascii="仿宋_GB2312" w:hAnsi="仿宋" w:eastAsia="黑体" w:cs="宋体"/>
          <w:szCs w:val="21"/>
        </w:rPr>
        <w:t>条 违约和索赔</w:t>
      </w:r>
      <w:bookmarkEnd w:id="10"/>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8</w:t>
      </w:r>
      <w:r>
        <w:rPr>
          <w:rFonts w:ascii="仿宋_GB2312" w:hAnsi="仿宋" w:eastAsia="仿宋_GB2312" w:cs="宋体"/>
          <w:szCs w:val="21"/>
        </w:rPr>
        <w:t>. 1乙方逾期交</w:t>
      </w:r>
      <w:r>
        <w:rPr>
          <w:rFonts w:hint="eastAsia" w:ascii="仿宋_GB2312" w:hAnsi="仿宋" w:eastAsia="仿宋_GB2312" w:cs="宋体"/>
          <w:szCs w:val="21"/>
        </w:rPr>
        <w:t>货</w:t>
      </w:r>
      <w:r>
        <w:rPr>
          <w:rFonts w:ascii="仿宋_GB2312" w:hAnsi="仿宋" w:eastAsia="仿宋_GB2312" w:cs="宋体"/>
          <w:szCs w:val="21"/>
        </w:rPr>
        <w:t>，乙方应向甲方偿付逾期交付违约金。逾期违约金按</w:t>
      </w:r>
      <w:r>
        <w:rPr>
          <w:rFonts w:hint="eastAsia" w:ascii="仿宋_GB2312" w:hAnsi="仿宋" w:eastAsia="仿宋_GB2312" w:cs="宋体"/>
          <w:szCs w:val="21"/>
        </w:rPr>
        <w:t>照合同总价款每日万分之三计算。</w:t>
      </w:r>
      <w:r>
        <w:rPr>
          <w:rFonts w:ascii="仿宋_GB2312" w:hAnsi="仿宋" w:eastAsia="仿宋_GB2312" w:cs="宋体"/>
          <w:szCs w:val="21"/>
        </w:rPr>
        <w:t>甲方可在</w:t>
      </w:r>
      <w:r>
        <w:rPr>
          <w:rFonts w:hint="eastAsia" w:ascii="仿宋_GB2312" w:hAnsi="仿宋" w:eastAsia="仿宋_GB2312" w:cs="宋体"/>
          <w:szCs w:val="21"/>
        </w:rPr>
        <w:t>货物</w:t>
      </w:r>
      <w:r>
        <w:rPr>
          <w:rFonts w:ascii="仿宋_GB2312" w:hAnsi="仿宋" w:eastAsia="仿宋_GB2312" w:cs="宋体"/>
          <w:szCs w:val="21"/>
        </w:rPr>
        <w:t>结算款中扣除。违约金尚不能补偿对方损失时，有权向对方追索实际损失的赔偿金。</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8</w:t>
      </w:r>
      <w:r>
        <w:rPr>
          <w:rFonts w:ascii="仿宋_GB2312" w:hAnsi="仿宋" w:eastAsia="仿宋_GB2312" w:cs="宋体"/>
          <w:szCs w:val="21"/>
        </w:rPr>
        <w:t>.2 乙方</w:t>
      </w:r>
      <w:r>
        <w:rPr>
          <w:rFonts w:hint="eastAsia" w:ascii="仿宋_GB2312" w:hAnsi="仿宋" w:eastAsia="仿宋_GB2312" w:cs="宋体"/>
          <w:szCs w:val="21"/>
        </w:rPr>
        <w:t>逾期交货，</w:t>
      </w:r>
      <w:r>
        <w:rPr>
          <w:rFonts w:ascii="仿宋_GB2312" w:hAnsi="仿宋" w:eastAsia="仿宋_GB2312" w:cs="宋体"/>
          <w:szCs w:val="21"/>
        </w:rPr>
        <w:t>或不履行售后服务，</w:t>
      </w:r>
      <w:r>
        <w:rPr>
          <w:rFonts w:hint="eastAsia" w:ascii="仿宋_GB2312" w:hAnsi="仿宋" w:eastAsia="仿宋_GB2312" w:cs="宋体"/>
          <w:szCs w:val="21"/>
        </w:rPr>
        <w:t>经甲方催告后仍不能履行的，</w:t>
      </w:r>
      <w:r>
        <w:rPr>
          <w:rFonts w:ascii="仿宋_GB2312" w:hAnsi="仿宋" w:eastAsia="仿宋_GB2312" w:cs="宋体"/>
          <w:szCs w:val="21"/>
        </w:rPr>
        <w:t>甲方有权</w:t>
      </w:r>
      <w:r>
        <w:rPr>
          <w:rFonts w:hint="eastAsia" w:ascii="仿宋_GB2312" w:hAnsi="仿宋" w:eastAsia="仿宋_GB2312" w:cs="宋体"/>
          <w:szCs w:val="21"/>
        </w:rPr>
        <w:t>解除合同，保证金作为违约金不予退还。保证金不足以弥补甲方损失的，甲方有权追偿。</w:t>
      </w:r>
    </w:p>
    <w:p>
      <w:pPr>
        <w:spacing w:line="360" w:lineRule="auto"/>
        <w:ind w:firstLine="420" w:firstLineChars="200"/>
        <w:rPr>
          <w:rFonts w:ascii="仿宋_GB2312" w:hAnsi="仿宋" w:eastAsia="仿宋_GB2312" w:cs="宋体"/>
          <w:bCs/>
          <w:szCs w:val="21"/>
        </w:rPr>
      </w:pPr>
      <w:r>
        <w:rPr>
          <w:rFonts w:hint="eastAsia" w:ascii="仿宋_GB2312" w:hAnsi="仿宋" w:eastAsia="仿宋_GB2312" w:cs="宋体"/>
          <w:szCs w:val="21"/>
        </w:rPr>
        <w:t>8</w:t>
      </w:r>
      <w:r>
        <w:rPr>
          <w:rFonts w:ascii="仿宋_GB2312" w:hAnsi="仿宋" w:eastAsia="仿宋_GB2312" w:cs="宋体"/>
          <w:szCs w:val="21"/>
        </w:rPr>
        <w:t xml:space="preserve">.3 </w:t>
      </w:r>
      <w:r>
        <w:rPr>
          <w:rFonts w:hint="eastAsia" w:ascii="仿宋_GB2312" w:hAnsi="仿宋" w:eastAsia="仿宋_GB2312" w:cs="宋体"/>
          <w:bCs/>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spacing w:line="360" w:lineRule="auto"/>
        <w:ind w:firstLine="420" w:firstLineChars="200"/>
        <w:rPr>
          <w:rFonts w:ascii="仿宋_GB2312" w:hAnsi="仿宋" w:eastAsia="仿宋_GB2312" w:cs="宋体"/>
          <w:bCs/>
          <w:szCs w:val="21"/>
        </w:rPr>
      </w:pPr>
      <w:r>
        <w:rPr>
          <w:rFonts w:hint="eastAsia" w:ascii="仿宋_GB2312" w:hAnsi="仿宋" w:eastAsia="仿宋_GB2312" w:cs="宋体"/>
          <w:bCs/>
          <w:szCs w:val="21"/>
        </w:rPr>
        <w:t>8.4因产品质量瑕疵或缺陷导致甲方或第三人损害的，甲方有权向乙方索赔。</w:t>
      </w:r>
    </w:p>
    <w:p>
      <w:pPr>
        <w:spacing w:before="120" w:after="120" w:line="360" w:lineRule="auto"/>
        <w:ind w:firstLine="420" w:firstLineChars="200"/>
        <w:outlineLvl w:val="1"/>
        <w:rPr>
          <w:rFonts w:ascii="仿宋_GB2312" w:hAnsi="仿宋" w:eastAsia="黑体" w:cs="宋体"/>
          <w:szCs w:val="21"/>
        </w:rPr>
      </w:pPr>
      <w:bookmarkStart w:id="11" w:name="_Toc25588108"/>
      <w:r>
        <w:rPr>
          <w:rFonts w:ascii="仿宋_GB2312" w:hAnsi="仿宋" w:eastAsia="黑体" w:cs="宋体"/>
          <w:szCs w:val="21"/>
        </w:rPr>
        <w:t>第</w:t>
      </w:r>
      <w:r>
        <w:rPr>
          <w:rFonts w:hint="eastAsia" w:ascii="仿宋_GB2312" w:hAnsi="仿宋" w:eastAsia="黑体" w:cs="宋体"/>
          <w:szCs w:val="21"/>
        </w:rPr>
        <w:t>九</w:t>
      </w:r>
      <w:r>
        <w:rPr>
          <w:rFonts w:ascii="仿宋_GB2312" w:hAnsi="仿宋" w:eastAsia="黑体" w:cs="宋体"/>
          <w:szCs w:val="21"/>
        </w:rPr>
        <w:t>条 不可抗力</w:t>
      </w:r>
      <w:bookmarkEnd w:id="11"/>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9</w:t>
      </w:r>
      <w:r>
        <w:rPr>
          <w:rFonts w:ascii="仿宋_GB2312" w:hAnsi="仿宋" w:eastAsia="仿宋_GB2312" w:cs="宋体"/>
          <w:szCs w:val="21"/>
        </w:rPr>
        <w:t xml:space="preserve">.1 </w:t>
      </w:r>
      <w:r>
        <w:rPr>
          <w:rFonts w:hint="eastAsia" w:ascii="仿宋_GB2312" w:hAnsi="仿宋" w:eastAsia="仿宋_GB2312" w:cs="宋体"/>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9</w:t>
      </w:r>
      <w:r>
        <w:rPr>
          <w:rFonts w:ascii="仿宋_GB2312" w:hAnsi="仿宋" w:eastAsia="仿宋_GB2312" w:cs="宋体"/>
          <w:szCs w:val="21"/>
        </w:rPr>
        <w:t xml:space="preserve">.2 </w:t>
      </w:r>
      <w:r>
        <w:rPr>
          <w:rFonts w:hint="eastAsia" w:ascii="仿宋_GB2312" w:hAnsi="仿宋" w:eastAsia="仿宋_GB2312" w:cs="宋体"/>
          <w:szCs w:val="21"/>
        </w:rPr>
        <w:t>因不可抗力的影响，使甲方或乙方无法正常履行本合同，经双方协商可终止本合同或修改本合同的执行，双方已履行部分应在履行方案确定后</w:t>
      </w:r>
      <w:r>
        <w:rPr>
          <w:rFonts w:ascii="仿宋_GB2312" w:hAnsi="仿宋" w:eastAsia="仿宋_GB2312" w:cs="宋体"/>
          <w:szCs w:val="21"/>
        </w:rPr>
        <w:t>30个工作日内据实结算完毕。迟</w:t>
      </w:r>
      <w:r>
        <w:rPr>
          <w:rFonts w:hint="eastAsia" w:ascii="仿宋_GB2312" w:hAnsi="仿宋" w:eastAsia="仿宋_GB2312" w:cs="宋体"/>
          <w:szCs w:val="21"/>
        </w:rPr>
        <w:t>延履行后发生不可抗力的，不能免除违约责任。</w:t>
      </w:r>
      <w:r>
        <w:rPr>
          <w:rFonts w:ascii="仿宋_GB2312" w:hAnsi="仿宋" w:eastAsia="仿宋_GB2312" w:cs="宋体"/>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before="120" w:after="120" w:line="360" w:lineRule="auto"/>
        <w:ind w:firstLine="420" w:firstLineChars="200"/>
        <w:outlineLvl w:val="1"/>
        <w:rPr>
          <w:rFonts w:ascii="仿宋_GB2312" w:hAnsi="仿宋" w:eastAsia="黑体" w:cs="宋体"/>
          <w:szCs w:val="21"/>
        </w:rPr>
      </w:pPr>
      <w:bookmarkStart w:id="12" w:name="_Toc25588109"/>
      <w:r>
        <w:rPr>
          <w:rFonts w:hint="eastAsia" w:ascii="仿宋_GB2312" w:hAnsi="仿宋" w:eastAsia="黑体" w:cs="宋体"/>
          <w:szCs w:val="21"/>
        </w:rPr>
        <w:t>第十条 通知条款</w:t>
      </w:r>
      <w:bookmarkEnd w:id="12"/>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甲方指定的联系方式：</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联系人：</w:t>
      </w:r>
      <w:r>
        <w:rPr>
          <w:rFonts w:eastAsia="仿宋_GB2312"/>
          <w:szCs w:val="21"/>
        </w:rPr>
        <w:t>_____________________________</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联系电话：</w:t>
      </w:r>
      <w:r>
        <w:rPr>
          <w:rFonts w:eastAsia="仿宋_GB2312"/>
          <w:szCs w:val="21"/>
        </w:rPr>
        <w:t>___________________________</w:t>
      </w:r>
    </w:p>
    <w:p>
      <w:pPr>
        <w:spacing w:line="360" w:lineRule="auto"/>
        <w:ind w:firstLine="420" w:firstLineChars="200"/>
        <w:rPr>
          <w:rFonts w:eastAsia="仿宋_GB2312"/>
          <w:szCs w:val="21"/>
        </w:rPr>
      </w:pPr>
      <w:r>
        <w:rPr>
          <w:rFonts w:hint="eastAsia" w:ascii="仿宋_GB2312" w:hAnsi="仿宋" w:eastAsia="仿宋_GB2312" w:cs="宋体"/>
          <w:szCs w:val="21"/>
        </w:rPr>
        <w:t>通讯地址：</w:t>
      </w:r>
      <w:r>
        <w:rPr>
          <w:rFonts w:eastAsia="仿宋_GB2312"/>
          <w:szCs w:val="21"/>
        </w:rPr>
        <w:t>___________________________</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电子邮件：</w:t>
      </w:r>
      <w:r>
        <w:rPr>
          <w:rFonts w:eastAsia="仿宋_GB2312"/>
          <w:szCs w:val="21"/>
        </w:rPr>
        <w:t>___________________________</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乙方指定的联系方式：</w:t>
      </w:r>
    </w:p>
    <w:p>
      <w:pPr>
        <w:spacing w:line="360" w:lineRule="auto"/>
        <w:ind w:firstLine="420" w:firstLineChars="200"/>
        <w:rPr>
          <w:rFonts w:eastAsia="仿宋_GB2312"/>
          <w:szCs w:val="21"/>
        </w:rPr>
      </w:pPr>
      <w:r>
        <w:rPr>
          <w:rFonts w:hint="eastAsia" w:ascii="仿宋_GB2312" w:hAnsi="仿宋" w:eastAsia="仿宋_GB2312" w:cs="宋体"/>
          <w:szCs w:val="21"/>
        </w:rPr>
        <w:t>联系人：</w:t>
      </w:r>
      <w:r>
        <w:rPr>
          <w:rFonts w:eastAsia="仿宋_GB2312"/>
          <w:szCs w:val="21"/>
        </w:rPr>
        <w:t>_____________________________</w:t>
      </w:r>
    </w:p>
    <w:p>
      <w:pPr>
        <w:spacing w:line="360" w:lineRule="auto"/>
        <w:ind w:firstLine="420" w:firstLineChars="200"/>
        <w:rPr>
          <w:rFonts w:eastAsia="仿宋_GB2312"/>
          <w:szCs w:val="21"/>
        </w:rPr>
      </w:pPr>
      <w:r>
        <w:rPr>
          <w:rFonts w:hint="eastAsia" w:ascii="仿宋_GB2312" w:hAnsi="仿宋" w:eastAsia="仿宋_GB2312" w:cs="宋体"/>
          <w:szCs w:val="21"/>
        </w:rPr>
        <w:t>联系电话：</w:t>
      </w:r>
      <w:r>
        <w:rPr>
          <w:rFonts w:eastAsia="仿宋_GB2312"/>
          <w:szCs w:val="21"/>
        </w:rPr>
        <w:t>___________________________</w:t>
      </w:r>
    </w:p>
    <w:p>
      <w:pPr>
        <w:spacing w:line="360" w:lineRule="auto"/>
        <w:ind w:firstLine="420" w:firstLineChars="200"/>
        <w:rPr>
          <w:rFonts w:eastAsia="仿宋_GB2312"/>
          <w:szCs w:val="21"/>
        </w:rPr>
      </w:pPr>
      <w:r>
        <w:rPr>
          <w:rFonts w:hint="eastAsia" w:ascii="仿宋_GB2312" w:hAnsi="仿宋" w:eastAsia="仿宋_GB2312" w:cs="宋体"/>
          <w:szCs w:val="21"/>
        </w:rPr>
        <w:t>通讯地址：</w:t>
      </w:r>
      <w:r>
        <w:rPr>
          <w:rFonts w:eastAsia="仿宋_GB2312"/>
          <w:szCs w:val="21"/>
        </w:rPr>
        <w:t>___________________________</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电子邮件：</w:t>
      </w:r>
      <w:r>
        <w:rPr>
          <w:rFonts w:eastAsia="仿宋_GB2312"/>
          <w:szCs w:val="21"/>
        </w:rPr>
        <w:t>___________________________</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.1采用当面签收的，应由合同中指定的联系人或双方授权的代表签收，签收日期即为送达时间。</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10</w:t>
      </w:r>
      <w:r>
        <w:rPr>
          <w:rFonts w:ascii="仿宋_GB2312" w:hAnsi="仿宋" w:eastAsia="仿宋_GB2312" w:cs="宋体"/>
          <w:szCs w:val="21"/>
        </w:rPr>
        <w:t>.7本合同约定的联系方式与送达方式同时可作为法律文书的联系方式与送达方式。</w:t>
      </w:r>
    </w:p>
    <w:p>
      <w:pPr>
        <w:spacing w:before="120" w:after="120" w:line="360" w:lineRule="auto"/>
        <w:ind w:firstLine="420" w:firstLineChars="200"/>
        <w:outlineLvl w:val="1"/>
        <w:rPr>
          <w:rFonts w:ascii="仿宋_GB2312" w:hAnsi="仿宋" w:eastAsia="黑体" w:cs="宋体"/>
          <w:szCs w:val="21"/>
        </w:rPr>
      </w:pPr>
      <w:bookmarkStart w:id="13" w:name="_Toc25588110"/>
      <w:r>
        <w:rPr>
          <w:rFonts w:ascii="仿宋_GB2312" w:hAnsi="仿宋" w:eastAsia="黑体" w:cs="宋体"/>
          <w:szCs w:val="21"/>
        </w:rPr>
        <w:t>第</w:t>
      </w:r>
      <w:r>
        <w:rPr>
          <w:rFonts w:hint="eastAsia" w:ascii="仿宋_GB2312" w:hAnsi="仿宋" w:eastAsia="黑体" w:cs="宋体"/>
          <w:szCs w:val="21"/>
        </w:rPr>
        <w:t>十一</w:t>
      </w:r>
      <w:r>
        <w:rPr>
          <w:rFonts w:ascii="仿宋_GB2312" w:hAnsi="仿宋" w:eastAsia="黑体" w:cs="宋体"/>
          <w:szCs w:val="21"/>
        </w:rPr>
        <w:t xml:space="preserve">条 </w:t>
      </w:r>
      <w:r>
        <w:rPr>
          <w:rFonts w:hint="eastAsia" w:ascii="仿宋_GB2312" w:hAnsi="仿宋" w:eastAsia="黑体" w:cs="宋体"/>
          <w:szCs w:val="21"/>
        </w:rPr>
        <w:t>保密条款</w:t>
      </w:r>
      <w:bookmarkEnd w:id="13"/>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szCs w:val="21"/>
        </w:rPr>
        <w:t>。</w:t>
      </w:r>
    </w:p>
    <w:p>
      <w:pPr>
        <w:spacing w:before="120" w:after="120" w:line="360" w:lineRule="auto"/>
        <w:ind w:firstLine="420" w:firstLineChars="200"/>
        <w:outlineLvl w:val="1"/>
        <w:rPr>
          <w:rFonts w:ascii="仿宋_GB2312" w:hAnsi="仿宋" w:eastAsia="黑体" w:cs="宋体"/>
          <w:szCs w:val="21"/>
        </w:rPr>
      </w:pPr>
      <w:bookmarkStart w:id="14" w:name="_Toc25588111"/>
      <w:r>
        <w:rPr>
          <w:rFonts w:ascii="仿宋_GB2312" w:hAnsi="仿宋" w:eastAsia="黑体" w:cs="宋体"/>
          <w:szCs w:val="21"/>
        </w:rPr>
        <w:t>第</w:t>
      </w:r>
      <w:r>
        <w:rPr>
          <w:rFonts w:hint="eastAsia" w:ascii="仿宋_GB2312" w:hAnsi="仿宋" w:eastAsia="黑体" w:cs="宋体"/>
          <w:szCs w:val="21"/>
        </w:rPr>
        <w:t>十二</w:t>
      </w:r>
      <w:r>
        <w:rPr>
          <w:rFonts w:ascii="仿宋_GB2312" w:hAnsi="仿宋" w:eastAsia="黑体" w:cs="宋体"/>
          <w:szCs w:val="21"/>
        </w:rPr>
        <w:t xml:space="preserve">条 </w:t>
      </w:r>
      <w:r>
        <w:rPr>
          <w:rFonts w:hint="eastAsia" w:ascii="仿宋_GB2312" w:hAnsi="仿宋" w:eastAsia="黑体" w:cs="宋体"/>
          <w:szCs w:val="21"/>
        </w:rPr>
        <w:t>合同争议的解决方式</w:t>
      </w:r>
      <w:bookmarkEnd w:id="14"/>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2</w:t>
      </w:r>
      <w:r>
        <w:rPr>
          <w:rFonts w:ascii="仿宋_GB2312" w:hAnsi="仿宋" w:eastAsia="仿宋_GB2312" w:cs="宋体"/>
          <w:szCs w:val="21"/>
        </w:rPr>
        <w:t xml:space="preserve">.1 </w:t>
      </w:r>
      <w:r>
        <w:rPr>
          <w:rFonts w:hint="eastAsia" w:ascii="仿宋_GB2312" w:hAnsi="仿宋" w:eastAsia="仿宋_GB2312" w:cs="宋体"/>
          <w:szCs w:val="21"/>
        </w:rPr>
        <w:t>若在合同履行过程中发生争议，甲乙双方应当友好协商解决，协商不成，按以下第（二</w:t>
      </w:r>
      <w:r>
        <w:rPr>
          <w:rFonts w:ascii="仿宋_GB2312" w:hAnsi="仿宋" w:eastAsia="仿宋_GB2312" w:cs="宋体"/>
          <w:szCs w:val="21"/>
        </w:rPr>
        <w:t xml:space="preserve"> ） 种方式解决：</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（一）提交重庆仲裁委员会，按照申请仲裁时该会现行有效的仲裁规则进行仲裁。</w:t>
      </w:r>
    </w:p>
    <w:p>
      <w:pPr>
        <w:spacing w:line="360" w:lineRule="auto"/>
        <w:ind w:firstLine="420" w:firstLineChars="200"/>
        <w:rPr>
          <w:rFonts w:ascii="仿宋_GB2312" w:hAnsi="仿宋" w:eastAsia="仿宋_GB2312" w:cs="宋体"/>
          <w:szCs w:val="21"/>
        </w:rPr>
      </w:pPr>
      <w:r>
        <w:rPr>
          <w:rFonts w:hint="eastAsia" w:ascii="仿宋_GB2312" w:hAnsi="仿宋" w:eastAsia="仿宋_GB2312" w:cs="宋体"/>
          <w:szCs w:val="21"/>
        </w:rPr>
        <w:t>（二）向</w:t>
      </w:r>
      <w:r>
        <w:rPr>
          <w:rFonts w:ascii="仿宋_GB2312" w:hAnsi="仿宋" w:eastAsia="仿宋_GB2312" w:cs="宋体"/>
          <w:szCs w:val="21"/>
        </w:rPr>
        <w:t>甲方所在地人民法院起诉。</w:t>
      </w:r>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2</w:t>
      </w:r>
      <w:r>
        <w:rPr>
          <w:rFonts w:ascii="仿宋_GB2312" w:hAnsi="仿宋" w:eastAsia="仿宋_GB2312" w:cs="宋体"/>
          <w:szCs w:val="21"/>
        </w:rPr>
        <w:t>.2在诉讼期间，除正在进行诉讼的部分外，合同其它部分继续执行。</w:t>
      </w:r>
    </w:p>
    <w:p>
      <w:pPr>
        <w:spacing w:before="120" w:after="120" w:line="360" w:lineRule="auto"/>
        <w:ind w:firstLine="420" w:firstLineChars="200"/>
        <w:outlineLvl w:val="1"/>
        <w:rPr>
          <w:rFonts w:ascii="仿宋_GB2312" w:hAnsi="仿宋" w:eastAsia="黑体" w:cs="宋体"/>
          <w:szCs w:val="21"/>
        </w:rPr>
      </w:pPr>
      <w:bookmarkStart w:id="15" w:name="_Toc25588112"/>
      <w:r>
        <w:rPr>
          <w:rFonts w:hint="eastAsia" w:ascii="仿宋_GB2312" w:hAnsi="仿宋" w:eastAsia="黑体" w:cs="宋体"/>
          <w:szCs w:val="21"/>
        </w:rPr>
        <w:t xml:space="preserve">第十三条 </w:t>
      </w:r>
      <w:r>
        <w:rPr>
          <w:rFonts w:ascii="仿宋_GB2312" w:hAnsi="仿宋" w:eastAsia="黑体" w:cs="宋体"/>
          <w:szCs w:val="21"/>
        </w:rPr>
        <w:t>合同的变更和解除</w:t>
      </w:r>
      <w:bookmarkEnd w:id="15"/>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3</w:t>
      </w:r>
      <w:r>
        <w:rPr>
          <w:rFonts w:ascii="仿宋_GB2312" w:hAnsi="仿宋" w:eastAsia="仿宋_GB2312" w:cs="宋体"/>
          <w:szCs w:val="21"/>
        </w:rPr>
        <w:t>.1 本合同履行过程中，如果合同履行条件发生变化</w:t>
      </w:r>
      <w:r>
        <w:rPr>
          <w:rFonts w:hint="eastAsia" w:ascii="仿宋_GB2312" w:hAnsi="仿宋" w:eastAsia="仿宋_GB2312" w:cs="宋体"/>
          <w:szCs w:val="21"/>
        </w:rPr>
        <w:t>，</w:t>
      </w:r>
      <w:r>
        <w:rPr>
          <w:rFonts w:ascii="仿宋_GB2312" w:hAnsi="仿宋" w:eastAsia="仿宋_GB2312" w:cs="宋体"/>
          <w:szCs w:val="21"/>
        </w:rPr>
        <w:t>由双方进行协商，并以签订补充合同的方式加以确认，补充合同与本合同具有同等效力。若补充协议内容与本合同内容矛盾的，以时间在后的内容为准。</w:t>
      </w:r>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3</w:t>
      </w:r>
      <w:r>
        <w:rPr>
          <w:rFonts w:ascii="仿宋_GB2312" w:hAnsi="仿宋" w:eastAsia="仿宋_GB2312" w:cs="宋体"/>
          <w:szCs w:val="21"/>
        </w:rPr>
        <w:t>.2 经双方协商一致，并达成书面合同后，本合同可以解除</w:t>
      </w:r>
      <w:r>
        <w:rPr>
          <w:rFonts w:hint="eastAsia" w:ascii="仿宋_GB2312" w:hAnsi="仿宋" w:eastAsia="仿宋_GB2312" w:cs="宋体"/>
          <w:szCs w:val="21"/>
        </w:rPr>
        <w:t>，</w:t>
      </w:r>
      <w:r>
        <w:rPr>
          <w:rFonts w:ascii="仿宋_GB2312" w:hAnsi="仿宋" w:eastAsia="仿宋_GB2312" w:cs="宋体"/>
          <w:szCs w:val="21"/>
        </w:rPr>
        <w:t>双方应就合同解除的后果在解约合同中一并做出约定。</w:t>
      </w:r>
      <w:r>
        <w:rPr>
          <w:rFonts w:hint="eastAsia" w:ascii="仿宋_GB2312" w:hAnsi="仿宋" w:eastAsia="仿宋_GB2312" w:cs="宋体"/>
          <w:szCs w:val="21"/>
        </w:rPr>
        <w:t>一方也可根据合同约定单方行使合同解除权</w:t>
      </w:r>
      <w:r>
        <w:rPr>
          <w:rFonts w:ascii="仿宋_GB2312" w:hAnsi="仿宋" w:eastAsia="仿宋_GB2312" w:cs="宋体"/>
          <w:szCs w:val="21"/>
        </w:rPr>
        <w:t>。</w:t>
      </w:r>
    </w:p>
    <w:p>
      <w:pPr>
        <w:spacing w:before="120" w:after="120" w:line="360" w:lineRule="auto"/>
        <w:ind w:firstLine="420" w:firstLineChars="200"/>
        <w:outlineLvl w:val="1"/>
        <w:rPr>
          <w:rFonts w:ascii="仿宋_GB2312" w:hAnsi="仿宋" w:eastAsia="黑体" w:cs="宋体"/>
          <w:szCs w:val="21"/>
        </w:rPr>
      </w:pPr>
      <w:bookmarkStart w:id="16" w:name="_Toc25588113"/>
      <w:r>
        <w:rPr>
          <w:rFonts w:ascii="仿宋_GB2312" w:hAnsi="仿宋" w:eastAsia="黑体" w:cs="宋体"/>
          <w:szCs w:val="21"/>
        </w:rPr>
        <w:t>第</w:t>
      </w:r>
      <w:r>
        <w:rPr>
          <w:rFonts w:hint="eastAsia" w:ascii="仿宋_GB2312" w:hAnsi="仿宋" w:eastAsia="黑体" w:cs="宋体"/>
          <w:szCs w:val="21"/>
        </w:rPr>
        <w:t>十四</w:t>
      </w:r>
      <w:r>
        <w:rPr>
          <w:rFonts w:ascii="仿宋_GB2312" w:hAnsi="仿宋" w:eastAsia="黑体" w:cs="宋体"/>
          <w:szCs w:val="21"/>
        </w:rPr>
        <w:t>条 合同生效及其他</w:t>
      </w:r>
      <w:bookmarkEnd w:id="16"/>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4</w:t>
      </w:r>
      <w:r>
        <w:rPr>
          <w:rFonts w:ascii="仿宋_GB2312" w:hAnsi="仿宋" w:eastAsia="仿宋_GB2312" w:cs="宋体"/>
          <w:szCs w:val="21"/>
        </w:rPr>
        <w:t xml:space="preserve">.1 </w:t>
      </w:r>
      <w:r>
        <w:rPr>
          <w:rFonts w:hint="eastAsia" w:ascii="仿宋_GB2312" w:hAnsi="仿宋" w:eastAsia="仿宋_GB2312" w:cs="宋体"/>
          <w:szCs w:val="21"/>
        </w:rPr>
        <w:t>乙方和甲方约定合同内容双方签字或盖章后生效，生效后不得以其他原因单方取消约定</w:t>
      </w:r>
      <w:r>
        <w:rPr>
          <w:rFonts w:ascii="仿宋_GB2312" w:hAnsi="仿宋" w:eastAsia="仿宋_GB2312" w:cs="宋体"/>
          <w:szCs w:val="21"/>
        </w:rPr>
        <w:t>。</w:t>
      </w:r>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1</w:t>
      </w:r>
      <w:r>
        <w:rPr>
          <w:rFonts w:hint="eastAsia" w:ascii="仿宋_GB2312" w:hAnsi="仿宋" w:eastAsia="仿宋_GB2312" w:cs="宋体"/>
          <w:szCs w:val="21"/>
        </w:rPr>
        <w:t>4</w:t>
      </w:r>
      <w:r>
        <w:rPr>
          <w:rFonts w:ascii="仿宋_GB2312" w:hAnsi="仿宋" w:eastAsia="仿宋_GB2312" w:cs="宋体"/>
          <w:szCs w:val="21"/>
        </w:rPr>
        <w:t>.</w:t>
      </w:r>
      <w:r>
        <w:rPr>
          <w:rFonts w:hint="eastAsia" w:ascii="仿宋_GB2312" w:hAnsi="仿宋" w:eastAsia="仿宋_GB2312" w:cs="宋体"/>
          <w:szCs w:val="21"/>
        </w:rPr>
        <w:t>2</w:t>
      </w:r>
      <w:r>
        <w:rPr>
          <w:rFonts w:ascii="仿宋_GB2312" w:hAnsi="仿宋" w:eastAsia="仿宋_GB2312" w:cs="宋体"/>
          <w:szCs w:val="21"/>
        </w:rPr>
        <w:t xml:space="preserve"> 本合同一式</w:t>
      </w:r>
      <w:r>
        <w:rPr>
          <w:rFonts w:hint="eastAsia" w:ascii="仿宋_GB2312" w:hAnsi="仿宋" w:eastAsia="仿宋_GB2312" w:cs="宋体"/>
          <w:szCs w:val="21"/>
        </w:rPr>
        <w:t>【柒】</w:t>
      </w:r>
      <w:r>
        <w:rPr>
          <w:rFonts w:ascii="仿宋_GB2312" w:hAnsi="仿宋" w:eastAsia="仿宋_GB2312" w:cs="宋体"/>
          <w:szCs w:val="21"/>
        </w:rPr>
        <w:t>份，甲方执</w:t>
      </w:r>
      <w:r>
        <w:rPr>
          <w:rFonts w:hint="eastAsia" w:ascii="仿宋_GB2312" w:hAnsi="仿宋" w:eastAsia="仿宋_GB2312" w:cs="宋体"/>
          <w:szCs w:val="21"/>
        </w:rPr>
        <w:t>【伍】</w:t>
      </w:r>
      <w:r>
        <w:rPr>
          <w:rFonts w:ascii="仿宋_GB2312" w:hAnsi="仿宋" w:eastAsia="仿宋_GB2312" w:cs="宋体"/>
          <w:szCs w:val="21"/>
        </w:rPr>
        <w:t>份，乙方执</w:t>
      </w:r>
      <w:r>
        <w:rPr>
          <w:rFonts w:hint="eastAsia" w:ascii="仿宋_GB2312" w:hAnsi="仿宋" w:eastAsia="仿宋_GB2312" w:cs="宋体"/>
          <w:szCs w:val="21"/>
        </w:rPr>
        <w:t>【贰】</w:t>
      </w:r>
      <w:r>
        <w:rPr>
          <w:rFonts w:ascii="仿宋_GB2312" w:hAnsi="仿宋" w:eastAsia="仿宋_GB2312" w:cs="宋体"/>
          <w:szCs w:val="21"/>
        </w:rPr>
        <w:t>份</w:t>
      </w:r>
      <w:r>
        <w:rPr>
          <w:rFonts w:hint="eastAsia" w:ascii="仿宋_GB2312" w:hAnsi="仿宋" w:eastAsia="仿宋_GB2312" w:cs="宋体"/>
          <w:szCs w:val="21"/>
        </w:rPr>
        <w:t>，具有同等法律效力</w:t>
      </w:r>
      <w:r>
        <w:rPr>
          <w:rFonts w:ascii="仿宋_GB2312" w:hAnsi="仿宋" w:eastAsia="仿宋_GB2312" w:cs="宋体"/>
          <w:szCs w:val="21"/>
        </w:rPr>
        <w:t>。</w:t>
      </w:r>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br w:type="textWrapping"/>
      </w:r>
      <w:r>
        <w:rPr>
          <w:rFonts w:ascii="仿宋_GB2312" w:hAnsi="仿宋" w:eastAsia="仿宋_GB2312" w:cs="宋体"/>
          <w:b/>
          <w:bCs/>
          <w:szCs w:val="21"/>
        </w:rPr>
        <w:t>甲方（盖章）：</w:t>
      </w:r>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t>法定代表人或授权代表（签字）：</w:t>
      </w:r>
    </w:p>
    <w:p>
      <w:pPr>
        <w:spacing w:line="360" w:lineRule="auto"/>
        <w:ind w:firstLine="420" w:firstLineChars="200"/>
        <w:rPr>
          <w:rFonts w:ascii="仿宋_GB2312" w:hAnsi="仿宋" w:eastAsia="仿宋_GB2312" w:cs="宋体"/>
          <w:szCs w:val="21"/>
        </w:rPr>
      </w:pPr>
    </w:p>
    <w:p>
      <w:pPr>
        <w:spacing w:line="360" w:lineRule="auto"/>
        <w:ind w:firstLine="420" w:firstLineChars="200"/>
        <w:rPr>
          <w:rFonts w:ascii="仿宋_GB2312" w:hAnsi="仿宋" w:eastAsia="仿宋_GB2312" w:cs="宋体"/>
          <w:szCs w:val="21"/>
        </w:rPr>
      </w:pPr>
      <w:r>
        <w:rPr>
          <w:rFonts w:ascii="仿宋_GB2312" w:hAnsi="仿宋" w:eastAsia="仿宋_GB2312" w:cs="宋体"/>
          <w:szCs w:val="21"/>
        </w:rPr>
        <w:br w:type="textWrapping"/>
      </w:r>
      <w:r>
        <w:rPr>
          <w:rFonts w:ascii="仿宋_GB2312" w:hAnsi="仿宋" w:eastAsia="仿宋_GB2312" w:cs="宋体"/>
          <w:b/>
          <w:bCs/>
          <w:szCs w:val="21"/>
        </w:rPr>
        <w:t>乙方（盖章）：</w:t>
      </w:r>
    </w:p>
    <w:p>
      <w:pPr>
        <w:spacing w:line="360" w:lineRule="auto"/>
        <w:ind w:firstLine="420" w:firstLineChars="200"/>
        <w:rPr>
          <w:rFonts w:ascii="等线" w:hAnsi="等线" w:eastAsia="等线" w:cs="宋体"/>
          <w:szCs w:val="21"/>
        </w:rPr>
      </w:pPr>
      <w:r>
        <w:rPr>
          <w:rFonts w:ascii="仿宋_GB2312" w:hAnsi="仿宋" w:eastAsia="仿宋_GB2312" w:cs="宋体"/>
          <w:szCs w:val="21"/>
        </w:rPr>
        <w:t>法定代表人或授权代表（签字）：</w:t>
      </w:r>
    </w:p>
    <w:p>
      <w:pPr>
        <w:snapToGrid w:val="0"/>
        <w:spacing w:line="360" w:lineRule="auto"/>
        <w:rPr>
          <w:rFonts w:ascii="仿宋" w:hAnsi="仿宋" w:eastAsia="仿宋"/>
          <w:sz w:val="28"/>
          <w:szCs w:val="28"/>
        </w:rPr>
      </w:pPr>
    </w:p>
    <w:p>
      <w:pPr>
        <w:widowControl/>
        <w:jc w:val="left"/>
        <w:rPr>
          <w:rFonts w:ascii="仿宋" w:hAnsi="仿宋" w:eastAsia="仿宋"/>
          <w:b/>
          <w:bCs/>
          <w:sz w:val="28"/>
          <w:szCs w:val="28"/>
        </w:rPr>
      </w:pPr>
      <w:r>
        <w:rPr>
          <w:rFonts w:ascii="仿宋" w:hAnsi="仿宋" w:eastAsia="仿宋"/>
          <w:b/>
          <w:bCs/>
          <w:sz w:val="28"/>
          <w:szCs w:val="28"/>
        </w:rPr>
        <w:br w:type="page"/>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软件版本</w:t>
            </w:r>
          </w:p>
        </w:tc>
        <w:tc>
          <w:tcPr>
            <w:tcW w:w="964" w:type="dxa"/>
            <w:vAlign w:val="center"/>
          </w:tcPr>
          <w:p>
            <w:pPr>
              <w:jc w:val="center"/>
              <w:rPr>
                <w:b/>
                <w:sz w:val="24"/>
              </w:rPr>
            </w:pPr>
            <w:r>
              <w:rPr>
                <w:rFonts w:hint="eastAsia"/>
                <w:b/>
                <w:sz w:val="24"/>
              </w:rPr>
              <w:t>数量</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b/>
          <w:bCs/>
          <w:sz w:val="28"/>
          <w:szCs w:val="28"/>
        </w:rPr>
        <w:t>附被授权人代理人身份证复印件</w:t>
      </w:r>
    </w:p>
    <w:p/>
    <w:p>
      <w:pPr>
        <w:pStyle w:val="2"/>
      </w:pPr>
    </w:p>
    <w:p>
      <w:pPr>
        <w:pStyle w:val="2"/>
        <w:jc w:val="both"/>
      </w:pP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5</w:t>
      </w:r>
      <w:r>
        <w:rPr>
          <w:rFonts w:hint="eastAsia" w:ascii="仿宋" w:hAnsi="仿宋" w:eastAsia="仿宋"/>
          <w:sz w:val="28"/>
          <w:szCs w:val="28"/>
        </w:rPr>
        <w:t>：</w:t>
      </w:r>
    </w:p>
    <w:p>
      <w:pPr>
        <w:widowControl/>
        <w:jc w:val="center"/>
        <w:rPr>
          <w:rFonts w:ascii="仿宋" w:hAnsi="仿宋" w:eastAsia="仿宋"/>
          <w:b/>
          <w:bCs/>
          <w:sz w:val="28"/>
          <w:szCs w:val="28"/>
        </w:rPr>
      </w:pPr>
      <w:r>
        <w:rPr>
          <w:rFonts w:hint="eastAsia" w:ascii="仿宋" w:hAnsi="仿宋" w:eastAsia="仿宋"/>
          <w:b/>
          <w:bCs/>
          <w:sz w:val="28"/>
          <w:szCs w:val="28"/>
        </w:rPr>
        <w:t>ERP副本数据管理一体机项目配置清单及要求</w:t>
      </w:r>
    </w:p>
    <w:p>
      <w:pPr>
        <w:snapToGrid w:val="0"/>
        <w:spacing w:line="360" w:lineRule="auto"/>
        <w:rPr>
          <w:rFonts w:ascii="仿宋" w:hAnsi="仿宋" w:eastAsia="仿宋"/>
          <w:sz w:val="28"/>
          <w:szCs w:val="28"/>
          <w:lang w:val="zh-CN"/>
        </w:rPr>
      </w:pPr>
      <w:r>
        <w:rPr>
          <w:rFonts w:ascii="仿宋" w:hAnsi="仿宋" w:eastAsia="仿宋"/>
          <w:sz w:val="28"/>
          <w:szCs w:val="28"/>
          <w:lang w:val="zh-CN"/>
        </w:rPr>
        <w:t>1.1</w:t>
      </w:r>
      <w:r>
        <w:rPr>
          <w:rFonts w:hint="eastAsia" w:ascii="仿宋" w:hAnsi="仿宋" w:eastAsia="仿宋"/>
          <w:sz w:val="28"/>
          <w:szCs w:val="28"/>
          <w:lang w:val="zh-CN"/>
        </w:rPr>
        <w:t>设备性能参数要求</w:t>
      </w:r>
    </w:p>
    <w:tbl>
      <w:tblPr>
        <w:tblStyle w:val="6"/>
        <w:tblW w:w="9107" w:type="dxa"/>
        <w:jc w:val="center"/>
        <w:tblInd w:w="0" w:type="dxa"/>
        <w:tblLayout w:type="fixed"/>
        <w:tblCellMar>
          <w:top w:w="0" w:type="dxa"/>
          <w:left w:w="108" w:type="dxa"/>
          <w:bottom w:w="0" w:type="dxa"/>
          <w:right w:w="108" w:type="dxa"/>
        </w:tblCellMar>
      </w:tblPr>
      <w:tblGrid>
        <w:gridCol w:w="1134"/>
        <w:gridCol w:w="5501"/>
        <w:gridCol w:w="567"/>
        <w:gridCol w:w="567"/>
        <w:gridCol w:w="709"/>
        <w:gridCol w:w="629"/>
      </w:tblGrid>
      <w:tr>
        <w:tblPrEx>
          <w:tblLayout w:type="fixed"/>
          <w:tblCellMar>
            <w:top w:w="0" w:type="dxa"/>
            <w:left w:w="108" w:type="dxa"/>
            <w:bottom w:w="0" w:type="dxa"/>
            <w:right w:w="108" w:type="dxa"/>
          </w:tblCellMar>
        </w:tblPrEx>
        <w:trPr>
          <w:trHeight w:val="618"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等线" w:hAnsi="等线" w:eastAsia="等线"/>
                <w:sz w:val="24"/>
              </w:rPr>
            </w:pPr>
            <w:r>
              <w:rPr>
                <w:rFonts w:hint="eastAsia" w:ascii="等线" w:hAnsi="等线" w:eastAsia="等线"/>
                <w:sz w:val="24"/>
              </w:rPr>
              <w:t>序号</w:t>
            </w:r>
          </w:p>
        </w:tc>
        <w:tc>
          <w:tcPr>
            <w:tcW w:w="5501"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等线" w:hAnsi="等线" w:eastAsia="等线"/>
                <w:sz w:val="24"/>
              </w:rPr>
            </w:pPr>
            <w:r>
              <w:rPr>
                <w:rFonts w:hint="eastAsia" w:ascii="等线" w:hAnsi="等线" w:eastAsia="等线"/>
                <w:sz w:val="24"/>
              </w:rPr>
              <w:t>性能参数要求</w:t>
            </w:r>
          </w:p>
        </w:tc>
        <w:tc>
          <w:tcPr>
            <w:tcW w:w="567"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等线" w:hAnsi="等线" w:eastAsia="等线"/>
                <w:sz w:val="24"/>
              </w:rPr>
            </w:pPr>
            <w:r>
              <w:rPr>
                <w:rFonts w:hint="eastAsia" w:ascii="等线" w:hAnsi="等线" w:eastAsia="等线"/>
                <w:sz w:val="24"/>
              </w:rPr>
              <w:t>数量</w:t>
            </w:r>
          </w:p>
        </w:tc>
        <w:tc>
          <w:tcPr>
            <w:tcW w:w="567"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等线" w:hAnsi="等线" w:eastAsia="等线"/>
                <w:sz w:val="24"/>
              </w:rPr>
            </w:pPr>
            <w:r>
              <w:rPr>
                <w:rFonts w:hint="eastAsia" w:ascii="等线" w:hAnsi="等线" w:eastAsia="等线"/>
                <w:sz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等线" w:hAnsi="等线" w:eastAsia="等线"/>
                <w:sz w:val="24"/>
              </w:rPr>
            </w:pPr>
            <w:r>
              <w:rPr>
                <w:rFonts w:hint="eastAsia" w:ascii="等线" w:hAnsi="等线" w:eastAsia="等线"/>
                <w:sz w:val="24"/>
              </w:rPr>
              <w:t>服务期</w:t>
            </w:r>
          </w:p>
        </w:tc>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等线" w:hAnsi="等线" w:eastAsia="等线"/>
                <w:sz w:val="24"/>
              </w:rPr>
            </w:pPr>
            <w:r>
              <w:rPr>
                <w:rFonts w:hint="eastAsia" w:ascii="等线" w:hAnsi="等线" w:eastAsia="等线"/>
                <w:sz w:val="24"/>
              </w:rPr>
              <w:t>备注</w:t>
            </w:r>
          </w:p>
        </w:tc>
      </w:tr>
      <w:tr>
        <w:tblPrEx>
          <w:tblLayout w:type="fixed"/>
          <w:tblCellMar>
            <w:top w:w="0" w:type="dxa"/>
            <w:left w:w="108" w:type="dxa"/>
            <w:bottom w:w="0" w:type="dxa"/>
            <w:right w:w="108" w:type="dxa"/>
          </w:tblCellMar>
        </w:tblPrEx>
        <w:trPr>
          <w:trHeight w:val="618" w:hRule="atLeast"/>
          <w:jc w:val="center"/>
        </w:trPr>
        <w:tc>
          <w:tcPr>
            <w:tcW w:w="1134"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sz w:val="28"/>
                <w:szCs w:val="28"/>
              </w:rPr>
            </w:pPr>
            <w:r>
              <w:rPr>
                <w:rFonts w:hint="eastAsia" w:ascii="仿宋" w:hAnsi="仿宋" w:eastAsia="仿宋"/>
                <w:sz w:val="28"/>
                <w:szCs w:val="28"/>
              </w:rPr>
              <w:t>1</w:t>
            </w:r>
          </w:p>
        </w:tc>
        <w:tc>
          <w:tcPr>
            <w:tcW w:w="5501"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ascii="等线" w:hAnsi="等线" w:eastAsia="等线"/>
                <w:sz w:val="24"/>
              </w:rPr>
            </w:pPr>
            <w:r>
              <w:rPr>
                <w:rFonts w:hint="eastAsia" w:ascii="仿宋" w:hAnsi="仿宋" w:eastAsia="仿宋"/>
                <w:sz w:val="24"/>
                <w:lang w:val="zh-CN"/>
              </w:rPr>
              <w:t>2U机架式备份容灾存储设备，提供12个3.5英寸数据存储硬盘槽位，存储系统软件与备份容灾软件整合为一体，无需再额外配置备份服务器，配置 2颗2.2GHz 十核 Intel Silver 4210处理器，配置64GB高速缓存，可扩展至768GB，配置2块240GB企业级SSD，8块12TB SATA磁盘 ，提供2个板载千兆GE网口+2个10GE光口（含光模块）；配置不限数据类型、客户端数量的定时备份的开放备份授权（保护虚拟化平台、数据库、操作系统），方便灵活扩展。包含设备、软件及安装调试工作。三年硬件质保软件版本升级。</w:t>
            </w:r>
          </w:p>
        </w:tc>
        <w:tc>
          <w:tcPr>
            <w:tcW w:w="567"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仿宋" w:hAnsi="仿宋" w:eastAsia="仿宋"/>
                <w:sz w:val="28"/>
                <w:szCs w:val="28"/>
              </w:rPr>
            </w:pPr>
            <w:r>
              <w:rPr>
                <w:rFonts w:hint="eastAsia" w:ascii="仿宋" w:hAnsi="仿宋" w:eastAsia="仿宋"/>
                <w:sz w:val="28"/>
                <w:szCs w:val="28"/>
              </w:rPr>
              <w:t>1</w:t>
            </w:r>
          </w:p>
        </w:tc>
        <w:tc>
          <w:tcPr>
            <w:tcW w:w="567" w:type="dxa"/>
            <w:tcBorders>
              <w:top w:val="nil"/>
              <w:left w:val="nil"/>
              <w:bottom w:val="single" w:color="auto" w:sz="4" w:space="0"/>
              <w:right w:val="single" w:color="auto" w:sz="4" w:space="0"/>
            </w:tcBorders>
            <w:vAlign w:val="center"/>
          </w:tcPr>
          <w:p>
            <w:pPr>
              <w:snapToGrid w:val="0"/>
              <w:spacing w:line="360" w:lineRule="auto"/>
              <w:jc w:val="center"/>
              <w:rPr>
                <w:rFonts w:ascii="仿宋" w:hAnsi="仿宋" w:eastAsia="仿宋"/>
                <w:sz w:val="28"/>
                <w:szCs w:val="28"/>
              </w:rPr>
            </w:pPr>
            <w:r>
              <w:rPr>
                <w:rFonts w:hint="eastAsia" w:ascii="仿宋" w:hAnsi="仿宋" w:eastAsia="仿宋"/>
                <w:sz w:val="28"/>
                <w:szCs w:val="28"/>
              </w:rPr>
              <w:t>台</w:t>
            </w:r>
          </w:p>
        </w:tc>
        <w:tc>
          <w:tcPr>
            <w:tcW w:w="709" w:type="dxa"/>
            <w:tcBorders>
              <w:top w:val="nil"/>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8"/>
                <w:szCs w:val="28"/>
              </w:rPr>
            </w:pPr>
            <w:r>
              <w:rPr>
                <w:rFonts w:hint="eastAsia" w:ascii="仿宋" w:hAnsi="仿宋" w:eastAsia="仿宋"/>
                <w:sz w:val="28"/>
                <w:szCs w:val="28"/>
              </w:rPr>
              <w:t>3年</w:t>
            </w:r>
          </w:p>
        </w:tc>
        <w:tc>
          <w:tcPr>
            <w:tcW w:w="629" w:type="dxa"/>
            <w:tcBorders>
              <w:top w:val="nil"/>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8"/>
                <w:szCs w:val="28"/>
              </w:rPr>
            </w:pPr>
          </w:p>
        </w:tc>
      </w:tr>
    </w:tbl>
    <w:p>
      <w:pPr>
        <w:pStyle w:val="2"/>
        <w:jc w:val="both"/>
      </w:pPr>
    </w:p>
    <w:p>
      <w:pPr>
        <w:pStyle w:val="2"/>
      </w:pPr>
      <w:r>
        <w:br w:type="page"/>
      </w:r>
    </w:p>
    <w:p>
      <w:pPr>
        <w:snapToGrid w:val="0"/>
        <w:spacing w:line="360" w:lineRule="auto"/>
        <w:rPr>
          <w:rFonts w:ascii="仿宋" w:hAnsi="仿宋" w:eastAsia="仿宋"/>
          <w:sz w:val="28"/>
          <w:szCs w:val="28"/>
          <w:lang w:val="zh-CN"/>
        </w:rPr>
      </w:pPr>
      <w:r>
        <w:rPr>
          <w:rFonts w:hint="eastAsia" w:ascii="仿宋" w:hAnsi="仿宋" w:eastAsia="仿宋"/>
          <w:sz w:val="28"/>
          <w:szCs w:val="28"/>
          <w:lang w:val="zh-CN"/>
        </w:rPr>
        <w:t>1.2系统详细技术要求</w:t>
      </w:r>
    </w:p>
    <w:p>
      <w:pPr>
        <w:pStyle w:val="10"/>
        <w:numPr>
          <w:ilvl w:val="2"/>
          <w:numId w:val="1"/>
        </w:numPr>
        <w:spacing w:line="480" w:lineRule="auto"/>
        <w:ind w:firstLineChars="0"/>
        <w:rPr>
          <w:rFonts w:ascii="仿宋" w:hAnsi="仿宋" w:eastAsia="仿宋" w:cs="仿宋"/>
          <w:sz w:val="24"/>
          <w:lang w:val="zh-CN"/>
        </w:rPr>
      </w:pPr>
      <w:r>
        <w:rPr>
          <w:rFonts w:hint="eastAsia" w:ascii="仿宋" w:hAnsi="仿宋" w:eastAsia="仿宋" w:cs="仿宋"/>
          <w:sz w:val="24"/>
          <w:lang w:val="zh-CN"/>
        </w:rPr>
        <w:t>国产知名品牌，产品提供软件著作权登记证书。</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.2.2</w:t>
      </w:r>
      <w:r>
        <w:rPr>
          <w:rFonts w:hint="eastAsia" w:ascii="仿宋" w:hAnsi="仿宋" w:eastAsia="仿宋" w:cs="仿宋"/>
          <w:sz w:val="24"/>
          <w:lang w:val="zh-CN"/>
        </w:rPr>
        <w:t>备份系统支持集群架构，三个备份节点可以组成一个高可用的备份系统，避免因软硬件故障、人为误操作等造成备份系统不可用的问题的发生。</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.2.3</w:t>
      </w:r>
      <w:r>
        <w:rPr>
          <w:rFonts w:hint="eastAsia" w:ascii="仿宋" w:hAnsi="仿宋" w:eastAsia="仿宋" w:cs="仿宋"/>
          <w:sz w:val="24"/>
          <w:lang w:val="zh-CN"/>
        </w:rPr>
        <w:t>一套备份与恢复系统 , 同时支持定时备份保护、副本数据管理、持续数据保护、云备份和异地容灾。</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.2.4</w:t>
      </w:r>
      <w:r>
        <w:rPr>
          <w:rFonts w:hint="eastAsia" w:ascii="仿宋" w:hAnsi="仿宋" w:eastAsia="仿宋" w:cs="仿宋"/>
          <w:sz w:val="24"/>
          <w:lang w:val="zh-CN"/>
        </w:rPr>
        <w:t>支持系统管理员，审计管理员、安全管理员、租户,操作员和巡检员六类角色，通过分权管理，提升备份系统的管理安全性。</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 xml:space="preserve">.2.5 </w:t>
      </w:r>
      <w:r>
        <w:rPr>
          <w:rFonts w:hint="eastAsia" w:ascii="仿宋" w:hAnsi="仿宋" w:eastAsia="仿宋" w:cs="仿宋"/>
          <w:sz w:val="24"/>
          <w:lang w:val="zh-CN"/>
        </w:rPr>
        <w:t>支持Oracle数据库备份自定义脚本，支持RMAN备份参数的图形化配置，支持Oracle数据库在单、双机和RAC环境下的热备份及恢复，支持12C PDB高级特性。</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 xml:space="preserve">.2.6 </w:t>
      </w:r>
      <w:r>
        <w:rPr>
          <w:rFonts w:hint="eastAsia" w:ascii="仿宋" w:hAnsi="仿宋" w:eastAsia="仿宋" w:cs="仿宋"/>
          <w:sz w:val="24"/>
          <w:lang w:val="zh-CN"/>
        </w:rPr>
        <w:t>支持Windows文件系统的卷级备份功能，以整卷为单位进行数据备份，提升海量小文件环境下的备份效率。支持整卷恢复和单文件目录级别的细粒度恢复。</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 xml:space="preserve">.2.7 </w:t>
      </w:r>
      <w:r>
        <w:rPr>
          <w:rFonts w:hint="eastAsia" w:ascii="仿宋" w:hAnsi="仿宋" w:eastAsia="仿宋" w:cs="仿宋"/>
          <w:sz w:val="24"/>
          <w:lang w:val="zh-CN"/>
        </w:rPr>
        <w:t>支持对VMware vSphere、XenServer、H3C CAS、华为Fusionsphere等主流虚拟化应用的备份，支持单机和集群部署环境。以上虚拟化应用均支持以虚拟机、资源池和整个集群为单位进行备份保护保护，无需在虚拟机内部安装任何代理软件。</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 xml:space="preserve">.2.8 </w:t>
      </w:r>
      <w:r>
        <w:rPr>
          <w:rFonts w:hint="eastAsia" w:ascii="仿宋" w:hAnsi="仿宋" w:eastAsia="仿宋" w:cs="仿宋"/>
          <w:sz w:val="24"/>
          <w:lang w:val="zh-CN"/>
        </w:rPr>
        <w:t>支持虚拟机并发备份和恢复功能，支持在WEB页面中设置单个备份和恢复任务中的虚拟机并发备份和恢复数量，最大可设置10个虚拟机并发数量，可大幅提高备份恢复效率。</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 xml:space="preserve">.2.9 </w:t>
      </w:r>
      <w:r>
        <w:rPr>
          <w:rFonts w:hint="eastAsia" w:ascii="仿宋" w:hAnsi="仿宋" w:eastAsia="仿宋" w:cs="仿宋"/>
          <w:sz w:val="24"/>
          <w:lang w:val="zh-CN"/>
        </w:rPr>
        <w:t>支持并行重复数据删除，通过在多个不同的节点上构建指纹池，并将指纹并行分布于多个节点，有效解决单点性能和存储空间压力问题。</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 xml:space="preserve">.2.10 </w:t>
      </w:r>
      <w:r>
        <w:rPr>
          <w:rFonts w:hint="eastAsia" w:ascii="仿宋" w:hAnsi="仿宋" w:eastAsia="仿宋" w:cs="仿宋"/>
          <w:sz w:val="24"/>
          <w:lang w:val="zh-CN"/>
        </w:rPr>
        <w:t>支持基于源端的可变长度切片的重复数据删除技术，多个备份任务可以共享同一个重复数据删除指纹池，也可以根据数据的不同单独设置专属指纹池，最大限度的提升重复数据删除效率，减轻带宽压力，降低传输数据量和备份数据存储成本。</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 xml:space="preserve">.2.11 </w:t>
      </w:r>
      <w:r>
        <w:rPr>
          <w:rFonts w:hint="eastAsia" w:ascii="仿宋" w:hAnsi="仿宋" w:eastAsia="仿宋" w:cs="仿宋"/>
          <w:sz w:val="24"/>
          <w:lang w:val="zh-CN"/>
        </w:rPr>
        <w:t>支持对备份数据进行加密传输和存储，支持AES256和SM4两种加密算法，提升传输过程以及存储的安全性。</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.2.12</w:t>
      </w:r>
      <w:r>
        <w:rPr>
          <w:rFonts w:hint="eastAsia" w:ascii="仿宋" w:hAnsi="仿宋" w:eastAsia="仿宋" w:cs="仿宋"/>
          <w:sz w:val="24"/>
          <w:lang w:val="zh-CN"/>
        </w:rPr>
        <w:t>支持永久增量备份以实现断点续传，当备份链路中断修复或者备份任务重启后，可智能判断已经备份的数据，继续备份未备份的新增数据。</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.2.13</w:t>
      </w:r>
      <w:r>
        <w:rPr>
          <w:rFonts w:hint="eastAsia" w:ascii="仿宋" w:hAnsi="仿宋" w:eastAsia="仿宋" w:cs="仿宋"/>
          <w:sz w:val="24"/>
          <w:lang w:val="zh-CN"/>
        </w:rPr>
        <w:t>支持自定义禁止全量初始化的时间范围，避免备份任务首次执行或者其他需要全量进行数据备份的时间与业务运行高峰期重叠造成生产性能影响。</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.2.14</w:t>
      </w:r>
      <w:r>
        <w:rPr>
          <w:rFonts w:hint="eastAsia" w:ascii="仿宋" w:hAnsi="仿宋" w:eastAsia="仿宋" w:cs="仿宋"/>
          <w:sz w:val="24"/>
          <w:lang w:val="zh-CN"/>
        </w:rPr>
        <w:t>支持图形化展示备份系统之间的复制关系，包括单向、双向、一对多、多对一和级联等复制关系。</w:t>
      </w:r>
    </w:p>
    <w:p>
      <w:pPr>
        <w:spacing w:line="480" w:lineRule="auto"/>
        <w:rPr>
          <w:rFonts w:ascii="仿宋" w:hAnsi="仿宋" w:eastAsia="仿宋" w:cs="仿宋"/>
          <w:sz w:val="24"/>
          <w:lang w:val="zh-CN"/>
        </w:rPr>
      </w:pPr>
      <w:r>
        <w:rPr>
          <w:rFonts w:hint="eastAsia" w:ascii="仿宋" w:hAnsi="仿宋" w:eastAsia="仿宋" w:cs="仿宋"/>
          <w:sz w:val="24"/>
          <w:lang w:val="zh-CN"/>
        </w:rPr>
        <w:t>1</w:t>
      </w:r>
      <w:r>
        <w:rPr>
          <w:rFonts w:ascii="仿宋" w:hAnsi="仿宋" w:eastAsia="仿宋" w:cs="仿宋"/>
          <w:sz w:val="24"/>
          <w:lang w:val="zh-CN"/>
        </w:rPr>
        <w:t>.2.15</w:t>
      </w:r>
      <w:r>
        <w:rPr>
          <w:rFonts w:hint="eastAsia" w:ascii="仿宋" w:hAnsi="仿宋" w:eastAsia="仿宋" w:cs="仿宋"/>
          <w:sz w:val="24"/>
          <w:lang w:val="zh-CN"/>
        </w:rPr>
        <w:t>支持备份客户端的内存占用控制，降低数据备份对生产系统的性能影响。</w:t>
      </w:r>
    </w:p>
    <w:p>
      <w:pPr>
        <w:spacing w:line="480" w:lineRule="auto"/>
        <w:rPr>
          <w:rFonts w:ascii="仿宋" w:hAnsi="仿宋" w:eastAsia="仿宋" w:cs="仿宋"/>
          <w:sz w:val="24"/>
        </w:rPr>
      </w:pPr>
      <w:r>
        <w:rPr>
          <w:rFonts w:hint="eastAsia" w:ascii="仿宋" w:hAnsi="仿宋" w:eastAsia="仿宋" w:cs="仿宋"/>
          <w:sz w:val="24"/>
          <w:lang w:val="zh-CN"/>
        </w:rPr>
        <w:t>1</w:t>
      </w:r>
      <w:r>
        <w:rPr>
          <w:rFonts w:ascii="仿宋" w:hAnsi="仿宋" w:eastAsia="仿宋" w:cs="仿宋"/>
          <w:sz w:val="24"/>
          <w:lang w:val="zh-CN"/>
        </w:rPr>
        <w:t>.2.16</w:t>
      </w:r>
      <w:r>
        <w:rPr>
          <w:rFonts w:hint="eastAsia" w:ascii="仿宋" w:hAnsi="仿宋" w:eastAsia="仿宋" w:cs="仿宋"/>
          <w:sz w:val="24"/>
        </w:rPr>
        <w:t>要求兼容现爱数备份系统，支持将备份数据远程复制到异地备份系统上，实现异地备份。</w:t>
      </w:r>
    </w:p>
    <w:p>
      <w:pPr>
        <w:pStyle w:val="2"/>
        <w:rPr>
          <w:lang w:val="zh-CN"/>
        </w:rPr>
      </w:pPr>
    </w:p>
    <w:p>
      <w:pPr>
        <w:widowControl/>
        <w:jc w:val="left"/>
        <w:rPr>
          <w:lang w:val="zh-CN"/>
        </w:rPr>
      </w:pPr>
    </w:p>
    <w:p>
      <w:pPr>
        <w:widowControl/>
        <w:jc w:val="left"/>
        <w:rPr>
          <w:lang w:val="zh-CN"/>
        </w:rPr>
      </w:pPr>
      <w:r>
        <w:rPr>
          <w:lang w:val="zh-CN"/>
        </w:rPr>
        <w:br w:type="page"/>
      </w:r>
    </w:p>
    <w:p>
      <w:pPr>
        <w:widowControl/>
        <w:jc w:val="left"/>
        <w:rPr>
          <w:lang w:val="zh-CN"/>
        </w:rPr>
        <w:sectPr>
          <w:pgSz w:w="11906" w:h="16838"/>
          <w:pgMar w:top="1440" w:right="1797" w:bottom="1440" w:left="1797" w:header="851" w:footer="992" w:gutter="0"/>
          <w:cols w:space="425" w:num="1"/>
          <w:docGrid w:type="lines" w:linePitch="312" w:charSpace="0"/>
        </w:sectPr>
      </w:pPr>
    </w:p>
    <w:p>
      <w:pPr>
        <w:snapToGrid w:val="0"/>
        <w:spacing w:line="400" w:lineRule="atLeast"/>
        <w:rPr>
          <w:rFonts w:ascii="仿宋" w:hAnsi="仿宋" w:eastAsia="仿宋"/>
          <w:b/>
          <w:sz w:val="28"/>
          <w:szCs w:val="28"/>
          <w:lang w:val="zh-CN"/>
        </w:rPr>
      </w:pPr>
      <w:r>
        <w:rPr>
          <w:rFonts w:hint="eastAsia" w:ascii="仿宋" w:hAnsi="仿宋" w:eastAsia="仿宋"/>
          <w:b/>
          <w:sz w:val="28"/>
          <w:szCs w:val="28"/>
          <w:lang w:val="zh-CN"/>
        </w:rPr>
        <w:t>附件</w:t>
      </w:r>
      <w:r>
        <w:rPr>
          <w:rFonts w:ascii="仿宋" w:hAnsi="仿宋" w:eastAsia="仿宋"/>
          <w:b/>
          <w:sz w:val="28"/>
          <w:szCs w:val="28"/>
          <w:lang w:val="zh-CN"/>
        </w:rPr>
        <w:t>6</w:t>
      </w:r>
      <w:r>
        <w:rPr>
          <w:rFonts w:hint="eastAsia" w:ascii="仿宋" w:hAnsi="仿宋" w:eastAsia="仿宋"/>
          <w:b/>
          <w:sz w:val="28"/>
          <w:szCs w:val="28"/>
          <w:lang w:val="zh-CN"/>
        </w:rPr>
        <w:t xml:space="preserve">： </w:t>
      </w:r>
    </w:p>
    <w:p>
      <w:pPr>
        <w:snapToGrid w:val="0"/>
        <w:spacing w:line="360" w:lineRule="auto"/>
        <w:jc w:val="center"/>
        <w:rPr>
          <w:rFonts w:ascii="仿宋" w:hAnsi="仿宋" w:eastAsia="仿宋"/>
          <w:b/>
          <w:sz w:val="28"/>
          <w:szCs w:val="28"/>
          <w:lang w:val="zh-CN"/>
        </w:rPr>
      </w:pPr>
      <w:r>
        <w:rPr>
          <w:rFonts w:hint="eastAsia" w:ascii="仿宋" w:hAnsi="仿宋" w:eastAsia="仿宋"/>
          <w:b/>
          <w:sz w:val="28"/>
          <w:szCs w:val="28"/>
          <w:lang w:val="zh-CN"/>
        </w:rPr>
        <w:t>偏差表</w:t>
      </w:r>
    </w:p>
    <w:p>
      <w:pPr>
        <w:snapToGrid w:val="0"/>
        <w:spacing w:line="360" w:lineRule="auto"/>
        <w:rPr>
          <w:rFonts w:ascii="仿宋" w:hAnsi="仿宋" w:eastAsia="仿宋"/>
          <w:sz w:val="28"/>
          <w:szCs w:val="28"/>
          <w:lang w:val="zh-CN"/>
        </w:rPr>
      </w:pPr>
      <w:r>
        <w:rPr>
          <w:rFonts w:hint="eastAsia" w:ascii="仿宋" w:hAnsi="仿宋" w:eastAsia="仿宋"/>
          <w:sz w:val="28"/>
          <w:szCs w:val="28"/>
          <w:lang w:val="zh-CN"/>
        </w:rPr>
        <w:t>投标人名称：</w:t>
      </w:r>
      <w:r>
        <w:rPr>
          <w:rFonts w:ascii="仿宋" w:hAnsi="仿宋" w:eastAsia="仿宋"/>
          <w:sz w:val="28"/>
          <w:szCs w:val="28"/>
          <w:lang w:val="zh-CN"/>
        </w:rPr>
        <w:t xml:space="preserve">                        </w:t>
      </w:r>
      <w:r>
        <w:rPr>
          <w:rFonts w:hint="eastAsia" w:ascii="仿宋" w:hAnsi="仿宋" w:eastAsia="仿宋"/>
          <w:sz w:val="28"/>
          <w:szCs w:val="28"/>
          <w:lang w:val="zh-CN"/>
        </w:rPr>
        <w:t>日期</w:t>
      </w:r>
    </w:p>
    <w:tbl>
      <w:tblPr>
        <w:tblStyle w:val="6"/>
        <w:tblW w:w="1401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8133"/>
        <w:gridCol w:w="851"/>
        <w:gridCol w:w="41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6" w:hRule="atLeast"/>
        </w:trPr>
        <w:tc>
          <w:tcPr>
            <w:tcW w:w="916" w:type="dxa"/>
            <w:tcBorders>
              <w:top w:val="double" w:color="000000" w:sz="6" w:space="0"/>
              <w:left w:val="double" w:color="000000" w:sz="6" w:space="0"/>
              <w:bottom w:val="single" w:color="000000" w:sz="6" w:space="0"/>
              <w:right w:val="single" w:color="000000" w:sz="6" w:space="0"/>
            </w:tcBorders>
            <w:shd w:val="clear" w:color="auto" w:fill="F3F3F3"/>
            <w:vAlign w:val="center"/>
          </w:tcPr>
          <w:p>
            <w:pPr>
              <w:snapToGrid w:val="0"/>
              <w:spacing w:line="400" w:lineRule="atLeast"/>
              <w:jc w:val="center"/>
              <w:rPr>
                <w:rFonts w:ascii="仿宋" w:hAnsi="仿宋" w:eastAsia="仿宋"/>
                <w:sz w:val="28"/>
                <w:szCs w:val="28"/>
                <w:lang w:val="zh-CN"/>
              </w:rPr>
            </w:pPr>
            <w:r>
              <w:rPr>
                <w:rFonts w:hint="eastAsia" w:ascii="仿宋" w:hAnsi="仿宋" w:eastAsia="仿宋"/>
                <w:sz w:val="28"/>
                <w:szCs w:val="28"/>
                <w:lang w:val="zh-CN"/>
              </w:rPr>
              <w:t>序号</w:t>
            </w:r>
          </w:p>
        </w:tc>
        <w:tc>
          <w:tcPr>
            <w:tcW w:w="8133" w:type="dxa"/>
            <w:tcBorders>
              <w:top w:val="double" w:color="000000" w:sz="6" w:space="0"/>
              <w:left w:val="single" w:color="000000" w:sz="6" w:space="0"/>
              <w:bottom w:val="single" w:color="000000" w:sz="6" w:space="0"/>
              <w:right w:val="single" w:color="000000" w:sz="6" w:space="0"/>
            </w:tcBorders>
            <w:shd w:val="clear" w:color="auto" w:fill="F3F3F3"/>
            <w:vAlign w:val="center"/>
          </w:tcPr>
          <w:p>
            <w:pPr>
              <w:snapToGrid w:val="0"/>
              <w:spacing w:line="400" w:lineRule="atLeast"/>
              <w:jc w:val="center"/>
              <w:rPr>
                <w:rFonts w:ascii="仿宋" w:hAnsi="仿宋" w:eastAsia="仿宋"/>
                <w:sz w:val="28"/>
                <w:szCs w:val="28"/>
                <w:lang w:val="zh-CN"/>
              </w:rPr>
            </w:pPr>
            <w:r>
              <w:rPr>
                <w:rFonts w:hint="eastAsia" w:ascii="仿宋" w:hAnsi="仿宋" w:eastAsia="仿宋"/>
                <w:sz w:val="28"/>
                <w:szCs w:val="28"/>
                <w:lang w:val="zh-CN"/>
              </w:rPr>
              <w:t>招标文件规格</w:t>
            </w:r>
          </w:p>
        </w:tc>
        <w:tc>
          <w:tcPr>
            <w:tcW w:w="851" w:type="dxa"/>
            <w:tcBorders>
              <w:top w:val="double" w:color="000000" w:sz="6" w:space="0"/>
              <w:left w:val="single" w:color="000000" w:sz="6" w:space="0"/>
              <w:bottom w:val="single" w:color="000000" w:sz="6" w:space="0"/>
              <w:right w:val="single" w:color="000000" w:sz="6" w:space="0"/>
            </w:tcBorders>
            <w:shd w:val="clear" w:color="auto" w:fill="F3F3F3"/>
            <w:vAlign w:val="center"/>
          </w:tcPr>
          <w:p>
            <w:pPr>
              <w:snapToGrid w:val="0"/>
              <w:spacing w:line="400" w:lineRule="atLeast"/>
              <w:rPr>
                <w:rFonts w:ascii="仿宋" w:hAnsi="仿宋" w:eastAsia="仿宋"/>
                <w:sz w:val="28"/>
                <w:szCs w:val="28"/>
                <w:lang w:val="zh-CN"/>
              </w:rPr>
            </w:pPr>
            <w:r>
              <w:rPr>
                <w:rFonts w:hint="eastAsia" w:ascii="仿宋" w:hAnsi="仿宋" w:eastAsia="仿宋"/>
                <w:sz w:val="28"/>
                <w:szCs w:val="28"/>
                <w:lang w:val="zh-CN"/>
              </w:rPr>
              <w:t>是否满足</w:t>
            </w:r>
          </w:p>
        </w:tc>
        <w:tc>
          <w:tcPr>
            <w:tcW w:w="4111" w:type="dxa"/>
            <w:tcBorders>
              <w:top w:val="double" w:color="000000" w:sz="6" w:space="0"/>
              <w:left w:val="single" w:color="000000" w:sz="6" w:space="0"/>
              <w:bottom w:val="single" w:color="000000" w:sz="6" w:space="0"/>
              <w:right w:val="double" w:color="000000" w:sz="6" w:space="0"/>
            </w:tcBorders>
            <w:shd w:val="clear" w:color="auto" w:fill="F3F3F3"/>
            <w:vAlign w:val="center"/>
          </w:tcPr>
          <w:p>
            <w:pPr>
              <w:snapToGrid w:val="0"/>
              <w:spacing w:line="400" w:lineRule="atLeast"/>
              <w:jc w:val="center"/>
              <w:rPr>
                <w:rFonts w:ascii="仿宋" w:hAnsi="仿宋" w:eastAsia="仿宋"/>
                <w:sz w:val="28"/>
                <w:szCs w:val="28"/>
                <w:lang w:val="zh-CN"/>
              </w:rPr>
            </w:pPr>
            <w:r>
              <w:rPr>
                <w:rFonts w:hint="eastAsia" w:ascii="仿宋" w:hAnsi="仿宋" w:eastAsia="仿宋"/>
                <w:sz w:val="28"/>
                <w:szCs w:val="28"/>
                <w:lang w:val="zh-CN"/>
              </w:rPr>
              <w:t>说明与证明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r>
              <w:rPr>
                <w:rFonts w:hint="eastAsia" w:ascii="仿宋" w:hAnsi="仿宋" w:eastAsia="仿宋"/>
                <w:szCs w:val="21"/>
                <w:lang w:val="zh-CN"/>
              </w:rPr>
              <w:t>1</w:t>
            </w:r>
            <w:r>
              <w:rPr>
                <w:rFonts w:ascii="仿宋" w:hAnsi="仿宋" w:eastAsia="仿宋"/>
                <w:szCs w:val="21"/>
                <w:lang w:val="zh-CN"/>
              </w:rPr>
              <w:t>.1</w:t>
            </w:r>
          </w:p>
        </w:tc>
        <w:tc>
          <w:tcPr>
            <w:tcW w:w="8133"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r>
              <w:rPr>
                <w:rFonts w:hint="eastAsia" w:ascii="仿宋" w:hAnsi="仿宋" w:eastAsia="仿宋"/>
                <w:szCs w:val="21"/>
                <w:lang w:val="zh-CN"/>
              </w:rPr>
              <w:t>2U机架式备份容灾存储设备，提供12个3.5英寸数据存储硬盘槽位，存储系统软件与备份容灾软件整合为一体，无需再额外配置备份服务器，配置 2颗2.2GHz 十核 Intel Silver 4210处理器，配置64GB高速缓存，可扩展至768GB，配置2块240GB企业级SSD，8块12TB SATA磁盘</w:t>
            </w:r>
            <w:r>
              <w:rPr>
                <w:rFonts w:ascii="Calibri" w:hAnsi="Calibri" w:eastAsia="仿宋" w:cs="Calibri"/>
                <w:szCs w:val="21"/>
                <w:lang w:val="zh-CN"/>
              </w:rPr>
              <w:t> </w:t>
            </w:r>
            <w:r>
              <w:rPr>
                <w:rFonts w:hint="eastAsia" w:ascii="仿宋" w:hAnsi="仿宋" w:eastAsia="仿宋"/>
                <w:szCs w:val="21"/>
                <w:lang w:val="zh-CN"/>
              </w:rPr>
              <w:t>，提供2个板载千兆GE网口+2个10GE光口（含光模块）；配置不限数据类型、客户端数量的定时备份的开放备份授权（保护虚拟化平台、数据库、操作系统），方便灵活扩展。包含设备、软件及安装调试工作。三年硬件质保软件版本升级。</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widowControl/>
              <w:jc w:val="left"/>
              <w:rPr>
                <w:rFonts w:ascii="等线" w:hAnsi="等线" w:eastAsia="等线"/>
                <w:color w:val="000000"/>
                <w:kern w:val="0"/>
                <w:sz w:val="22"/>
                <w:szCs w:val="22"/>
              </w:rPr>
            </w:pPr>
            <w:r>
              <w:rPr>
                <w:rFonts w:hint="eastAsia" w:ascii="等线" w:hAnsi="等线" w:eastAsia="等线"/>
                <w:color w:val="000000"/>
                <w:sz w:val="22"/>
                <w:szCs w:val="22"/>
              </w:rPr>
              <w:t>1.2.1</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国产知名品牌，产品提供软件著作权登记证书。</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1.2.2</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备份系统支持集群架构，三个备份节点可以组成一个高可用的备份系统，避免因软硬件故障、人为误操作等造成备份系统不可用的问题的发生。</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1.2.3</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一套备份与恢复系统 , 同时支持定时备份保护、副本数据管理、持续数据保护、云备份和异地容灾。</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1.2.4</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支持系统管理员，审计管理员、安全管理员、租户,操作员和巡检员六类角色，通过分权管理，提升备份系统的管理安全性。</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1.2.5</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支持Oracle数据库备份自定义脚本，支持RMAN备份参数的图形化配置，支持Oracle数据库在单、双机和RAC环境下的热备份及恢复，支持12C PDB高级特性。</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1.2.6</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支持Windows文件系统的卷级备份功能，以整卷为单位进行数据备份，提升海量小文件环境下的备份效率。支持整卷恢复和单文件目录级别的细粒度恢复。</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1.2.7</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支持对</w:t>
            </w:r>
            <w:r>
              <w:rPr>
                <w:rFonts w:hint="eastAsia" w:ascii="仿宋" w:hAnsi="仿宋" w:eastAsia="仿宋" w:cs="仿宋"/>
                <w:szCs w:val="21"/>
              </w:rPr>
              <w:t>VMware vSphere</w:t>
            </w:r>
            <w:r>
              <w:rPr>
                <w:rFonts w:hint="eastAsia" w:ascii="仿宋" w:hAnsi="仿宋" w:eastAsia="仿宋" w:cs="仿宋"/>
                <w:szCs w:val="21"/>
                <w:lang w:val="zh-CN"/>
              </w:rPr>
              <w:t>、</w:t>
            </w:r>
            <w:r>
              <w:rPr>
                <w:rFonts w:hint="eastAsia" w:ascii="仿宋" w:hAnsi="仿宋" w:eastAsia="仿宋" w:cs="仿宋"/>
                <w:szCs w:val="21"/>
              </w:rPr>
              <w:t>XenServer</w:t>
            </w:r>
            <w:r>
              <w:rPr>
                <w:rFonts w:hint="eastAsia" w:ascii="仿宋" w:hAnsi="仿宋" w:eastAsia="仿宋" w:cs="仿宋"/>
                <w:szCs w:val="21"/>
                <w:lang w:val="zh-CN"/>
              </w:rPr>
              <w:t>、</w:t>
            </w:r>
            <w:r>
              <w:rPr>
                <w:rFonts w:hint="eastAsia" w:ascii="仿宋" w:hAnsi="仿宋" w:eastAsia="仿宋" w:cs="仿宋"/>
                <w:szCs w:val="21"/>
              </w:rPr>
              <w:t>H3C CAS</w:t>
            </w:r>
            <w:r>
              <w:rPr>
                <w:rFonts w:hint="eastAsia" w:ascii="仿宋" w:hAnsi="仿宋" w:eastAsia="仿宋" w:cs="仿宋"/>
                <w:szCs w:val="21"/>
                <w:lang w:val="zh-CN"/>
              </w:rPr>
              <w:t>、华为</w:t>
            </w:r>
            <w:r>
              <w:rPr>
                <w:rFonts w:hint="eastAsia" w:ascii="仿宋" w:hAnsi="仿宋" w:eastAsia="仿宋" w:cs="仿宋"/>
                <w:szCs w:val="21"/>
              </w:rPr>
              <w:t>Fusionsphere</w:t>
            </w:r>
            <w:r>
              <w:rPr>
                <w:rFonts w:hint="eastAsia" w:ascii="仿宋" w:hAnsi="仿宋" w:eastAsia="仿宋" w:cs="仿宋"/>
                <w:szCs w:val="21"/>
                <w:lang w:val="zh-CN"/>
              </w:rPr>
              <w:t>等主流虚拟化应用的备份</w:t>
            </w:r>
            <w:r>
              <w:rPr>
                <w:rFonts w:hint="eastAsia" w:ascii="仿宋" w:hAnsi="仿宋" w:eastAsia="仿宋" w:cs="仿宋"/>
                <w:szCs w:val="21"/>
              </w:rPr>
              <w:t>，</w:t>
            </w:r>
            <w:r>
              <w:rPr>
                <w:rFonts w:hint="eastAsia" w:ascii="仿宋" w:hAnsi="仿宋" w:eastAsia="仿宋" w:cs="仿宋"/>
                <w:szCs w:val="21"/>
                <w:lang w:val="zh-CN"/>
              </w:rPr>
              <w:t>支持单机和集群部署环境。以上虚拟化应用均支持以虚拟机、资源池和整个集群为单位进行备份保护保护，无需在虚拟机内部安装任何代理软件。</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1.2.8</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支持虚拟机并发备份和恢复功能，支持在WEB页面中设置单个备份和恢复任务中的虚拟机并发备份和恢复数量，最大可设置10个虚拟机并发数量，可大幅提高备份恢复效率。</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1.2.9</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支持并行重复数据删除，通过在多个不同的节点上构建指纹池，并将指纹并行分布于多个节点，有效解决单点性能和存储空间压力问题。</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1.2.10</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支持基于源端的可变长度切片的重复数据删除技术，多个备份任务可以共享同一个重复数据删除指纹池，也可以根据数据的不同单独设置专属指纹池，最大限度的提升重复数据删除效率，减轻带宽压力，降低传输数据量和备份数据存储成本。</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1.2.11</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支持对备份数据进行加密传输和存储，支持AES256和SM4两种加密算法，提升传输过程以及存储的安全性。</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1.2.12</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支持永久增量备份以实现断点续传，当备份链路中断修复或者备份任务重启后，可智能判断已经备份的数据，继续备份未备份的新增数据。</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1.2.13</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支持自定义禁止全量初始化的时间范围，避免备份任务首次执行或者其他需要全量进行数据备份的时间与业务运行高峰期重叠造成生产性能影响。</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1.2.14</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支持图形化展示备份系统之间的复制关系，包括单向、双向、一对多、多对一和级联等复制关系。</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1.2.15</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lang w:val="zh-CN"/>
              </w:rPr>
            </w:pPr>
            <w:r>
              <w:rPr>
                <w:rFonts w:hint="eastAsia" w:ascii="仿宋" w:hAnsi="仿宋" w:eastAsia="仿宋" w:cs="仿宋"/>
                <w:szCs w:val="21"/>
                <w:lang w:val="zh-CN"/>
              </w:rPr>
              <w:t>支持备份客户端的内存占用控制，降低数据备份对生产系统的性能影响。</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rPr>
        <w:tc>
          <w:tcPr>
            <w:tcW w:w="916" w:type="dxa"/>
            <w:tcBorders>
              <w:top w:val="single" w:color="000000" w:sz="6" w:space="0"/>
              <w:left w:val="double" w:color="000000" w:sz="6" w:space="0"/>
              <w:bottom w:val="single" w:color="000000" w:sz="6" w:space="0"/>
              <w:right w:val="single" w:color="000000" w:sz="6" w:space="0"/>
            </w:tcBorders>
            <w:vAlign w:val="center"/>
          </w:tcPr>
          <w:p>
            <w:pPr>
              <w:rPr>
                <w:rFonts w:ascii="等线" w:hAnsi="等线" w:eastAsia="等线"/>
                <w:color w:val="000000"/>
                <w:sz w:val="22"/>
                <w:szCs w:val="22"/>
              </w:rPr>
            </w:pPr>
            <w:r>
              <w:rPr>
                <w:rFonts w:hint="eastAsia" w:ascii="等线" w:hAnsi="等线" w:eastAsia="等线"/>
                <w:color w:val="000000"/>
                <w:sz w:val="22"/>
                <w:szCs w:val="22"/>
              </w:rPr>
              <w:t>1.2.16</w:t>
            </w:r>
          </w:p>
        </w:tc>
        <w:tc>
          <w:tcPr>
            <w:tcW w:w="8133" w:type="dxa"/>
            <w:tcBorders>
              <w:top w:val="single" w:color="000000" w:sz="6" w:space="0"/>
              <w:left w:val="single" w:color="000000" w:sz="6" w:space="0"/>
              <w:bottom w:val="single" w:color="000000" w:sz="6" w:space="0"/>
              <w:right w:val="single" w:color="000000" w:sz="6" w:space="0"/>
            </w:tcBorders>
          </w:tcPr>
          <w:p>
            <w:pPr>
              <w:spacing w:line="400" w:lineRule="atLeast"/>
              <w:rPr>
                <w:rFonts w:ascii="仿宋" w:hAnsi="仿宋" w:eastAsia="仿宋" w:cs="仿宋"/>
                <w:szCs w:val="21"/>
              </w:rPr>
            </w:pPr>
            <w:r>
              <w:rPr>
                <w:rFonts w:hint="eastAsia" w:ascii="仿宋" w:hAnsi="仿宋" w:eastAsia="仿宋" w:cs="仿宋"/>
                <w:szCs w:val="21"/>
              </w:rPr>
              <w:t>要求兼容现爱数备份系统，支持将备份数据远程复制到异地备份系统上，实现异地备份。</w:t>
            </w:r>
          </w:p>
        </w:tc>
        <w:tc>
          <w:tcPr>
            <w:tcW w:w="851" w:type="dxa"/>
            <w:tcBorders>
              <w:top w:val="single" w:color="000000" w:sz="6" w:space="0"/>
              <w:left w:val="single" w:color="000000" w:sz="6" w:space="0"/>
              <w:bottom w:val="single" w:color="000000" w:sz="6" w:space="0"/>
              <w:right w:val="single" w:color="000000" w:sz="6" w:space="0"/>
            </w:tcBorders>
          </w:tcPr>
          <w:p>
            <w:pPr>
              <w:snapToGrid w:val="0"/>
              <w:spacing w:line="400" w:lineRule="atLeast"/>
              <w:rPr>
                <w:rFonts w:ascii="仿宋" w:hAnsi="仿宋" w:eastAsia="仿宋"/>
                <w:szCs w:val="21"/>
                <w:lang w:val="zh-CN"/>
              </w:rPr>
            </w:pPr>
          </w:p>
        </w:tc>
        <w:tc>
          <w:tcPr>
            <w:tcW w:w="4111" w:type="dxa"/>
            <w:tcBorders>
              <w:top w:val="single" w:color="000000" w:sz="6" w:space="0"/>
              <w:left w:val="single" w:color="000000" w:sz="6" w:space="0"/>
              <w:bottom w:val="single" w:color="000000" w:sz="6" w:space="0"/>
              <w:right w:val="double" w:color="000000" w:sz="6" w:space="0"/>
            </w:tcBorders>
          </w:tcPr>
          <w:p>
            <w:pPr>
              <w:snapToGrid w:val="0"/>
              <w:spacing w:line="400" w:lineRule="atLeast"/>
              <w:rPr>
                <w:rFonts w:ascii="仿宋" w:hAnsi="仿宋" w:eastAsia="仿宋"/>
                <w:szCs w:val="21"/>
                <w:lang w:val="zh-CN"/>
              </w:rPr>
            </w:pPr>
          </w:p>
        </w:tc>
      </w:tr>
    </w:tbl>
    <w:p>
      <w:pPr>
        <w:snapToGrid w:val="0"/>
        <w:spacing w:line="360" w:lineRule="auto"/>
        <w:rPr>
          <w:rFonts w:ascii="仿宋" w:hAnsi="仿宋" w:eastAsia="仿宋"/>
          <w:sz w:val="28"/>
          <w:szCs w:val="28"/>
          <w:lang w:val="zh-CN"/>
        </w:rPr>
      </w:pPr>
    </w:p>
    <w:p>
      <w:pPr>
        <w:snapToGrid w:val="0"/>
        <w:spacing w:line="360" w:lineRule="auto"/>
        <w:rPr>
          <w:rFonts w:ascii="仿宋" w:hAnsi="仿宋" w:eastAsia="仿宋"/>
          <w:sz w:val="28"/>
          <w:szCs w:val="28"/>
          <w:lang w:val="zh-CN"/>
        </w:rPr>
      </w:pPr>
      <w:r>
        <w:rPr>
          <w:rFonts w:hint="eastAsia" w:ascii="仿宋" w:hAnsi="仿宋" w:eastAsia="仿宋"/>
          <w:sz w:val="28"/>
          <w:szCs w:val="28"/>
          <w:lang w:val="zh-CN"/>
        </w:rPr>
        <w:t>投标人：</w:t>
      </w:r>
      <w:r>
        <w:rPr>
          <w:rFonts w:ascii="仿宋" w:hAnsi="仿宋" w:eastAsia="仿宋"/>
          <w:sz w:val="28"/>
          <w:szCs w:val="28"/>
          <w:lang w:val="zh-CN"/>
        </w:rPr>
        <w:t xml:space="preserve">     </w:t>
      </w:r>
      <w:r>
        <w:rPr>
          <w:rFonts w:hint="eastAsia" w:ascii="仿宋" w:hAnsi="仿宋" w:eastAsia="仿宋"/>
          <w:sz w:val="28"/>
          <w:szCs w:val="28"/>
          <w:lang w:val="zh-CN"/>
        </w:rPr>
        <w:t>（盖章）</w:t>
      </w:r>
      <w:r>
        <w:rPr>
          <w:rFonts w:ascii="仿宋" w:hAnsi="仿宋" w:eastAsia="仿宋"/>
          <w:sz w:val="28"/>
          <w:szCs w:val="28"/>
          <w:lang w:val="zh-CN"/>
        </w:rPr>
        <w:t xml:space="preserve">         </w:t>
      </w:r>
      <w:r>
        <w:rPr>
          <w:rFonts w:hint="eastAsia" w:ascii="仿宋" w:hAnsi="仿宋" w:eastAsia="仿宋"/>
          <w:sz w:val="28"/>
          <w:szCs w:val="28"/>
          <w:lang w:val="zh-CN"/>
        </w:rPr>
        <w:t>投标人代表：</w:t>
      </w:r>
      <w:r>
        <w:rPr>
          <w:rFonts w:ascii="仿宋" w:hAnsi="仿宋" w:eastAsia="仿宋"/>
          <w:sz w:val="28"/>
          <w:szCs w:val="28"/>
          <w:lang w:val="zh-CN"/>
        </w:rPr>
        <w:t xml:space="preserve">       </w:t>
      </w:r>
      <w:r>
        <w:rPr>
          <w:rFonts w:hint="eastAsia" w:ascii="仿宋" w:hAnsi="仿宋" w:eastAsia="仿宋"/>
          <w:sz w:val="28"/>
          <w:szCs w:val="28"/>
          <w:lang w:val="zh-CN"/>
        </w:rPr>
        <w:t>（签字）</w:t>
      </w:r>
    </w:p>
    <w:p>
      <w:pPr>
        <w:pStyle w:val="2"/>
        <w:jc w:val="both"/>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inorEastAsia" w:hAnsiTheme="minorEastAsia"/>
        <w:caps/>
        <w:sz w:val="21"/>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472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3"/>
                            <w:rPr>
                              <w:rFonts w:eastAsiaTheme="minorEastAsia"/>
                            </w:rP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right;mso-position-horizontal-relative:margin;mso-wrap-style:none;z-index:251659264;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rrD40gAAAAQBAAAPAAAA&#10;AAAAAAEAIAAAACIAAABkcnMvZG93bnJldi54bWxQSwECFAAUAAAACACHTuJAgSdVURsCAAATBAAA&#10;DgAAAAAAAAABACAAAAAhAQAAZHJzL2Uyb0RvYy54bWxQSwUGAAAAAAYABgBZAQAArgUAAAAA&#10;">
              <v:fill on="f" focussize="0,0"/>
              <v:stroke on="f" weight="0.5pt"/>
              <v:imagedata o:title=""/>
              <o:lock v:ext="edit" aspectratio="f"/>
              <v:textbox inset="0mm,0mm,0mm,0mm" style="mso-fit-shape-to-text:t;">
                <w:txbxContent>
                  <w:p>
                    <w:pPr>
                      <w:pStyle w:val="3"/>
                      <w:rPr>
                        <w:rFonts w:eastAsiaTheme="minorEastAsia"/>
                      </w:rP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 共 </w:t>
                    </w:r>
                    <w:r>
                      <w:fldChar w:fldCharType="begin"/>
                    </w:r>
                    <w:r>
                      <w:instrText xml:space="preserve"> NUMPAGES  \* MERGEFORMAT </w:instrText>
                    </w:r>
                    <w:r>
                      <w:fldChar w:fldCharType="separate"/>
                    </w:r>
                    <w:r>
                      <w:t>27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19</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60CE9"/>
    <w:multiLevelType w:val="multilevel"/>
    <w:tmpl w:val="74360CE9"/>
    <w:lvl w:ilvl="0" w:tentative="0">
      <w:start w:val="1"/>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5057A"/>
    <w:rsid w:val="002253A0"/>
    <w:rsid w:val="002E44C0"/>
    <w:rsid w:val="003A1AD8"/>
    <w:rsid w:val="00412C50"/>
    <w:rsid w:val="004F0999"/>
    <w:rsid w:val="00543C0A"/>
    <w:rsid w:val="00585EC4"/>
    <w:rsid w:val="00625D50"/>
    <w:rsid w:val="007A63AD"/>
    <w:rsid w:val="009B6BA7"/>
    <w:rsid w:val="00A10E30"/>
    <w:rsid w:val="00BF3511"/>
    <w:rsid w:val="00C86BEB"/>
    <w:rsid w:val="00D365FF"/>
    <w:rsid w:val="00E52085"/>
    <w:rsid w:val="00F14ABB"/>
    <w:rsid w:val="134F66CB"/>
    <w:rsid w:val="2BD81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9"/>
    <w:qFormat/>
    <w:uiPriority w:val="0"/>
    <w:pPr>
      <w:spacing w:before="240" w:after="60" w:line="360" w:lineRule="auto"/>
      <w:jc w:val="center"/>
      <w:outlineLvl w:val="0"/>
    </w:pPr>
    <w:rPr>
      <w:rFonts w:ascii="Calibri" w:hAnsi="Calibri"/>
      <w:b/>
      <w:bCs/>
      <w:sz w:val="32"/>
      <w:szCs w:val="32"/>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uiPriority w:val="0"/>
    <w:rPr>
      <w:kern w:val="2"/>
      <w:sz w:val="18"/>
      <w:szCs w:val="18"/>
    </w:rPr>
  </w:style>
  <w:style w:type="character" w:customStyle="1" w:styleId="9">
    <w:name w:val="标题 字符"/>
    <w:basedOn w:val="5"/>
    <w:link w:val="2"/>
    <w:qFormat/>
    <w:uiPriority w:val="0"/>
    <w:rPr>
      <w:rFonts w:ascii="Calibri" w:hAnsi="Calibri"/>
      <w:b/>
      <w:bCs/>
      <w:kern w:val="2"/>
      <w:sz w:val="32"/>
      <w:szCs w:val="32"/>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2450</Words>
  <Characters>13970</Characters>
  <Lines>116</Lines>
  <Paragraphs>32</Paragraphs>
  <TotalTime>22</TotalTime>
  <ScaleCrop>false</ScaleCrop>
  <LinksUpToDate>false</LinksUpToDate>
  <CharactersWithSpaces>16388</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重庆管理员</cp:lastModifiedBy>
  <dcterms:modified xsi:type="dcterms:W3CDTF">2021-10-12T01:22:08Z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