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宋体" w:hAnsi="宋体" w:cs="宋体"/>
          <w:b/>
          <w:color w:val="000000"/>
          <w:sz w:val="24"/>
          <w:highlight w:val="none"/>
        </w:rPr>
      </w:pPr>
    </w:p>
    <w:p>
      <w:pPr>
        <w:pStyle w:val="18"/>
        <w:rPr>
          <w:sz w:val="24"/>
          <w:szCs w:val="24"/>
          <w:highlight w:val="none"/>
        </w:rPr>
      </w:pPr>
    </w:p>
    <w:p>
      <w:pPr>
        <w:spacing w:line="360" w:lineRule="auto"/>
        <w:jc w:val="center"/>
        <w:rPr>
          <w:rFonts w:ascii="宋体" w:hAnsi="宋体" w:cs="宋体"/>
          <w:b/>
          <w:color w:val="000000"/>
          <w:sz w:val="48"/>
          <w:szCs w:val="48"/>
          <w:highlight w:val="none"/>
        </w:rPr>
      </w:pPr>
    </w:p>
    <w:p>
      <w:pPr>
        <w:spacing w:line="360" w:lineRule="auto"/>
        <w:jc w:val="center"/>
        <w:rPr>
          <w:rFonts w:ascii="宋体" w:hAnsi="宋体" w:cs="宋体"/>
          <w:b/>
          <w:bCs/>
          <w:color w:val="000000"/>
          <w:sz w:val="48"/>
          <w:szCs w:val="48"/>
          <w:highlight w:val="none"/>
        </w:rPr>
      </w:pPr>
      <w:r>
        <w:rPr>
          <w:rFonts w:hint="eastAsia" w:ascii="宋体" w:hAnsi="宋体" w:cs="宋体"/>
          <w:b/>
          <w:bCs/>
          <w:color w:val="000000"/>
          <w:sz w:val="48"/>
          <w:szCs w:val="48"/>
          <w:highlight w:val="none"/>
        </w:rPr>
        <w:t>重庆机场信息通信网络有限公司</w:t>
      </w:r>
    </w:p>
    <w:p>
      <w:pPr>
        <w:spacing w:line="360" w:lineRule="auto"/>
        <w:jc w:val="center"/>
        <w:rPr>
          <w:rFonts w:ascii="宋体" w:hAnsi="宋体" w:cs="宋体"/>
          <w:b/>
          <w:color w:val="000000"/>
          <w:sz w:val="48"/>
          <w:szCs w:val="48"/>
          <w:highlight w:val="none"/>
        </w:rPr>
      </w:pPr>
    </w:p>
    <w:p>
      <w:pPr>
        <w:pStyle w:val="18"/>
        <w:rPr>
          <w:rFonts w:ascii="宋体" w:hAnsi="宋体" w:cs="宋体"/>
          <w:b/>
          <w:color w:val="000000"/>
          <w:sz w:val="48"/>
          <w:szCs w:val="48"/>
          <w:highlight w:val="none"/>
        </w:rPr>
      </w:pPr>
    </w:p>
    <w:p>
      <w:pPr>
        <w:rPr>
          <w:highlight w:val="none"/>
        </w:rPr>
      </w:pPr>
    </w:p>
    <w:p>
      <w:pPr>
        <w:pStyle w:val="3"/>
        <w:spacing w:line="360" w:lineRule="auto"/>
        <w:jc w:val="center"/>
        <w:rPr>
          <w:sz w:val="48"/>
          <w:szCs w:val="48"/>
          <w:highlight w:val="none"/>
        </w:rPr>
      </w:pPr>
      <w:r>
        <w:rPr>
          <w:rFonts w:hint="eastAsia"/>
          <w:sz w:val="48"/>
          <w:szCs w:val="48"/>
          <w:highlight w:val="none"/>
        </w:rPr>
        <w:t>重庆江北国际机场公共区（综合执法）智能化数字综合管理平台项目</w:t>
      </w:r>
      <w:r>
        <w:rPr>
          <w:rFonts w:hint="eastAsia"/>
          <w:sz w:val="48"/>
          <w:szCs w:val="48"/>
          <w:highlight w:val="none"/>
          <w:lang w:eastAsia="zh-CN"/>
        </w:rPr>
        <w:t>软件部分（第二次）</w:t>
      </w:r>
      <w:r>
        <w:rPr>
          <w:rFonts w:hint="eastAsia"/>
          <w:sz w:val="48"/>
          <w:szCs w:val="48"/>
          <w:highlight w:val="none"/>
        </w:rPr>
        <w:t>比选文件</w:t>
      </w:r>
    </w:p>
    <w:p>
      <w:pPr>
        <w:spacing w:line="360" w:lineRule="auto"/>
        <w:jc w:val="center"/>
        <w:rPr>
          <w:rFonts w:ascii="宋体" w:hAnsi="宋体" w:cs="宋体"/>
          <w:b/>
          <w:color w:val="000000"/>
          <w:sz w:val="48"/>
          <w:szCs w:val="48"/>
          <w:highlight w:val="none"/>
        </w:rPr>
      </w:pPr>
    </w:p>
    <w:p>
      <w:pPr>
        <w:spacing w:line="360" w:lineRule="auto"/>
        <w:jc w:val="center"/>
        <w:rPr>
          <w:rFonts w:ascii="宋体" w:hAnsi="宋体" w:cs="宋体"/>
          <w:b/>
          <w:color w:val="000000"/>
          <w:sz w:val="48"/>
          <w:szCs w:val="48"/>
          <w:highlight w:val="none"/>
        </w:rPr>
      </w:pPr>
    </w:p>
    <w:p>
      <w:pPr>
        <w:spacing w:line="360" w:lineRule="auto"/>
        <w:jc w:val="center"/>
        <w:rPr>
          <w:rFonts w:hint="default" w:ascii="宋体" w:hAnsi="宋体" w:eastAsia="宋体" w:cs="宋体"/>
          <w:b/>
          <w:bCs/>
          <w:color w:val="000000"/>
          <w:sz w:val="48"/>
          <w:szCs w:val="48"/>
          <w:highlight w:val="none"/>
          <w:lang w:val="en-US" w:eastAsia="zh-CN"/>
        </w:rPr>
      </w:pPr>
      <w:r>
        <w:rPr>
          <w:rFonts w:hint="eastAsia" w:ascii="宋体" w:hAnsi="宋体" w:cs="宋体"/>
          <w:b/>
          <w:bCs/>
          <w:color w:val="000000"/>
          <w:sz w:val="48"/>
          <w:szCs w:val="48"/>
          <w:highlight w:val="none"/>
        </w:rPr>
        <w:t>编号：</w:t>
      </w:r>
      <w:r>
        <w:rPr>
          <w:rFonts w:hint="eastAsia" w:ascii="宋体" w:hAnsi="宋体" w:cs="宋体"/>
          <w:b/>
          <w:bCs/>
          <w:color w:val="000000"/>
          <w:sz w:val="48"/>
          <w:szCs w:val="48"/>
          <w:highlight w:val="none"/>
          <w:lang w:eastAsia="zh-CN"/>
        </w:rPr>
        <w:t>服务</w:t>
      </w:r>
      <w:r>
        <w:rPr>
          <w:rFonts w:hint="eastAsia" w:ascii="宋体" w:hAnsi="宋体" w:cs="宋体"/>
          <w:b/>
          <w:bCs/>
          <w:color w:val="000000"/>
          <w:sz w:val="48"/>
          <w:szCs w:val="48"/>
          <w:highlight w:val="none"/>
          <w:lang w:val="en-US" w:eastAsia="zh-CN"/>
        </w:rPr>
        <w:t>2021018</w:t>
      </w:r>
    </w:p>
    <w:p>
      <w:pPr>
        <w:spacing w:line="360" w:lineRule="auto"/>
        <w:jc w:val="center"/>
        <w:rPr>
          <w:rFonts w:ascii="宋体" w:hAnsi="宋体" w:cs="宋体"/>
          <w:b/>
          <w:color w:val="000000"/>
          <w:sz w:val="48"/>
          <w:szCs w:val="48"/>
          <w:highlight w:val="none"/>
        </w:rPr>
      </w:pPr>
    </w:p>
    <w:p>
      <w:pPr>
        <w:spacing w:line="360" w:lineRule="auto"/>
        <w:jc w:val="center"/>
        <w:rPr>
          <w:rFonts w:ascii="宋体" w:hAnsi="宋体" w:cs="宋体"/>
          <w:b/>
          <w:color w:val="000000"/>
          <w:sz w:val="48"/>
          <w:szCs w:val="48"/>
          <w:highlight w:val="none"/>
        </w:rPr>
      </w:pPr>
    </w:p>
    <w:p>
      <w:pPr>
        <w:spacing w:line="360" w:lineRule="auto"/>
        <w:jc w:val="center"/>
        <w:rPr>
          <w:rFonts w:ascii="宋体" w:hAnsi="宋体" w:cs="宋体"/>
          <w:b/>
          <w:color w:val="000000"/>
          <w:sz w:val="48"/>
          <w:szCs w:val="48"/>
          <w:highlight w:val="none"/>
        </w:rPr>
      </w:pPr>
    </w:p>
    <w:p>
      <w:pPr>
        <w:pStyle w:val="2"/>
        <w:rPr>
          <w:rFonts w:hint="eastAsia"/>
          <w:highlight w:val="none"/>
        </w:rPr>
      </w:pPr>
    </w:p>
    <w:p>
      <w:pPr>
        <w:spacing w:line="360" w:lineRule="auto"/>
        <w:jc w:val="both"/>
        <w:rPr>
          <w:rFonts w:hint="eastAsia" w:ascii="宋体" w:hAnsi="宋体" w:cs="宋体"/>
          <w:color w:val="000000"/>
          <w:sz w:val="32"/>
          <w:szCs w:val="32"/>
          <w:highlight w:val="none"/>
        </w:rPr>
      </w:pPr>
    </w:p>
    <w:p>
      <w:pPr>
        <w:spacing w:line="360" w:lineRule="auto"/>
        <w:jc w:val="center"/>
        <w:rPr>
          <w:rFonts w:ascii="宋体" w:hAnsi="宋体" w:cs="宋体"/>
          <w:b/>
          <w:color w:val="000000"/>
          <w:sz w:val="32"/>
          <w:szCs w:val="32"/>
          <w:highlight w:val="none"/>
        </w:rPr>
      </w:pPr>
      <w:r>
        <w:rPr>
          <w:rFonts w:hint="eastAsia" w:ascii="宋体" w:hAnsi="宋体" w:cs="宋体"/>
          <w:color w:val="000000"/>
          <w:sz w:val="32"/>
          <w:szCs w:val="32"/>
          <w:highlight w:val="none"/>
        </w:rPr>
        <w:t>重庆机场信息通信网络有限公司</w:t>
      </w:r>
    </w:p>
    <w:p>
      <w:pPr>
        <w:spacing w:line="360" w:lineRule="auto"/>
        <w:jc w:val="center"/>
        <w:rPr>
          <w:rFonts w:ascii="宋体" w:hAnsi="宋体" w:cs="宋体"/>
          <w:color w:val="000000"/>
          <w:sz w:val="32"/>
          <w:szCs w:val="32"/>
          <w:highlight w:val="none"/>
        </w:rPr>
      </w:pPr>
      <w:r>
        <w:rPr>
          <w:rFonts w:hint="eastAsia" w:ascii="宋体" w:hAnsi="宋体" w:cs="宋体"/>
          <w:color w:val="000000"/>
          <w:sz w:val="32"/>
          <w:szCs w:val="32"/>
          <w:highlight w:val="none"/>
        </w:rPr>
        <w:t>二〇二一年</w:t>
      </w:r>
      <w:r>
        <w:rPr>
          <w:rFonts w:hint="eastAsia" w:ascii="宋体" w:hAnsi="宋体" w:cs="宋体"/>
          <w:color w:val="000000"/>
          <w:sz w:val="32"/>
          <w:szCs w:val="32"/>
          <w:highlight w:val="none"/>
          <w:lang w:eastAsia="zh-CN"/>
        </w:rPr>
        <w:t>九</w:t>
      </w:r>
      <w:r>
        <w:rPr>
          <w:rFonts w:hint="eastAsia" w:ascii="宋体" w:hAnsi="宋体" w:cs="宋体"/>
          <w:color w:val="000000"/>
          <w:sz w:val="32"/>
          <w:szCs w:val="32"/>
          <w:highlight w:val="none"/>
        </w:rPr>
        <w:t>月</w:t>
      </w:r>
    </w:p>
    <w:p>
      <w:pPr>
        <w:spacing w:line="360" w:lineRule="auto"/>
        <w:jc w:val="center"/>
        <w:rPr>
          <w:rFonts w:ascii="宋体" w:hAnsi="宋体" w:cs="宋体"/>
          <w:color w:val="000000"/>
          <w:sz w:val="36"/>
          <w:szCs w:val="36"/>
          <w:highlight w:val="none"/>
        </w:rPr>
      </w:pPr>
      <w:r>
        <w:rPr>
          <w:rFonts w:hint="eastAsia" w:ascii="宋体" w:hAnsi="宋体" w:cs="宋体"/>
          <w:color w:val="000000"/>
          <w:sz w:val="36"/>
          <w:szCs w:val="36"/>
          <w:highlight w:val="none"/>
        </w:rPr>
        <w:t>重庆江北国际机场公共区（综合执法）智能化数字综合管理平台项目</w:t>
      </w:r>
      <w:r>
        <w:rPr>
          <w:rFonts w:hint="eastAsia" w:ascii="宋体" w:hAnsi="宋体" w:cs="宋体"/>
          <w:color w:val="000000"/>
          <w:sz w:val="36"/>
          <w:szCs w:val="36"/>
          <w:highlight w:val="none"/>
          <w:lang w:eastAsia="zh-CN"/>
        </w:rPr>
        <w:t>软件部分（第二次）</w:t>
      </w:r>
      <w:r>
        <w:rPr>
          <w:rFonts w:hint="eastAsia" w:ascii="宋体" w:hAnsi="宋体" w:cs="宋体"/>
          <w:color w:val="000000"/>
          <w:sz w:val="36"/>
          <w:szCs w:val="36"/>
          <w:highlight w:val="none"/>
        </w:rPr>
        <w:t>比选文件</w:t>
      </w:r>
    </w:p>
    <w:p>
      <w:pPr>
        <w:widowControl/>
        <w:spacing w:line="360" w:lineRule="auto"/>
        <w:ind w:firstLine="480" w:firstLineChars="200"/>
        <w:rPr>
          <w:rFonts w:ascii="宋体" w:hAnsi="宋体" w:cs="宋体"/>
          <w:sz w:val="24"/>
          <w:highlight w:val="none"/>
        </w:rPr>
      </w:pPr>
      <w:r>
        <w:rPr>
          <w:rFonts w:hint="eastAsia" w:ascii="宋体" w:hAnsi="宋体" w:cs="宋体"/>
          <w:sz w:val="24"/>
          <w:highlight w:val="none"/>
        </w:rPr>
        <w:t>我司决定于近期就重庆江北国际机场公共区（综合执法）智能化数字综合管理平台项目</w:t>
      </w:r>
      <w:r>
        <w:rPr>
          <w:rFonts w:hint="eastAsia" w:ascii="宋体" w:hAnsi="宋体" w:cs="宋体"/>
          <w:sz w:val="24"/>
          <w:highlight w:val="none"/>
          <w:lang w:eastAsia="zh-CN"/>
        </w:rPr>
        <w:t>软件部分（第二次）</w:t>
      </w:r>
      <w:r>
        <w:rPr>
          <w:rFonts w:hint="eastAsia" w:ascii="宋体" w:hAnsi="宋体" w:cs="宋体"/>
          <w:sz w:val="24"/>
          <w:highlight w:val="none"/>
        </w:rPr>
        <w:t>邀请符合相应条件的供应商进行比选。</w:t>
      </w:r>
    </w:p>
    <w:p>
      <w:pPr>
        <w:pStyle w:val="4"/>
        <w:spacing w:line="360" w:lineRule="auto"/>
        <w:rPr>
          <w:b/>
          <w:sz w:val="24"/>
          <w:szCs w:val="24"/>
          <w:highlight w:val="none"/>
        </w:rPr>
      </w:pPr>
      <w:r>
        <w:rPr>
          <w:rFonts w:hint="eastAsia"/>
          <w:b/>
          <w:sz w:val="24"/>
          <w:szCs w:val="24"/>
          <w:highlight w:val="none"/>
        </w:rPr>
        <w:t>一、项目实施内容及要求</w:t>
      </w:r>
    </w:p>
    <w:p>
      <w:pPr>
        <w:pStyle w:val="2"/>
        <w:spacing w:line="360" w:lineRule="auto"/>
        <w:rPr>
          <w:b w:val="0"/>
          <w:sz w:val="24"/>
          <w:szCs w:val="24"/>
          <w:highlight w:val="none"/>
        </w:rPr>
      </w:pPr>
      <w:r>
        <w:rPr>
          <w:rFonts w:hint="eastAsia"/>
          <w:sz w:val="24"/>
          <w:szCs w:val="24"/>
          <w:highlight w:val="none"/>
        </w:rPr>
        <w:t xml:space="preserve">    1.1 资格要求</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1.1.1在中华人民共和国依法注册、具有独立法人资格。本项目不接受联合体投标，不得转包、分包；</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1.1.2法定代表人为同一个人的两个及两个以上法人，母公司、全资子公司及其控股公司，以及其他形式有管理关系的投标人，都不得在同一招标项目中同时投标；</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1.1.3具有有效营业执照（须提供营业执照复印件加盖鲜章）；</w:t>
      </w:r>
    </w:p>
    <w:p>
      <w:pPr>
        <w:widowControl/>
        <w:spacing w:line="360" w:lineRule="auto"/>
        <w:ind w:firstLine="480" w:firstLineChars="200"/>
        <w:rPr>
          <w:rFonts w:hint="eastAsia" w:ascii="宋体" w:hAnsi="宋体" w:eastAsia="宋体" w:cs="宋体"/>
          <w:b/>
          <w:sz w:val="24"/>
          <w:highlight w:val="none"/>
          <w:lang w:eastAsia="zh-CN"/>
        </w:rPr>
      </w:pPr>
      <w:r>
        <w:rPr>
          <w:rFonts w:hint="eastAsia" w:ascii="宋体" w:hAnsi="宋体" w:cs="宋体"/>
          <w:sz w:val="24"/>
          <w:highlight w:val="none"/>
        </w:rPr>
        <w:t>1.1.4信誉要求：响应单位未被“信用中国”网站（www.creditchina.gov.cn）列为失信被执行人。提供相关查询截图并加盖响应单位鲜公章</w:t>
      </w:r>
      <w:r>
        <w:rPr>
          <w:rFonts w:hint="eastAsia" w:ascii="宋体" w:hAnsi="宋体" w:cs="宋体"/>
          <w:sz w:val="24"/>
          <w:highlight w:val="none"/>
          <w:lang w:eastAsia="zh-CN"/>
        </w:rPr>
        <w:t>；</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1.1.5具有有效的一般纳税人资格证明盖鲜章或者小规模纳税人资格证明盖鲜章；</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1.1.6法定代表人授权书和法定代表人身份证复印件；</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1.1.7被授权人身份证复印件（原件备查）和提供被授权人近一个月社保证明</w:t>
      </w:r>
      <w:r>
        <w:rPr>
          <w:rFonts w:hint="eastAsia" w:ascii="宋体" w:hAnsi="宋体" w:cs="宋体"/>
          <w:sz w:val="24"/>
          <w:highlight w:val="none"/>
          <w:lang w:eastAsia="zh-CN"/>
        </w:rPr>
        <w:t>（须为响应单位在职员工）</w:t>
      </w:r>
      <w:r>
        <w:rPr>
          <w:rFonts w:hint="eastAsia" w:ascii="宋体" w:hAnsi="宋体" w:cs="宋体"/>
          <w:sz w:val="24"/>
          <w:highlight w:val="none"/>
        </w:rPr>
        <w:t>。</w:t>
      </w:r>
    </w:p>
    <w:p>
      <w:pPr>
        <w:pStyle w:val="2"/>
        <w:spacing w:line="360" w:lineRule="auto"/>
        <w:rPr>
          <w:sz w:val="24"/>
          <w:szCs w:val="24"/>
          <w:highlight w:val="none"/>
        </w:rPr>
      </w:pPr>
      <w:r>
        <w:rPr>
          <w:rFonts w:hint="eastAsia"/>
          <w:sz w:val="24"/>
          <w:szCs w:val="24"/>
          <w:highlight w:val="none"/>
        </w:rPr>
        <w:t xml:space="preserve">    1.2 项目要求及报价要求</w:t>
      </w:r>
    </w:p>
    <w:p>
      <w:pPr>
        <w:pStyle w:val="5"/>
        <w:spacing w:line="360" w:lineRule="auto"/>
        <w:ind w:firstLine="482" w:firstLineChars="200"/>
        <w:rPr>
          <w:sz w:val="24"/>
          <w:szCs w:val="24"/>
          <w:highlight w:val="none"/>
        </w:rPr>
      </w:pPr>
      <w:r>
        <w:rPr>
          <w:rFonts w:hint="eastAsia"/>
          <w:sz w:val="24"/>
          <w:szCs w:val="24"/>
          <w:highlight w:val="none"/>
        </w:rPr>
        <w:t>1.2.1项目要求</w:t>
      </w:r>
    </w:p>
    <w:p>
      <w:pPr>
        <w:pStyle w:val="6"/>
        <w:spacing w:line="360" w:lineRule="auto"/>
        <w:ind w:firstLine="482" w:firstLineChars="200"/>
        <w:rPr>
          <w:sz w:val="24"/>
          <w:szCs w:val="24"/>
          <w:highlight w:val="none"/>
        </w:rPr>
      </w:pPr>
      <w:r>
        <w:rPr>
          <w:rFonts w:hint="eastAsia"/>
          <w:sz w:val="24"/>
          <w:szCs w:val="24"/>
          <w:highlight w:val="none"/>
        </w:rPr>
        <w:t>1</w:t>
      </w:r>
      <w:r>
        <w:rPr>
          <w:sz w:val="24"/>
          <w:szCs w:val="24"/>
          <w:highlight w:val="none"/>
        </w:rPr>
        <w:t>.2.1.1</w:t>
      </w:r>
      <w:r>
        <w:rPr>
          <w:rFonts w:hint="eastAsia"/>
          <w:sz w:val="24"/>
          <w:szCs w:val="24"/>
          <w:highlight w:val="none"/>
        </w:rPr>
        <w:t>项目背景</w:t>
      </w:r>
    </w:p>
    <w:p>
      <w:pPr>
        <w:spacing w:line="360" w:lineRule="auto"/>
        <w:ind w:firstLine="480" w:firstLineChars="200"/>
        <w:rPr>
          <w:rFonts w:ascii="宋体" w:hAnsi="宋体"/>
          <w:sz w:val="24"/>
          <w:highlight w:val="none"/>
        </w:rPr>
      </w:pPr>
      <w:r>
        <w:rPr>
          <w:rFonts w:hint="eastAsia" w:ascii="宋体" w:hAnsi="宋体"/>
          <w:sz w:val="24"/>
          <w:highlight w:val="none"/>
        </w:rPr>
        <w:t>公共区管理部（综合执法局）智能化数字综合管理平台项目拟建成一套集实用性和先进性为一体的系统。为机场公共区管理部（综合执法支队）提供一套高效实用的管理系统，为日常的监管等多方面应用提供服务。通过信息化手段，将传统人工管理模式转化为先进、高效的自动化、智能化管理模式。根据集团公司十四五“智慧机场”规划要求，进行公共区管理部信息系统建设，助力重庆机场早日实现机场数字化转型。</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以下为公共区管理存在的主要问题，供应商须结合我司现状，开展项目方案设计和实施，为我司提供定制化软件开发服务。</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一）重点人员、车辆监控难。当前公共区管理部（综合执法支队）对所关心的重点人员（如“羊儿客”“黑车司机”等高风险人员）和重点车辆（进入公共区的黄牌大货车等高风险车辆）监控依托于人力巡检或者后台人工进行视频监控画面的查看，不能及时掌握高风险人员、车辆的位置，无法提前采取有效措施对其进行控制，也不能有效的对其带来的不良后果进行跟进（事后追查难）。</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二）运行管理手段落后。当前公共区管理部（综合执法支队）的日常运行管理如：施工信息管理、重点人群管理、车辆管理等，主要通过人工记录与台账管理，存在着信息记录不准确，信息传递不及时，当涉及多部门共同管理时出现信息不一致的状况。</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（三）资源管理难。目前公共区管理部（综合执法支队）的资源管理还依靠传统的纸质文档进行管理，资料大量累积，查找、查阅耗时耗力，效率极低。</w:t>
      </w:r>
    </w:p>
    <w:p>
      <w:pPr>
        <w:pStyle w:val="43"/>
        <w:numPr>
          <w:ilvl w:val="0"/>
          <w:numId w:val="1"/>
        </w:numPr>
        <w:spacing w:line="360" w:lineRule="auto"/>
        <w:ind w:firstLineChars="0"/>
        <w:rPr>
          <w:rFonts w:ascii="宋体" w:hAnsi="宋体" w:cs="宋体"/>
          <w:sz w:val="24"/>
          <w:highlight w:val="none"/>
        </w:rPr>
      </w:pPr>
      <w:r>
        <w:rPr>
          <w:rFonts w:hint="eastAsia" w:ascii="宋体" w:hAnsi="宋体" w:cs="宋体"/>
          <w:sz w:val="24"/>
          <w:highlight w:val="none"/>
        </w:rPr>
        <w:t>场区面积大、分布广（300万平方米）；</w:t>
      </w:r>
    </w:p>
    <w:p>
      <w:pPr>
        <w:pStyle w:val="43"/>
        <w:numPr>
          <w:ilvl w:val="0"/>
          <w:numId w:val="1"/>
        </w:numPr>
        <w:spacing w:line="360" w:lineRule="auto"/>
        <w:ind w:firstLineChars="0"/>
        <w:rPr>
          <w:rFonts w:ascii="宋体" w:hAnsi="宋体" w:cs="宋体"/>
          <w:sz w:val="24"/>
          <w:highlight w:val="none"/>
        </w:rPr>
      </w:pPr>
      <w:r>
        <w:rPr>
          <w:rFonts w:hint="eastAsia" w:ascii="宋体" w:hAnsi="宋体" w:cs="宋体"/>
          <w:sz w:val="24"/>
          <w:highlight w:val="none"/>
        </w:rPr>
        <w:t>资源种类多（工地、公寓楼、办公楼、厂房、停车位、库房、门面、场地、民航小区资源、道路、绿化、各种设施设备、车辆）；</w:t>
      </w:r>
    </w:p>
    <w:p>
      <w:pPr>
        <w:pStyle w:val="43"/>
        <w:numPr>
          <w:ilvl w:val="0"/>
          <w:numId w:val="1"/>
        </w:numPr>
        <w:spacing w:line="360" w:lineRule="auto"/>
        <w:ind w:firstLineChars="0"/>
        <w:rPr>
          <w:rFonts w:ascii="宋体" w:hAnsi="宋体" w:cs="宋体"/>
          <w:sz w:val="24"/>
          <w:highlight w:val="none"/>
        </w:rPr>
      </w:pPr>
      <w:r>
        <w:rPr>
          <w:rFonts w:hint="eastAsia" w:ascii="宋体" w:hAnsi="宋体" w:cs="宋体"/>
          <w:sz w:val="24"/>
          <w:highlight w:val="none"/>
        </w:rPr>
        <w:t>管理信息分散（租赁信息、维修信息、气象信息、道路信息）。</w:t>
      </w:r>
    </w:p>
    <w:p>
      <w:pPr>
        <w:pStyle w:val="6"/>
        <w:spacing w:line="360" w:lineRule="auto"/>
        <w:ind w:firstLine="482" w:firstLineChars="200"/>
        <w:rPr>
          <w:sz w:val="24"/>
          <w:szCs w:val="24"/>
          <w:highlight w:val="none"/>
        </w:rPr>
      </w:pPr>
      <w:r>
        <w:rPr>
          <w:rFonts w:hint="eastAsia"/>
          <w:sz w:val="24"/>
          <w:szCs w:val="24"/>
          <w:highlight w:val="none"/>
        </w:rPr>
        <w:t>1</w:t>
      </w:r>
      <w:r>
        <w:rPr>
          <w:sz w:val="24"/>
          <w:szCs w:val="24"/>
          <w:highlight w:val="none"/>
        </w:rPr>
        <w:t>.2.1.2</w:t>
      </w:r>
      <w:r>
        <w:rPr>
          <w:rFonts w:hint="eastAsia"/>
          <w:sz w:val="24"/>
          <w:szCs w:val="24"/>
          <w:highlight w:val="none"/>
        </w:rPr>
        <w:t>项目实施内容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highlight w:val="none"/>
        </w:rPr>
      </w:pPr>
      <w:r>
        <w:rPr>
          <w:rFonts w:hint="eastAsia" w:ascii="宋体" w:hAnsi="宋体" w:cs="宋体"/>
          <w:sz w:val="24"/>
          <w:highlight w:val="none"/>
        </w:rPr>
        <w:t>要求供应商，结合我司现状，进行项目方案设计和实施。</w:t>
      </w:r>
    </w:p>
    <w:p>
      <w:pPr>
        <w:spacing w:line="360" w:lineRule="auto"/>
        <w:rPr>
          <w:rFonts w:ascii="宋体" w:hAnsi="宋体"/>
          <w:sz w:val="24"/>
          <w:highlight w:val="none"/>
        </w:rPr>
      </w:pPr>
      <w:r>
        <w:rPr>
          <w:rFonts w:hint="eastAsia" w:ascii="宋体" w:hAnsi="宋体"/>
          <w:sz w:val="24"/>
          <w:highlight w:val="none"/>
        </w:rPr>
        <w:t>包括但不限于以下内容：</w:t>
      </w:r>
    </w:p>
    <w:p>
      <w:pPr>
        <w:pStyle w:val="43"/>
        <w:widowControl/>
        <w:numPr>
          <w:ilvl w:val="0"/>
          <w:numId w:val="2"/>
        </w:numPr>
        <w:spacing w:line="360" w:lineRule="auto"/>
        <w:ind w:firstLineChars="0"/>
        <w:rPr>
          <w:rFonts w:ascii="宋体" w:hAnsi="宋体" w:cs="宋体"/>
          <w:sz w:val="24"/>
          <w:highlight w:val="none"/>
        </w:rPr>
      </w:pPr>
      <w:r>
        <w:rPr>
          <w:rFonts w:hint="eastAsia" w:ascii="宋体" w:hAnsi="宋体" w:cs="宋体"/>
          <w:sz w:val="24"/>
          <w:highlight w:val="none"/>
        </w:rPr>
        <w:t>完善的支撑平台：提供针对</w:t>
      </w:r>
      <w:r>
        <w:rPr>
          <w:rFonts w:hint="eastAsia" w:ascii="宋体" w:hAnsi="宋体" w:cs="宋体"/>
          <w:sz w:val="24"/>
          <w:highlight w:val="none"/>
          <w:lang w:val="en-US" w:eastAsia="zh-CN"/>
        </w:rPr>
        <w:t>重庆江北机场</w:t>
      </w:r>
      <w:r>
        <w:rPr>
          <w:rFonts w:hint="eastAsia" w:ascii="宋体" w:hAnsi="宋体" w:cs="宋体"/>
          <w:sz w:val="24"/>
          <w:highlight w:val="none"/>
        </w:rPr>
        <w:t>公共区的基础地图开发。</w:t>
      </w:r>
    </w:p>
    <w:p>
      <w:pPr>
        <w:pStyle w:val="43"/>
        <w:widowControl/>
        <w:numPr>
          <w:ilvl w:val="0"/>
          <w:numId w:val="2"/>
        </w:numPr>
        <w:spacing w:line="360" w:lineRule="auto"/>
        <w:ind w:firstLineChars="0"/>
        <w:rPr>
          <w:rFonts w:ascii="宋体" w:hAnsi="宋体" w:cs="宋体"/>
          <w:sz w:val="24"/>
          <w:highlight w:val="none"/>
        </w:rPr>
      </w:pPr>
      <w:r>
        <w:rPr>
          <w:rFonts w:hint="eastAsia" w:ascii="宋体" w:hAnsi="宋体" w:cs="宋体"/>
          <w:sz w:val="24"/>
          <w:highlight w:val="none"/>
        </w:rPr>
        <w:t>智能化数字综合管理平台，包括基础平台和应用、业务应用，以及系统接口。</w:t>
      </w:r>
    </w:p>
    <w:p>
      <w:pPr>
        <w:pStyle w:val="43"/>
        <w:numPr>
          <w:ilvl w:val="0"/>
          <w:numId w:val="3"/>
        </w:numPr>
        <w:spacing w:line="360" w:lineRule="auto"/>
        <w:ind w:firstLineChars="0"/>
        <w:rPr>
          <w:rFonts w:ascii="宋体" w:hAnsi="宋体" w:cs="宋体"/>
          <w:sz w:val="24"/>
          <w:highlight w:val="none"/>
        </w:rPr>
      </w:pPr>
      <w:r>
        <w:rPr>
          <w:rFonts w:hint="eastAsia" w:ascii="宋体" w:hAnsi="宋体" w:cs="宋体"/>
          <w:sz w:val="24"/>
          <w:highlight w:val="none"/>
        </w:rPr>
        <w:t>基础平台及应用：数据交换平台、公共区综合管理数据库、可视化展示、统计与查询、系统管理、统一门户。</w:t>
      </w:r>
    </w:p>
    <w:p>
      <w:pPr>
        <w:pStyle w:val="43"/>
        <w:numPr>
          <w:ilvl w:val="0"/>
          <w:numId w:val="3"/>
        </w:numPr>
        <w:spacing w:line="360" w:lineRule="auto"/>
        <w:ind w:firstLineChars="0"/>
        <w:rPr>
          <w:rFonts w:ascii="宋体" w:hAnsi="宋体" w:cs="宋体"/>
          <w:sz w:val="24"/>
          <w:highlight w:val="none"/>
        </w:rPr>
      </w:pPr>
      <w:r>
        <w:rPr>
          <w:rFonts w:hint="eastAsia" w:ascii="宋体" w:hAnsi="宋体" w:cs="宋体"/>
          <w:sz w:val="24"/>
          <w:highlight w:val="none"/>
        </w:rPr>
        <w:t>业务应用：视频智能分析模块 1套；车辆综合监控模块 1套； G</w:t>
      </w:r>
      <w:r>
        <w:rPr>
          <w:rFonts w:ascii="宋体" w:hAnsi="宋体" w:cs="宋体"/>
          <w:sz w:val="24"/>
          <w:highlight w:val="none"/>
        </w:rPr>
        <w:t>IS</w:t>
      </w:r>
      <w:r>
        <w:rPr>
          <w:rFonts w:hint="eastAsia" w:ascii="宋体" w:hAnsi="宋体" w:cs="宋体"/>
          <w:sz w:val="24"/>
          <w:highlight w:val="none"/>
        </w:rPr>
        <w:t>地图管理模块 1套。</w:t>
      </w:r>
      <w:r>
        <w:rPr>
          <w:rFonts w:ascii="宋体" w:hAnsi="宋体" w:cs="宋体"/>
          <w:sz w:val="24"/>
          <w:highlight w:val="none"/>
        </w:rPr>
        <w:t xml:space="preserve"> </w:t>
      </w:r>
    </w:p>
    <w:p>
      <w:pPr>
        <w:pStyle w:val="43"/>
        <w:numPr>
          <w:ilvl w:val="0"/>
          <w:numId w:val="3"/>
        </w:numPr>
        <w:spacing w:line="360" w:lineRule="auto"/>
        <w:ind w:firstLineChars="0"/>
        <w:rPr>
          <w:rFonts w:ascii="宋体" w:hAnsi="宋体" w:cs="宋体"/>
          <w:sz w:val="24"/>
          <w:highlight w:val="none"/>
        </w:rPr>
      </w:pPr>
      <w:r>
        <w:rPr>
          <w:rFonts w:hint="eastAsia" w:ascii="宋体" w:hAnsi="宋体" w:cs="宋体"/>
          <w:sz w:val="24"/>
          <w:highlight w:val="none"/>
        </w:rPr>
        <w:t>系统接口：包括用户接口、地图接口、视频监控接口、公安违停接口、人脸识别系统接口、车辆综合监控系统接口、高清卡口系统接口、综合执法系统接口、对外接口等。</w:t>
      </w:r>
    </w:p>
    <w:p>
      <w:pPr>
        <w:pStyle w:val="6"/>
        <w:spacing w:line="360" w:lineRule="auto"/>
        <w:ind w:firstLine="482" w:firstLineChars="200"/>
        <w:rPr>
          <w:sz w:val="24"/>
          <w:szCs w:val="24"/>
          <w:highlight w:val="none"/>
        </w:rPr>
      </w:pPr>
      <w:r>
        <w:rPr>
          <w:rFonts w:hint="eastAsia"/>
          <w:sz w:val="24"/>
          <w:szCs w:val="24"/>
          <w:highlight w:val="none"/>
        </w:rPr>
        <w:t>1</w:t>
      </w:r>
      <w:r>
        <w:rPr>
          <w:sz w:val="24"/>
          <w:szCs w:val="24"/>
          <w:highlight w:val="none"/>
        </w:rPr>
        <w:t>.2.1.3</w:t>
      </w:r>
      <w:r>
        <w:rPr>
          <w:rFonts w:hint="eastAsia"/>
          <w:sz w:val="24"/>
          <w:szCs w:val="24"/>
          <w:highlight w:val="none"/>
        </w:rPr>
        <w:t>技术要求</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供应商提供的项目方案须满足以下技术要求：</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（一）要求供应商提供的产品或定制开发服务系统架构采用微服务架构。能够以独立功能拆分服务，集合CICD持续集成，以达到快速响应我司需求目的。</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（二）要求采用ServiceMesh服务治理框架。能够支持不绑定到特定 J2EE 服务的可重用业务和数据访问对象，可以在不同 J2EE 环境、独立应用程序、测试环境之间重用。</w:t>
      </w:r>
    </w:p>
    <w:p>
      <w:pPr>
        <w:pStyle w:val="37"/>
        <w:spacing w:line="360" w:lineRule="auto"/>
        <w:ind w:firstLine="480" w:firstLineChars="200"/>
        <w:rPr>
          <w:rFonts w:ascii="宋体" w:hAnsi="宋体" w:cs="宋体"/>
          <w:sz w:val="24"/>
          <w:highlight w:val="none"/>
        </w:rPr>
      </w:pPr>
      <w:r>
        <w:rPr>
          <w:rFonts w:hint="eastAsia" w:ascii="宋体" w:hAnsi="宋体" w:cs="宋体"/>
          <w:sz w:val="24"/>
          <w:highlight w:val="none"/>
        </w:rPr>
        <w:t>（三）要求采用Redis缓存、RabbitMQ消息队列、Mybatis持久层等其他技术，以提高系统开发和部署的高效性、易用性和可拓展性。</w:t>
      </w:r>
    </w:p>
    <w:p>
      <w:pPr>
        <w:pStyle w:val="37"/>
        <w:spacing w:line="360" w:lineRule="auto"/>
        <w:ind w:firstLine="480" w:firstLineChars="200"/>
        <w:rPr>
          <w:rFonts w:ascii="宋体" w:hAnsi="宋体" w:cs="宋体"/>
          <w:sz w:val="24"/>
          <w:highlight w:val="none"/>
        </w:rPr>
      </w:pPr>
      <w:r>
        <w:rPr>
          <w:rFonts w:hint="eastAsia" w:ascii="宋体" w:hAnsi="宋体" w:cs="宋体"/>
          <w:sz w:val="24"/>
          <w:highlight w:val="none"/>
        </w:rPr>
        <w:t>（四）要求移动端应用软件基于安卓操作系统，进行设计和开发。</w:t>
      </w:r>
    </w:p>
    <w:p>
      <w:pPr>
        <w:pStyle w:val="37"/>
        <w:spacing w:line="360" w:lineRule="auto"/>
        <w:ind w:firstLine="480" w:firstLineChars="200"/>
        <w:rPr>
          <w:rFonts w:ascii="宋体" w:hAnsi="宋体" w:cs="宋体"/>
          <w:sz w:val="24"/>
          <w:highlight w:val="none"/>
        </w:rPr>
      </w:pPr>
      <w:r>
        <w:rPr>
          <w:rFonts w:hint="eastAsia" w:ascii="宋体" w:hAnsi="宋体" w:cs="宋体"/>
          <w:sz w:val="24"/>
          <w:highlight w:val="none"/>
        </w:rPr>
        <w:t>（五）要求可视化展示技术须兼容百度</w:t>
      </w:r>
      <w:r>
        <w:rPr>
          <w:rFonts w:ascii="宋体" w:hAnsi="宋体" w:cs="宋体"/>
          <w:sz w:val="24"/>
          <w:highlight w:val="none"/>
        </w:rPr>
        <w:t>Echarts</w:t>
      </w:r>
      <w:r>
        <w:rPr>
          <w:rFonts w:hint="eastAsia" w:ascii="宋体" w:hAnsi="宋体" w:cs="宋体"/>
          <w:sz w:val="24"/>
          <w:highlight w:val="none"/>
        </w:rPr>
        <w:t>开源数据图表组件、谷歌</w:t>
      </w:r>
      <w:r>
        <w:rPr>
          <w:rFonts w:ascii="宋体" w:hAnsi="宋体" w:cs="宋体"/>
          <w:sz w:val="24"/>
          <w:highlight w:val="none"/>
        </w:rPr>
        <w:t>Google Chart</w:t>
      </w:r>
      <w:r>
        <w:rPr>
          <w:rFonts w:hint="eastAsia" w:ascii="宋体" w:hAnsi="宋体" w:cs="宋体"/>
          <w:sz w:val="24"/>
          <w:highlight w:val="none"/>
        </w:rPr>
        <w:t>，以及腾讯多维数据的地图可视化（含数字地图数据分类、地图可视化制作要素、地图信息的可视化表示、空间数据的可视化表示等）。</w:t>
      </w:r>
    </w:p>
    <w:p>
      <w:pPr>
        <w:pStyle w:val="37"/>
        <w:spacing w:line="360" w:lineRule="auto"/>
        <w:ind w:firstLine="480" w:firstLineChars="200"/>
        <w:rPr>
          <w:rFonts w:ascii="宋体" w:hAnsi="宋体" w:cs="宋体"/>
          <w:sz w:val="24"/>
          <w:highlight w:val="none"/>
        </w:rPr>
      </w:pPr>
      <w:r>
        <w:rPr>
          <w:rFonts w:hint="eastAsia" w:ascii="宋体" w:hAnsi="宋体" w:cs="宋体"/>
          <w:sz w:val="24"/>
          <w:highlight w:val="none"/>
        </w:rPr>
        <w:t>（六）要求采用服务器虚拟化技术，划分多个虚拟环境，解决物理界限，提高服务器利用率，减少采购成本。</w:t>
      </w:r>
    </w:p>
    <w:p>
      <w:pPr>
        <w:pStyle w:val="37"/>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七）要求提供需求管理、任务管理、代码管理、持续集成、自动部署、持续集成、多环境流转、应用复制、镜像同步等端到端管理方案，为开发测试人员提供端到端服务管理流程，提升开发测试业务质量和效率，实现业务快速迭代目标。</w:t>
      </w:r>
    </w:p>
    <w:p>
      <w:pPr>
        <w:pStyle w:val="6"/>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sz w:val="24"/>
          <w:szCs w:val="24"/>
          <w:highlight w:val="none"/>
        </w:rPr>
      </w:pPr>
      <w:r>
        <w:rPr>
          <w:rFonts w:hint="eastAsia"/>
          <w:sz w:val="24"/>
          <w:szCs w:val="24"/>
          <w:highlight w:val="none"/>
        </w:rPr>
        <w:t>1.2.1.4项目功能技术规格</w:t>
      </w:r>
    </w:p>
    <w:p>
      <w:pPr>
        <w:rPr>
          <w:rFonts w:hint="eastAsia"/>
          <w:sz w:val="24"/>
          <w:szCs w:val="24"/>
          <w:highlight w:val="none"/>
        </w:rPr>
      </w:pPr>
    </w:p>
    <w:p>
      <w:pPr>
        <w:pStyle w:val="18"/>
        <w:rPr>
          <w:highlight w:val="none"/>
        </w:rPr>
      </w:pPr>
    </w:p>
    <w:tbl>
      <w:tblPr>
        <w:tblStyle w:val="19"/>
        <w:tblpPr w:leftFromText="180" w:rightFromText="180" w:vertAnchor="text" w:horzAnchor="page" w:tblpX="1781" w:tblpY="757"/>
        <w:tblOverlap w:val="never"/>
        <w:tblW w:w="8522"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898"/>
        <w:gridCol w:w="1268"/>
        <w:gridCol w:w="1974"/>
        <w:gridCol w:w="4382"/>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一</w:t>
            </w:r>
          </w:p>
        </w:tc>
        <w:tc>
          <w:tcPr>
            <w:tcW w:w="7624" w:type="dxa"/>
            <w:gridSpan w:val="3"/>
            <w:tcBorders>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统一门户</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　</w:t>
            </w:r>
          </w:p>
        </w:tc>
        <w:tc>
          <w:tcPr>
            <w:tcW w:w="12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门户首页</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门户首页</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各系统模块入口，公告，通知</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p>
        </w:tc>
        <w:tc>
          <w:tcPr>
            <w:tcW w:w="12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用户登录</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登录</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提供登录统一入口，用户通过账号、密码、验证码验证登录平台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p>
        </w:tc>
        <w:tc>
          <w:tcPr>
            <w:tcW w:w="126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用户个人信息</w:t>
            </w:r>
          </w:p>
        </w:tc>
        <w:tc>
          <w:tcPr>
            <w:tcW w:w="197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个人信息编辑</w:t>
            </w:r>
          </w:p>
        </w:tc>
        <w:tc>
          <w:tcPr>
            <w:tcW w:w="4382" w:type="dxa"/>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提供修改头像、联系电话、所属部门、岗位、电子邮箱等数据的编辑和展示以及密码修改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w:t>
            </w:r>
          </w:p>
        </w:tc>
        <w:tc>
          <w:tcPr>
            <w:tcW w:w="12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通知公告</w:t>
            </w:r>
          </w:p>
        </w:tc>
        <w:tc>
          <w:tcPr>
            <w:tcW w:w="197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列表</w:t>
            </w:r>
          </w:p>
        </w:tc>
        <w:tc>
          <w:tcPr>
            <w:tcW w:w="4382" w:type="dxa"/>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公告列表，显示公告的标题和发布时间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详情</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详细公告页面，显示公告的标题、发起部门、公告详情、最后编辑时间、图片、附件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restart"/>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系统消息</w:t>
            </w:r>
          </w:p>
        </w:tc>
        <w:tc>
          <w:tcPr>
            <w:tcW w:w="197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系统消息</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1、账号到期提醒消息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2、密码修改成功通知</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735" w:hRule="atLeast"/>
        </w:trPr>
        <w:tc>
          <w:tcPr>
            <w:tcW w:w="898" w:type="dxa"/>
            <w:vMerge w:val="restart"/>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权限与基础管理</w:t>
            </w:r>
          </w:p>
        </w:tc>
        <w:tc>
          <w:tcPr>
            <w:tcW w:w="197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用户管理</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1</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通过列表显示用户基本信息：账号、姓名、用户状态、账号有效期、头像缩略图、联系电话、电子邮箱必填、所属部门、岗位、角色；</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95"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lang w:val="en-US" w:eastAsia="zh-CN"/>
              </w:rPr>
              <w:t>2、</w:t>
            </w:r>
            <w:r>
              <w:rPr>
                <w:rFonts w:hint="eastAsia" w:ascii="宋体" w:hAnsi="宋体" w:eastAsia="宋体" w:cs="宋体"/>
                <w:color w:val="333333"/>
                <w:kern w:val="0"/>
                <w:sz w:val="24"/>
                <w:szCs w:val="24"/>
                <w:highlight w:val="none"/>
              </w:rPr>
              <w:t>操作包括：增加用户、删除、修改、查询、密码重置、用户注销</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restart"/>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权限管理</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1</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角色名称的增加、修改、删除、查询功能；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2</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权限分配功能（按照菜单模块分配）；</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3</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数据权限（根据不同部门查权限范围内数据）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restart"/>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日志管理</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1</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操作记录包括：操作日志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2</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日志操作包括实现对操作记录的查询、统计、打印功能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restart"/>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9</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系统管理</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1</w:t>
            </w:r>
            <w:r>
              <w:rPr>
                <w:rFonts w:hint="eastAsia" w:ascii="宋体" w:hAnsi="宋体" w:eastAsia="宋体" w:cs="宋体"/>
                <w:color w:val="333333"/>
                <w:kern w:val="0"/>
                <w:sz w:val="24"/>
                <w:szCs w:val="24"/>
                <w:highlight w:val="none"/>
                <w:lang w:eastAsia="zh-CN"/>
              </w:rPr>
              <w:t>、</w:t>
            </w:r>
            <w:r>
              <w:rPr>
                <w:rFonts w:hint="eastAsia" w:ascii="宋体" w:hAnsi="宋体" w:cs="宋体"/>
                <w:color w:val="333333"/>
                <w:kern w:val="0"/>
                <w:sz w:val="24"/>
                <w:szCs w:val="24"/>
                <w:highlight w:val="none"/>
                <w:lang w:val="en-US" w:eastAsia="zh-CN"/>
              </w:rPr>
              <w:t>I</w:t>
            </w:r>
            <w:r>
              <w:rPr>
                <w:rFonts w:hint="eastAsia" w:ascii="宋体" w:hAnsi="宋体" w:eastAsia="宋体" w:cs="宋体"/>
                <w:color w:val="333333"/>
                <w:kern w:val="0"/>
                <w:sz w:val="24"/>
                <w:szCs w:val="24"/>
                <w:highlight w:val="none"/>
              </w:rPr>
              <w:t>P地址黑名单管理；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95"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2</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公告管理包括：标题、发起部门、图片、公告详情、最后编辑时间、附件、置顶和增删改查操作；</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95"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3</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基础配置管理包括：部门管理实现自由插入上下级，部门和区域相关联</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95"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4</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区域管理：以电子围栏的形式将机场划分为，东区、西区、北区等（新增、删除、修改）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二</w:t>
            </w:r>
          </w:p>
        </w:tc>
        <w:tc>
          <w:tcPr>
            <w:tcW w:w="7624" w:type="dxa"/>
            <w:gridSpan w:val="3"/>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公共区综合管理平台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10</w:t>
            </w:r>
          </w:p>
        </w:tc>
        <w:tc>
          <w:tcPr>
            <w:tcW w:w="12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地图</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　</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both"/>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调用地图（基于地图位置服务）</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72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11</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实时定位监控</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摄像头位置信息</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调用公安卡口、违停抓拍系统、视频监控系统（人脸识别系统、室内监控系统）等接口数据，结合监控管理功能补充的位置信息，在地图显示摄像头位置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72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12</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执法人员定位</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通过移动端APP定位，单击地图人员图标，可查看人员信息：岗位、部门、姓名、照片、时间、位置信息、联系电话、性别、年龄 等信息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120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13</w:t>
            </w:r>
          </w:p>
        </w:tc>
        <w:tc>
          <w:tcPr>
            <w:tcW w:w="126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重点人员定位</w:t>
            </w:r>
          </w:p>
        </w:tc>
        <w:tc>
          <w:tcPr>
            <w:tcW w:w="4382" w:type="dxa"/>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显示人脸识别系统最后一次识别到人员时对应的摄像头位置（超过设置的阈值时间还没再次识别到就不会显示），弹框内容：姓名、照片、时间、位置信息、联系电话、性别、年龄、抓拍画面、操作（查看摄像头、视频回放、轨迹回放）</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14</w:t>
            </w:r>
          </w:p>
        </w:tc>
        <w:tc>
          <w:tcPr>
            <w:tcW w:w="126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重点车辆定位</w:t>
            </w:r>
          </w:p>
        </w:tc>
        <w:tc>
          <w:tcPr>
            <w:tcW w:w="4382" w:type="dxa"/>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显示卡口位置，时间、车牌号、位置、抓拍画面、操作查看摄像头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15</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执法车辆定位</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调用GIS位置信息实时定位</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72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16</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报警信息</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对羊儿客进入、重点车辆进出、车辆违停、人员聚集、移动端GPS未开启、巡查上报等多种类型报警信息进行实时预警</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17</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报警信息详情</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时间、报警类型、报警内容、图片、查看人员轨迹、视频回放等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18</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轨迹回放</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重点人员</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通过摄像头位置形成轨迹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19</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执法车辆</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调用GIS平台，GPS定位终端上传位置数据形成轨迹数据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20</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主要功能</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轨迹回放、位置信息展示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21</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图标弹框</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时间、内部车牌号/执法人员、位置信息、图片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22</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位置信息列表</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时间、位置信息、图片信息、查看视频（羊儿客）</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23</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回放日期选择</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可选择日期、时间段查看历史轨迹及对应的图片、视频等信息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24</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播放器</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轨迹回放倍速选择</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25</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围栏管理</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电子围栏</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设置人员聚集阈值</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26</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区域设置</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可自定义区域如：工厂等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restart"/>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27</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执法管理</w:t>
            </w:r>
          </w:p>
        </w:tc>
        <w:tc>
          <w:tcPr>
            <w:tcW w:w="197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报警管理</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报警类型：</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72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b/>
                <w:bCs/>
                <w:color w:val="333333"/>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1、重点人员进入预警：当天00:00后第一次进入报警，当两次抓拍时间间隔大于30分钟时，则重新报警，否则不报警，只做记录。设置区域，不同区域报警时间间隔不同。</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b/>
                <w:bCs/>
                <w:color w:val="333333"/>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2、重点（黄牌）车辆进出预警。进出告警、无法识别车牌的车辆需要报警。</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b/>
                <w:bCs/>
                <w:color w:val="333333"/>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3、违停报警，声音报警（共有两个点位扩音器）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b/>
                <w:bCs/>
                <w:color w:val="333333"/>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4、移动端GPS未开启报警（前提条件是在线）</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b/>
                <w:bCs/>
                <w:color w:val="333333"/>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报警信息：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b/>
                <w:bCs/>
                <w:color w:val="333333"/>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 xml:space="preserve">    时间、报警类型、报警内容、图片、视频（可追溯查看前后视频）</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b/>
                <w:bCs/>
                <w:color w:val="333333"/>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5、新建事件，用户自定义事件。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720" w:hRule="atLeast"/>
        </w:trPr>
        <w:tc>
          <w:tcPr>
            <w:tcW w:w="898" w:type="dxa"/>
            <w:vMerge w:val="restart"/>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28</w:t>
            </w:r>
          </w:p>
        </w:tc>
        <w:tc>
          <w:tcPr>
            <w:tcW w:w="126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执法处置</w:t>
            </w:r>
          </w:p>
        </w:tc>
        <w:tc>
          <w:tcPr>
            <w:tcW w:w="4382" w:type="dxa"/>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巡查上报、执法工单生成、管理员派单（摄像头上报的执法内容自动分配至相应的部门，人员上报的执法任务由管理员分配至相应部门）、接受任务、处置完成。</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vMerge w:val="continue"/>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b/>
                <w:bCs/>
                <w:color w:val="333333"/>
                <w:kern w:val="0"/>
                <w:sz w:val="24"/>
                <w:szCs w:val="24"/>
                <w:highlight w:val="none"/>
              </w:rPr>
            </w:pPr>
          </w:p>
        </w:tc>
        <w:tc>
          <w:tcPr>
            <w:tcW w:w="126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详见执法处置流程图。</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29</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监控对象管理</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重点人员管理</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提供录入功能，提供接口至人脸识别系统。人员管理信息包括：姓名、联系电话、年龄、性别、照片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30</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操作</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增删改查，批量导入、录入</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31</w:t>
            </w:r>
          </w:p>
        </w:tc>
        <w:tc>
          <w:tcPr>
            <w:tcW w:w="12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执法队伍管理</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执法车辆基本信息</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调用GIS数据只做显示。执法车辆信息包括：车牌号、所属部门、联系人员、联系电话</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32</w:t>
            </w:r>
          </w:p>
        </w:tc>
        <w:tc>
          <w:tcPr>
            <w:tcW w:w="12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监控管理</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对接外部接口</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公安卡口、违停系统、监控平台需要对接数据，标记摄像头位置、基础信息列表（可编辑位置信息）。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33</w:t>
            </w:r>
          </w:p>
        </w:tc>
        <w:tc>
          <w:tcPr>
            <w:tcW w:w="12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统计分析</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统计报表</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直接调用现有执法系统相关报表数据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34</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报警设置</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报警等级配置</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设置不同的报警区域，对应不同的报警等级以颜色作区分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35</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报警时间间隔设置</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配置同一个重点人员进入时报警的时间间隔</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36</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实时定位刷新时间间隔</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配置实时定位时重点人员没有新的位置信息时位置数据刷新的时间间隔</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30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三</w:t>
            </w:r>
          </w:p>
        </w:tc>
        <w:tc>
          <w:tcPr>
            <w:tcW w:w="7624" w:type="dxa"/>
            <w:gridSpan w:val="3"/>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APP</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37</w:t>
            </w:r>
          </w:p>
        </w:tc>
        <w:tc>
          <w:tcPr>
            <w:tcW w:w="12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用户登录</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登录</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用户通过app输入密码账户登录，向后台验证登录信息。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38</w:t>
            </w:r>
          </w:p>
        </w:tc>
        <w:tc>
          <w:tcPr>
            <w:tcW w:w="126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公告提醒</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公告提醒</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公告消息提醒：标题+时间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39</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监控</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地图</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展示整个场区地图</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40</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执法人员位置</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在场区地图上展示执法人员位置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41</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执法车辆位置</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在场区地图上展示执法车辆位置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42</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摄像头位置</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通过按钮可以控制地图上是否显示摄像头，可以自定义查询摄像头范围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72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43</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巡检上报</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通过该页面上报信息，包括巡检上报，违停上报，执法上报，自动获取gps位置信息上传，名称，现场图片，说明，视频，录像。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44</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现场处置</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接收处置平台下发给用户的任务指令，上报自己的消息，更改自己的信息状态。</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72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45</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消息</w:t>
            </w: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公告消息</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通过列表的形式展现，点击会进入详情页面，列表包括标题和时间，详情包括标题，发起部门，图片，公告详情，最后编辑时间，附件等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46</w:t>
            </w:r>
          </w:p>
        </w:tc>
        <w:tc>
          <w:tcPr>
            <w:tcW w:w="126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系统消息</w:t>
            </w:r>
          </w:p>
        </w:tc>
        <w:tc>
          <w:tcPr>
            <w:tcW w:w="4382" w:type="dxa"/>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通过列表的形式展现，列表包括标题和时间，详情包括标题、详情和时间，账号状态消息也会在这里体现。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47</w:t>
            </w:r>
          </w:p>
        </w:tc>
        <w:tc>
          <w:tcPr>
            <w:tcW w:w="12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设置</w:t>
            </w:r>
          </w:p>
        </w:tc>
        <w:tc>
          <w:tcPr>
            <w:tcW w:w="197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个人信息</w:t>
            </w:r>
          </w:p>
        </w:tc>
        <w:tc>
          <w:tcPr>
            <w:tcW w:w="4382" w:type="dxa"/>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 xml:space="preserve"> 修改头像，联系电话，所属部门，岗位，电子邮箱</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48</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账号安全</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修改初始密码，新密码，再次确认密码</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49</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app版本</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app版本查询</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27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50</w:t>
            </w: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退出登录</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点击按钮退出登录</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33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四</w:t>
            </w:r>
          </w:p>
        </w:tc>
        <w:tc>
          <w:tcPr>
            <w:tcW w:w="7624" w:type="dxa"/>
            <w:gridSpan w:val="3"/>
            <w:tcBorders>
              <w:top w:val="single" w:color="auto" w:sz="4" w:space="0"/>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公共区综合监控可视化平台（大屏）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510" w:hRule="atLeast"/>
        </w:trPr>
        <w:tc>
          <w:tcPr>
            <w:tcW w:w="898" w:type="dxa"/>
            <w:vMerge w:val="restart"/>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51</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可视化平台</w:t>
            </w:r>
          </w:p>
        </w:tc>
        <w:tc>
          <w:tcPr>
            <w:tcW w:w="197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PC</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宋体" w:hAnsi="宋体" w:cs="宋体"/>
                <w:color w:val="333333"/>
                <w:kern w:val="0"/>
                <w:sz w:val="24"/>
                <w:szCs w:val="24"/>
                <w:highlight w:val="none"/>
              </w:rPr>
            </w:pPr>
            <w:r>
              <w:rPr>
                <w:rFonts w:hint="eastAsia" w:ascii="宋体" w:hAnsi="宋体" w:cs="宋体"/>
                <w:color w:val="333333"/>
                <w:kern w:val="0"/>
                <w:sz w:val="24"/>
                <w:szCs w:val="24"/>
                <w:highlight w:val="none"/>
              </w:rPr>
              <w:t>1</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左侧显示“羊儿客”、“黑车司机”、“重点车辆”、执法事件的相关汇总数据、统计分析数据；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99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b/>
                <w:bCs/>
                <w:color w:val="333333"/>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宋体" w:hAnsi="宋体" w:cs="宋体"/>
                <w:color w:val="333333"/>
                <w:kern w:val="0"/>
                <w:sz w:val="24"/>
                <w:szCs w:val="24"/>
                <w:highlight w:val="none"/>
              </w:rPr>
            </w:pPr>
            <w:r>
              <w:rPr>
                <w:rFonts w:hint="eastAsia" w:ascii="宋体" w:hAnsi="宋体" w:cs="宋体"/>
                <w:color w:val="333333"/>
                <w:kern w:val="0"/>
                <w:sz w:val="24"/>
                <w:szCs w:val="24"/>
                <w:highlight w:val="none"/>
              </w:rPr>
              <w:t>2</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中间区域重点以公共区地理信息地图为主，结合GIS地图，可查阅卡口视频、人脸视频的实时视频情况和在/离线情况，执法队伍GPS、执法车辆实时位置，执法事件实时上报位置（地图显示近5分钟）等可视化呈现内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510" w:hRule="atLeast"/>
        </w:trPr>
        <w:tc>
          <w:tcPr>
            <w:tcW w:w="898" w:type="dxa"/>
            <w:vMerge w:val="continue"/>
            <w:tcBorders>
              <w:top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b/>
                <w:bCs/>
                <w:color w:val="333333"/>
                <w:kern w:val="0"/>
                <w:sz w:val="24"/>
                <w:szCs w:val="24"/>
                <w:highlight w:val="none"/>
              </w:rPr>
            </w:pPr>
          </w:p>
        </w:tc>
        <w:tc>
          <w:tcPr>
            <w:tcW w:w="12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333333"/>
                <w:kern w:val="0"/>
                <w:sz w:val="24"/>
                <w:szCs w:val="24"/>
                <w:highlight w:val="none"/>
              </w:rPr>
            </w:pPr>
          </w:p>
        </w:tc>
        <w:tc>
          <w:tcPr>
            <w:tcW w:w="197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大屏</w:t>
            </w:r>
          </w:p>
        </w:tc>
        <w:tc>
          <w:tcPr>
            <w:tcW w:w="4382" w:type="dxa"/>
            <w:tcBorders>
              <w:top w:val="nil"/>
              <w:left w:val="nil"/>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宋体" w:hAnsi="宋体" w:cs="宋体"/>
                <w:color w:val="333333"/>
                <w:kern w:val="0"/>
                <w:sz w:val="24"/>
                <w:szCs w:val="24"/>
                <w:highlight w:val="none"/>
              </w:rPr>
            </w:pPr>
            <w:r>
              <w:rPr>
                <w:rFonts w:hint="eastAsia" w:ascii="宋体" w:hAnsi="宋体" w:cs="宋体"/>
                <w:color w:val="333333"/>
                <w:kern w:val="0"/>
                <w:sz w:val="24"/>
                <w:szCs w:val="24"/>
                <w:highlight w:val="none"/>
              </w:rPr>
              <w:t>3</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右侧区域滚动显示实时视频数据内容和部分预警告警消息内容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52</w:t>
            </w:r>
          </w:p>
        </w:tc>
        <w:tc>
          <w:tcPr>
            <w:tcW w:w="1268"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实时监控</w:t>
            </w:r>
          </w:p>
        </w:tc>
        <w:tc>
          <w:tcPr>
            <w:tcW w:w="197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移动端</w:t>
            </w:r>
          </w:p>
        </w:tc>
        <w:tc>
          <w:tcPr>
            <w:tcW w:w="4382" w:type="dxa"/>
            <w:tcBorders>
              <w:top w:val="nil"/>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基于地图，显示公共区执法人员、车辆GPS定位位置及在/离线情况，显示自定义查询范围（0~2公里）内摄像头位置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五</w:t>
            </w:r>
          </w:p>
        </w:tc>
        <w:tc>
          <w:tcPr>
            <w:tcW w:w="7624" w:type="dxa"/>
            <w:gridSpan w:val="3"/>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对接系统及功能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53</w:t>
            </w:r>
          </w:p>
        </w:tc>
        <w:tc>
          <w:tcPr>
            <w:tcW w:w="12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对接系统</w:t>
            </w:r>
          </w:p>
        </w:tc>
        <w:tc>
          <w:tcPr>
            <w:tcW w:w="19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违停抓拍系统</w:t>
            </w:r>
          </w:p>
        </w:tc>
        <w:tc>
          <w:tcPr>
            <w:tcW w:w="4382"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1</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获取违停车辆信息并在综合管理平台进行展示</w:t>
            </w:r>
          </w:p>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2</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在试点点位安装喇叭，当有违停车辆信息时，触发喇叭进行语音播报驱赶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54</w:t>
            </w:r>
          </w:p>
        </w:tc>
        <w:tc>
          <w:tcPr>
            <w:tcW w:w="12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高清卡口系统</w:t>
            </w:r>
          </w:p>
        </w:tc>
        <w:tc>
          <w:tcPr>
            <w:tcW w:w="4382"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1</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获取重点车辆进出机场告警信息并在综合管理平台进行展示</w:t>
            </w:r>
          </w:p>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2</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通过车牌号查询车辆进出机场信息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55</w:t>
            </w:r>
          </w:p>
        </w:tc>
        <w:tc>
          <w:tcPr>
            <w:tcW w:w="12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执法系统</w:t>
            </w:r>
          </w:p>
        </w:tc>
        <w:tc>
          <w:tcPr>
            <w:tcW w:w="4382"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对接执法系统，获取执法数据类信息并在综合管理平台进行统计分析</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56</w:t>
            </w:r>
          </w:p>
        </w:tc>
        <w:tc>
          <w:tcPr>
            <w:tcW w:w="12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视频监控系统</w:t>
            </w:r>
          </w:p>
        </w:tc>
        <w:tc>
          <w:tcPr>
            <w:tcW w:w="4382"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对接视频监控系统，实现对摄像机实时播放、历史播放功能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57</w:t>
            </w:r>
          </w:p>
        </w:tc>
        <w:tc>
          <w:tcPr>
            <w:tcW w:w="12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人脸识别智能服务系统</w:t>
            </w:r>
          </w:p>
        </w:tc>
        <w:tc>
          <w:tcPr>
            <w:tcW w:w="4382"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1</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对重点人员基础信息进行维护并推送给人脸识别智能服务系统</w:t>
            </w:r>
          </w:p>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2</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获取重点人员告警信息并在综合管理平台进行展示</w:t>
            </w:r>
          </w:p>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3</w:t>
            </w:r>
            <w:r>
              <w:rPr>
                <w:rFonts w:hint="eastAsia" w:ascii="宋体" w:hAnsi="宋体" w:eastAsia="宋体" w:cs="宋体"/>
                <w:color w:val="333333"/>
                <w:kern w:val="0"/>
                <w:sz w:val="24"/>
                <w:szCs w:val="24"/>
                <w:highlight w:val="none"/>
                <w:lang w:eastAsia="zh-CN"/>
              </w:rPr>
              <w:t>、</w:t>
            </w:r>
            <w:r>
              <w:rPr>
                <w:rFonts w:hint="eastAsia" w:ascii="宋体" w:hAnsi="宋体" w:eastAsia="宋体" w:cs="宋体"/>
                <w:color w:val="333333"/>
                <w:kern w:val="0"/>
                <w:sz w:val="24"/>
                <w:szCs w:val="24"/>
                <w:highlight w:val="none"/>
              </w:rPr>
              <w:t>获取疑似重点人员告警信息并在综合管理平台进行展示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480" w:hRule="atLeast"/>
        </w:trPr>
        <w:tc>
          <w:tcPr>
            <w:tcW w:w="898" w:type="dxa"/>
            <w:tcBorders>
              <w:top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bCs/>
                <w:color w:val="333333"/>
                <w:kern w:val="0"/>
                <w:sz w:val="24"/>
                <w:szCs w:val="24"/>
                <w:highlight w:val="none"/>
              </w:rPr>
            </w:pPr>
            <w:r>
              <w:rPr>
                <w:rFonts w:hint="eastAsia" w:ascii="宋体" w:hAnsi="宋体" w:eastAsia="宋体" w:cs="宋体"/>
                <w:b/>
                <w:bCs/>
                <w:color w:val="333333"/>
                <w:kern w:val="0"/>
                <w:sz w:val="24"/>
                <w:szCs w:val="24"/>
                <w:highlight w:val="none"/>
              </w:rPr>
              <w:t>58</w:t>
            </w:r>
          </w:p>
        </w:tc>
        <w:tc>
          <w:tcPr>
            <w:tcW w:w="1268" w:type="dxa"/>
            <w:vMerge w:val="continue"/>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p>
        </w:tc>
        <w:tc>
          <w:tcPr>
            <w:tcW w:w="1974"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车辆综合监控系统</w:t>
            </w:r>
          </w:p>
        </w:tc>
        <w:tc>
          <w:tcPr>
            <w:tcW w:w="4382" w:type="dxa"/>
            <w:tcBorders>
              <w:top w:val="single" w:color="auto" w:sz="4" w:space="0"/>
              <w:lef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1.获取执法车辆基础信息</w:t>
            </w:r>
          </w:p>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2.获取执法车辆实时位置信息</w:t>
            </w:r>
          </w:p>
          <w:p>
            <w:pPr>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color w:val="333333"/>
                <w:kern w:val="0"/>
                <w:sz w:val="24"/>
                <w:szCs w:val="24"/>
                <w:highlight w:val="none"/>
              </w:rPr>
            </w:pPr>
            <w:r>
              <w:rPr>
                <w:rFonts w:hint="eastAsia" w:ascii="宋体" w:hAnsi="宋体" w:eastAsia="宋体" w:cs="宋体"/>
                <w:color w:val="333333"/>
                <w:kern w:val="0"/>
                <w:sz w:val="24"/>
                <w:szCs w:val="24"/>
                <w:highlight w:val="none"/>
              </w:rPr>
              <w:t>3.获取执法车辆在离线信息</w:t>
            </w:r>
          </w:p>
        </w:tc>
      </w:tr>
    </w:tbl>
    <w:p>
      <w:pPr>
        <w:pStyle w:val="5"/>
        <w:spacing w:line="360" w:lineRule="auto"/>
        <w:ind w:firstLine="482" w:firstLineChars="200"/>
        <w:rPr>
          <w:sz w:val="24"/>
          <w:szCs w:val="24"/>
          <w:highlight w:val="none"/>
        </w:rPr>
      </w:pPr>
      <w:r>
        <w:rPr>
          <w:rFonts w:hint="eastAsia"/>
          <w:sz w:val="24"/>
          <w:szCs w:val="24"/>
          <w:highlight w:val="none"/>
        </w:rPr>
        <w:t>1.2.2报价要求</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根据需求提供符合我方要求的服务，本项目的报价应包括：完成本项目所需的全部费用，本项目报价为包干价，不再另行增加费用。</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本项目最高限价（含增值税）为</w:t>
      </w:r>
      <w:r>
        <w:rPr>
          <w:rFonts w:hint="eastAsia" w:ascii="宋体" w:hAnsi="宋体" w:cs="宋体"/>
          <w:sz w:val="24"/>
          <w:highlight w:val="none"/>
          <w:u w:val="single"/>
          <w:lang w:val="en-US" w:eastAsia="zh-CN"/>
        </w:rPr>
        <w:t>99</w:t>
      </w:r>
      <w:r>
        <w:rPr>
          <w:rFonts w:hint="eastAsia" w:ascii="宋体" w:hAnsi="宋体" w:cs="宋体"/>
          <w:sz w:val="24"/>
          <w:highlight w:val="none"/>
          <w:u w:val="single"/>
        </w:rPr>
        <w:t>万元</w:t>
      </w:r>
      <w:r>
        <w:rPr>
          <w:rFonts w:hint="eastAsia" w:ascii="宋体" w:hAnsi="宋体" w:cs="宋体"/>
          <w:sz w:val="24"/>
          <w:highlight w:val="none"/>
        </w:rPr>
        <w:t>（大写金额：</w:t>
      </w:r>
      <w:r>
        <w:rPr>
          <w:rFonts w:hint="eastAsia" w:ascii="宋体" w:hAnsi="宋体" w:cs="宋体"/>
          <w:sz w:val="24"/>
          <w:highlight w:val="none"/>
          <w:lang w:val="en-US" w:eastAsia="zh-CN"/>
        </w:rPr>
        <w:t>玖拾玖万</w:t>
      </w:r>
      <w:r>
        <w:rPr>
          <w:rFonts w:hint="eastAsia" w:ascii="宋体" w:hAnsi="宋体" w:cs="宋体"/>
          <w:sz w:val="24"/>
          <w:highlight w:val="none"/>
        </w:rPr>
        <w:t>元整），报价超过最高限价，将取消响应人的比选资格。</w:t>
      </w:r>
    </w:p>
    <w:p>
      <w:pPr>
        <w:widowControl/>
        <w:spacing w:line="360" w:lineRule="auto"/>
        <w:ind w:firstLine="480" w:firstLineChars="200"/>
        <w:jc w:val="left"/>
        <w:rPr>
          <w:rFonts w:ascii="宋体" w:hAnsi="宋体" w:cs="宋体"/>
          <w:sz w:val="24"/>
          <w:highlight w:val="none"/>
          <w:lang w:val="en-GB"/>
        </w:rPr>
      </w:pPr>
      <w:r>
        <w:rPr>
          <w:rFonts w:hint="eastAsia" w:ascii="宋体" w:hAnsi="宋体" w:cs="宋体"/>
          <w:sz w:val="24"/>
          <w:highlight w:val="none"/>
          <w:lang w:val="en-GB"/>
        </w:rPr>
        <w:t>在修正范围内的以下情形不作为比选响应文件作废的依据：</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（1）比选响应文件中的大写金额与小写金额不一致的，以大写金额为准；</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（2）数字表示的数额与用文字表示的数额不一致时，以文字数额为准；</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（3）总价金额与依据单价计算出的结果不一致的，以单价金额为准修正总价，但单价金额小数点有明显错误的除外。</w:t>
      </w:r>
    </w:p>
    <w:p>
      <w:pPr>
        <w:pStyle w:val="4"/>
        <w:spacing w:line="360" w:lineRule="auto"/>
        <w:rPr>
          <w:b/>
          <w:sz w:val="24"/>
          <w:szCs w:val="24"/>
          <w:highlight w:val="none"/>
        </w:rPr>
      </w:pPr>
      <w:r>
        <w:rPr>
          <w:rFonts w:hint="eastAsia"/>
          <w:b/>
          <w:sz w:val="24"/>
          <w:szCs w:val="24"/>
          <w:highlight w:val="none"/>
        </w:rPr>
        <w:t>二、合格报价供应商</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themeColor="text1"/>
          <w:sz w:val="24"/>
          <w:highlight w:val="none"/>
          <w14:textFill>
            <w14:solidFill>
              <w14:schemeClr w14:val="tx1"/>
            </w14:solidFill>
          </w14:textFill>
        </w:rPr>
        <w:t>具</w:t>
      </w:r>
      <w:r>
        <w:rPr>
          <w:rFonts w:hint="eastAsia" w:ascii="宋体" w:hAnsi="宋体" w:cs="宋体"/>
          <w:color w:val="000000"/>
          <w:sz w:val="24"/>
          <w:highlight w:val="none"/>
        </w:rPr>
        <w:t>有与本比选文件要求相适应的服务能力的供应商。比选响应单位必须具备：</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2.1具有有效营业执照（须提供复印件加盖鲜章）；</w:t>
      </w:r>
    </w:p>
    <w:p>
      <w:pPr>
        <w:widowControl/>
        <w:spacing w:line="360" w:lineRule="auto"/>
        <w:ind w:firstLine="480" w:firstLineChars="200"/>
        <w:rPr>
          <w:rFonts w:ascii="宋体" w:hAnsi="宋体" w:cs="宋体"/>
          <w:sz w:val="24"/>
          <w:highlight w:val="none"/>
        </w:rPr>
      </w:pPr>
      <w:r>
        <w:rPr>
          <w:rFonts w:hint="eastAsia" w:ascii="宋体" w:hAnsi="宋体" w:cs="宋体"/>
          <w:sz w:val="24"/>
          <w:highlight w:val="none"/>
        </w:rPr>
        <w:t>2.2信誉要求：响应单位未被“信用中国”网站（www.creditchina.gov.cn）列为失信被执行人。提供相关查询截图并加盖响应单位鲜公章；</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2.3有效的一般纳税人资格证明盖鲜章或者小规模纳税人资格证明盖鲜章；</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2.4法定代表人授权书和法定代表人身份证复印件；</w:t>
      </w:r>
    </w:p>
    <w:p>
      <w:pPr>
        <w:widowControl/>
        <w:spacing w:line="360" w:lineRule="auto"/>
        <w:ind w:firstLine="480" w:firstLineChars="200"/>
        <w:jc w:val="left"/>
        <w:rPr>
          <w:sz w:val="24"/>
          <w:highlight w:val="none"/>
        </w:rPr>
      </w:pPr>
      <w:r>
        <w:rPr>
          <w:rFonts w:hint="eastAsia" w:ascii="宋体" w:hAnsi="宋体" w:cs="宋体"/>
          <w:sz w:val="24"/>
          <w:highlight w:val="none"/>
        </w:rPr>
        <w:t>2.5被授权人身份证复印件（原件备查）和提供被授权人近一个月社保证明</w:t>
      </w:r>
      <w:r>
        <w:rPr>
          <w:rFonts w:hint="eastAsia" w:ascii="宋体" w:hAnsi="宋体" w:cs="宋体"/>
          <w:sz w:val="24"/>
          <w:highlight w:val="none"/>
          <w:lang w:eastAsia="zh-CN"/>
        </w:rPr>
        <w:t>（须为响应单位在职员工）</w:t>
      </w:r>
      <w:r>
        <w:rPr>
          <w:rFonts w:hint="eastAsia" w:ascii="宋体" w:hAnsi="宋体" w:cs="宋体"/>
          <w:sz w:val="24"/>
          <w:highlight w:val="none"/>
        </w:rPr>
        <w:t>。</w:t>
      </w:r>
    </w:p>
    <w:p>
      <w:pPr>
        <w:pStyle w:val="4"/>
        <w:spacing w:line="360" w:lineRule="auto"/>
        <w:rPr>
          <w:b/>
          <w:sz w:val="24"/>
          <w:szCs w:val="24"/>
          <w:highlight w:val="none"/>
        </w:rPr>
      </w:pPr>
      <w:r>
        <w:rPr>
          <w:rFonts w:hint="eastAsia"/>
          <w:b/>
          <w:sz w:val="24"/>
          <w:szCs w:val="24"/>
          <w:highlight w:val="none"/>
        </w:rPr>
        <w:t>三、成交标准</w:t>
      </w:r>
    </w:p>
    <w:p>
      <w:pPr>
        <w:widowControl/>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kern w:val="0"/>
          <w:sz w:val="24"/>
          <w:highlight w:val="none"/>
        </w:rPr>
        <w:t>本次比选成交人确定办法采用综合评分法，即</w:t>
      </w:r>
      <w:r>
        <w:rPr>
          <w:rFonts w:hint="eastAsia" w:ascii="宋体" w:hAnsi="宋体" w:cs="宋体"/>
          <w:b/>
          <w:bCs/>
          <w:color w:val="000000"/>
          <w:kern w:val="0"/>
          <w:sz w:val="24"/>
          <w:highlight w:val="none"/>
        </w:rPr>
        <w:t>经评审满足条件的综合评分高</w:t>
      </w:r>
      <w:r>
        <w:rPr>
          <w:rFonts w:hint="eastAsia" w:ascii="宋体" w:hAnsi="宋体" w:cs="宋体"/>
          <w:color w:val="000000"/>
          <w:kern w:val="0"/>
          <w:sz w:val="24"/>
          <w:highlight w:val="none"/>
        </w:rPr>
        <w:t>者成交，具体评分标准见附件1，具体要求如下：</w:t>
      </w:r>
    </w:p>
    <w:p>
      <w:pPr>
        <w:widowControl/>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kern w:val="0"/>
          <w:sz w:val="24"/>
          <w:highlight w:val="none"/>
        </w:rPr>
        <w:t>3.1递交比选响应文件截止时，送达的比选响应文件少于3个的，应停止比选活动，将递交的比选响应文件退还比选响应人，并重新组织比选。重新比选仍然不足3个单位的，比选项目将可以继续进行比选。</w:t>
      </w:r>
    </w:p>
    <w:p>
      <w:pPr>
        <w:widowControl/>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kern w:val="0"/>
          <w:sz w:val="24"/>
          <w:highlight w:val="none"/>
        </w:rPr>
        <w:t>3.2如有项目因专业性及特殊性，导致有效比选响应人不足3个的，评审委员会应当否决所有比选响应人。但是有效比选响应人的经济、商务等指标仍然具有市场竞争力，能够满足比选文件要求的，评审委员会可以继续评审，根据符合采购需求、质量和服务，且综合评分高的原则确定成交候选人。</w:t>
      </w:r>
    </w:p>
    <w:p>
      <w:pPr>
        <w:widowControl/>
        <w:spacing w:line="360" w:lineRule="auto"/>
        <w:ind w:firstLine="480" w:firstLineChars="200"/>
        <w:jc w:val="left"/>
        <w:rPr>
          <w:rFonts w:ascii="宋体" w:hAnsi="宋体" w:cs="宋体"/>
          <w:bCs/>
          <w:color w:val="000000"/>
          <w:sz w:val="24"/>
          <w:highlight w:val="none"/>
        </w:rPr>
      </w:pPr>
      <w:r>
        <w:rPr>
          <w:rFonts w:hint="eastAsia" w:ascii="宋体" w:hAnsi="宋体" w:cs="宋体"/>
          <w:color w:val="000000"/>
          <w:kern w:val="0"/>
          <w:sz w:val="24"/>
          <w:highlight w:val="none"/>
        </w:rPr>
        <w:t>3.3项目重新比选时，经评审有有效比选响应人的，应当按规定程序，根据符合采购需求、质量和服务，且综合评分高的原则确定成交候选人。</w:t>
      </w:r>
    </w:p>
    <w:p>
      <w:pPr>
        <w:spacing w:line="360" w:lineRule="auto"/>
        <w:ind w:firstLine="480" w:firstLineChars="200"/>
        <w:rPr>
          <w:rFonts w:ascii="宋体" w:hAnsi="宋体" w:cs="宋体"/>
          <w:bCs/>
          <w:color w:val="000000"/>
          <w:sz w:val="24"/>
          <w:highlight w:val="none"/>
        </w:rPr>
      </w:pPr>
      <w:r>
        <w:rPr>
          <w:rFonts w:hint="eastAsia" w:ascii="宋体" w:hAnsi="宋体" w:cs="宋体"/>
          <w:bCs/>
          <w:color w:val="000000"/>
          <w:sz w:val="24"/>
          <w:highlight w:val="none"/>
        </w:rPr>
        <w:t>3.4 若排名第一的中标候选人放弃中标、未能在招标文件规定期限内交纳履约保证金、因不可抗力提出不能履行合同，或者被查实存在影响中标结果的违法行为等情形，不符合中标条件的，报采购领导小组审批同意后，按照评标小组提出的中标候选人名单排序依次确定其他中标候选人为中标人。</w:t>
      </w:r>
    </w:p>
    <w:p>
      <w:pPr>
        <w:pStyle w:val="4"/>
        <w:spacing w:line="360" w:lineRule="auto"/>
        <w:rPr>
          <w:b/>
          <w:sz w:val="24"/>
          <w:szCs w:val="24"/>
          <w:highlight w:val="none"/>
        </w:rPr>
      </w:pPr>
      <w:r>
        <w:rPr>
          <w:rFonts w:hint="eastAsia"/>
          <w:b/>
          <w:color w:val="000000"/>
          <w:kern w:val="0"/>
          <w:sz w:val="24"/>
          <w:szCs w:val="24"/>
          <w:highlight w:val="none"/>
        </w:rPr>
        <w:t>四、</w:t>
      </w:r>
      <w:r>
        <w:rPr>
          <w:rFonts w:hint="eastAsia"/>
          <w:b/>
          <w:sz w:val="24"/>
          <w:szCs w:val="24"/>
          <w:highlight w:val="none"/>
        </w:rPr>
        <w:t>比选文件发放的时间及地点</w:t>
      </w:r>
    </w:p>
    <w:p>
      <w:pPr>
        <w:spacing w:line="360" w:lineRule="auto"/>
        <w:ind w:firstLine="480" w:firstLineChars="200"/>
        <w:rPr>
          <w:rFonts w:ascii="宋体" w:hAnsi="宋体" w:cs="宋体"/>
          <w:bCs/>
          <w:color w:val="000000"/>
          <w:sz w:val="24"/>
          <w:highlight w:val="none"/>
        </w:rPr>
      </w:pPr>
      <w:r>
        <w:rPr>
          <w:rFonts w:hint="eastAsia" w:ascii="宋体" w:hAnsi="宋体" w:cs="宋体"/>
          <w:bCs/>
          <w:color w:val="000000"/>
          <w:sz w:val="24"/>
          <w:highlight w:val="none"/>
        </w:rPr>
        <w:t>凡有意参加的供应商，请于</w:t>
      </w:r>
      <w:r>
        <w:rPr>
          <w:rFonts w:hint="eastAsia" w:ascii="宋体" w:hAnsi="宋体" w:cs="宋体"/>
          <w:bCs/>
          <w:color w:val="000000"/>
          <w:sz w:val="24"/>
          <w:highlight w:val="none"/>
          <w:u w:val="single"/>
        </w:rPr>
        <w:t>2021年</w:t>
      </w:r>
      <w:r>
        <w:rPr>
          <w:rFonts w:hint="eastAsia" w:ascii="宋体" w:hAnsi="宋体" w:cs="宋体"/>
          <w:bCs/>
          <w:color w:val="000000"/>
          <w:sz w:val="24"/>
          <w:highlight w:val="none"/>
          <w:u w:val="single"/>
          <w:lang w:val="en-US" w:eastAsia="zh-CN"/>
        </w:rPr>
        <w:t>10</w:t>
      </w:r>
      <w:r>
        <w:rPr>
          <w:rFonts w:hint="eastAsia" w:ascii="宋体" w:hAnsi="宋体" w:cs="宋体"/>
          <w:bCs/>
          <w:color w:val="000000"/>
          <w:sz w:val="24"/>
          <w:highlight w:val="none"/>
          <w:u w:val="single"/>
        </w:rPr>
        <w:t>月</w:t>
      </w:r>
      <w:r>
        <w:rPr>
          <w:rFonts w:hint="eastAsia" w:ascii="宋体" w:hAnsi="宋体" w:cs="宋体"/>
          <w:bCs/>
          <w:color w:val="000000"/>
          <w:sz w:val="24"/>
          <w:highlight w:val="none"/>
          <w:u w:val="single"/>
          <w:lang w:val="en-US" w:eastAsia="zh-CN"/>
        </w:rPr>
        <w:t>9</w:t>
      </w:r>
      <w:r>
        <w:rPr>
          <w:rFonts w:hint="eastAsia" w:ascii="宋体" w:hAnsi="宋体" w:cs="宋体"/>
          <w:bCs/>
          <w:color w:val="000000"/>
          <w:sz w:val="24"/>
          <w:highlight w:val="none"/>
          <w:u w:val="single"/>
        </w:rPr>
        <w:t>日</w:t>
      </w:r>
      <w:r>
        <w:rPr>
          <w:rFonts w:hint="eastAsia" w:ascii="宋体" w:hAnsi="宋体" w:cs="宋体"/>
          <w:bCs/>
          <w:color w:val="000000"/>
          <w:sz w:val="24"/>
          <w:highlight w:val="none"/>
        </w:rPr>
        <w:t>起（北京时间，下同）在重庆江北机场外网招标招商板块（https://www.cqa.cn/zbzs/4/）下载：比选文件、澄清、修改、补充通知、最高限价通知等全部内容。不管下载与否都视为潜在供应商全部知晓有关比选过程和全部内容。</w:t>
      </w:r>
    </w:p>
    <w:p>
      <w:pPr>
        <w:pStyle w:val="4"/>
        <w:spacing w:line="360" w:lineRule="auto"/>
        <w:rPr>
          <w:color w:val="FF0000"/>
          <w:sz w:val="24"/>
          <w:szCs w:val="24"/>
          <w:highlight w:val="none"/>
        </w:rPr>
      </w:pPr>
      <w:r>
        <w:rPr>
          <w:rFonts w:hint="eastAsia"/>
          <w:b/>
          <w:sz w:val="24"/>
          <w:szCs w:val="24"/>
          <w:highlight w:val="none"/>
        </w:rPr>
        <w:t>五、项目履约保证金</w:t>
      </w:r>
    </w:p>
    <w:p>
      <w:pPr>
        <w:adjustRightInd w:val="0"/>
        <w:snapToGrid w:val="0"/>
        <w:spacing w:line="360" w:lineRule="auto"/>
        <w:ind w:left="1" w:firstLine="480" w:firstLineChars="200"/>
        <w:jc w:val="left"/>
        <w:rPr>
          <w:rFonts w:ascii="宋体" w:hAnsi="宋体" w:cs="宋体"/>
          <w:bCs/>
          <w:color w:val="000000"/>
          <w:sz w:val="24"/>
          <w:highlight w:val="none"/>
        </w:rPr>
      </w:pPr>
      <w:r>
        <w:rPr>
          <w:rFonts w:hint="eastAsia" w:ascii="宋体" w:hAnsi="宋体" w:cs="宋体"/>
          <w:bCs/>
          <w:color w:val="000000"/>
          <w:sz w:val="24"/>
          <w:highlight w:val="none"/>
        </w:rPr>
        <w:t>5.1履约保证金为合同总价款</w:t>
      </w:r>
      <w:r>
        <w:rPr>
          <w:rFonts w:hint="eastAsia" w:ascii="宋体" w:hAnsi="宋体" w:cs="宋体"/>
          <w:bCs/>
          <w:color w:val="000000"/>
          <w:sz w:val="24"/>
          <w:highlight w:val="none"/>
          <w:lang w:eastAsia="zh-CN"/>
        </w:rPr>
        <w:t>（</w:t>
      </w:r>
      <w:r>
        <w:rPr>
          <w:rFonts w:hint="eastAsia" w:ascii="宋体" w:hAnsi="宋体" w:cs="宋体"/>
          <w:bCs/>
          <w:color w:val="000000"/>
          <w:sz w:val="24"/>
          <w:highlight w:val="none"/>
          <w:lang w:val="en-US" w:eastAsia="zh-CN"/>
        </w:rPr>
        <w:t>不含税</w:t>
      </w:r>
      <w:r>
        <w:rPr>
          <w:rFonts w:hint="eastAsia" w:ascii="宋体" w:hAnsi="宋体" w:cs="宋体"/>
          <w:bCs/>
          <w:color w:val="000000"/>
          <w:sz w:val="24"/>
          <w:highlight w:val="none"/>
          <w:lang w:eastAsia="zh-CN"/>
        </w:rPr>
        <w:t>）</w:t>
      </w:r>
      <w:r>
        <w:rPr>
          <w:rFonts w:hint="eastAsia" w:ascii="宋体" w:hAnsi="宋体" w:cs="宋体"/>
          <w:bCs/>
          <w:color w:val="000000"/>
          <w:sz w:val="24"/>
          <w:highlight w:val="none"/>
        </w:rPr>
        <w:t>的10%，在收到成交通知书10</w:t>
      </w:r>
      <w:r>
        <w:rPr>
          <w:rFonts w:hint="eastAsia" w:ascii="宋体" w:hAnsi="宋体" w:cs="宋体"/>
          <w:bCs/>
          <w:color w:val="000000"/>
          <w:sz w:val="24"/>
          <w:highlight w:val="none"/>
          <w:lang w:val="en-US" w:eastAsia="zh-CN"/>
        </w:rPr>
        <w:t>个工作</w:t>
      </w:r>
      <w:r>
        <w:rPr>
          <w:rFonts w:hint="eastAsia" w:ascii="宋体" w:hAnsi="宋体" w:cs="宋体"/>
          <w:bCs/>
          <w:color w:val="000000"/>
          <w:sz w:val="24"/>
          <w:highlight w:val="none"/>
        </w:rPr>
        <w:t>日内缴纳，于履约结束后，由使用部门一次性退还（不记利息）。</w:t>
      </w:r>
    </w:p>
    <w:p>
      <w:pPr>
        <w:adjustRightInd w:val="0"/>
        <w:snapToGrid w:val="0"/>
        <w:spacing w:line="360" w:lineRule="auto"/>
        <w:ind w:firstLine="480" w:firstLineChars="200"/>
        <w:rPr>
          <w:rFonts w:ascii="宋体" w:hAnsi="宋体" w:cs="宋体"/>
          <w:bCs/>
          <w:color w:val="000000"/>
          <w:sz w:val="24"/>
          <w:highlight w:val="none"/>
        </w:rPr>
      </w:pPr>
      <w:r>
        <w:rPr>
          <w:rFonts w:hint="eastAsia" w:ascii="宋体" w:hAnsi="宋体" w:cs="宋体"/>
          <w:bCs/>
          <w:color w:val="000000"/>
          <w:sz w:val="24"/>
          <w:highlight w:val="none"/>
        </w:rPr>
        <w:t>5.2 提交方式：乙方企业基本账户银行转账。乙方提交履约保证金后应到采购人财务部（重庆市渝北区机场东一路15号重庆机场信息通信网络有限公司3楼）换取保证金收据。</w:t>
      </w:r>
    </w:p>
    <w:p>
      <w:pPr>
        <w:adjustRightInd w:val="0"/>
        <w:snapToGrid w:val="0"/>
        <w:spacing w:line="360" w:lineRule="auto"/>
        <w:ind w:firstLine="480" w:firstLineChars="200"/>
        <w:rPr>
          <w:rFonts w:ascii="宋体" w:hAnsi="宋体" w:cs="宋体"/>
          <w:bCs/>
          <w:color w:val="000000"/>
          <w:sz w:val="24"/>
          <w:highlight w:val="none"/>
        </w:rPr>
      </w:pPr>
      <w:r>
        <w:rPr>
          <w:rFonts w:hint="eastAsia" w:ascii="宋体" w:hAnsi="宋体" w:cs="宋体"/>
          <w:bCs/>
          <w:color w:val="000000"/>
          <w:sz w:val="24"/>
          <w:highlight w:val="none"/>
        </w:rPr>
        <w:t>开户名：重庆机场信息通信网络有限公司</w:t>
      </w:r>
    </w:p>
    <w:p>
      <w:pPr>
        <w:adjustRightInd w:val="0"/>
        <w:snapToGrid w:val="0"/>
        <w:spacing w:line="360" w:lineRule="auto"/>
        <w:ind w:firstLine="480" w:firstLineChars="200"/>
        <w:rPr>
          <w:rFonts w:ascii="宋体" w:hAnsi="宋体" w:cs="宋体"/>
          <w:bCs/>
          <w:color w:val="000000"/>
          <w:sz w:val="24"/>
          <w:highlight w:val="none"/>
        </w:rPr>
      </w:pPr>
      <w:r>
        <w:rPr>
          <w:rFonts w:hint="eastAsia" w:ascii="宋体" w:hAnsi="宋体" w:cs="宋体"/>
          <w:bCs/>
          <w:color w:val="000000"/>
          <w:sz w:val="24"/>
          <w:highlight w:val="none"/>
        </w:rPr>
        <w:t>开户银行：建行重庆渝北机场支行</w:t>
      </w:r>
    </w:p>
    <w:p>
      <w:pPr>
        <w:spacing w:line="360" w:lineRule="auto"/>
        <w:ind w:firstLine="480" w:firstLineChars="200"/>
        <w:rPr>
          <w:rFonts w:ascii="宋体" w:hAnsi="宋体" w:cs="宋体"/>
          <w:bCs/>
          <w:color w:val="000000"/>
          <w:sz w:val="24"/>
          <w:highlight w:val="none"/>
        </w:rPr>
      </w:pPr>
      <w:r>
        <w:rPr>
          <w:rFonts w:hint="eastAsia" w:ascii="宋体" w:hAnsi="宋体" w:cs="宋体"/>
          <w:bCs/>
          <w:color w:val="000000"/>
          <w:sz w:val="24"/>
          <w:highlight w:val="none"/>
        </w:rPr>
        <w:t>账号：5000 1083 8000 5020 0627</w:t>
      </w:r>
    </w:p>
    <w:p>
      <w:pPr>
        <w:pStyle w:val="4"/>
        <w:spacing w:line="360" w:lineRule="auto"/>
        <w:rPr>
          <w:b/>
          <w:sz w:val="24"/>
          <w:szCs w:val="24"/>
          <w:highlight w:val="none"/>
        </w:rPr>
      </w:pPr>
      <w:r>
        <w:rPr>
          <w:rFonts w:hint="eastAsia"/>
          <w:b/>
          <w:kern w:val="0"/>
          <w:sz w:val="24"/>
          <w:szCs w:val="24"/>
          <w:highlight w:val="none"/>
        </w:rPr>
        <w:t>六、</w:t>
      </w:r>
      <w:r>
        <w:rPr>
          <w:rFonts w:hint="eastAsia"/>
          <w:b/>
          <w:sz w:val="24"/>
          <w:szCs w:val="24"/>
          <w:highlight w:val="none"/>
        </w:rPr>
        <w:t>支付方式</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平台开发实施完成并验收合格后，</w:t>
      </w:r>
      <w:r>
        <w:rPr>
          <w:rFonts w:hint="eastAsia" w:ascii="宋体" w:hAnsi="宋体" w:cs="宋体"/>
          <w:sz w:val="24"/>
          <w:highlight w:val="none"/>
          <w:u w:val="single"/>
        </w:rPr>
        <w:t>15个工作日</w:t>
      </w:r>
      <w:r>
        <w:rPr>
          <w:rFonts w:hint="eastAsia" w:ascii="宋体" w:hAnsi="宋体" w:cs="宋体"/>
          <w:sz w:val="24"/>
          <w:highlight w:val="none"/>
        </w:rPr>
        <w:t>内</w:t>
      </w:r>
      <w:r>
        <w:rPr>
          <w:rFonts w:ascii="宋体" w:hAnsi="宋体" w:cs="宋体"/>
          <w:sz w:val="24"/>
          <w:highlight w:val="none"/>
        </w:rPr>
        <w:t>支付到</w:t>
      </w:r>
      <w:r>
        <w:rPr>
          <w:rFonts w:hint="eastAsia" w:ascii="宋体" w:hAnsi="宋体" w:cs="宋体"/>
          <w:sz w:val="24"/>
          <w:highlight w:val="none"/>
        </w:rPr>
        <w:t>合同总额的</w:t>
      </w:r>
      <w:r>
        <w:rPr>
          <w:rFonts w:ascii="宋体" w:hAnsi="宋体" w:cs="宋体"/>
          <w:sz w:val="24"/>
          <w:highlight w:val="none"/>
        </w:rPr>
        <w:t>9</w:t>
      </w:r>
      <w:r>
        <w:rPr>
          <w:rFonts w:hint="eastAsia" w:ascii="宋体" w:hAnsi="宋体" w:cs="宋体"/>
          <w:sz w:val="24"/>
          <w:highlight w:val="none"/>
        </w:rPr>
        <w:t>7</w:t>
      </w:r>
      <w:r>
        <w:rPr>
          <w:rFonts w:ascii="宋体" w:hAnsi="宋体" w:cs="宋体"/>
          <w:sz w:val="24"/>
          <w:highlight w:val="none"/>
        </w:rPr>
        <w:t>%</w:t>
      </w:r>
      <w:r>
        <w:rPr>
          <w:rFonts w:hint="eastAsia" w:ascii="宋体" w:hAnsi="宋体" w:cs="宋体"/>
          <w:sz w:val="24"/>
          <w:highlight w:val="none"/>
        </w:rPr>
        <w:t>，</w:t>
      </w:r>
      <w:r>
        <w:rPr>
          <w:rFonts w:hint="eastAsia" w:ascii="宋体" w:hAnsi="宋体" w:cs="宋体"/>
          <w:sz w:val="24"/>
          <w:highlight w:val="none"/>
          <w:lang w:val="en-US" w:eastAsia="zh-CN"/>
        </w:rPr>
        <w:t>待</w:t>
      </w:r>
      <w:r>
        <w:rPr>
          <w:rFonts w:hint="eastAsia" w:ascii="宋体" w:hAnsi="宋体" w:cs="宋体"/>
          <w:sz w:val="24"/>
          <w:highlight w:val="none"/>
        </w:rPr>
        <w:t>质保期结束</w:t>
      </w:r>
      <w:r>
        <w:rPr>
          <w:rFonts w:hint="eastAsia" w:ascii="宋体" w:hAnsi="宋体" w:cs="宋体"/>
          <w:sz w:val="24"/>
          <w:highlight w:val="none"/>
          <w:lang w:val="en-US" w:eastAsia="zh-CN"/>
        </w:rPr>
        <w:t>，经甲方确认</w:t>
      </w:r>
      <w:r>
        <w:rPr>
          <w:rFonts w:hint="eastAsia" w:ascii="宋体" w:hAnsi="宋体" w:cs="宋体"/>
          <w:sz w:val="24"/>
          <w:highlight w:val="none"/>
        </w:rPr>
        <w:t>无质量问题后</w:t>
      </w:r>
      <w:r>
        <w:rPr>
          <w:rFonts w:hint="eastAsia" w:ascii="宋体" w:hAnsi="宋体" w:cs="宋体"/>
          <w:sz w:val="24"/>
          <w:highlight w:val="none"/>
          <w:lang w:eastAsia="zh-CN"/>
        </w:rPr>
        <w:t>，</w:t>
      </w:r>
      <w:r>
        <w:rPr>
          <w:rFonts w:hint="eastAsia" w:ascii="宋体" w:hAnsi="宋体" w:cs="宋体"/>
          <w:sz w:val="24"/>
          <w:highlight w:val="none"/>
        </w:rPr>
        <w:t>支付剩下3</w:t>
      </w:r>
      <w:r>
        <w:rPr>
          <w:rFonts w:ascii="宋体" w:hAnsi="宋体" w:cs="宋体"/>
          <w:sz w:val="24"/>
          <w:highlight w:val="none"/>
        </w:rPr>
        <w:t>%</w:t>
      </w:r>
      <w:r>
        <w:rPr>
          <w:rFonts w:hint="eastAsia" w:ascii="宋体" w:hAnsi="宋体" w:cs="宋体"/>
          <w:sz w:val="24"/>
          <w:highlight w:val="none"/>
        </w:rPr>
        <w:t>合同款</w:t>
      </w:r>
      <w:r>
        <w:rPr>
          <w:rFonts w:hint="eastAsia" w:ascii="宋体" w:hAnsi="宋体" w:cs="宋体"/>
          <w:sz w:val="24"/>
          <w:highlight w:val="none"/>
          <w:lang w:eastAsia="zh-CN"/>
        </w:rPr>
        <w:t>（</w:t>
      </w:r>
      <w:r>
        <w:rPr>
          <w:rFonts w:hint="eastAsia" w:ascii="宋体" w:hAnsi="宋体" w:cs="宋体"/>
          <w:sz w:val="24"/>
          <w:highlight w:val="none"/>
          <w:lang w:val="en-US" w:eastAsia="zh-CN"/>
        </w:rPr>
        <w:t>不计利息</w:t>
      </w:r>
      <w:r>
        <w:rPr>
          <w:rFonts w:hint="eastAsia" w:ascii="宋体" w:hAnsi="宋体" w:cs="宋体"/>
          <w:sz w:val="24"/>
          <w:highlight w:val="none"/>
          <w:lang w:eastAsia="zh-CN"/>
        </w:rPr>
        <w:t>）</w:t>
      </w:r>
      <w:r>
        <w:rPr>
          <w:rFonts w:hint="eastAsia" w:ascii="宋体" w:hAnsi="宋体" w:cs="宋体"/>
          <w:sz w:val="24"/>
          <w:highlight w:val="none"/>
        </w:rPr>
        <w:t>。</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若乙方开具增值税专用发票，则甲方支付不含税合同金额和税额的总金额；若乙方开具增值税普通发票，则甲方仅支付不含税合同金额。</w:t>
      </w:r>
    </w:p>
    <w:p>
      <w:pPr>
        <w:pStyle w:val="4"/>
        <w:spacing w:line="360" w:lineRule="auto"/>
        <w:rPr>
          <w:b/>
          <w:sz w:val="24"/>
          <w:szCs w:val="24"/>
          <w:highlight w:val="none"/>
        </w:rPr>
      </w:pPr>
      <w:r>
        <w:rPr>
          <w:rFonts w:hint="eastAsia"/>
          <w:b/>
          <w:sz w:val="24"/>
          <w:szCs w:val="24"/>
          <w:highlight w:val="none"/>
        </w:rPr>
        <w:t>七、服务期限</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自签订合同之日起</w:t>
      </w:r>
      <w:r>
        <w:rPr>
          <w:rFonts w:hint="eastAsia" w:ascii="宋体" w:hAnsi="宋体" w:cs="宋体"/>
          <w:sz w:val="24"/>
          <w:highlight w:val="none"/>
          <w:lang w:val="en-US" w:eastAsia="zh-CN"/>
        </w:rPr>
        <w:t>90日历天</w:t>
      </w:r>
      <w:r>
        <w:rPr>
          <w:rFonts w:hint="eastAsia" w:ascii="宋体" w:hAnsi="宋体" w:cs="宋体"/>
          <w:sz w:val="24"/>
          <w:highlight w:val="none"/>
        </w:rPr>
        <w:t>内完成软件开发、安装调试。</w:t>
      </w:r>
    </w:p>
    <w:p>
      <w:pPr>
        <w:pStyle w:val="18"/>
        <w:numPr>
          <w:ilvl w:val="0"/>
          <w:numId w:val="4"/>
        </w:numPr>
        <w:jc w:val="both"/>
        <w:rPr>
          <w:rFonts w:hint="eastAsia" w:ascii="宋体" w:hAnsi="宋体" w:cs="宋体"/>
          <w:sz w:val="24"/>
          <w:highlight w:val="none"/>
          <w:lang w:eastAsia="zh-CN"/>
        </w:rPr>
      </w:pPr>
      <w:r>
        <w:rPr>
          <w:rFonts w:hint="eastAsia" w:ascii="宋体" w:hAnsi="宋体" w:cs="宋体"/>
          <w:sz w:val="24"/>
          <w:highlight w:val="none"/>
          <w:lang w:eastAsia="zh-CN"/>
        </w:rPr>
        <w:t>质保期</w:t>
      </w:r>
    </w:p>
    <w:p>
      <w:pPr>
        <w:pStyle w:val="4"/>
        <w:spacing w:line="360" w:lineRule="auto"/>
        <w:ind w:firstLine="480" w:firstLineChars="200"/>
        <w:rPr>
          <w:rFonts w:hint="eastAsia"/>
          <w:b/>
          <w:sz w:val="24"/>
          <w:szCs w:val="24"/>
          <w:highlight w:val="none"/>
          <w:lang w:eastAsia="zh-CN"/>
        </w:rPr>
      </w:pPr>
      <w:r>
        <w:rPr>
          <w:rFonts w:hint="eastAsia" w:ascii="宋体" w:hAnsi="宋体" w:eastAsia="宋体" w:cs="宋体"/>
          <w:b w:val="0"/>
          <w:bCs w:val="0"/>
          <w:sz w:val="24"/>
          <w:highlight w:val="none"/>
          <w:lang w:val="en-US" w:eastAsia="zh-CN"/>
        </w:rPr>
        <w:t>经甲方</w:t>
      </w:r>
      <w:r>
        <w:rPr>
          <w:rFonts w:hint="eastAsia" w:ascii="宋体" w:hAnsi="宋体" w:eastAsia="宋体" w:cs="宋体"/>
          <w:b w:val="0"/>
          <w:bCs w:val="0"/>
          <w:sz w:val="24"/>
          <w:highlight w:val="none"/>
        </w:rPr>
        <w:t>验收合格</w:t>
      </w:r>
      <w:r>
        <w:rPr>
          <w:rFonts w:hint="eastAsia" w:ascii="宋体" w:hAnsi="宋体" w:eastAsia="宋体" w:cs="宋体"/>
          <w:b w:val="0"/>
          <w:bCs w:val="0"/>
          <w:sz w:val="24"/>
          <w:highlight w:val="none"/>
          <w:lang w:val="en-US" w:eastAsia="zh-CN"/>
        </w:rPr>
        <w:t>之日起</w:t>
      </w:r>
      <w:r>
        <w:rPr>
          <w:rFonts w:hint="eastAsia" w:ascii="宋体" w:hAnsi="宋体" w:eastAsia="宋体" w:cs="宋体"/>
          <w:b w:val="0"/>
          <w:bCs w:val="0"/>
          <w:sz w:val="24"/>
          <w:highlight w:val="none"/>
        </w:rPr>
        <w:t>整体质保软件1年</w:t>
      </w:r>
      <w:r>
        <w:rPr>
          <w:rFonts w:hint="eastAsia" w:ascii="宋体" w:hAnsi="宋体" w:cs="宋体"/>
          <w:b w:val="0"/>
          <w:bCs w:val="0"/>
          <w:sz w:val="24"/>
          <w:highlight w:val="none"/>
          <w:lang w:eastAsia="zh-CN"/>
        </w:rPr>
        <w:t>。</w:t>
      </w:r>
      <w:r>
        <w:rPr>
          <w:rFonts w:hint="eastAsia" w:ascii="宋体" w:hAnsi="宋体" w:eastAsia="宋体" w:cs="宋体"/>
          <w:b w:val="0"/>
          <w:bCs/>
          <w:sz w:val="24"/>
          <w:highlight w:val="none"/>
        </w:rPr>
        <w:t>乙方负责系统所有的软件故障处理；须配合甲方完成与本系统相关的其他系统升级；质保期内完成已建系统功能模块的优化调整。</w:t>
      </w:r>
      <w:r>
        <w:rPr>
          <w:rFonts w:hint="eastAsia" w:ascii="宋体" w:hAnsi="宋体" w:eastAsia="宋体" w:cs="宋体"/>
          <w:b w:val="0"/>
          <w:bCs/>
          <w:sz w:val="24"/>
          <w:highlight w:val="none"/>
          <w:lang w:val="en-US" w:eastAsia="zh-CN"/>
        </w:rPr>
        <w:t>在甲方申告故障之后，</w:t>
      </w:r>
      <w:r>
        <w:rPr>
          <w:rFonts w:hint="eastAsia" w:ascii="宋体" w:hAnsi="宋体" w:eastAsia="宋体" w:cs="宋体"/>
          <w:b w:val="0"/>
          <w:bCs/>
          <w:sz w:val="24"/>
          <w:highlight w:val="none"/>
          <w:lang w:eastAsia="zh-CN"/>
        </w:rPr>
        <w:t>乙方须在</w:t>
      </w:r>
      <w:r>
        <w:rPr>
          <w:rFonts w:hint="eastAsia" w:ascii="宋体" w:hAnsi="宋体" w:eastAsia="宋体" w:cs="宋体"/>
          <w:b w:val="0"/>
          <w:bCs/>
          <w:sz w:val="24"/>
          <w:highlight w:val="none"/>
          <w:u w:val="none"/>
          <w:lang w:val="en-US" w:eastAsia="zh-CN"/>
        </w:rPr>
        <w:t>2</w:t>
      </w:r>
      <w:r>
        <w:rPr>
          <w:rFonts w:hint="eastAsia" w:ascii="宋体" w:hAnsi="宋体" w:eastAsia="宋体" w:cs="宋体"/>
          <w:b w:val="0"/>
          <w:bCs/>
          <w:sz w:val="24"/>
          <w:highlight w:val="none"/>
          <w:lang w:val="en-US" w:eastAsia="zh-CN"/>
        </w:rPr>
        <w:t>小时之内响应。</w:t>
      </w:r>
    </w:p>
    <w:p>
      <w:pPr>
        <w:pStyle w:val="4"/>
        <w:spacing w:line="360" w:lineRule="auto"/>
        <w:rPr>
          <w:b/>
          <w:sz w:val="24"/>
          <w:szCs w:val="24"/>
          <w:highlight w:val="none"/>
        </w:rPr>
      </w:pPr>
      <w:r>
        <w:rPr>
          <w:rFonts w:hint="eastAsia"/>
          <w:b/>
          <w:sz w:val="24"/>
          <w:szCs w:val="24"/>
          <w:highlight w:val="none"/>
          <w:lang w:eastAsia="zh-CN"/>
        </w:rPr>
        <w:t>九</w:t>
      </w:r>
      <w:r>
        <w:rPr>
          <w:rFonts w:hint="eastAsia"/>
          <w:b/>
          <w:sz w:val="24"/>
          <w:szCs w:val="24"/>
          <w:highlight w:val="none"/>
        </w:rPr>
        <w:t>、比选响应有效期</w:t>
      </w:r>
    </w:p>
    <w:p>
      <w:pPr>
        <w:autoSpaceDE w:val="0"/>
        <w:autoSpaceDN w:val="0"/>
        <w:adjustRightInd w:val="0"/>
        <w:spacing w:line="360" w:lineRule="auto"/>
        <w:ind w:firstLine="540" w:firstLineChars="225"/>
        <w:rPr>
          <w:rFonts w:ascii="宋体" w:hAnsi="宋体" w:cs="宋体"/>
          <w:color w:val="000000"/>
          <w:sz w:val="24"/>
          <w:highlight w:val="none"/>
        </w:rPr>
      </w:pPr>
      <w:r>
        <w:rPr>
          <w:rFonts w:hint="eastAsia" w:ascii="宋体" w:hAnsi="宋体" w:cs="宋体"/>
          <w:color w:val="000000"/>
          <w:sz w:val="24"/>
          <w:highlight w:val="none"/>
        </w:rPr>
        <w:t>90天（自比选响应人提交比选响应文件截止之日起计算）。注：比选响应有效期作投标有效期理解。</w:t>
      </w:r>
    </w:p>
    <w:p>
      <w:pPr>
        <w:pStyle w:val="4"/>
        <w:spacing w:line="360" w:lineRule="auto"/>
        <w:rPr>
          <w:sz w:val="24"/>
          <w:szCs w:val="24"/>
          <w:highlight w:val="none"/>
        </w:rPr>
      </w:pPr>
      <w:r>
        <w:rPr>
          <w:rFonts w:hint="eastAsia"/>
          <w:b/>
          <w:sz w:val="24"/>
          <w:szCs w:val="24"/>
          <w:highlight w:val="none"/>
          <w:lang w:eastAsia="zh-CN"/>
        </w:rPr>
        <w:t>十</w:t>
      </w:r>
      <w:r>
        <w:rPr>
          <w:rFonts w:hint="eastAsia"/>
          <w:b/>
          <w:sz w:val="24"/>
          <w:szCs w:val="24"/>
          <w:highlight w:val="none"/>
        </w:rPr>
        <w:t>、比选响应文件的编制和提交</w:t>
      </w:r>
    </w:p>
    <w:p>
      <w:pPr>
        <w:autoSpaceDE w:val="0"/>
        <w:autoSpaceDN w:val="0"/>
        <w:adjustRightInd w:val="0"/>
        <w:spacing w:line="360" w:lineRule="auto"/>
        <w:ind w:firstLine="540" w:firstLineChars="225"/>
        <w:rPr>
          <w:rFonts w:ascii="宋体" w:hAnsi="宋体" w:cs="宋体"/>
          <w:color w:val="000000"/>
          <w:sz w:val="24"/>
          <w:highlight w:val="none"/>
        </w:rPr>
      </w:pPr>
      <w:r>
        <w:rPr>
          <w:rFonts w:hint="eastAsia" w:ascii="宋体" w:hAnsi="宋体" w:cs="宋体"/>
          <w:color w:val="000000"/>
          <w:sz w:val="24"/>
          <w:highlight w:val="none"/>
          <w:lang w:val="en-US" w:eastAsia="zh-CN"/>
        </w:rPr>
        <w:t>10</w:t>
      </w:r>
      <w:r>
        <w:rPr>
          <w:rFonts w:hint="eastAsia" w:ascii="宋体" w:hAnsi="宋体" w:cs="宋体"/>
          <w:color w:val="000000"/>
          <w:sz w:val="24"/>
          <w:highlight w:val="none"/>
        </w:rPr>
        <w:t>.1 比选响应人应当按照比选采购文件的要求编制比选响应文件，比选响应文件应当对比选采购文件提出的要求和条件作出实质性应答</w:t>
      </w:r>
      <w:r>
        <w:rPr>
          <w:rFonts w:hint="eastAsia" w:ascii="宋体" w:hAnsi="宋体" w:cs="宋体"/>
          <w:color w:val="000000"/>
          <w:sz w:val="24"/>
          <w:highlight w:val="none"/>
          <w:lang w:val="zh-CN"/>
        </w:rPr>
        <w:t>（应答格式自理）。</w:t>
      </w:r>
    </w:p>
    <w:p>
      <w:pPr>
        <w:autoSpaceDE w:val="0"/>
        <w:autoSpaceDN w:val="0"/>
        <w:adjustRightInd w:val="0"/>
        <w:spacing w:line="360" w:lineRule="auto"/>
        <w:ind w:firstLine="540" w:firstLineChars="225"/>
        <w:rPr>
          <w:rFonts w:ascii="宋体" w:hAnsi="宋体" w:cs="宋体"/>
          <w:color w:val="000000"/>
          <w:sz w:val="24"/>
          <w:highlight w:val="none"/>
          <w:lang w:val="zh-CN"/>
        </w:rPr>
      </w:pPr>
      <w:r>
        <w:rPr>
          <w:rFonts w:hint="eastAsia" w:ascii="宋体" w:hAnsi="宋体" w:cs="宋体"/>
          <w:color w:val="000000"/>
          <w:sz w:val="24"/>
          <w:highlight w:val="none"/>
          <w:lang w:val="en-US" w:eastAsia="zh-CN"/>
        </w:rPr>
        <w:t>10</w:t>
      </w:r>
      <w:r>
        <w:rPr>
          <w:rFonts w:hint="eastAsia" w:ascii="宋体" w:hAnsi="宋体" w:cs="宋体"/>
          <w:color w:val="000000"/>
          <w:sz w:val="24"/>
          <w:highlight w:val="none"/>
          <w:lang w:val="zh-CN"/>
        </w:rPr>
        <w:t>.2 比选响应文件应用A4规格纸编制并装订成册，主要由以下几个部分组成：</w:t>
      </w:r>
    </w:p>
    <w:p>
      <w:pPr>
        <w:autoSpaceDE w:val="0"/>
        <w:autoSpaceDN w:val="0"/>
        <w:adjustRightInd w:val="0"/>
        <w:spacing w:line="360" w:lineRule="auto"/>
        <w:ind w:firstLine="540" w:firstLineChars="225"/>
        <w:rPr>
          <w:rFonts w:ascii="宋体" w:hAnsi="宋体" w:cs="宋体"/>
          <w:color w:val="000000"/>
          <w:sz w:val="24"/>
          <w:highlight w:val="none"/>
          <w:lang w:val="zh-CN"/>
        </w:rPr>
      </w:pPr>
      <w:r>
        <w:rPr>
          <w:rFonts w:hint="eastAsia" w:ascii="宋体" w:hAnsi="宋体" w:cs="宋体"/>
          <w:color w:val="000000"/>
          <w:sz w:val="24"/>
          <w:highlight w:val="none"/>
          <w:lang w:val="en-US" w:eastAsia="zh-CN"/>
        </w:rPr>
        <w:t>10</w:t>
      </w:r>
      <w:r>
        <w:rPr>
          <w:rFonts w:hint="eastAsia" w:ascii="宋体" w:hAnsi="宋体" w:cs="宋体"/>
          <w:color w:val="000000"/>
          <w:sz w:val="24"/>
          <w:highlight w:val="none"/>
          <w:lang w:val="zh-CN"/>
        </w:rPr>
        <w:t>.2.1 封面。</w:t>
      </w:r>
    </w:p>
    <w:p>
      <w:pPr>
        <w:autoSpaceDE w:val="0"/>
        <w:autoSpaceDN w:val="0"/>
        <w:adjustRightInd w:val="0"/>
        <w:spacing w:line="360" w:lineRule="auto"/>
        <w:ind w:firstLine="540" w:firstLineChars="225"/>
        <w:rPr>
          <w:rFonts w:ascii="宋体" w:hAnsi="宋体" w:cs="宋体"/>
          <w:color w:val="000000"/>
          <w:sz w:val="24"/>
          <w:highlight w:val="none"/>
          <w:lang w:val="zh-CN"/>
        </w:rPr>
      </w:pPr>
      <w:r>
        <w:rPr>
          <w:rFonts w:hint="eastAsia" w:ascii="宋体" w:hAnsi="宋体" w:cs="宋体"/>
          <w:color w:val="000000"/>
          <w:sz w:val="24"/>
          <w:highlight w:val="none"/>
          <w:lang w:val="en-US" w:eastAsia="zh-CN"/>
        </w:rPr>
        <w:t>10</w:t>
      </w:r>
      <w:r>
        <w:rPr>
          <w:rFonts w:hint="eastAsia" w:ascii="宋体" w:hAnsi="宋体" w:cs="宋体"/>
          <w:color w:val="000000"/>
          <w:sz w:val="24"/>
          <w:highlight w:val="none"/>
          <w:lang w:val="zh-CN"/>
        </w:rPr>
        <w:t>.2.2 加盖公章的报价单及声明</w:t>
      </w:r>
      <w:r>
        <w:rPr>
          <w:rFonts w:hint="eastAsia" w:ascii="宋体" w:hAnsi="宋体" w:cs="宋体"/>
          <w:sz w:val="24"/>
          <w:highlight w:val="none"/>
          <w:lang w:val="zh-CN"/>
        </w:rPr>
        <w:t>（格式按附件</w:t>
      </w:r>
      <w:r>
        <w:rPr>
          <w:rFonts w:hint="eastAsia" w:ascii="宋体" w:hAnsi="宋体" w:cs="宋体"/>
          <w:sz w:val="24"/>
          <w:highlight w:val="none"/>
        </w:rPr>
        <w:t>1</w:t>
      </w:r>
      <w:r>
        <w:rPr>
          <w:rFonts w:hint="eastAsia" w:ascii="宋体" w:hAnsi="宋体" w:cs="宋体"/>
          <w:sz w:val="24"/>
          <w:highlight w:val="none"/>
          <w:lang w:val="zh-CN"/>
        </w:rPr>
        <w:t>）</w:t>
      </w:r>
      <w:r>
        <w:rPr>
          <w:rFonts w:hint="eastAsia" w:ascii="宋体" w:hAnsi="宋体" w:cs="宋体"/>
          <w:color w:val="000000"/>
          <w:sz w:val="24"/>
          <w:highlight w:val="none"/>
          <w:lang w:val="zh-CN"/>
        </w:rPr>
        <w:t>。</w:t>
      </w:r>
    </w:p>
    <w:p>
      <w:pPr>
        <w:autoSpaceDE w:val="0"/>
        <w:autoSpaceDN w:val="0"/>
        <w:adjustRightInd w:val="0"/>
        <w:spacing w:line="360" w:lineRule="auto"/>
        <w:ind w:firstLine="540" w:firstLineChars="225"/>
        <w:rPr>
          <w:rFonts w:ascii="宋体" w:hAnsi="宋体" w:cs="宋体"/>
          <w:color w:val="000000"/>
          <w:sz w:val="24"/>
          <w:highlight w:val="none"/>
          <w:lang w:val="zh-CN"/>
        </w:rPr>
      </w:pPr>
      <w:r>
        <w:rPr>
          <w:rFonts w:hint="eastAsia" w:ascii="宋体" w:hAnsi="宋体" w:cs="宋体"/>
          <w:color w:val="000000"/>
          <w:sz w:val="24"/>
          <w:highlight w:val="none"/>
          <w:lang w:val="en-US" w:eastAsia="zh-CN"/>
        </w:rPr>
        <w:t>10</w:t>
      </w:r>
      <w:r>
        <w:rPr>
          <w:rFonts w:hint="eastAsia" w:ascii="宋体" w:hAnsi="宋体" w:cs="宋体"/>
          <w:color w:val="000000"/>
          <w:sz w:val="24"/>
          <w:highlight w:val="none"/>
        </w:rPr>
        <w:t>.2.3 经济</w:t>
      </w:r>
      <w:r>
        <w:rPr>
          <w:rFonts w:hint="eastAsia" w:ascii="宋体" w:hAnsi="宋体" w:cs="宋体"/>
          <w:color w:val="000000"/>
          <w:sz w:val="24"/>
          <w:highlight w:val="none"/>
          <w:lang w:val="zh-CN"/>
        </w:rPr>
        <w:t>部分。比选响应</w:t>
      </w:r>
      <w:r>
        <w:rPr>
          <w:rFonts w:hint="eastAsia" w:ascii="宋体" w:hAnsi="宋体" w:cs="宋体"/>
          <w:color w:val="000000"/>
          <w:sz w:val="24"/>
          <w:highlight w:val="none"/>
        </w:rPr>
        <w:t>人</w:t>
      </w:r>
      <w:r>
        <w:rPr>
          <w:rFonts w:hint="eastAsia" w:ascii="宋体" w:hAnsi="宋体" w:cs="宋体"/>
          <w:color w:val="000000"/>
          <w:sz w:val="24"/>
          <w:highlight w:val="none"/>
          <w:lang w:val="zh-CN"/>
        </w:rPr>
        <w:t>应按照</w:t>
      </w:r>
      <w:r>
        <w:rPr>
          <w:rFonts w:hint="eastAsia" w:ascii="宋体" w:hAnsi="宋体" w:cs="宋体"/>
          <w:color w:val="000000"/>
          <w:sz w:val="24"/>
          <w:highlight w:val="none"/>
        </w:rPr>
        <w:t>比选</w:t>
      </w:r>
      <w:r>
        <w:rPr>
          <w:rFonts w:hint="eastAsia" w:ascii="宋体" w:hAnsi="宋体" w:cs="宋体"/>
          <w:color w:val="000000"/>
          <w:sz w:val="24"/>
          <w:highlight w:val="none"/>
          <w:lang w:val="zh-CN"/>
        </w:rPr>
        <w:t>采购文件要求报价，应包括相关服务</w:t>
      </w:r>
      <w:r>
        <w:rPr>
          <w:rFonts w:hint="eastAsia" w:ascii="宋体" w:hAnsi="宋体" w:cs="宋体"/>
          <w:color w:val="000000"/>
          <w:sz w:val="24"/>
          <w:highlight w:val="none"/>
        </w:rPr>
        <w:t>及</w:t>
      </w:r>
      <w:r>
        <w:rPr>
          <w:rFonts w:hint="eastAsia" w:ascii="宋体" w:hAnsi="宋体" w:cs="宋体"/>
          <w:color w:val="000000"/>
          <w:sz w:val="24"/>
          <w:highlight w:val="none"/>
          <w:lang w:val="zh-CN"/>
        </w:rPr>
        <w:t>税金等全部费用，报价为不含税报价，</w:t>
      </w:r>
      <w:r>
        <w:rPr>
          <w:rFonts w:hint="eastAsia" w:ascii="宋体" w:hAnsi="宋体" w:cs="宋体"/>
          <w:sz w:val="24"/>
          <w:highlight w:val="none"/>
          <w:lang w:val="zh-CN"/>
        </w:rPr>
        <w:t>增值税税率单列</w:t>
      </w:r>
      <w:r>
        <w:rPr>
          <w:rFonts w:hint="eastAsia" w:ascii="宋体" w:hAnsi="宋体" w:cs="宋体"/>
          <w:color w:val="000000"/>
          <w:sz w:val="24"/>
          <w:highlight w:val="none"/>
          <w:lang w:val="zh-CN"/>
        </w:rPr>
        <w:t>。</w:t>
      </w:r>
    </w:p>
    <w:p>
      <w:pPr>
        <w:autoSpaceDE w:val="0"/>
        <w:autoSpaceDN w:val="0"/>
        <w:adjustRightInd w:val="0"/>
        <w:spacing w:line="360" w:lineRule="auto"/>
        <w:ind w:firstLine="540" w:firstLineChars="225"/>
        <w:rPr>
          <w:rFonts w:ascii="宋体" w:hAnsi="宋体" w:cs="宋体"/>
          <w:color w:val="000000"/>
          <w:sz w:val="24"/>
          <w:highlight w:val="none"/>
        </w:rPr>
      </w:pPr>
      <w:r>
        <w:rPr>
          <w:rFonts w:hint="eastAsia" w:ascii="宋体" w:hAnsi="宋体" w:cs="宋体"/>
          <w:color w:val="000000"/>
          <w:sz w:val="24"/>
          <w:highlight w:val="none"/>
          <w:lang w:val="en-US" w:eastAsia="zh-CN"/>
        </w:rPr>
        <w:t>10</w:t>
      </w:r>
      <w:r>
        <w:rPr>
          <w:rFonts w:hint="eastAsia" w:ascii="宋体" w:hAnsi="宋体" w:cs="宋体"/>
          <w:color w:val="000000"/>
          <w:sz w:val="24"/>
          <w:highlight w:val="none"/>
        </w:rPr>
        <w:t xml:space="preserve">.2.4 </w:t>
      </w:r>
      <w:r>
        <w:rPr>
          <w:rFonts w:hint="eastAsia" w:ascii="宋体" w:hAnsi="宋体" w:cs="宋体"/>
          <w:color w:val="000000"/>
          <w:sz w:val="24"/>
          <w:highlight w:val="none"/>
          <w:lang w:val="zh-CN"/>
        </w:rPr>
        <w:t>技术部分。如果提供的服务与比选采购文件要求有偏差，必须详细说明，须经比选小组评定和采购人许可，才能作为供应商实质性响应。(表格自制)</w:t>
      </w:r>
    </w:p>
    <w:p>
      <w:pPr>
        <w:autoSpaceDE w:val="0"/>
        <w:autoSpaceDN w:val="0"/>
        <w:adjustRightInd w:val="0"/>
        <w:spacing w:line="360" w:lineRule="auto"/>
        <w:ind w:firstLine="540" w:firstLineChars="225"/>
        <w:rPr>
          <w:sz w:val="24"/>
          <w:highlight w:val="none"/>
          <w:lang w:val="zh-CN"/>
        </w:rPr>
      </w:pPr>
      <w:r>
        <w:rPr>
          <w:rFonts w:hint="eastAsia" w:ascii="宋体" w:hAnsi="宋体" w:cs="宋体"/>
          <w:color w:val="000000"/>
          <w:sz w:val="24"/>
          <w:highlight w:val="none"/>
          <w:lang w:val="en-US" w:eastAsia="zh-CN"/>
        </w:rPr>
        <w:t>10</w:t>
      </w:r>
      <w:r>
        <w:rPr>
          <w:rFonts w:hint="eastAsia" w:ascii="宋体" w:hAnsi="宋体" w:cs="宋体"/>
          <w:color w:val="000000"/>
          <w:sz w:val="24"/>
          <w:highlight w:val="none"/>
          <w:lang w:val="zh-CN"/>
        </w:rPr>
        <w:t>.2.</w:t>
      </w:r>
      <w:r>
        <w:rPr>
          <w:rFonts w:hint="eastAsia" w:ascii="宋体" w:hAnsi="宋体" w:cs="宋体"/>
          <w:color w:val="000000"/>
          <w:sz w:val="24"/>
          <w:highlight w:val="none"/>
        </w:rPr>
        <w:t>5</w:t>
      </w:r>
      <w:r>
        <w:rPr>
          <w:rFonts w:hint="eastAsia" w:ascii="宋体" w:hAnsi="宋体" w:cs="宋体"/>
          <w:color w:val="000000"/>
          <w:sz w:val="24"/>
          <w:highlight w:val="none"/>
          <w:lang w:val="zh-CN"/>
        </w:rPr>
        <w:t xml:space="preserve"> 商务部分。</w:t>
      </w:r>
      <w:r>
        <w:rPr>
          <w:rFonts w:hint="eastAsia" w:ascii="宋体" w:hAnsi="宋体" w:cs="宋体"/>
          <w:color w:val="000000"/>
          <w:sz w:val="24"/>
          <w:highlight w:val="none"/>
        </w:rPr>
        <w:t xml:space="preserve"> </w:t>
      </w:r>
      <w:r>
        <w:rPr>
          <w:rFonts w:hint="eastAsia" w:ascii="宋体" w:hAnsi="宋体" w:cs="宋体"/>
          <w:color w:val="000000"/>
          <w:sz w:val="24"/>
          <w:highlight w:val="none"/>
          <w:lang w:val="zh-CN"/>
        </w:rPr>
        <w:t>主要包括营业执照</w:t>
      </w:r>
      <w:r>
        <w:rPr>
          <w:rFonts w:hint="eastAsia" w:ascii="宋体" w:hAnsi="宋体" w:cs="宋体"/>
          <w:color w:val="000000"/>
          <w:sz w:val="24"/>
          <w:highlight w:val="none"/>
        </w:rPr>
        <w:t>(</w:t>
      </w:r>
      <w:r>
        <w:rPr>
          <w:rFonts w:hint="eastAsia" w:ascii="宋体" w:hAnsi="宋体" w:cs="宋体"/>
          <w:color w:val="000000"/>
          <w:sz w:val="24"/>
          <w:highlight w:val="none"/>
          <w:lang w:val="zh-CN"/>
        </w:rPr>
        <w:t>复印件），信誉要求，法定代表人授权书和法定代表人身份证复印件，被授权人身份证复印件（原件备查）和被授权人近一个月社保证明</w:t>
      </w:r>
      <w:r>
        <w:rPr>
          <w:rFonts w:hint="eastAsia" w:ascii="宋体" w:hAnsi="宋体" w:cs="宋体"/>
          <w:sz w:val="24"/>
          <w:highlight w:val="none"/>
          <w:lang w:eastAsia="zh-CN"/>
        </w:rPr>
        <w:t>（须为响应单位在职员工）</w:t>
      </w:r>
      <w:r>
        <w:rPr>
          <w:rFonts w:hint="eastAsia" w:ascii="宋体" w:hAnsi="宋体" w:cs="宋体"/>
          <w:color w:val="000000"/>
          <w:sz w:val="24"/>
          <w:highlight w:val="none"/>
          <w:lang w:val="zh-CN"/>
        </w:rPr>
        <w:t>，一般纳税人资格证明盖鲜章或者小规模纳税人资格证明盖鲜章等。</w:t>
      </w:r>
    </w:p>
    <w:p>
      <w:pPr>
        <w:autoSpaceDE w:val="0"/>
        <w:autoSpaceDN w:val="0"/>
        <w:adjustRightInd w:val="0"/>
        <w:spacing w:line="360" w:lineRule="auto"/>
        <w:ind w:firstLine="540" w:firstLineChars="225"/>
        <w:rPr>
          <w:rFonts w:ascii="宋体" w:hAnsi="宋体" w:cs="宋体"/>
          <w:sz w:val="24"/>
          <w:highlight w:val="none"/>
          <w:lang w:val="zh-CN"/>
        </w:rPr>
      </w:pPr>
      <w:r>
        <w:rPr>
          <w:rFonts w:hint="eastAsia" w:ascii="宋体" w:hAnsi="宋体" w:cs="宋体"/>
          <w:color w:val="000000"/>
          <w:sz w:val="24"/>
          <w:highlight w:val="none"/>
          <w:lang w:val="en-US" w:eastAsia="zh-CN"/>
        </w:rPr>
        <w:t>10</w:t>
      </w:r>
      <w:r>
        <w:rPr>
          <w:rFonts w:hint="eastAsia" w:ascii="宋体" w:hAnsi="宋体" w:cs="宋体"/>
          <w:color w:val="000000"/>
          <w:sz w:val="24"/>
          <w:highlight w:val="none"/>
          <w:lang w:val="zh-CN"/>
        </w:rPr>
        <w:t>.2.</w:t>
      </w:r>
      <w:r>
        <w:rPr>
          <w:rFonts w:hint="eastAsia" w:ascii="宋体" w:hAnsi="宋体" w:cs="宋体"/>
          <w:color w:val="000000"/>
          <w:sz w:val="24"/>
          <w:highlight w:val="none"/>
        </w:rPr>
        <w:t xml:space="preserve">6 </w:t>
      </w:r>
      <w:r>
        <w:rPr>
          <w:rFonts w:hint="eastAsia" w:ascii="宋体" w:hAnsi="宋体" w:cs="宋体"/>
          <w:sz w:val="24"/>
          <w:highlight w:val="none"/>
          <w:u w:val="single"/>
          <w:lang w:val="zh-CN"/>
        </w:rPr>
        <w:t>比选响应文件一式</w:t>
      </w:r>
      <w:r>
        <w:rPr>
          <w:rFonts w:hint="eastAsia" w:ascii="宋体" w:hAnsi="宋体" w:cs="宋体"/>
          <w:sz w:val="24"/>
          <w:highlight w:val="none"/>
          <w:u w:val="single"/>
          <w:lang w:val="en-US" w:eastAsia="zh-CN"/>
        </w:rPr>
        <w:t>2</w:t>
      </w:r>
      <w:r>
        <w:rPr>
          <w:rFonts w:hint="eastAsia" w:ascii="宋体" w:hAnsi="宋体" w:cs="宋体"/>
          <w:sz w:val="24"/>
          <w:highlight w:val="none"/>
          <w:u w:val="single"/>
          <w:lang w:val="zh-CN"/>
        </w:rPr>
        <w:t>份，其中正本1份，副本</w:t>
      </w:r>
      <w:r>
        <w:rPr>
          <w:rFonts w:hint="eastAsia" w:ascii="宋体" w:hAnsi="宋体" w:cs="宋体"/>
          <w:sz w:val="24"/>
          <w:highlight w:val="none"/>
          <w:u w:val="single"/>
          <w:lang w:val="en-US" w:eastAsia="zh-CN"/>
        </w:rPr>
        <w:t>1</w:t>
      </w:r>
      <w:r>
        <w:rPr>
          <w:rFonts w:hint="eastAsia" w:ascii="宋体" w:hAnsi="宋体" w:cs="宋体"/>
          <w:sz w:val="24"/>
          <w:highlight w:val="none"/>
          <w:u w:val="single"/>
          <w:lang w:val="zh-CN"/>
        </w:rPr>
        <w:t>份；电子比选响应文件（</w:t>
      </w:r>
      <w:r>
        <w:rPr>
          <w:rFonts w:hint="eastAsia" w:ascii="宋体" w:hAnsi="宋体" w:cs="宋体"/>
          <w:b/>
          <w:bCs/>
          <w:sz w:val="24"/>
          <w:highlight w:val="none"/>
          <w:u w:val="single"/>
          <w:lang w:val="zh-CN"/>
        </w:rPr>
        <w:t>盖章后的扫描件</w:t>
      </w:r>
      <w:r>
        <w:rPr>
          <w:rFonts w:hint="eastAsia" w:ascii="宋体" w:hAnsi="宋体" w:cs="宋体"/>
          <w:b/>
          <w:bCs/>
          <w:sz w:val="24"/>
          <w:highlight w:val="none"/>
          <w:u w:val="single"/>
          <w:lang w:val="en-US" w:eastAsia="zh-CN"/>
        </w:rPr>
        <w:t>PDF格式</w:t>
      </w:r>
      <w:r>
        <w:rPr>
          <w:rFonts w:hint="eastAsia" w:ascii="宋体" w:hAnsi="宋体" w:cs="宋体"/>
          <w:sz w:val="24"/>
          <w:highlight w:val="none"/>
          <w:u w:val="single"/>
          <w:lang w:val="zh-CN"/>
        </w:rPr>
        <w:t>）1份（U盘形式）</w:t>
      </w:r>
      <w:r>
        <w:rPr>
          <w:rFonts w:hint="eastAsia" w:ascii="宋体" w:hAnsi="宋体" w:cs="宋体"/>
          <w:color w:val="000000"/>
          <w:sz w:val="24"/>
          <w:highlight w:val="none"/>
          <w:u w:val="single"/>
          <w:lang w:val="zh-CN"/>
        </w:rPr>
        <w:t>。</w:t>
      </w:r>
    </w:p>
    <w:p>
      <w:pPr>
        <w:pStyle w:val="4"/>
        <w:spacing w:line="360" w:lineRule="auto"/>
        <w:rPr>
          <w:b/>
          <w:sz w:val="24"/>
          <w:szCs w:val="24"/>
          <w:highlight w:val="none"/>
        </w:rPr>
      </w:pPr>
      <w:r>
        <w:rPr>
          <w:rFonts w:hint="eastAsia"/>
          <w:b/>
          <w:sz w:val="24"/>
          <w:szCs w:val="24"/>
          <w:highlight w:val="none"/>
          <w:lang w:val="zh-CN"/>
        </w:rPr>
        <w:t>十一、比选响应文件作废条款</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.1 未按照规定交纳比选响应保证金的（若要求缴纳比选响应保证金）。</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.2 比选响应人的报价超过比选最高限价的。</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 xml:space="preserve">.3 </w:t>
      </w:r>
      <w:r>
        <w:rPr>
          <w:rFonts w:hint="eastAsia" w:ascii="宋体" w:hAnsi="宋体" w:cs="宋体"/>
          <w:color w:val="000000"/>
          <w:spacing w:val="-8"/>
          <w:sz w:val="24"/>
          <w:highlight w:val="none"/>
        </w:rPr>
        <w:t>比选响应文件</w:t>
      </w:r>
      <w:r>
        <w:rPr>
          <w:rFonts w:hint="eastAsia" w:ascii="宋体" w:hAnsi="宋体" w:cs="宋体"/>
          <w:color w:val="000000"/>
          <w:sz w:val="24"/>
          <w:highlight w:val="none"/>
        </w:rPr>
        <w:t>未装袋密封的。比选响应文件封面及密封袋</w:t>
      </w:r>
      <w:r>
        <w:rPr>
          <w:rFonts w:hint="eastAsia" w:ascii="宋体" w:hAnsi="宋体" w:cs="宋体"/>
          <w:color w:val="000000"/>
          <w:kern w:val="0"/>
          <w:sz w:val="24"/>
          <w:highlight w:val="none"/>
        </w:rPr>
        <w:t>封面</w:t>
      </w:r>
      <w:r>
        <w:rPr>
          <w:rFonts w:hint="eastAsia" w:ascii="宋体" w:hAnsi="宋体" w:cs="宋体"/>
          <w:color w:val="000000"/>
          <w:sz w:val="24"/>
          <w:highlight w:val="none"/>
        </w:rPr>
        <w:t>上须注明“项目名称”、“项目编号”、“比选响应单位名称”，并加盖单位公章。</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.4 比选响应文件装订要求不符：</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.4.1 散装或者活页装订的；</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.4.2 比选响应文件份数不足或未按要求提供电子比选文件的；</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.4.3 比选响应文件封面未标注正副本（密封袋封面无需标注正副本）。</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.5 比选响应文件中报价函部分、授权部分无法定代表人签字（签章）或签字人无有效授权书的。</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.6 报价函部分未按规定的格式完整填写（增项填写不作为作废条款）</w:t>
      </w:r>
      <w:r>
        <w:rPr>
          <w:rFonts w:hint="eastAsia" w:ascii="宋体" w:hAnsi="宋体" w:cs="宋体"/>
          <w:color w:val="000000"/>
          <w:sz w:val="24"/>
          <w:highlight w:val="none"/>
          <w:lang w:eastAsia="zh-CN"/>
        </w:rPr>
        <w:t>，人民币大写格式不符合人民币大写格式规范</w:t>
      </w:r>
      <w:r>
        <w:rPr>
          <w:rFonts w:hint="eastAsia" w:ascii="宋体" w:hAnsi="宋体" w:cs="宋体"/>
          <w:color w:val="000000"/>
          <w:sz w:val="24"/>
          <w:highlight w:val="none"/>
        </w:rPr>
        <w:t>。</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.7 评审委员会审查发现比选响应文件未能对比选文件提出的所有实质性要求和条件作出响应的。</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lang w:val="en-US" w:eastAsia="zh-CN"/>
        </w:rPr>
        <w:t>11</w:t>
      </w:r>
      <w:r>
        <w:rPr>
          <w:rFonts w:hint="eastAsia" w:ascii="宋体" w:hAnsi="宋体" w:cs="宋体"/>
          <w:color w:val="000000"/>
          <w:sz w:val="24"/>
          <w:highlight w:val="none"/>
        </w:rPr>
        <w:t>.8 有串通比选或弄虚作假或有其他违法行为的。</w:t>
      </w:r>
    </w:p>
    <w:p>
      <w:pPr>
        <w:pStyle w:val="4"/>
        <w:spacing w:line="360" w:lineRule="auto"/>
        <w:rPr>
          <w:b/>
          <w:sz w:val="24"/>
          <w:szCs w:val="24"/>
          <w:highlight w:val="none"/>
        </w:rPr>
      </w:pPr>
      <w:r>
        <w:rPr>
          <w:rFonts w:hint="eastAsia"/>
          <w:b/>
          <w:sz w:val="24"/>
          <w:szCs w:val="24"/>
          <w:highlight w:val="none"/>
        </w:rPr>
        <w:t>十</w:t>
      </w:r>
      <w:r>
        <w:rPr>
          <w:rFonts w:hint="eastAsia"/>
          <w:b/>
          <w:sz w:val="24"/>
          <w:szCs w:val="24"/>
          <w:highlight w:val="none"/>
          <w:lang w:eastAsia="zh-CN"/>
        </w:rPr>
        <w:t>二</w:t>
      </w:r>
      <w:r>
        <w:rPr>
          <w:rFonts w:hint="eastAsia"/>
          <w:b/>
          <w:sz w:val="24"/>
          <w:szCs w:val="24"/>
          <w:highlight w:val="none"/>
        </w:rPr>
        <w:t>、异议</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12.1 比选响应人或其他利害关系人认为采购活动不符合法律、行政等规定的，应当在采购结果公示期之内以书面形式向采购人提出异议（以采购人收到书面异议之日为准）。</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12.2 异议提出人向采购人提起异议时，应当提交异议书。异议书应当包括下列内容：</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（一）异议提出人的名称、地址及有效联系方式。</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（二）异议事项的基本事实。</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（三）异议请求及主张。</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（四）有效线索和相关证据、证明材料。</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12.3 异议提出人对异议事项提出的请求和主张，有责任提供证据；只有自己陈述而不能提出其他相关证据的，对其请求和主张不予支持。</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12.4 异议提出人不得虚假异议、恶意异议，不得以异议为名排挤竞争对手，阻碍采购活动的正常进行。若出现该情况，视为无效异议，不再受理。</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12.5 异议提出人不得捏造事实，不得伪造材料或者以非法手段取得证明材料提起异议。异议提出人提供证据存在下列情形之一，不能提供合法证明，或者不能合理说明来源的，视为以非法手段取得证明材料，不予采信：  </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（一）招标投标法第二十二条规定的招标投标保密信息。</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（二）应当保密的采购响应文件（但采购人提起异议时，采购响应文件不作为非法证据）。</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（三）招标投标法第四十四条规定保密的投标文件评审和比较情况、中标候选人推荐情况和评标有关的其他情况。</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（四）其他依法应当保密的信息和资料。</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12.6 有下列情形之一的异议，不予受理：</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（一）异议事项不具体，且未提供有效线索、相关证据和证明材料，难以查证。</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（二）未署异议提出人真实姓名、签字和有效联系方式。</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（三）未经法定代表人或授权的委托代理人签字并加盖公章，或未经主要负责人或异议提出人本人签字。</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（四）不在结果公示期内的。</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（五）已对异议事项做出答复的。</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注：对比选文件内容的异议应在比选文件规定的质疑期内提出；对比选唱价环节的异议应在比选唱价环节提出。</w:t>
      </w:r>
    </w:p>
    <w:p>
      <w:pPr>
        <w:autoSpaceDE w:val="0"/>
        <w:autoSpaceDN w:val="0"/>
        <w:adjustRightInd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12.7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pStyle w:val="4"/>
        <w:spacing w:line="360" w:lineRule="auto"/>
        <w:rPr>
          <w:b/>
          <w:sz w:val="24"/>
          <w:szCs w:val="24"/>
          <w:highlight w:val="none"/>
        </w:rPr>
      </w:pPr>
      <w:r>
        <w:rPr>
          <w:rFonts w:hint="eastAsia"/>
          <w:b/>
          <w:sz w:val="24"/>
          <w:szCs w:val="24"/>
          <w:highlight w:val="none"/>
        </w:rPr>
        <w:t>十</w:t>
      </w:r>
      <w:r>
        <w:rPr>
          <w:rFonts w:hint="eastAsia"/>
          <w:b/>
          <w:sz w:val="24"/>
          <w:szCs w:val="24"/>
          <w:highlight w:val="none"/>
          <w:lang w:eastAsia="zh-CN"/>
        </w:rPr>
        <w:t>三</w:t>
      </w:r>
      <w:r>
        <w:rPr>
          <w:rFonts w:hint="eastAsia"/>
          <w:b/>
          <w:sz w:val="24"/>
          <w:szCs w:val="24"/>
          <w:highlight w:val="none"/>
        </w:rPr>
        <w:t>、监督部门</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重庆机场信息通信网络有限公司监督小组</w:t>
      </w:r>
    </w:p>
    <w:p>
      <w:pPr>
        <w:autoSpaceDE w:val="0"/>
        <w:autoSpaceDN w:val="0"/>
        <w:adjustRightIn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地址：重庆江北国际机场东一路15号信息楼</w:t>
      </w:r>
    </w:p>
    <w:p>
      <w:pPr>
        <w:autoSpaceDE w:val="0"/>
        <w:autoSpaceDN w:val="0"/>
        <w:adjustRightInd w:val="0"/>
        <w:spacing w:line="360" w:lineRule="auto"/>
        <w:ind w:firstLine="480" w:firstLineChars="200"/>
        <w:rPr>
          <w:rFonts w:ascii="宋体" w:hAnsi="宋体" w:cs="宋体"/>
          <w:sz w:val="24"/>
          <w:highlight w:val="none"/>
        </w:rPr>
      </w:pPr>
      <w:r>
        <w:rPr>
          <w:rFonts w:hint="eastAsia" w:ascii="宋体" w:hAnsi="宋体" w:cs="宋体"/>
          <w:sz w:val="24"/>
          <w:highlight w:val="none"/>
        </w:rPr>
        <w:t>电话：023-67153289</w:t>
      </w:r>
    </w:p>
    <w:p>
      <w:pPr>
        <w:pStyle w:val="4"/>
        <w:spacing w:line="360" w:lineRule="auto"/>
        <w:rPr>
          <w:b/>
          <w:sz w:val="24"/>
          <w:szCs w:val="24"/>
          <w:highlight w:val="none"/>
        </w:rPr>
      </w:pPr>
      <w:r>
        <w:rPr>
          <w:rFonts w:hint="eastAsia"/>
          <w:b/>
          <w:sz w:val="24"/>
          <w:szCs w:val="24"/>
          <w:highlight w:val="none"/>
        </w:rPr>
        <w:t>十</w:t>
      </w:r>
      <w:r>
        <w:rPr>
          <w:rFonts w:hint="eastAsia"/>
          <w:b/>
          <w:sz w:val="24"/>
          <w:szCs w:val="24"/>
          <w:highlight w:val="none"/>
          <w:lang w:eastAsia="zh-CN"/>
        </w:rPr>
        <w:t>四</w:t>
      </w:r>
      <w:r>
        <w:rPr>
          <w:rFonts w:hint="eastAsia"/>
          <w:b/>
          <w:sz w:val="24"/>
          <w:szCs w:val="24"/>
          <w:highlight w:val="none"/>
        </w:rPr>
        <w:t>、比选时间、地点及结果通知</w:t>
      </w:r>
    </w:p>
    <w:p>
      <w:pPr>
        <w:widowControl/>
        <w:adjustRightInd w:val="0"/>
        <w:snapToGrid w:val="0"/>
        <w:spacing w:line="360" w:lineRule="auto"/>
        <w:ind w:firstLine="480" w:firstLineChars="200"/>
        <w:jc w:val="left"/>
        <w:textAlignment w:val="bottom"/>
        <w:rPr>
          <w:rFonts w:ascii="宋体" w:hAnsi="宋体" w:cs="宋体"/>
          <w:sz w:val="24"/>
          <w:highlight w:val="none"/>
        </w:rPr>
      </w:pPr>
      <w:r>
        <w:rPr>
          <w:rFonts w:hint="eastAsia" w:ascii="宋体" w:hAnsi="宋体" w:cs="宋体"/>
          <w:sz w:val="24"/>
          <w:highlight w:val="none"/>
          <w:lang w:val="en-US" w:eastAsia="zh-CN"/>
        </w:rPr>
        <w:t>14</w:t>
      </w:r>
      <w:r>
        <w:rPr>
          <w:rFonts w:hint="eastAsia" w:ascii="宋体" w:hAnsi="宋体" w:cs="宋体"/>
          <w:sz w:val="24"/>
          <w:highlight w:val="none"/>
        </w:rPr>
        <w:t xml:space="preserve">.1 </w:t>
      </w:r>
      <w:r>
        <w:rPr>
          <w:rFonts w:hint="eastAsia" w:ascii="宋体" w:hAnsi="宋体" w:cs="宋体"/>
          <w:sz w:val="24"/>
          <w:highlight w:val="none"/>
          <w:lang w:val="zh-CN"/>
        </w:rPr>
        <w:t>比选响应文件</w:t>
      </w:r>
      <w:r>
        <w:rPr>
          <w:rFonts w:hint="eastAsia" w:ascii="宋体" w:hAnsi="宋体" w:cs="宋体"/>
          <w:kern w:val="0"/>
          <w:sz w:val="24"/>
          <w:highlight w:val="none"/>
        </w:rPr>
        <w:t>必须在</w:t>
      </w:r>
      <w:r>
        <w:rPr>
          <w:rFonts w:hint="eastAsia" w:ascii="宋体" w:hAnsi="宋体" w:cs="宋体"/>
          <w:kern w:val="0"/>
          <w:sz w:val="24"/>
          <w:highlight w:val="none"/>
          <w:u w:val="single"/>
        </w:rPr>
        <w:t>2021</w:t>
      </w:r>
      <w:r>
        <w:rPr>
          <w:rFonts w:hint="eastAsia" w:ascii="宋体" w:hAnsi="宋体" w:cs="宋体"/>
          <w:kern w:val="0"/>
          <w:sz w:val="24"/>
          <w:highlight w:val="none"/>
        </w:rPr>
        <w:t>年</w:t>
      </w:r>
      <w:r>
        <w:rPr>
          <w:rFonts w:hint="eastAsia" w:ascii="宋体" w:hAnsi="宋体" w:cs="宋体"/>
          <w:kern w:val="0"/>
          <w:sz w:val="24"/>
          <w:highlight w:val="none"/>
          <w:u w:val="single"/>
          <w:lang w:val="en-US" w:eastAsia="zh-CN"/>
        </w:rPr>
        <w:t>10</w:t>
      </w:r>
      <w:r>
        <w:rPr>
          <w:rFonts w:hint="eastAsia" w:ascii="宋体" w:hAnsi="宋体" w:cs="宋体"/>
          <w:kern w:val="0"/>
          <w:sz w:val="24"/>
          <w:highlight w:val="none"/>
        </w:rPr>
        <w:t>月</w:t>
      </w:r>
      <w:r>
        <w:rPr>
          <w:rFonts w:hint="eastAsia" w:ascii="宋体" w:hAnsi="宋体" w:cs="宋体"/>
          <w:kern w:val="0"/>
          <w:sz w:val="24"/>
          <w:highlight w:val="none"/>
          <w:u w:val="single"/>
          <w:lang w:val="en-US" w:eastAsia="zh-CN"/>
        </w:rPr>
        <w:t>19</w:t>
      </w:r>
      <w:r>
        <w:rPr>
          <w:rFonts w:hint="eastAsia" w:ascii="宋体" w:hAnsi="宋体" w:cs="宋体"/>
          <w:kern w:val="0"/>
          <w:sz w:val="24"/>
          <w:highlight w:val="none"/>
        </w:rPr>
        <w:t>日</w:t>
      </w:r>
      <w:r>
        <w:rPr>
          <w:rFonts w:hint="eastAsia" w:ascii="宋体" w:hAnsi="宋体" w:cs="宋体"/>
          <w:kern w:val="0"/>
          <w:sz w:val="24"/>
          <w:highlight w:val="none"/>
          <w:u w:val="single"/>
          <w:lang w:val="en-US" w:eastAsia="zh-CN"/>
        </w:rPr>
        <w:t>9:30</w:t>
      </w:r>
      <w:r>
        <w:rPr>
          <w:rFonts w:hint="eastAsia" w:ascii="宋体" w:hAnsi="宋体" w:cs="宋体"/>
          <w:kern w:val="0"/>
          <w:sz w:val="24"/>
          <w:highlight w:val="none"/>
        </w:rPr>
        <w:t>至</w:t>
      </w:r>
      <w:r>
        <w:rPr>
          <w:rFonts w:hint="eastAsia" w:ascii="宋体" w:hAnsi="宋体" w:cs="宋体"/>
          <w:kern w:val="0"/>
          <w:sz w:val="24"/>
          <w:highlight w:val="none"/>
          <w:u w:val="single"/>
          <w:lang w:val="en-US" w:eastAsia="zh-CN"/>
        </w:rPr>
        <w:t>10:00</w:t>
      </w:r>
      <w:r>
        <w:rPr>
          <w:rFonts w:hint="eastAsia" w:ascii="宋体" w:hAnsi="宋体" w:cs="宋体"/>
          <w:kern w:val="0"/>
          <w:sz w:val="24"/>
          <w:highlight w:val="none"/>
        </w:rPr>
        <w:t>时送</w:t>
      </w:r>
      <w:r>
        <w:rPr>
          <w:rFonts w:hint="eastAsia" w:ascii="宋体" w:hAnsi="宋体" w:cs="宋体"/>
          <w:sz w:val="24"/>
          <w:highlight w:val="none"/>
          <w:lang w:val="zh-CN"/>
        </w:rPr>
        <w:t>到信息通信网络有限公司（ITC大楼</w:t>
      </w:r>
      <w:r>
        <w:rPr>
          <w:rFonts w:hint="eastAsia" w:ascii="宋体" w:hAnsi="宋体" w:cs="宋体"/>
          <w:sz w:val="24"/>
          <w:highlight w:val="none"/>
        </w:rPr>
        <w:t>113</w:t>
      </w:r>
      <w:r>
        <w:rPr>
          <w:rFonts w:hint="eastAsia" w:ascii="宋体" w:hAnsi="宋体" w:cs="宋体"/>
          <w:sz w:val="24"/>
          <w:highlight w:val="none"/>
          <w:lang w:val="zh-CN"/>
        </w:rPr>
        <w:t>室），过</w:t>
      </w:r>
      <w:r>
        <w:rPr>
          <w:rFonts w:hint="eastAsia" w:ascii="宋体" w:hAnsi="宋体" w:cs="宋体"/>
          <w:kern w:val="0"/>
          <w:sz w:val="24"/>
          <w:highlight w:val="none"/>
        </w:rPr>
        <w:t>期不予受理。</w:t>
      </w:r>
    </w:p>
    <w:p>
      <w:pPr>
        <w:widowControl/>
        <w:adjustRightInd w:val="0"/>
        <w:snapToGrid w:val="0"/>
        <w:spacing w:line="360" w:lineRule="auto"/>
        <w:ind w:firstLine="480" w:firstLineChars="200"/>
        <w:jc w:val="left"/>
        <w:textAlignment w:val="bottom"/>
        <w:rPr>
          <w:rFonts w:ascii="宋体" w:hAnsi="宋体" w:cs="宋体"/>
          <w:sz w:val="24"/>
          <w:highlight w:val="none"/>
        </w:rPr>
      </w:pPr>
      <w:r>
        <w:rPr>
          <w:rFonts w:hint="eastAsia" w:ascii="宋体" w:hAnsi="宋体" w:cs="宋体"/>
          <w:sz w:val="24"/>
          <w:highlight w:val="none"/>
          <w:lang w:val="en-US" w:eastAsia="zh-CN"/>
        </w:rPr>
        <w:t>14</w:t>
      </w:r>
      <w:r>
        <w:rPr>
          <w:rFonts w:hint="eastAsia" w:ascii="宋体" w:hAnsi="宋体" w:cs="宋体"/>
          <w:sz w:val="24"/>
          <w:highlight w:val="none"/>
        </w:rPr>
        <w:t xml:space="preserve">.2  </w:t>
      </w:r>
      <w:r>
        <w:rPr>
          <w:rFonts w:hint="eastAsia" w:ascii="宋体" w:hAnsi="宋体" w:cs="宋体"/>
          <w:sz w:val="24"/>
          <w:highlight w:val="none"/>
          <w:u w:val="single"/>
        </w:rPr>
        <w:t>2021</w:t>
      </w:r>
      <w:r>
        <w:rPr>
          <w:rFonts w:hint="eastAsia" w:ascii="宋体" w:hAnsi="宋体" w:cs="宋体"/>
          <w:sz w:val="24"/>
          <w:highlight w:val="none"/>
        </w:rPr>
        <w:t>年</w:t>
      </w:r>
      <w:r>
        <w:rPr>
          <w:rFonts w:hint="eastAsia" w:ascii="宋体" w:hAnsi="宋体" w:cs="宋体"/>
          <w:sz w:val="24"/>
          <w:highlight w:val="none"/>
          <w:u w:val="single"/>
          <w:lang w:val="en-US" w:eastAsia="zh-CN"/>
        </w:rPr>
        <w:t>10</w:t>
      </w:r>
      <w:r>
        <w:rPr>
          <w:rFonts w:hint="eastAsia" w:ascii="宋体" w:hAnsi="宋体" w:cs="宋体"/>
          <w:sz w:val="24"/>
          <w:highlight w:val="none"/>
        </w:rPr>
        <w:t>月</w:t>
      </w:r>
      <w:r>
        <w:rPr>
          <w:rFonts w:hint="eastAsia" w:ascii="宋体" w:hAnsi="宋体" w:cs="宋体"/>
          <w:sz w:val="24"/>
          <w:highlight w:val="none"/>
          <w:u w:val="single"/>
          <w:lang w:val="en-US" w:eastAsia="zh-CN"/>
        </w:rPr>
        <w:t>19</w:t>
      </w:r>
      <w:bookmarkStart w:id="0" w:name="_GoBack"/>
      <w:bookmarkEnd w:id="0"/>
      <w:r>
        <w:rPr>
          <w:rFonts w:hint="eastAsia" w:ascii="宋体" w:hAnsi="宋体" w:cs="宋体"/>
          <w:sz w:val="24"/>
          <w:highlight w:val="none"/>
        </w:rPr>
        <w:t>日</w:t>
      </w:r>
      <w:r>
        <w:rPr>
          <w:rFonts w:hint="eastAsia" w:ascii="宋体" w:hAnsi="宋体" w:cs="宋体"/>
          <w:sz w:val="24"/>
          <w:highlight w:val="none"/>
          <w:u w:val="single"/>
          <w:lang w:val="en-US" w:eastAsia="zh-CN"/>
        </w:rPr>
        <w:t>10:00</w:t>
      </w:r>
      <w:r>
        <w:rPr>
          <w:rFonts w:hint="eastAsia" w:ascii="宋体" w:hAnsi="宋体" w:cs="宋体"/>
          <w:sz w:val="24"/>
          <w:highlight w:val="none"/>
        </w:rPr>
        <w:t>时在重庆机场信息通信网络有限公司</w:t>
      </w:r>
      <w:r>
        <w:rPr>
          <w:rFonts w:hint="eastAsia" w:ascii="宋体" w:hAnsi="宋体" w:cs="宋体"/>
          <w:sz w:val="24"/>
          <w:highlight w:val="none"/>
          <w:lang w:val="zh-CN"/>
        </w:rPr>
        <w:t>对本项目进行比选，各比选响应方须参加。注：比选开始前，各比选响应人须在</w:t>
      </w:r>
      <w:r>
        <w:rPr>
          <w:rFonts w:hint="eastAsia" w:ascii="宋体" w:hAnsi="宋体" w:cs="宋体"/>
          <w:sz w:val="24"/>
          <w:highlight w:val="none"/>
        </w:rPr>
        <w:t>重庆机场信息通信网络有限公司</w:t>
      </w:r>
      <w:r>
        <w:rPr>
          <w:rFonts w:hint="eastAsia" w:ascii="宋体" w:hAnsi="宋体" w:cs="宋体"/>
          <w:sz w:val="24"/>
          <w:highlight w:val="none"/>
          <w:lang w:val="zh-CN"/>
        </w:rPr>
        <w:t>办公楼</w:t>
      </w:r>
      <w:r>
        <w:rPr>
          <w:rFonts w:hint="eastAsia" w:ascii="宋体" w:hAnsi="宋体" w:cs="宋体"/>
          <w:sz w:val="24"/>
          <w:highlight w:val="none"/>
        </w:rPr>
        <w:t>113</w:t>
      </w:r>
      <w:r>
        <w:rPr>
          <w:rFonts w:hint="eastAsia" w:ascii="宋体" w:hAnsi="宋体" w:cs="宋体"/>
          <w:sz w:val="24"/>
          <w:highlight w:val="none"/>
          <w:lang w:val="zh-CN"/>
        </w:rPr>
        <w:t>室等候通知具体比选地点。</w:t>
      </w:r>
    </w:p>
    <w:p>
      <w:pPr>
        <w:widowControl/>
        <w:adjustRightInd w:val="0"/>
        <w:snapToGrid w:val="0"/>
        <w:spacing w:line="360" w:lineRule="auto"/>
        <w:ind w:firstLine="482" w:firstLineChars="200"/>
        <w:jc w:val="left"/>
        <w:textAlignment w:val="bottom"/>
        <w:rPr>
          <w:rFonts w:ascii="宋体" w:hAnsi="宋体" w:cs="宋体"/>
          <w:b/>
          <w:bCs/>
          <w:sz w:val="24"/>
          <w:highlight w:val="none"/>
        </w:rPr>
      </w:pPr>
      <w:r>
        <w:rPr>
          <w:rFonts w:hint="eastAsia" w:ascii="宋体" w:hAnsi="宋体" w:cs="宋体"/>
          <w:b/>
          <w:bCs/>
          <w:sz w:val="24"/>
          <w:highlight w:val="none"/>
          <w:lang w:val="en-US" w:eastAsia="zh-CN"/>
        </w:rPr>
        <w:t>14</w:t>
      </w:r>
      <w:r>
        <w:rPr>
          <w:rFonts w:hint="eastAsia" w:ascii="宋体" w:hAnsi="宋体" w:cs="宋体"/>
          <w:b/>
          <w:bCs/>
          <w:sz w:val="24"/>
          <w:highlight w:val="none"/>
        </w:rPr>
        <w:t>.3参加比选唱价会议的比选响应人的法定代表人或其授权的代理人应当随身携带本人身份证（原件），授权的代理人还应当随身携带法定代表人授权委托书（原件），以备核验其合法身份。</w:t>
      </w:r>
    </w:p>
    <w:p>
      <w:pPr>
        <w:widowControl/>
        <w:adjustRightInd w:val="0"/>
        <w:snapToGrid w:val="0"/>
        <w:spacing w:line="360" w:lineRule="auto"/>
        <w:ind w:firstLine="482" w:firstLineChars="200"/>
        <w:jc w:val="left"/>
        <w:textAlignment w:val="bottom"/>
        <w:rPr>
          <w:rFonts w:ascii="宋体" w:hAnsi="宋体" w:cs="宋体"/>
          <w:b/>
          <w:bCs/>
          <w:sz w:val="24"/>
          <w:highlight w:val="none"/>
        </w:rPr>
      </w:pPr>
      <w:r>
        <w:rPr>
          <w:rFonts w:hint="eastAsia" w:ascii="宋体" w:hAnsi="宋体" w:cs="宋体"/>
          <w:b/>
          <w:bCs/>
          <w:sz w:val="24"/>
          <w:highlight w:val="none"/>
        </w:rPr>
        <w:t>比选响应人若未派法定代表人或委托代理人出席比选唱价会议，视为该比选响应人默认比选唱价结果。</w:t>
      </w:r>
    </w:p>
    <w:p>
      <w:pPr>
        <w:autoSpaceDE w:val="0"/>
        <w:autoSpaceDN w:val="0"/>
        <w:adjustRightInd w:val="0"/>
        <w:snapToGrid w:val="0"/>
        <w:spacing w:line="360" w:lineRule="auto"/>
        <w:ind w:firstLine="480" w:firstLineChars="200"/>
        <w:textAlignment w:val="bottom"/>
        <w:rPr>
          <w:rFonts w:ascii="宋体" w:hAnsi="宋体" w:cs="宋体"/>
          <w:color w:val="000000"/>
          <w:sz w:val="24"/>
          <w:highlight w:val="none"/>
        </w:rPr>
      </w:pPr>
      <w:r>
        <w:rPr>
          <w:rFonts w:hint="eastAsia" w:ascii="宋体" w:hAnsi="宋体" w:cs="宋体"/>
          <w:sz w:val="24"/>
          <w:highlight w:val="none"/>
          <w:lang w:val="en-US" w:eastAsia="zh-CN"/>
        </w:rPr>
        <w:t>14</w:t>
      </w:r>
      <w:r>
        <w:rPr>
          <w:rFonts w:hint="eastAsia" w:ascii="宋体" w:hAnsi="宋体" w:cs="宋体"/>
          <w:sz w:val="24"/>
          <w:highlight w:val="none"/>
        </w:rPr>
        <w:t>.4 比选结果通知：待结果确定后会及时通知，原则上只通知被选中的</w:t>
      </w:r>
      <w:r>
        <w:rPr>
          <w:rFonts w:hint="eastAsia" w:ascii="宋体" w:hAnsi="宋体" w:cs="宋体"/>
          <w:color w:val="000000"/>
          <w:spacing w:val="-8"/>
          <w:sz w:val="24"/>
          <w:highlight w:val="none"/>
        </w:rPr>
        <w:t>比选响应人</w:t>
      </w:r>
      <w:r>
        <w:rPr>
          <w:rFonts w:hint="eastAsia" w:ascii="宋体" w:hAnsi="宋体" w:cs="宋体"/>
          <w:sz w:val="24"/>
          <w:highlight w:val="none"/>
        </w:rPr>
        <w:t>，对未被选中的</w:t>
      </w:r>
      <w:r>
        <w:rPr>
          <w:rFonts w:hint="eastAsia" w:ascii="宋体" w:hAnsi="宋体" w:cs="宋体"/>
          <w:color w:val="000000"/>
          <w:spacing w:val="-8"/>
          <w:sz w:val="24"/>
          <w:highlight w:val="none"/>
        </w:rPr>
        <w:t>比选响应人</w:t>
      </w:r>
      <w:r>
        <w:rPr>
          <w:rFonts w:hint="eastAsia" w:ascii="宋体" w:hAnsi="宋体" w:cs="宋体"/>
          <w:sz w:val="24"/>
          <w:highlight w:val="none"/>
        </w:rPr>
        <w:t>不通知、不解释。</w:t>
      </w:r>
    </w:p>
    <w:p>
      <w:pPr>
        <w:pStyle w:val="4"/>
        <w:spacing w:line="360" w:lineRule="auto"/>
        <w:rPr>
          <w:b/>
          <w:sz w:val="24"/>
          <w:szCs w:val="24"/>
          <w:highlight w:val="none"/>
        </w:rPr>
      </w:pPr>
      <w:r>
        <w:rPr>
          <w:rFonts w:hint="eastAsia"/>
          <w:b/>
          <w:sz w:val="24"/>
          <w:szCs w:val="24"/>
          <w:highlight w:val="none"/>
        </w:rPr>
        <w:t>十</w:t>
      </w:r>
      <w:r>
        <w:rPr>
          <w:rFonts w:hint="eastAsia"/>
          <w:b/>
          <w:sz w:val="24"/>
          <w:szCs w:val="24"/>
          <w:highlight w:val="none"/>
          <w:lang w:eastAsia="zh-CN"/>
        </w:rPr>
        <w:t>五</w:t>
      </w:r>
      <w:r>
        <w:rPr>
          <w:rFonts w:hint="eastAsia"/>
          <w:b/>
          <w:sz w:val="24"/>
          <w:szCs w:val="24"/>
          <w:highlight w:val="none"/>
        </w:rPr>
        <w:t>、联系方式</w:t>
      </w:r>
    </w:p>
    <w:p>
      <w:pPr>
        <w:snapToGrid w:val="0"/>
        <w:spacing w:line="360" w:lineRule="auto"/>
        <w:ind w:firstLine="539"/>
        <w:rPr>
          <w:rFonts w:ascii="宋体" w:hAnsi="宋体" w:cs="宋体"/>
          <w:sz w:val="24"/>
          <w:highlight w:val="none"/>
        </w:rPr>
      </w:pPr>
      <w:r>
        <w:rPr>
          <w:rFonts w:hint="eastAsia" w:ascii="宋体" w:hAnsi="宋体" w:cs="宋体"/>
          <w:sz w:val="24"/>
          <w:highlight w:val="none"/>
        </w:rPr>
        <w:t>业主：重庆机场信息通信网络有限公司</w:t>
      </w:r>
    </w:p>
    <w:p>
      <w:pPr>
        <w:snapToGrid w:val="0"/>
        <w:spacing w:line="360" w:lineRule="auto"/>
        <w:ind w:firstLine="539"/>
        <w:rPr>
          <w:rFonts w:ascii="宋体" w:hAnsi="宋体" w:cs="宋体"/>
          <w:sz w:val="24"/>
          <w:highlight w:val="none"/>
        </w:rPr>
      </w:pPr>
      <w:r>
        <w:rPr>
          <w:rFonts w:hint="eastAsia" w:ascii="宋体" w:hAnsi="宋体" w:cs="宋体"/>
          <w:sz w:val="24"/>
          <w:highlight w:val="none"/>
        </w:rPr>
        <w:t>联系人：</w:t>
      </w:r>
      <w:r>
        <w:rPr>
          <w:rFonts w:hint="eastAsia" w:ascii="宋体" w:hAnsi="宋体" w:cs="宋体"/>
          <w:sz w:val="24"/>
          <w:highlight w:val="none"/>
          <w:lang w:eastAsia="zh-CN"/>
        </w:rPr>
        <w:t>毛</w:t>
      </w:r>
      <w:r>
        <w:rPr>
          <w:rFonts w:hint="eastAsia" w:ascii="宋体" w:hAnsi="宋体" w:cs="宋体"/>
          <w:sz w:val="24"/>
          <w:highlight w:val="none"/>
        </w:rPr>
        <w:t>先生</w:t>
      </w:r>
    </w:p>
    <w:p>
      <w:pPr>
        <w:snapToGrid w:val="0"/>
        <w:spacing w:line="360" w:lineRule="auto"/>
        <w:ind w:firstLine="539"/>
        <w:rPr>
          <w:rFonts w:hint="default" w:ascii="宋体" w:hAnsi="宋体" w:eastAsia="宋体" w:cs="宋体"/>
          <w:sz w:val="24"/>
          <w:highlight w:val="none"/>
          <w:lang w:val="en-US" w:eastAsia="zh-CN"/>
        </w:rPr>
      </w:pPr>
      <w:r>
        <w:rPr>
          <w:rFonts w:hint="eastAsia" w:ascii="宋体" w:hAnsi="宋体" w:cs="宋体"/>
          <w:sz w:val="24"/>
          <w:highlight w:val="none"/>
        </w:rPr>
        <w:t>电话：023-</w:t>
      </w:r>
      <w:r>
        <w:rPr>
          <w:rFonts w:hint="eastAsia" w:ascii="宋体" w:hAnsi="宋体" w:cs="宋体"/>
          <w:sz w:val="24"/>
          <w:highlight w:val="none"/>
          <w:lang w:val="en-US" w:eastAsia="zh-CN"/>
        </w:rPr>
        <w:t>88869329</w:t>
      </w:r>
    </w:p>
    <w:p>
      <w:pPr>
        <w:snapToGrid w:val="0"/>
        <w:spacing w:line="360" w:lineRule="auto"/>
        <w:ind w:firstLine="539"/>
        <w:rPr>
          <w:rFonts w:ascii="宋体" w:hAnsi="宋体" w:cs="宋体"/>
          <w:sz w:val="24"/>
          <w:highlight w:val="none"/>
        </w:rPr>
      </w:pPr>
      <w:r>
        <w:rPr>
          <w:rFonts w:hint="eastAsia" w:ascii="宋体" w:hAnsi="宋体" w:cs="宋体"/>
          <w:sz w:val="24"/>
          <w:highlight w:val="none"/>
        </w:rPr>
        <w:t>邮编：401020</w:t>
      </w:r>
    </w:p>
    <w:p>
      <w:pPr>
        <w:spacing w:line="360" w:lineRule="auto"/>
        <w:rPr>
          <w:rFonts w:ascii="宋体" w:hAnsi="宋体" w:cs="宋体"/>
          <w:sz w:val="24"/>
          <w:highlight w:val="none"/>
        </w:rPr>
      </w:pPr>
    </w:p>
    <w:p>
      <w:pPr>
        <w:pStyle w:val="3"/>
        <w:numPr>
          <w:ilvl w:val="0"/>
          <w:numId w:val="0"/>
        </w:numPr>
        <w:ind w:left="397"/>
        <w:jc w:val="center"/>
        <w:rPr>
          <w:rFonts w:ascii="宋体" w:hAnsi="宋体" w:cs="宋体"/>
          <w:sz w:val="28"/>
          <w:szCs w:val="28"/>
        </w:rPr>
      </w:pPr>
      <w:r>
        <w:rPr>
          <w:rFonts w:hint="eastAsia"/>
          <w:sz w:val="28"/>
          <w:szCs w:val="28"/>
        </w:rPr>
        <w:t>重庆江北国际机场公共区（综合执法）智能化数字综合管理平台项目软件部分合同范本</w:t>
      </w:r>
    </w:p>
    <w:p>
      <w:pPr>
        <w:spacing w:line="360" w:lineRule="auto"/>
        <w:rPr>
          <w:rFonts w:ascii="宋体" w:hAnsi="宋体" w:cs="宋体"/>
          <w:sz w:val="24"/>
        </w:rPr>
      </w:pPr>
      <w:r>
        <w:rPr>
          <w:rFonts w:hint="eastAsia" w:ascii="宋体" w:hAnsi="宋体" w:cs="宋体"/>
          <w:sz w:val="24"/>
        </w:rPr>
        <w:t>甲方：</w:t>
      </w:r>
      <w:r>
        <w:rPr>
          <w:rFonts w:hint="eastAsia" w:ascii="宋体" w:hAnsi="宋体" w:cs="宋体"/>
          <w:sz w:val="24"/>
          <w:u w:val="single"/>
        </w:rPr>
        <w:t>重庆机场信息通信网络有限公司</w:t>
      </w:r>
    </w:p>
    <w:p>
      <w:pPr>
        <w:spacing w:line="360" w:lineRule="auto"/>
        <w:rPr>
          <w:rFonts w:ascii="宋体" w:hAnsi="宋体" w:cs="宋体"/>
          <w:sz w:val="24"/>
          <w:u w:val="single"/>
        </w:rPr>
      </w:pPr>
      <w:r>
        <w:rPr>
          <w:rFonts w:hint="eastAsia" w:ascii="宋体" w:hAnsi="宋体" w:cs="宋体"/>
          <w:sz w:val="24"/>
        </w:rPr>
        <w:t>乙方：</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乙方承接甲方“</w:t>
      </w:r>
      <w:r>
        <w:rPr>
          <w:rFonts w:hint="eastAsia" w:ascii="宋体" w:hAnsi="宋体" w:cs="宋体"/>
          <w:sz w:val="24"/>
          <w:u w:val="single"/>
        </w:rPr>
        <w:t>重庆江北国际机场公共区（综合执法）智能化数字综合管理平台软件部分</w:t>
      </w:r>
      <w:r>
        <w:rPr>
          <w:rFonts w:hint="eastAsia" w:ascii="宋体" w:hAnsi="宋体" w:cs="宋体"/>
          <w:sz w:val="24"/>
        </w:rPr>
        <w:t>”项目，为了明确责任，依据《中华人民共和国民法典》，结合本项目实际情况，经甲、乙双方协商一致，就本项目事宜达成协议如下:</w:t>
      </w:r>
    </w:p>
    <w:tbl>
      <w:tblPr>
        <w:tblStyle w:val="19"/>
        <w:tblW w:w="92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964"/>
        <w:gridCol w:w="3255"/>
        <w:gridCol w:w="30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964" w:type="dxa"/>
            <w:tcBorders>
              <w:top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名称</w:t>
            </w:r>
          </w:p>
        </w:tc>
        <w:tc>
          <w:tcPr>
            <w:tcW w:w="32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总价（元）</w:t>
            </w:r>
          </w:p>
        </w:tc>
        <w:tc>
          <w:tcPr>
            <w:tcW w:w="3053" w:type="dxa"/>
            <w:tcBorders>
              <w:top w:val="single" w:color="auto" w:sz="4" w:space="0"/>
              <w:left w:val="single" w:color="auto" w:sz="4" w:space="0"/>
              <w:bottom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税费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2964" w:type="dxa"/>
            <w:tcBorders>
              <w:top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公共区（综合执法）智能化数字综合管理平台项目</w:t>
            </w:r>
          </w:p>
        </w:tc>
        <w:tc>
          <w:tcPr>
            <w:tcW w:w="3255" w:type="dxa"/>
            <w:tcBorders>
              <w:top w:val="single" w:color="auto" w:sz="4" w:space="0"/>
              <w:left w:val="single" w:color="auto" w:sz="4" w:space="0"/>
              <w:right w:val="single" w:color="auto" w:sz="4" w:space="0"/>
            </w:tcBorders>
            <w:vAlign w:val="center"/>
          </w:tcPr>
          <w:p>
            <w:pPr>
              <w:spacing w:line="360" w:lineRule="auto"/>
              <w:jc w:val="center"/>
              <w:rPr>
                <w:rFonts w:ascii="宋体" w:hAnsi="宋体" w:cs="宋体"/>
                <w:sz w:val="24"/>
              </w:rPr>
            </w:pPr>
          </w:p>
        </w:tc>
        <w:tc>
          <w:tcPr>
            <w:tcW w:w="3053" w:type="dxa"/>
            <w:tcBorders>
              <w:top w:val="single" w:color="auto" w:sz="4" w:space="0"/>
              <w:lef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jc w:val="center"/>
        </w:trPr>
        <w:tc>
          <w:tcPr>
            <w:tcW w:w="9272" w:type="dxa"/>
            <w:gridSpan w:val="3"/>
            <w:tcBorders>
              <w:top w:val="single" w:color="auto" w:sz="4" w:space="0"/>
              <w:bottom w:val="single" w:color="auto" w:sz="4" w:space="0"/>
            </w:tcBorders>
            <w:vAlign w:val="center"/>
          </w:tcPr>
          <w:p>
            <w:pPr>
              <w:spacing w:line="360" w:lineRule="auto"/>
              <w:rPr>
                <w:rFonts w:ascii="宋体" w:hAnsi="宋体" w:cs="宋体"/>
                <w:sz w:val="24"/>
              </w:rPr>
            </w:pPr>
            <w:r>
              <w:rPr>
                <w:rFonts w:hint="eastAsia" w:ascii="宋体" w:hAnsi="宋体" w:cs="宋体"/>
                <w:sz w:val="24"/>
              </w:rPr>
              <w:t>备注：费用应包含此次项目落地的所有费用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jc w:val="center"/>
        </w:trPr>
        <w:tc>
          <w:tcPr>
            <w:tcW w:w="9272" w:type="dxa"/>
            <w:gridSpan w:val="3"/>
            <w:tcBorders>
              <w:top w:val="single" w:color="auto" w:sz="4" w:space="0"/>
              <w:bottom w:val="single" w:color="auto" w:sz="4" w:space="0"/>
            </w:tcBorders>
            <w:vAlign w:val="center"/>
          </w:tcPr>
          <w:p>
            <w:pPr>
              <w:spacing w:line="360" w:lineRule="auto"/>
              <w:rPr>
                <w:rFonts w:ascii="宋体" w:hAnsi="宋体" w:cs="宋体"/>
                <w:sz w:val="24"/>
              </w:rPr>
            </w:pPr>
            <w:r>
              <w:rPr>
                <w:rFonts w:hint="eastAsia" w:ascii="宋体" w:hAnsi="宋体" w:cs="宋体"/>
                <w:sz w:val="24"/>
              </w:rPr>
              <w:t>合计人民币（小写）：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272" w:type="dxa"/>
            <w:gridSpan w:val="3"/>
            <w:tcBorders>
              <w:top w:val="single" w:color="auto" w:sz="4" w:space="0"/>
              <w:bottom w:val="single" w:color="auto" w:sz="4" w:space="0"/>
            </w:tcBorders>
            <w:vAlign w:val="center"/>
          </w:tcPr>
          <w:p>
            <w:pPr>
              <w:spacing w:line="360" w:lineRule="auto"/>
              <w:rPr>
                <w:rFonts w:ascii="宋体" w:hAnsi="宋体" w:cs="宋体"/>
                <w:sz w:val="24"/>
              </w:rPr>
            </w:pPr>
            <w:r>
              <w:rPr>
                <w:rFonts w:hint="eastAsia" w:ascii="宋体" w:hAnsi="宋体" w:cs="宋体"/>
                <w:sz w:val="24"/>
              </w:rPr>
              <w:t>合计人民币（大写）：</w:t>
            </w:r>
          </w:p>
        </w:tc>
      </w:tr>
    </w:tbl>
    <w:p/>
    <w:p>
      <w:pPr>
        <w:pStyle w:val="12"/>
        <w:spacing w:line="360" w:lineRule="auto"/>
        <w:rPr>
          <w:rFonts w:ascii="宋体" w:hAnsi="宋体" w:cs="宋体"/>
        </w:rPr>
      </w:pPr>
      <w:r>
        <w:rPr>
          <w:rFonts w:hint="eastAsia" w:ascii="宋体" w:hAnsi="宋体" w:cs="宋体"/>
        </w:rPr>
        <w:t>鉴于甲方需要就重庆江北国际机场公共区（综合执法）智能化数字综合管理平台项目软件部分由乙方提供技术服务，并支付相应的技术服务报酬。乙方愿意接受甲方的委托并提供技术服务；双方经过平等协商，在真实、充分地表达各自意愿的基础上，根据《中华人民共和国民法典》《中华人民共和国数据安全法》等相关法律法规规定，达成本协议，并由双方共同恪守。</w:t>
      </w:r>
    </w:p>
    <w:p>
      <w:pPr>
        <w:pStyle w:val="12"/>
        <w:spacing w:line="360" w:lineRule="auto"/>
        <w:rPr>
          <w:rFonts w:ascii="宋体" w:hAnsi="宋体" w:cs="宋体"/>
        </w:rPr>
      </w:pPr>
      <w:r>
        <w:rPr>
          <w:rFonts w:hint="eastAsia" w:ascii="宋体" w:hAnsi="宋体" w:cs="宋体"/>
        </w:rPr>
        <w:t>第一条 技术服务的内容、方式和要求：</w:t>
      </w:r>
    </w:p>
    <w:p>
      <w:pPr>
        <w:pStyle w:val="12"/>
        <w:spacing w:line="360" w:lineRule="auto"/>
        <w:rPr>
          <w:rFonts w:ascii="宋体" w:hAnsi="宋体" w:cs="宋体"/>
        </w:rPr>
      </w:pPr>
      <w:r>
        <w:rPr>
          <w:rFonts w:hint="eastAsia" w:ascii="宋体" w:hAnsi="宋体" w:cs="宋体"/>
        </w:rPr>
        <w:t>1.1技术服务的内容：</w:t>
      </w:r>
    </w:p>
    <w:p>
      <w:pPr>
        <w:pStyle w:val="12"/>
        <w:spacing w:line="360" w:lineRule="auto"/>
        <w:rPr>
          <w:rFonts w:ascii="宋体" w:hAnsi="宋体" w:cs="宋体"/>
        </w:rPr>
      </w:pPr>
      <w:r>
        <w:rPr>
          <w:rFonts w:hint="eastAsia" w:ascii="宋体" w:hAnsi="宋体" w:cs="宋体"/>
        </w:rPr>
        <w:t>乙方结合我司现状，进行项目方案设计和实施。包括但不限于以下内容：</w:t>
      </w:r>
    </w:p>
    <w:p>
      <w:pPr>
        <w:pStyle w:val="12"/>
        <w:spacing w:line="360" w:lineRule="auto"/>
        <w:rPr>
          <w:rFonts w:ascii="宋体" w:hAnsi="宋体" w:cs="宋体"/>
        </w:rPr>
      </w:pPr>
      <w:r>
        <w:rPr>
          <w:rFonts w:hint="eastAsia" w:ascii="宋体" w:hAnsi="宋体" w:cs="宋体"/>
        </w:rPr>
        <w:t>（1）完善的支撑平台：提供针对重庆江北机场公共区的基础地图开发。</w:t>
      </w:r>
    </w:p>
    <w:p>
      <w:pPr>
        <w:pStyle w:val="12"/>
        <w:spacing w:line="360" w:lineRule="auto"/>
        <w:rPr>
          <w:rFonts w:ascii="宋体" w:hAnsi="宋体" w:cs="宋体"/>
        </w:rPr>
      </w:pPr>
      <w:r>
        <w:rPr>
          <w:rFonts w:hint="eastAsia" w:ascii="宋体" w:hAnsi="宋体" w:cs="宋体"/>
        </w:rPr>
        <w:t>（2）智能化数字综合管理平台，包括基础平台和应用、业务应用，以及系统接口。其中，基础平台及应用包括数据交换平台、公共区综合管理数据库、可视化展示、统计与查询、系统管理、统一门户。业务应用包括视频智能分析模块</w:t>
      </w:r>
      <w:r>
        <w:rPr>
          <w:rFonts w:ascii="宋体" w:hAnsi="宋体" w:cs="宋体"/>
        </w:rPr>
        <w:t xml:space="preserve"> 1</w:t>
      </w:r>
      <w:r>
        <w:rPr>
          <w:rFonts w:hint="eastAsia" w:ascii="宋体" w:hAnsi="宋体" w:cs="宋体"/>
        </w:rPr>
        <w:t>套；车辆综合监控模块</w:t>
      </w:r>
      <w:r>
        <w:rPr>
          <w:rFonts w:ascii="宋体" w:hAnsi="宋体" w:cs="宋体"/>
        </w:rPr>
        <w:t xml:space="preserve"> 1</w:t>
      </w:r>
      <w:r>
        <w:rPr>
          <w:rFonts w:hint="eastAsia" w:ascii="宋体" w:hAnsi="宋体" w:cs="宋体"/>
        </w:rPr>
        <w:t>套；</w:t>
      </w:r>
      <w:r>
        <w:rPr>
          <w:rFonts w:ascii="宋体" w:hAnsi="宋体" w:cs="宋体"/>
        </w:rPr>
        <w:t xml:space="preserve"> GIS</w:t>
      </w:r>
      <w:r>
        <w:rPr>
          <w:rFonts w:hint="eastAsia" w:ascii="宋体" w:hAnsi="宋体" w:cs="宋体"/>
        </w:rPr>
        <w:t>地图管理模块 1套。系统接口包括（包括用户接口、地图接口、视频监控接口、公安违停接口、人脸识别系统接口、车辆综合监控系统接口、高清卡口系统接口、综合执法系统接口、对外接口等）。</w:t>
      </w:r>
    </w:p>
    <w:p>
      <w:pPr>
        <w:pStyle w:val="12"/>
        <w:spacing w:line="360" w:lineRule="auto"/>
        <w:rPr>
          <w:rFonts w:ascii="宋体" w:hAnsi="宋体" w:cs="宋体"/>
        </w:rPr>
      </w:pPr>
      <w:r>
        <w:rPr>
          <w:rFonts w:hint="eastAsia" w:ascii="宋体" w:hAnsi="宋体" w:cs="宋体"/>
        </w:rPr>
        <w:t>1.2技术服务的方式：乙方应通过</w:t>
      </w:r>
      <w:r>
        <w:rPr>
          <w:rFonts w:hint="eastAsia" w:ascii="宋体" w:hAnsi="宋体" w:cs="宋体"/>
          <w:u w:val="single"/>
        </w:rPr>
        <w:t>提供成熟产品或定制化软件开发</w:t>
      </w:r>
      <w:r>
        <w:rPr>
          <w:rFonts w:hint="eastAsia" w:ascii="宋体" w:hAnsi="宋体" w:cs="宋体"/>
        </w:rPr>
        <w:t>的方式开展技术服务工作。</w:t>
      </w:r>
    </w:p>
    <w:p>
      <w:pPr>
        <w:pStyle w:val="12"/>
        <w:spacing w:line="360" w:lineRule="auto"/>
        <w:rPr>
          <w:rFonts w:ascii="宋体" w:hAnsi="宋体" w:cs="宋体"/>
        </w:rPr>
      </w:pPr>
      <w:r>
        <w:rPr>
          <w:rFonts w:hint="eastAsia" w:ascii="宋体" w:hAnsi="宋体" w:cs="宋体"/>
        </w:rPr>
        <w:t>1.3技术服务的要求：</w:t>
      </w:r>
    </w:p>
    <w:p>
      <w:pPr>
        <w:pStyle w:val="12"/>
        <w:spacing w:line="360" w:lineRule="auto"/>
        <w:rPr>
          <w:rFonts w:ascii="宋体" w:hAnsi="宋体" w:cs="宋体"/>
        </w:rPr>
      </w:pPr>
      <w:r>
        <w:rPr>
          <w:rFonts w:hint="eastAsia" w:ascii="宋体" w:hAnsi="宋体" w:cs="宋体"/>
        </w:rPr>
        <w:t>（1）提供的产品或定制开发服务系统架构采用微服务架构。能够以独立功能拆分服务，集合CICD持续集成，以达到快速响应我司需求目的。</w:t>
      </w:r>
    </w:p>
    <w:p>
      <w:pPr>
        <w:pStyle w:val="12"/>
        <w:spacing w:line="360" w:lineRule="auto"/>
        <w:rPr>
          <w:rFonts w:ascii="宋体" w:hAnsi="宋体" w:cs="宋体"/>
        </w:rPr>
      </w:pPr>
      <w:r>
        <w:rPr>
          <w:rFonts w:hint="eastAsia" w:ascii="宋体" w:hAnsi="宋体" w:cs="宋体"/>
        </w:rPr>
        <w:t>（2）采用ServiceMesh服务治理框架。能够支持不绑定到特定J2EE服务的可重用业务和数据访问对象，可以在不同J2EE环境、独立应用程序、测试环境之间重用。</w:t>
      </w:r>
    </w:p>
    <w:p>
      <w:pPr>
        <w:pStyle w:val="12"/>
        <w:spacing w:line="360" w:lineRule="auto"/>
        <w:rPr>
          <w:rFonts w:ascii="宋体" w:hAnsi="宋体" w:cs="宋体"/>
        </w:rPr>
      </w:pPr>
      <w:r>
        <w:rPr>
          <w:rFonts w:hint="eastAsia" w:ascii="宋体" w:hAnsi="宋体" w:cs="宋体"/>
        </w:rPr>
        <w:t>（3）采用Redis缓存、RabbitMQ消息队列、Mybatis持久层等其他技术，以提高系统开发和部署的高效性、易用性和可拓展性。</w:t>
      </w:r>
    </w:p>
    <w:p>
      <w:pPr>
        <w:pStyle w:val="12"/>
        <w:spacing w:line="360" w:lineRule="auto"/>
        <w:rPr>
          <w:rFonts w:ascii="宋体" w:hAnsi="宋体" w:cs="宋体"/>
        </w:rPr>
      </w:pPr>
      <w:r>
        <w:rPr>
          <w:rFonts w:hint="eastAsia" w:ascii="宋体" w:hAnsi="宋体" w:cs="宋体"/>
        </w:rPr>
        <w:t>（4）移动端应用软件基于安卓操作系统，进行设计和开发。</w:t>
      </w:r>
    </w:p>
    <w:p>
      <w:pPr>
        <w:pStyle w:val="12"/>
        <w:spacing w:line="360" w:lineRule="auto"/>
        <w:rPr>
          <w:rFonts w:ascii="宋体" w:hAnsi="宋体" w:cs="宋体"/>
        </w:rPr>
      </w:pPr>
      <w:r>
        <w:rPr>
          <w:rFonts w:hint="eastAsia" w:ascii="宋体" w:hAnsi="宋体" w:cs="宋体"/>
        </w:rPr>
        <w:t>（5）可视化展示技术须兼容百度Echarts开源数据图表组件、谷歌Google Chart，以及腾讯多维数据的地图可视化（含数字地图数据分类、地图可视化制作要素、地图信息的可视化表示、空间数据的可视化表示等）。</w:t>
      </w:r>
    </w:p>
    <w:p>
      <w:pPr>
        <w:pStyle w:val="12"/>
        <w:spacing w:line="360" w:lineRule="auto"/>
        <w:rPr>
          <w:rFonts w:ascii="宋体" w:hAnsi="宋体" w:cs="宋体"/>
        </w:rPr>
      </w:pPr>
      <w:r>
        <w:rPr>
          <w:rFonts w:hint="eastAsia" w:ascii="宋体" w:hAnsi="宋体" w:cs="宋体"/>
        </w:rPr>
        <w:t>（6）采用服务器虚拟化技术，划分多个虚拟环境，解决物理界限，提高服务器利用率，减少采购成本。</w:t>
      </w:r>
    </w:p>
    <w:p>
      <w:pPr>
        <w:pStyle w:val="12"/>
        <w:spacing w:line="360" w:lineRule="auto"/>
        <w:rPr>
          <w:rFonts w:ascii="宋体" w:hAnsi="宋体" w:cs="宋体"/>
        </w:rPr>
      </w:pPr>
      <w:r>
        <w:rPr>
          <w:rFonts w:hint="eastAsia" w:ascii="宋体" w:hAnsi="宋体" w:cs="宋体"/>
        </w:rPr>
        <w:t>（7）要求提供需求管理、任务管理、代码管理、持续集成、自动部署、持续集成、多环境流转、应用复制、镜像同步等端到端管理方案，为开发测试人员提供端到端服务管理流程，提升开发测试业务质量和效率，实现业务快速迭代目标。</w:t>
      </w:r>
    </w:p>
    <w:p>
      <w:pPr>
        <w:pStyle w:val="12"/>
        <w:spacing w:line="360" w:lineRule="auto"/>
        <w:rPr>
          <w:rFonts w:ascii="宋体" w:hAnsi="宋体" w:cs="宋体"/>
        </w:rPr>
      </w:pPr>
      <w:r>
        <w:rPr>
          <w:rFonts w:hint="eastAsia" w:ascii="宋体" w:hAnsi="宋体" w:cs="宋体"/>
        </w:rPr>
        <w:t>1.</w:t>
      </w:r>
      <w:r>
        <w:rPr>
          <w:rFonts w:ascii="宋体" w:hAnsi="宋体" w:cs="宋体"/>
        </w:rPr>
        <w:t>4</w:t>
      </w:r>
      <w:r>
        <w:rPr>
          <w:rFonts w:hint="eastAsia" w:ascii="宋体" w:hAnsi="宋体" w:cs="宋体"/>
        </w:rPr>
        <w:t>售后服务的要求：</w:t>
      </w:r>
    </w:p>
    <w:p>
      <w:pPr>
        <w:pStyle w:val="9"/>
        <w:adjustRightInd w:val="0"/>
        <w:snapToGrid w:val="0"/>
        <w:spacing w:line="360" w:lineRule="auto"/>
        <w:ind w:firstLine="480" w:firstLineChars="200"/>
        <w:jc w:val="both"/>
        <w:rPr>
          <w:rFonts w:ascii="宋体" w:hAnsi="宋体" w:eastAsia="宋体" w:cs="宋体"/>
          <w:b w:val="0"/>
          <w:bCs/>
          <w:sz w:val="24"/>
        </w:rPr>
      </w:pPr>
      <w:r>
        <w:rPr>
          <w:rFonts w:hint="eastAsia" w:ascii="宋体" w:hAnsi="宋体" w:eastAsia="宋体" w:cs="宋体"/>
          <w:b w:val="0"/>
          <w:bCs/>
          <w:sz w:val="24"/>
        </w:rPr>
        <w:t>质保期：经甲方验收合格之日起整体质保软件1年。乙方负责系统所有的软件故障处理；须配合甲方完成与本系统相关的其他系统升级；质保期内完成已建系统功能模块的优化调整。在甲方申告故障之后，乙方须在2小时之内响应。</w:t>
      </w:r>
    </w:p>
    <w:p>
      <w:pPr>
        <w:pStyle w:val="12"/>
        <w:spacing w:line="360" w:lineRule="auto"/>
        <w:rPr>
          <w:rFonts w:ascii="宋体" w:hAnsi="宋体" w:cs="宋体"/>
        </w:rPr>
      </w:pPr>
      <w:r>
        <w:rPr>
          <w:rFonts w:hint="eastAsia" w:ascii="宋体" w:hAnsi="宋体" w:cs="宋体"/>
        </w:rPr>
        <w:t>第二条 履行的期限、地点：</w:t>
      </w:r>
    </w:p>
    <w:p>
      <w:pPr>
        <w:pStyle w:val="12"/>
        <w:spacing w:line="360" w:lineRule="auto"/>
        <w:rPr>
          <w:rFonts w:ascii="宋体" w:hAnsi="宋体" w:cs="宋体"/>
        </w:rPr>
      </w:pPr>
      <w:r>
        <w:rPr>
          <w:rFonts w:hint="eastAsia" w:ascii="宋体" w:hAnsi="宋体" w:cs="宋体"/>
        </w:rPr>
        <w:t>2.1技术服务地点：</w:t>
      </w:r>
      <w:r>
        <w:rPr>
          <w:rFonts w:hint="eastAsia" w:ascii="宋体" w:hAnsi="宋体" w:cs="宋体"/>
          <w:u w:val="single"/>
        </w:rPr>
        <w:t>重庆江北国际机场ITC大楼</w:t>
      </w:r>
      <w:r>
        <w:rPr>
          <w:rFonts w:hint="eastAsia" w:ascii="宋体" w:hAnsi="宋体" w:cs="宋体"/>
        </w:rPr>
        <w:t>；</w:t>
      </w:r>
    </w:p>
    <w:p>
      <w:pPr>
        <w:pStyle w:val="12"/>
        <w:spacing w:line="240" w:lineRule="auto"/>
        <w:rPr>
          <w:rFonts w:ascii="宋体" w:hAnsi="宋体" w:cs="宋体"/>
        </w:rPr>
      </w:pPr>
      <w:r>
        <w:rPr>
          <w:rFonts w:hint="eastAsia" w:ascii="宋体" w:hAnsi="宋体" w:cs="宋体"/>
        </w:rPr>
        <w:t>2.2技术服务期限：自签订合同之日起</w:t>
      </w:r>
      <w:r>
        <w:rPr>
          <w:rFonts w:hint="eastAsia" w:ascii="宋体" w:hAnsi="宋体" w:cs="宋体"/>
          <w:u w:val="single"/>
        </w:rPr>
        <w:t>90日历天</w:t>
      </w:r>
      <w:r>
        <w:rPr>
          <w:rFonts w:hint="eastAsia" w:ascii="宋体" w:hAnsi="宋体" w:cs="宋体"/>
        </w:rPr>
        <w:t>内完成软件开发、安装调试。</w:t>
      </w:r>
    </w:p>
    <w:p>
      <w:pPr>
        <w:pStyle w:val="12"/>
        <w:spacing w:line="360" w:lineRule="auto"/>
        <w:rPr>
          <w:rFonts w:ascii="宋体" w:hAnsi="宋体" w:cs="宋体"/>
        </w:rPr>
      </w:pPr>
      <w:r>
        <w:rPr>
          <w:rFonts w:hint="eastAsia" w:ascii="宋体" w:hAnsi="宋体" w:cs="宋体"/>
        </w:rPr>
        <w:t>第三条 工作条件和协作事项</w:t>
      </w:r>
    </w:p>
    <w:p>
      <w:pPr>
        <w:pStyle w:val="12"/>
        <w:spacing w:line="360" w:lineRule="auto"/>
        <w:rPr>
          <w:rFonts w:ascii="宋体" w:hAnsi="宋体" w:cs="宋体"/>
        </w:rPr>
      </w:pPr>
      <w:r>
        <w:rPr>
          <w:rFonts w:hint="eastAsia" w:ascii="宋体" w:hAnsi="宋体" w:cs="宋体"/>
        </w:rPr>
        <w:t>3.1甲方为乙方提供如下工作条件和协作事项：</w:t>
      </w:r>
    </w:p>
    <w:p>
      <w:pPr>
        <w:pStyle w:val="12"/>
        <w:spacing w:line="360" w:lineRule="auto"/>
        <w:rPr>
          <w:rFonts w:ascii="宋体" w:hAnsi="宋体" w:cs="宋体"/>
        </w:rPr>
      </w:pPr>
      <w:r>
        <w:rPr>
          <w:rFonts w:hint="eastAsia" w:ascii="宋体" w:hAnsi="宋体" w:cs="宋体"/>
        </w:rPr>
        <w:t>3.1.1 甲方为乙方提供咨询项目所需相关资料并协调相关资源，提供必要的工作便利条件；</w:t>
      </w:r>
    </w:p>
    <w:p>
      <w:pPr>
        <w:pStyle w:val="12"/>
        <w:spacing w:line="360" w:lineRule="auto"/>
        <w:rPr>
          <w:rFonts w:ascii="宋体" w:hAnsi="宋体" w:cs="宋体"/>
        </w:rPr>
      </w:pPr>
      <w:r>
        <w:rPr>
          <w:rFonts w:hint="eastAsia" w:ascii="宋体" w:hAnsi="宋体" w:cs="宋体"/>
        </w:rPr>
        <w:t>3.1.2 若在项目实施过程中，甲方发现乙方人员未能正常履行职责或不能满足工作需要，可要求乙方增派能力更强的人员加入本项目，直至满足工作需要，因此导致项目延期交付的，责任由乙方全部承担，引起甲方损失的，乙方需全额赔偿。</w:t>
      </w:r>
    </w:p>
    <w:p>
      <w:pPr>
        <w:pStyle w:val="12"/>
        <w:spacing w:line="360" w:lineRule="auto"/>
        <w:rPr>
          <w:rFonts w:ascii="宋体" w:hAnsi="宋体" w:cs="宋体"/>
        </w:rPr>
      </w:pPr>
      <w:r>
        <w:rPr>
          <w:rFonts w:hint="eastAsia" w:ascii="宋体" w:hAnsi="宋体" w:cs="宋体"/>
        </w:rPr>
        <w:t>第四条 技术服务费、履约保证金及支付方式为：</w:t>
      </w:r>
    </w:p>
    <w:p>
      <w:pPr>
        <w:pStyle w:val="12"/>
        <w:spacing w:line="360" w:lineRule="auto"/>
        <w:rPr>
          <w:rFonts w:ascii="宋体" w:hAnsi="宋体" w:cs="宋体"/>
        </w:rPr>
      </w:pPr>
      <w:r>
        <w:rPr>
          <w:rFonts w:hint="eastAsia" w:ascii="宋体" w:hAnsi="宋体" w:cs="宋体"/>
        </w:rPr>
        <w:t>4.1技术服务费总额（不含增值税）为：¥：</w:t>
      </w:r>
      <w:r>
        <w:rPr>
          <w:rFonts w:hint="eastAsia" w:ascii="宋体" w:hAnsi="宋体" w:cs="宋体"/>
          <w:u w:val="single"/>
        </w:rPr>
        <w:t>       （大写：         ） </w:t>
      </w:r>
      <w:r>
        <w:rPr>
          <w:rFonts w:hint="eastAsia" w:ascii="宋体" w:hAnsi="宋体" w:cs="宋体"/>
        </w:rPr>
        <w:t>；该费用总额为总价包干价，税率：</w:t>
      </w:r>
      <w:r>
        <w:rPr>
          <w:rFonts w:hint="eastAsia" w:ascii="宋体" w:hAnsi="宋体" w:cs="宋体"/>
          <w:u w:val="single"/>
        </w:rPr>
        <w:t xml:space="preserve">   </w:t>
      </w:r>
      <w:r>
        <w:rPr>
          <w:rFonts w:hint="eastAsia" w:ascii="宋体" w:hAnsi="宋体" w:cs="宋体"/>
        </w:rPr>
        <w:t>%。</w:t>
      </w:r>
    </w:p>
    <w:p>
      <w:pPr>
        <w:pStyle w:val="12"/>
        <w:spacing w:line="360" w:lineRule="auto"/>
        <w:rPr>
          <w:rFonts w:ascii="宋体" w:hAnsi="宋体" w:cs="宋体"/>
        </w:rPr>
      </w:pPr>
      <w:r>
        <w:rPr>
          <w:rFonts w:hint="eastAsia" w:ascii="宋体" w:hAnsi="宋体" w:cs="宋体"/>
        </w:rPr>
        <w:t>4.2技术服务费由甲方分期支付乙方。</w:t>
      </w:r>
    </w:p>
    <w:p>
      <w:pPr>
        <w:pStyle w:val="12"/>
        <w:spacing w:line="360" w:lineRule="auto"/>
        <w:rPr>
          <w:rFonts w:ascii="宋体" w:hAnsi="宋体" w:cs="宋体"/>
        </w:rPr>
      </w:pPr>
      <w:r>
        <w:rPr>
          <w:rFonts w:hint="eastAsia" w:ascii="宋体" w:hAnsi="宋体" w:cs="宋体"/>
        </w:rPr>
        <w:t>具体支付方式和时间如下：</w:t>
      </w:r>
    </w:p>
    <w:p>
      <w:pPr>
        <w:spacing w:line="360" w:lineRule="auto"/>
        <w:ind w:firstLine="600" w:firstLineChars="250"/>
        <w:rPr>
          <w:rFonts w:ascii="宋体" w:hAnsi="宋体" w:cs="宋体"/>
          <w:sz w:val="24"/>
        </w:rPr>
      </w:pPr>
      <w:r>
        <w:rPr>
          <w:rFonts w:hint="eastAsia" w:ascii="宋体" w:hAnsi="宋体" w:cs="宋体"/>
          <w:sz w:val="24"/>
        </w:rPr>
        <w:t>平台开发实施完成并验收合格后，</w:t>
      </w:r>
      <w:r>
        <w:rPr>
          <w:rFonts w:hint="eastAsia" w:ascii="宋体" w:hAnsi="宋体" w:cs="宋体"/>
          <w:sz w:val="24"/>
          <w:u w:val="single"/>
        </w:rPr>
        <w:t>15个工作日</w:t>
      </w:r>
      <w:r>
        <w:rPr>
          <w:rFonts w:hint="eastAsia" w:ascii="宋体" w:hAnsi="宋体" w:cs="宋体"/>
          <w:sz w:val="24"/>
        </w:rPr>
        <w:t>内</w:t>
      </w:r>
      <w:r>
        <w:rPr>
          <w:rFonts w:ascii="宋体" w:hAnsi="宋体" w:cs="宋体"/>
          <w:sz w:val="24"/>
        </w:rPr>
        <w:t>支付到</w:t>
      </w:r>
      <w:r>
        <w:rPr>
          <w:rFonts w:hint="eastAsia" w:ascii="宋体" w:hAnsi="宋体" w:cs="宋体"/>
          <w:sz w:val="24"/>
        </w:rPr>
        <w:t>合同总额的</w:t>
      </w:r>
      <w:r>
        <w:rPr>
          <w:rFonts w:ascii="宋体" w:hAnsi="宋体" w:cs="宋体"/>
          <w:sz w:val="24"/>
        </w:rPr>
        <w:t>9</w:t>
      </w:r>
      <w:r>
        <w:rPr>
          <w:rFonts w:hint="eastAsia" w:ascii="宋体" w:hAnsi="宋体" w:cs="宋体"/>
          <w:sz w:val="24"/>
        </w:rPr>
        <w:t>7</w:t>
      </w:r>
      <w:r>
        <w:rPr>
          <w:rFonts w:ascii="宋体" w:hAnsi="宋体" w:cs="宋体"/>
          <w:sz w:val="24"/>
        </w:rPr>
        <w:t>%</w:t>
      </w:r>
      <w:r>
        <w:rPr>
          <w:rFonts w:hint="eastAsia" w:ascii="宋体" w:hAnsi="宋体" w:cs="宋体"/>
          <w:sz w:val="24"/>
        </w:rPr>
        <w:t>，待质保期结束，经甲方确认无质量问题后，支付剩下3</w:t>
      </w:r>
      <w:r>
        <w:rPr>
          <w:rFonts w:ascii="宋体" w:hAnsi="宋体" w:cs="宋体"/>
          <w:sz w:val="24"/>
        </w:rPr>
        <w:t>%</w:t>
      </w:r>
      <w:r>
        <w:rPr>
          <w:rFonts w:hint="eastAsia" w:ascii="宋体" w:hAnsi="宋体" w:cs="宋体"/>
          <w:sz w:val="24"/>
        </w:rPr>
        <w:t>合同款（不计利息）。</w:t>
      </w:r>
    </w:p>
    <w:p>
      <w:pPr>
        <w:spacing w:line="360" w:lineRule="auto"/>
        <w:ind w:firstLine="480" w:firstLineChars="200"/>
        <w:rPr>
          <w:rFonts w:ascii="宋体" w:hAnsi="宋体" w:cs="宋体"/>
        </w:rPr>
      </w:pPr>
      <w:r>
        <w:rPr>
          <w:rFonts w:hint="eastAsia" w:ascii="宋体" w:hAnsi="宋体" w:cs="宋体"/>
          <w:sz w:val="24"/>
        </w:rPr>
        <w:t>若乙方开具增值税专用发票，则甲方支付不含税合同金额和税额的总金额；若乙方开具增值税普通发票，则甲方仅支付不含税合同金额。</w:t>
      </w:r>
      <w:r>
        <w:rPr>
          <w:rFonts w:hint="eastAsia" w:ascii="宋体" w:hAnsi="宋体" w:cs="宋体"/>
        </w:rPr>
        <w:t xml:space="preserve">  </w:t>
      </w:r>
    </w:p>
    <w:p>
      <w:pPr>
        <w:pStyle w:val="12"/>
        <w:spacing w:line="360" w:lineRule="auto"/>
        <w:rPr>
          <w:rFonts w:ascii="宋体" w:hAnsi="宋体" w:cs="宋体"/>
        </w:rPr>
      </w:pPr>
      <w:r>
        <w:rPr>
          <w:rFonts w:hint="eastAsia" w:ascii="宋体" w:hAnsi="宋体" w:cs="宋体"/>
        </w:rPr>
        <w:t>乙方开户银行名称、户名和账号为：</w:t>
      </w:r>
    </w:p>
    <w:p>
      <w:pPr>
        <w:pStyle w:val="12"/>
        <w:spacing w:line="360" w:lineRule="auto"/>
        <w:rPr>
          <w:rFonts w:ascii="宋体" w:hAnsi="宋体" w:cs="宋体"/>
        </w:rPr>
      </w:pPr>
      <w:r>
        <w:rPr>
          <w:rFonts w:hint="eastAsia" w:ascii="宋体" w:hAnsi="宋体" w:cs="宋体"/>
        </w:rPr>
        <w:t>开户银行：        </w:t>
      </w:r>
    </w:p>
    <w:p>
      <w:pPr>
        <w:pStyle w:val="12"/>
        <w:spacing w:line="360" w:lineRule="auto"/>
        <w:rPr>
          <w:rFonts w:ascii="宋体" w:hAnsi="宋体" w:cs="宋体"/>
        </w:rPr>
      </w:pPr>
      <w:r>
        <w:rPr>
          <w:rFonts w:hint="eastAsia" w:ascii="宋体" w:hAnsi="宋体" w:cs="宋体"/>
        </w:rPr>
        <w:t>户名：            </w:t>
      </w:r>
    </w:p>
    <w:p>
      <w:pPr>
        <w:pStyle w:val="12"/>
        <w:spacing w:line="360" w:lineRule="auto"/>
        <w:rPr>
          <w:rFonts w:ascii="宋体" w:hAnsi="宋体" w:cs="宋体"/>
        </w:rPr>
      </w:pPr>
      <w:r>
        <w:rPr>
          <w:rFonts w:hint="eastAsia" w:ascii="宋体" w:hAnsi="宋体" w:cs="宋体"/>
        </w:rPr>
        <w:t>账号：            </w:t>
      </w:r>
    </w:p>
    <w:p>
      <w:pPr>
        <w:pStyle w:val="12"/>
        <w:spacing w:line="360" w:lineRule="auto"/>
        <w:rPr>
          <w:rFonts w:ascii="宋体" w:hAnsi="宋体" w:cs="宋体"/>
        </w:rPr>
      </w:pPr>
      <w:r>
        <w:rPr>
          <w:rFonts w:hint="eastAsia" w:ascii="宋体" w:hAnsi="宋体" w:cs="宋体"/>
        </w:rPr>
        <w:t>4.3乙方需向甲方提供正规增值税发票。如果乙方提供增值税普通发票，甲方支付金额为不含增值税金额；如果乙方提供增值税专用发票，甲方支付金额=不含增值税金额+增值税税额。</w:t>
      </w:r>
    </w:p>
    <w:p>
      <w:pPr>
        <w:pStyle w:val="12"/>
        <w:spacing w:line="360" w:lineRule="auto"/>
        <w:rPr>
          <w:rFonts w:ascii="宋体" w:hAnsi="宋体" w:cs="宋体"/>
        </w:rPr>
      </w:pPr>
      <w:r>
        <w:rPr>
          <w:rFonts w:hint="eastAsia" w:ascii="宋体" w:hAnsi="宋体" w:cs="宋体"/>
        </w:rPr>
        <w:t>4.4 履约保证金</w:t>
      </w:r>
    </w:p>
    <w:p>
      <w:pPr>
        <w:adjustRightInd w:val="0"/>
        <w:snapToGrid w:val="0"/>
        <w:spacing w:line="360" w:lineRule="auto"/>
        <w:ind w:left="1" w:firstLine="420" w:firstLineChars="200"/>
        <w:jc w:val="left"/>
        <w:rPr>
          <w:rFonts w:ascii="宋体" w:hAnsi="宋体" w:cs="宋体"/>
          <w:bCs/>
          <w:color w:val="000000"/>
          <w:sz w:val="24"/>
        </w:rPr>
      </w:pPr>
      <w:r>
        <w:rPr>
          <w:rFonts w:hint="eastAsia" w:ascii="宋体" w:hAnsi="宋体" w:cs="宋体"/>
        </w:rPr>
        <w:t>4.4.1</w:t>
      </w:r>
      <w:r>
        <w:rPr>
          <w:rFonts w:hint="eastAsia" w:ascii="宋体" w:hAnsi="宋体" w:cs="宋体"/>
          <w:bCs/>
          <w:color w:val="000000"/>
          <w:sz w:val="24"/>
        </w:rPr>
        <w:t>履约保证金为合同总价款（不含税）的10%，在收到成交通知书10个工作日内缴纳，于</w:t>
      </w:r>
      <w:r>
        <w:rPr>
          <w:rFonts w:hint="eastAsia" w:ascii="宋体" w:hAnsi="宋体" w:cs="宋体"/>
          <w:bCs/>
          <w:color w:val="FF0000"/>
          <w:sz w:val="24"/>
        </w:rPr>
        <w:t>甲方验收合格</w:t>
      </w:r>
      <w:r>
        <w:rPr>
          <w:rFonts w:hint="eastAsia" w:ascii="宋体" w:hAnsi="宋体" w:cs="宋体"/>
          <w:bCs/>
          <w:color w:val="000000"/>
          <w:sz w:val="24"/>
        </w:rPr>
        <w:t>后，由使用部门一次性退还（不记利息）。</w:t>
      </w:r>
    </w:p>
    <w:p>
      <w:pPr>
        <w:pStyle w:val="12"/>
        <w:spacing w:line="360" w:lineRule="auto"/>
        <w:rPr>
          <w:rFonts w:ascii="宋体" w:hAnsi="宋体" w:cs="宋体"/>
        </w:rPr>
      </w:pPr>
      <w:r>
        <w:rPr>
          <w:rFonts w:hint="eastAsia" w:ascii="宋体" w:hAnsi="宋体" w:cs="宋体"/>
        </w:rPr>
        <w:t>4.4.2履约保证金应由乙方名义开立的账户支付到甲方账户，否则视为未支付，甲方有权追究乙方逾期付款责任。</w:t>
      </w:r>
    </w:p>
    <w:p>
      <w:pPr>
        <w:pStyle w:val="12"/>
        <w:spacing w:line="360" w:lineRule="auto"/>
        <w:rPr>
          <w:rFonts w:ascii="宋体" w:hAnsi="宋体" w:cs="宋体"/>
        </w:rPr>
      </w:pPr>
      <w:r>
        <w:rPr>
          <w:rFonts w:hint="eastAsia" w:ascii="宋体" w:hAnsi="宋体" w:cs="宋体"/>
        </w:rPr>
        <w:t>4.4.3 乙方支付履约保证金时，应在“付款备注”中写明“</w:t>
      </w:r>
      <w:r>
        <w:rPr>
          <w:rFonts w:hint="eastAsia" w:ascii="宋体" w:hAnsi="宋体" w:cs="宋体"/>
          <w:u w:val="single"/>
        </w:rPr>
        <w:t>XX合同履约保证金</w:t>
      </w:r>
      <w:r>
        <w:rPr>
          <w:rFonts w:hint="eastAsia" w:ascii="宋体" w:hAnsi="宋体" w:cs="宋体"/>
        </w:rPr>
        <w:t>”。乙方不得与其他合同、其他缴费项目一起支付履约保证金，若因混合支付造成无法确认为本合同款项到账的，视为逾期未支付。</w:t>
      </w:r>
    </w:p>
    <w:p>
      <w:pPr>
        <w:pStyle w:val="12"/>
        <w:spacing w:line="360" w:lineRule="auto"/>
        <w:rPr>
          <w:rFonts w:ascii="宋体" w:hAnsi="宋体" w:cs="宋体"/>
        </w:rPr>
      </w:pPr>
      <w:r>
        <w:rPr>
          <w:rFonts w:hint="eastAsia" w:ascii="宋体" w:hAnsi="宋体" w:cs="宋体"/>
        </w:rPr>
        <w:t>4.4.4本合同期限届满，若乙方在约定时间内履行完成合同义务且无违约情形，甲方在收到乙方退还履约保证金的申请后，15个工作日之内无息退还。</w:t>
      </w:r>
      <w:r>
        <w:rPr>
          <w:rFonts w:hint="eastAsia" w:ascii="宋体" w:hAnsi="宋体" w:cs="宋体"/>
          <w:color w:val="FF0000"/>
        </w:rPr>
        <w:t>若发生逾期情况，每逾期一日，乙方有权按合同总金额的万分之一计讨违约金。</w:t>
      </w:r>
    </w:p>
    <w:p>
      <w:pPr>
        <w:pStyle w:val="12"/>
        <w:spacing w:line="360" w:lineRule="auto"/>
        <w:rPr>
          <w:rFonts w:ascii="宋体" w:hAnsi="宋体" w:cs="宋体"/>
        </w:rPr>
      </w:pPr>
      <w:r>
        <w:rPr>
          <w:rFonts w:hint="eastAsia" w:ascii="宋体" w:hAnsi="宋体" w:cs="宋体"/>
        </w:rPr>
        <w:t>第五条 技术情报和资料的保密：</w:t>
      </w:r>
    </w:p>
    <w:p>
      <w:pPr>
        <w:pStyle w:val="12"/>
        <w:spacing w:line="360" w:lineRule="auto"/>
        <w:rPr>
          <w:rFonts w:ascii="宋体" w:hAnsi="宋体" w:cs="宋体"/>
        </w:rPr>
      </w:pPr>
      <w:r>
        <w:rPr>
          <w:rFonts w:hint="eastAsia" w:ascii="宋体" w:hAnsi="宋体" w:cs="宋体"/>
        </w:rPr>
        <w:t>5.1.乙方对在工作过程中接触到的甲方的任何资料、文件、数据(无论是书面的还是电子的)，以及对为甲方服务形成的任何交付物，负有为甲方保密的责任。未经甲方书面同意，乙方不得以任何方式向任何第三方提供或透露。</w:t>
      </w:r>
    </w:p>
    <w:p>
      <w:pPr>
        <w:pStyle w:val="12"/>
        <w:spacing w:line="360" w:lineRule="auto"/>
        <w:rPr>
          <w:rFonts w:ascii="宋体" w:hAnsi="宋体" w:cs="宋体"/>
        </w:rPr>
      </w:pPr>
      <w:r>
        <w:rPr>
          <w:rFonts w:hint="eastAsia" w:ascii="宋体" w:hAnsi="宋体" w:cs="宋体"/>
        </w:rPr>
        <w:t>5.2.甲方向乙方提供的任何资料、文件和信息，在乙方服务结束后，乙方均应及时归还甲方，电子文档的应从自己的电脑等存储设备上予永久删除。</w:t>
      </w:r>
    </w:p>
    <w:p>
      <w:pPr>
        <w:pStyle w:val="12"/>
        <w:spacing w:line="360" w:lineRule="auto"/>
        <w:rPr>
          <w:rFonts w:ascii="宋体" w:hAnsi="宋体" w:cs="宋体"/>
        </w:rPr>
      </w:pPr>
      <w:r>
        <w:rPr>
          <w:rFonts w:hint="eastAsia" w:ascii="宋体" w:hAnsi="宋体" w:cs="宋体"/>
        </w:rPr>
        <w:t>5.3.乙方人员违反上述保密规定时间，乙方应承担相应法律责任。</w:t>
      </w:r>
    </w:p>
    <w:p>
      <w:pPr>
        <w:pStyle w:val="12"/>
        <w:spacing w:line="360" w:lineRule="auto"/>
        <w:rPr>
          <w:rFonts w:ascii="宋体" w:hAnsi="宋体" w:cs="宋体"/>
        </w:rPr>
      </w:pPr>
      <w:r>
        <w:rPr>
          <w:rFonts w:hint="eastAsia" w:ascii="宋体" w:hAnsi="宋体" w:cs="宋体"/>
        </w:rPr>
        <w:t>5.4.本合同有效期结束后相关保密条款继续生效。</w:t>
      </w:r>
    </w:p>
    <w:p>
      <w:pPr>
        <w:pStyle w:val="12"/>
        <w:spacing w:line="360" w:lineRule="auto"/>
        <w:rPr>
          <w:rFonts w:ascii="宋体" w:hAnsi="宋体" w:cs="宋体"/>
        </w:rPr>
      </w:pPr>
      <w:r>
        <w:rPr>
          <w:rFonts w:hint="eastAsia" w:ascii="宋体" w:hAnsi="宋体" w:cs="宋体"/>
        </w:rPr>
        <w:t>第六条 验收标准和方式：</w:t>
      </w:r>
    </w:p>
    <w:p>
      <w:pPr>
        <w:pStyle w:val="12"/>
        <w:spacing w:line="360" w:lineRule="auto"/>
        <w:rPr>
          <w:rFonts w:ascii="宋体" w:hAnsi="宋体" w:cs="宋体"/>
        </w:rPr>
      </w:pPr>
      <w:r>
        <w:rPr>
          <w:rFonts w:hint="eastAsia" w:ascii="宋体" w:hAnsi="宋体" w:cs="宋体"/>
        </w:rPr>
        <w:t>甲方参照相关法律法规以及招标文件、投标文件、合同约定条款进行验收。验收结果不合格的，将不予支付采购资金。 </w:t>
      </w:r>
    </w:p>
    <w:p>
      <w:pPr>
        <w:pStyle w:val="12"/>
        <w:spacing w:line="360" w:lineRule="auto"/>
        <w:rPr>
          <w:rFonts w:ascii="宋体" w:hAnsi="宋体" w:cs="宋体"/>
        </w:rPr>
      </w:pPr>
      <w:r>
        <w:rPr>
          <w:rFonts w:hint="eastAsia" w:ascii="宋体" w:hAnsi="宋体" w:cs="宋体"/>
        </w:rPr>
        <w:t>6.</w:t>
      </w:r>
      <w:r>
        <w:rPr>
          <w:rFonts w:ascii="宋体" w:hAnsi="宋体" w:cs="宋体"/>
        </w:rPr>
        <w:t>1</w:t>
      </w:r>
      <w:r>
        <w:rPr>
          <w:rFonts w:hint="eastAsia" w:ascii="宋体" w:hAnsi="宋体" w:cs="宋体"/>
        </w:rPr>
        <w:t>技术服务工作成果的验收标准：</w:t>
      </w:r>
      <w:r>
        <w:rPr>
          <w:rFonts w:hint="eastAsia" w:ascii="宋体" w:hAnsi="宋体" w:cs="宋体"/>
          <w:u w:val="single"/>
        </w:rPr>
        <w:t>系统安装部署调试完成后，能够满足甲方业务功能需求，且系统运行稳定。经甲方相关会议审议通过。</w:t>
      </w:r>
    </w:p>
    <w:p>
      <w:pPr>
        <w:pStyle w:val="12"/>
        <w:spacing w:line="360" w:lineRule="auto"/>
        <w:rPr>
          <w:rFonts w:ascii="宋体" w:hAnsi="宋体" w:cs="宋体"/>
        </w:rPr>
      </w:pPr>
      <w:r>
        <w:rPr>
          <w:rFonts w:hint="eastAsia" w:ascii="宋体" w:hAnsi="宋体" w:cs="宋体"/>
        </w:rPr>
        <w:t>6.</w:t>
      </w:r>
      <w:r>
        <w:rPr>
          <w:rFonts w:ascii="宋体" w:hAnsi="宋体" w:cs="宋体"/>
        </w:rPr>
        <w:t>2</w:t>
      </w:r>
      <w:r>
        <w:rPr>
          <w:rFonts w:hint="eastAsia" w:ascii="宋体" w:hAnsi="宋体" w:cs="宋体"/>
        </w:rPr>
        <w:t>技术服务工作成果的验收方法：</w:t>
      </w:r>
      <w:r>
        <w:rPr>
          <w:rFonts w:hint="eastAsia" w:ascii="宋体" w:hAnsi="宋体" w:cs="宋体"/>
          <w:u w:val="single"/>
        </w:rPr>
        <w:t>相关会议纪要（必须含有该项目相关负责人及参会人员手签）；</w:t>
      </w:r>
      <w:r>
        <w:rPr>
          <w:rFonts w:hint="eastAsia" w:ascii="宋体" w:hAnsi="宋体" w:cs="宋体"/>
        </w:rPr>
        <w:t>    </w:t>
      </w:r>
    </w:p>
    <w:p>
      <w:pPr>
        <w:pStyle w:val="12"/>
        <w:spacing w:line="360" w:lineRule="auto"/>
        <w:rPr>
          <w:rFonts w:ascii="宋体" w:hAnsi="宋体" w:cs="宋体"/>
        </w:rPr>
      </w:pPr>
      <w:r>
        <w:rPr>
          <w:rFonts w:hint="eastAsia" w:ascii="宋体" w:hAnsi="宋体" w:cs="宋体"/>
        </w:rPr>
        <w:t>6.</w:t>
      </w:r>
      <w:r>
        <w:rPr>
          <w:rFonts w:ascii="宋体" w:hAnsi="宋体" w:cs="宋体"/>
        </w:rPr>
        <w:t>3</w:t>
      </w:r>
      <w:r>
        <w:rPr>
          <w:rFonts w:hint="eastAsia" w:ascii="宋体" w:hAnsi="宋体" w:cs="宋体"/>
        </w:rPr>
        <w:t>验收的时间和地点：</w:t>
      </w:r>
      <w:r>
        <w:rPr>
          <w:rFonts w:hint="eastAsia" w:ascii="宋体" w:hAnsi="宋体" w:cs="宋体"/>
          <w:u w:val="single"/>
        </w:rPr>
        <w:t>重庆机场集团有限公司ITC大楼。</w:t>
      </w:r>
      <w:r>
        <w:rPr>
          <w:rFonts w:hint="eastAsia" w:ascii="宋体" w:hAnsi="宋体" w:cs="宋体"/>
        </w:rPr>
        <w:t>      </w:t>
      </w:r>
    </w:p>
    <w:p>
      <w:pPr>
        <w:pStyle w:val="12"/>
        <w:spacing w:line="360" w:lineRule="auto"/>
        <w:rPr>
          <w:rFonts w:ascii="宋体" w:hAnsi="宋体" w:cs="宋体"/>
        </w:rPr>
      </w:pPr>
      <w:r>
        <w:rPr>
          <w:rFonts w:hint="eastAsia" w:ascii="宋体" w:hAnsi="宋体" w:cs="宋体"/>
        </w:rPr>
        <w:t>第七条 技术服务成果归属与分享</w:t>
      </w:r>
    </w:p>
    <w:p>
      <w:pPr>
        <w:pStyle w:val="12"/>
        <w:spacing w:line="360" w:lineRule="auto"/>
        <w:rPr>
          <w:rFonts w:ascii="宋体" w:hAnsi="宋体" w:cs="宋体"/>
        </w:rPr>
      </w:pPr>
      <w:r>
        <w:rPr>
          <w:rFonts w:hint="eastAsia" w:ascii="宋体" w:hAnsi="宋体" w:cs="宋体"/>
        </w:rPr>
        <w:t>甲方有权依本合同规定享有本合同中规定乙方必须提交的服务成果及附属文件的知识产权。本合同约定的项目成果及在此基础上形成的新成果及相应的知识产权均属甲方所有。</w:t>
      </w:r>
    </w:p>
    <w:p>
      <w:pPr>
        <w:pStyle w:val="12"/>
        <w:spacing w:line="360" w:lineRule="auto"/>
        <w:rPr>
          <w:rFonts w:ascii="宋体" w:hAnsi="宋体" w:cs="宋体"/>
        </w:rPr>
      </w:pPr>
      <w:r>
        <w:rPr>
          <w:rFonts w:hint="eastAsia" w:ascii="宋体" w:hAnsi="宋体" w:cs="宋体"/>
        </w:rPr>
        <w:t>第八条 违约责任：</w:t>
      </w:r>
    </w:p>
    <w:p>
      <w:pPr>
        <w:pStyle w:val="12"/>
        <w:spacing w:line="360" w:lineRule="auto"/>
        <w:rPr>
          <w:rFonts w:ascii="宋体" w:hAnsi="宋体" w:cs="宋体"/>
        </w:rPr>
      </w:pPr>
      <w:r>
        <w:rPr>
          <w:rFonts w:hint="eastAsia" w:ascii="宋体" w:hAnsi="宋体" w:cs="宋体"/>
        </w:rPr>
        <w:t>8.1甲方的违约责任</w:t>
      </w:r>
    </w:p>
    <w:p>
      <w:pPr>
        <w:pStyle w:val="12"/>
        <w:spacing w:line="360" w:lineRule="auto"/>
        <w:rPr>
          <w:rFonts w:ascii="宋体" w:hAnsi="宋体" w:cs="宋体"/>
        </w:rPr>
      </w:pPr>
      <w:r>
        <w:rPr>
          <w:rFonts w:hint="eastAsia" w:ascii="宋体" w:hAnsi="宋体" w:cs="宋体"/>
        </w:rPr>
        <w:t>（1）甲方未按照合同约定提供必要的数据和资料，或者迟延提供合同约定的数据和资料，或者所提供的数据、资料有严重缺陷，影响工作进度和质量的，未付的报酬应当如数支付，并相应顺延技术服务成果交付时间；</w:t>
      </w:r>
    </w:p>
    <w:p>
      <w:pPr>
        <w:pStyle w:val="12"/>
        <w:spacing w:line="360" w:lineRule="auto"/>
        <w:rPr>
          <w:rFonts w:ascii="宋体" w:hAnsi="宋体" w:cs="宋体"/>
        </w:rPr>
      </w:pPr>
      <w:r>
        <w:rPr>
          <w:rFonts w:hint="eastAsia" w:ascii="宋体" w:hAnsi="宋体" w:cs="宋体"/>
        </w:rPr>
        <w:t>（2）甲方未按期支付报酬的，应当断续支付，每逾期一日，按合同中金额的万分之一计付违约金。如：甲方逾期30自然日仍未提支付报酬，乙方有权解除合同，并要求甲方按合同总额的10%支付违约金；</w:t>
      </w:r>
    </w:p>
    <w:p>
      <w:pPr>
        <w:pStyle w:val="12"/>
        <w:spacing w:line="360" w:lineRule="auto"/>
        <w:rPr>
          <w:rFonts w:ascii="宋体" w:hAnsi="宋体" w:cs="宋体"/>
        </w:rPr>
      </w:pPr>
      <w:r>
        <w:rPr>
          <w:rFonts w:hint="eastAsia" w:ascii="宋体" w:hAnsi="宋体" w:cs="宋体"/>
        </w:rPr>
        <w:t>（3）甲方无故不提供技术资料、数据和工作条件，导致乙方无法开展工作的，乙方有权解除合同，并有权要求甲方按合同总额10%支付违约金，若甲方无法提供的技术资料、数据和工作条件，甲方需以书面形式发函告知乙方。</w:t>
      </w:r>
    </w:p>
    <w:p>
      <w:pPr>
        <w:pStyle w:val="12"/>
        <w:spacing w:line="360" w:lineRule="auto"/>
        <w:rPr>
          <w:rFonts w:ascii="宋体" w:hAnsi="宋体" w:cs="宋体"/>
        </w:rPr>
      </w:pPr>
      <w:r>
        <w:rPr>
          <w:rFonts w:hint="eastAsia" w:ascii="宋体" w:hAnsi="宋体" w:cs="宋体"/>
        </w:rPr>
        <w:t>8.2乙方的违约责任</w:t>
      </w:r>
    </w:p>
    <w:p>
      <w:pPr>
        <w:pStyle w:val="12"/>
        <w:spacing w:line="360" w:lineRule="auto"/>
        <w:rPr>
          <w:rFonts w:ascii="宋体" w:hAnsi="宋体" w:cs="宋体"/>
        </w:rPr>
      </w:pPr>
      <w:r>
        <w:rPr>
          <w:rFonts w:hint="eastAsia" w:ascii="宋体" w:hAnsi="宋体" w:cs="宋体"/>
        </w:rPr>
        <w:t>（1）乙方未按期提供服务成果并经甲方相关会议审议通过，甲方有权减少或者拒付报酬，且每逾期一日，甲方有权按合同总金额的万分之一计付违约金。如：乙方逾期30自然日仍未提供服务成果并经甲方相关会议审议通过，甲方有权解除合同，并要求乙方按合同总额的10%支付违约金。</w:t>
      </w:r>
    </w:p>
    <w:p>
      <w:pPr>
        <w:pStyle w:val="12"/>
        <w:spacing w:line="360" w:lineRule="auto"/>
        <w:rPr>
          <w:rFonts w:ascii="宋体" w:hAnsi="宋体" w:cs="宋体"/>
        </w:rPr>
      </w:pPr>
      <w:r>
        <w:rPr>
          <w:rFonts w:hint="eastAsia" w:ascii="宋体" w:hAnsi="宋体" w:cs="宋体"/>
        </w:rPr>
        <w:t>（2）乙方所提交的服务成果不符合合同约定、未通过验收的，甲方可拒付报酬，并有权要求乙方按合同总额10</w:t>
      </w:r>
      <w:r>
        <w:rPr>
          <w:rFonts w:hint="eastAsia" w:ascii="宋体" w:hAnsi="宋体" w:cs="宋体"/>
        </w:rPr>
        <w:softHyphen/>
      </w:r>
      <w:r>
        <w:rPr>
          <w:rFonts w:hint="eastAsia" w:ascii="宋体" w:hAnsi="宋体" w:cs="宋体"/>
        </w:rPr>
        <w:softHyphen/>
      </w:r>
      <w:r>
        <w:rPr>
          <w:rFonts w:hint="eastAsia" w:ascii="宋体" w:hAnsi="宋体" w:cs="宋体"/>
        </w:rPr>
        <w:t>%支付违约金。</w:t>
      </w:r>
    </w:p>
    <w:p>
      <w:pPr>
        <w:pStyle w:val="12"/>
        <w:spacing w:line="360" w:lineRule="auto"/>
        <w:rPr>
          <w:rFonts w:ascii="宋体" w:hAnsi="宋体" w:cs="宋体"/>
        </w:rPr>
      </w:pPr>
      <w:r>
        <w:rPr>
          <w:rFonts w:hint="eastAsia" w:ascii="宋体" w:hAnsi="宋体" w:cs="宋体"/>
        </w:rPr>
        <w:t>（3）乙方在签订合同后，未按照与甲方商定的计划分阶段开展服务工作的，甲方有权解除合同，要求乙方返还已收的报酬，并要求乙方按合同总额5%支付违约金。</w:t>
      </w:r>
    </w:p>
    <w:p>
      <w:pPr>
        <w:pStyle w:val="12"/>
        <w:spacing w:line="360" w:lineRule="auto"/>
        <w:rPr>
          <w:rFonts w:ascii="宋体" w:hAnsi="宋体" w:cs="宋体"/>
        </w:rPr>
      </w:pPr>
      <w:r>
        <w:rPr>
          <w:rFonts w:hint="eastAsia" w:ascii="宋体" w:hAnsi="宋体" w:cs="宋体"/>
        </w:rPr>
        <w:t>（4）乙方应按照比选响应文件上的承诺配置项目团队，若更换调整项目团队成员须得到甲方认可，未经甲方认可自行调整项目团队的，甲方有权解除合同，要求乙方返还已收的报酬，并要求乙方按合同总额5%支付违约金；若在项目实施过程中，甲方发现乙方人员未能正常履行职责或不能满足工作需要，要求乙方增派能力更强的人员加入本项目，乙方拒不执行的，甲方有权要求乙方按合同总额5%支付违约金。</w:t>
      </w:r>
    </w:p>
    <w:p>
      <w:pPr>
        <w:pStyle w:val="12"/>
        <w:spacing w:line="360" w:lineRule="auto"/>
        <w:rPr>
          <w:rFonts w:ascii="宋体" w:hAnsi="宋体" w:cs="宋体"/>
        </w:rPr>
      </w:pPr>
      <w:r>
        <w:rPr>
          <w:rFonts w:hint="eastAsia" w:ascii="宋体" w:hAnsi="宋体" w:cs="宋体"/>
        </w:rPr>
        <w:t>第九条 双方确定，在本合同有效期内，甲方指定</w:t>
      </w:r>
      <w:r>
        <w:rPr>
          <w:rFonts w:hint="eastAsia" w:ascii="宋体" w:hAnsi="宋体" w:cs="宋体"/>
          <w:u w:val="single"/>
        </w:rPr>
        <w:t>           </w:t>
      </w:r>
      <w:r>
        <w:rPr>
          <w:rFonts w:hint="eastAsia" w:ascii="宋体" w:hAnsi="宋体" w:cs="宋体"/>
        </w:rPr>
        <w:t>为甲方项目联系人，乙方指定</w:t>
      </w:r>
      <w:r>
        <w:rPr>
          <w:rFonts w:hint="eastAsia" w:ascii="宋体" w:hAnsi="宋体" w:cs="宋体"/>
          <w:u w:val="single"/>
        </w:rPr>
        <w:t>        </w:t>
      </w:r>
      <w:r>
        <w:rPr>
          <w:rFonts w:hint="eastAsia" w:ascii="宋体" w:hAnsi="宋体" w:cs="宋体"/>
        </w:rPr>
        <w:t>为乙方项目联系人。项目联系人履行职责。</w:t>
      </w:r>
    </w:p>
    <w:p>
      <w:pPr>
        <w:pStyle w:val="12"/>
        <w:spacing w:line="360" w:lineRule="auto"/>
        <w:rPr>
          <w:rFonts w:ascii="宋体" w:hAnsi="宋体" w:cs="宋体"/>
        </w:rPr>
      </w:pPr>
      <w:r>
        <w:rPr>
          <w:rFonts w:hint="eastAsia" w:ascii="宋体" w:hAnsi="宋体" w:cs="宋体"/>
        </w:rPr>
        <w:t>一方变更项目联系人的，应当及时以书面形式通知另一方。未及时通知并影响本合同履行或造成损失的，应承担相应的责任。</w:t>
      </w:r>
    </w:p>
    <w:p>
      <w:pPr>
        <w:pStyle w:val="12"/>
        <w:spacing w:line="360" w:lineRule="auto"/>
        <w:rPr>
          <w:rFonts w:ascii="宋体" w:hAnsi="宋体" w:cs="宋体"/>
        </w:rPr>
      </w:pPr>
      <w:r>
        <w:rPr>
          <w:rFonts w:hint="eastAsia" w:ascii="宋体" w:hAnsi="宋体" w:cs="宋体"/>
        </w:rPr>
        <w:t>第十条 双方因履行本合同而发生的争议，应协商、调解解决。协商、调解不成的，确定按以下第</w:t>
      </w:r>
      <w:r>
        <w:rPr>
          <w:rFonts w:hint="eastAsia" w:ascii="宋体" w:hAnsi="宋体" w:cs="宋体"/>
          <w:u w:val="single"/>
        </w:rPr>
        <w:t>二</w:t>
      </w:r>
      <w:r>
        <w:rPr>
          <w:rFonts w:hint="eastAsia" w:ascii="宋体" w:hAnsi="宋体" w:cs="宋体"/>
        </w:rPr>
        <w:t>种方式处理：</w:t>
      </w:r>
    </w:p>
    <w:p>
      <w:pPr>
        <w:pStyle w:val="12"/>
        <w:spacing w:line="360" w:lineRule="auto"/>
        <w:rPr>
          <w:rFonts w:ascii="宋体" w:hAnsi="宋体" w:cs="宋体"/>
        </w:rPr>
      </w:pPr>
      <w:r>
        <w:rPr>
          <w:rFonts w:hint="eastAsia" w:ascii="宋体" w:hAnsi="宋体" w:cs="宋体"/>
        </w:rPr>
        <w:t>10.1提交</w:t>
      </w:r>
      <w:r>
        <w:rPr>
          <w:rFonts w:hint="eastAsia" w:ascii="宋体" w:hAnsi="宋体" w:cs="宋体"/>
          <w:u w:val="single"/>
        </w:rPr>
        <w:t xml:space="preserve"> \  </w:t>
      </w:r>
      <w:r>
        <w:rPr>
          <w:rFonts w:hint="eastAsia" w:ascii="宋体" w:hAnsi="宋体" w:cs="宋体"/>
        </w:rPr>
        <w:t>仲裁委员会仲裁；</w:t>
      </w:r>
    </w:p>
    <w:p>
      <w:pPr>
        <w:pStyle w:val="12"/>
        <w:spacing w:line="360" w:lineRule="auto"/>
        <w:rPr>
          <w:rFonts w:ascii="宋体" w:hAnsi="宋体" w:cs="宋体"/>
        </w:rPr>
      </w:pPr>
      <w:r>
        <w:rPr>
          <w:rFonts w:hint="eastAsia" w:ascii="宋体" w:hAnsi="宋体" w:cs="宋体"/>
        </w:rPr>
        <w:t>10.2依法向</w:t>
      </w:r>
      <w:r>
        <w:rPr>
          <w:rFonts w:hint="eastAsia" w:ascii="宋体" w:hAnsi="宋体" w:cs="宋体"/>
          <w:u w:val="single"/>
        </w:rPr>
        <w:t>甲方所在地</w:t>
      </w:r>
      <w:r>
        <w:rPr>
          <w:rFonts w:hint="eastAsia" w:ascii="宋体" w:hAnsi="宋体" w:cs="宋体"/>
        </w:rPr>
        <w:t>人民法院起诉。</w:t>
      </w:r>
    </w:p>
    <w:p>
      <w:pPr>
        <w:pStyle w:val="12"/>
        <w:spacing w:line="360" w:lineRule="auto"/>
        <w:rPr>
          <w:rFonts w:ascii="宋体" w:hAnsi="宋体" w:cs="宋体"/>
        </w:rPr>
      </w:pPr>
      <w:r>
        <w:rPr>
          <w:rFonts w:hint="eastAsia" w:ascii="宋体" w:hAnsi="宋体" w:cs="宋体"/>
        </w:rPr>
        <w:t>第十一条 双方约定本合同其他相关事项。</w:t>
      </w:r>
    </w:p>
    <w:p>
      <w:pPr>
        <w:pStyle w:val="12"/>
        <w:spacing w:line="360" w:lineRule="auto"/>
        <w:rPr>
          <w:rFonts w:ascii="宋体" w:hAnsi="宋体" w:cs="宋体"/>
        </w:rPr>
      </w:pPr>
      <w:r>
        <w:rPr>
          <w:rFonts w:hint="eastAsia" w:ascii="宋体" w:hAnsi="宋体" w:cs="宋体"/>
        </w:rPr>
        <w:t>第十二条 除本合同另有约定外，根据本合同发出的或与本合同有关的通知应以专人送达、传真、电子邮件或邮寄方式发送至以下地址：</w:t>
      </w:r>
    </w:p>
    <w:p>
      <w:pPr>
        <w:pStyle w:val="12"/>
        <w:spacing w:line="360" w:lineRule="auto"/>
        <w:rPr>
          <w:rFonts w:ascii="宋体" w:hAnsi="宋体" w:cs="宋体"/>
        </w:rPr>
      </w:pPr>
      <w:r>
        <w:rPr>
          <w:rFonts w:hint="eastAsia" w:ascii="宋体" w:hAnsi="宋体" w:cs="宋体"/>
        </w:rPr>
        <w:t>12.1甲方指定的联系方式包括：</w:t>
      </w:r>
    </w:p>
    <w:p>
      <w:pPr>
        <w:pStyle w:val="12"/>
        <w:spacing w:line="360" w:lineRule="auto"/>
        <w:rPr>
          <w:rFonts w:ascii="宋体" w:hAnsi="宋体" w:cs="宋体"/>
        </w:rPr>
      </w:pPr>
      <w:r>
        <w:rPr>
          <w:rFonts w:hint="eastAsia" w:ascii="宋体" w:hAnsi="宋体" w:cs="宋体"/>
        </w:rPr>
        <w:t>联系人：        </w:t>
      </w:r>
    </w:p>
    <w:p>
      <w:pPr>
        <w:pStyle w:val="12"/>
        <w:spacing w:line="360" w:lineRule="auto"/>
        <w:rPr>
          <w:rFonts w:ascii="宋体" w:hAnsi="宋体" w:cs="宋体"/>
        </w:rPr>
      </w:pPr>
      <w:r>
        <w:rPr>
          <w:rFonts w:hint="eastAsia" w:ascii="宋体" w:hAnsi="宋体" w:cs="宋体"/>
        </w:rPr>
        <w:t>联系电话：        </w:t>
      </w:r>
    </w:p>
    <w:p>
      <w:pPr>
        <w:pStyle w:val="12"/>
        <w:spacing w:line="360" w:lineRule="auto"/>
        <w:rPr>
          <w:rFonts w:ascii="宋体" w:hAnsi="宋体" w:cs="宋体"/>
        </w:rPr>
      </w:pPr>
      <w:r>
        <w:rPr>
          <w:rFonts w:hint="eastAsia" w:ascii="宋体" w:hAnsi="宋体" w:cs="宋体"/>
        </w:rPr>
        <w:t>通讯地址：        </w:t>
      </w:r>
    </w:p>
    <w:p>
      <w:pPr>
        <w:pStyle w:val="12"/>
        <w:spacing w:line="360" w:lineRule="auto"/>
        <w:rPr>
          <w:rFonts w:ascii="宋体" w:hAnsi="宋体" w:cs="宋体"/>
        </w:rPr>
      </w:pPr>
      <w:r>
        <w:rPr>
          <w:rFonts w:hint="eastAsia" w:ascii="宋体" w:hAnsi="宋体" w:cs="宋体"/>
        </w:rPr>
        <w:t>电子邮件：        </w:t>
      </w:r>
    </w:p>
    <w:p>
      <w:pPr>
        <w:pStyle w:val="12"/>
        <w:spacing w:line="360" w:lineRule="auto"/>
        <w:rPr>
          <w:rFonts w:ascii="宋体" w:hAnsi="宋体" w:cs="宋体"/>
        </w:rPr>
      </w:pPr>
      <w:r>
        <w:rPr>
          <w:rFonts w:hint="eastAsia" w:ascii="宋体" w:hAnsi="宋体" w:cs="宋体"/>
        </w:rPr>
        <w:t>乙方指定的联系方式包括：</w:t>
      </w:r>
    </w:p>
    <w:p>
      <w:pPr>
        <w:pStyle w:val="12"/>
        <w:spacing w:line="360" w:lineRule="auto"/>
        <w:rPr>
          <w:rFonts w:ascii="宋体" w:hAnsi="宋体" w:cs="宋体"/>
        </w:rPr>
      </w:pPr>
      <w:r>
        <w:rPr>
          <w:rFonts w:hint="eastAsia" w:ascii="宋体" w:hAnsi="宋体" w:cs="宋体"/>
        </w:rPr>
        <w:t>联系人：        </w:t>
      </w:r>
    </w:p>
    <w:p>
      <w:pPr>
        <w:pStyle w:val="12"/>
        <w:spacing w:line="360" w:lineRule="auto"/>
        <w:rPr>
          <w:rFonts w:ascii="宋体" w:hAnsi="宋体" w:cs="宋体"/>
        </w:rPr>
      </w:pPr>
      <w:r>
        <w:rPr>
          <w:rFonts w:hint="eastAsia" w:ascii="宋体" w:hAnsi="宋体" w:cs="宋体"/>
        </w:rPr>
        <w:t>联系电话：        </w:t>
      </w:r>
    </w:p>
    <w:p>
      <w:pPr>
        <w:pStyle w:val="12"/>
        <w:spacing w:line="360" w:lineRule="auto"/>
        <w:rPr>
          <w:rFonts w:ascii="宋体" w:hAnsi="宋体" w:cs="宋体"/>
        </w:rPr>
      </w:pPr>
      <w:r>
        <w:rPr>
          <w:rFonts w:hint="eastAsia" w:ascii="宋体" w:hAnsi="宋体" w:cs="宋体"/>
        </w:rPr>
        <w:t>通讯地址：        </w:t>
      </w:r>
    </w:p>
    <w:p>
      <w:pPr>
        <w:pStyle w:val="12"/>
        <w:spacing w:line="360" w:lineRule="auto"/>
        <w:rPr>
          <w:rFonts w:ascii="宋体" w:hAnsi="宋体" w:cs="宋体"/>
        </w:rPr>
      </w:pPr>
      <w:r>
        <w:rPr>
          <w:rFonts w:hint="eastAsia" w:ascii="宋体" w:hAnsi="宋体" w:cs="宋体"/>
        </w:rPr>
        <w:t>电子邮件：        </w:t>
      </w:r>
    </w:p>
    <w:p>
      <w:pPr>
        <w:pStyle w:val="12"/>
        <w:spacing w:line="360" w:lineRule="auto"/>
        <w:rPr>
          <w:rFonts w:ascii="宋体" w:hAnsi="宋体" w:cs="宋体"/>
        </w:rPr>
      </w:pPr>
      <w:r>
        <w:rPr>
          <w:rFonts w:hint="eastAsia" w:ascii="宋体" w:hAnsi="宋体" w:cs="宋体"/>
        </w:rPr>
        <w:t>12.2以专人送达方式发出的任何通知，在有关一方的地址面交时视为已送达；以邮寄方式发出的任何通知，在寄出后7个工作日视为已送达；以传真或电子邮件方式发出的任何通知，发出方收到传真或电子邮件的发送确认回执时，视为已送达。</w:t>
      </w:r>
    </w:p>
    <w:p>
      <w:pPr>
        <w:pStyle w:val="12"/>
        <w:spacing w:line="360" w:lineRule="auto"/>
        <w:rPr>
          <w:rFonts w:ascii="宋体" w:hAnsi="宋体" w:cs="宋体"/>
        </w:rPr>
      </w:pPr>
      <w:r>
        <w:rPr>
          <w:rFonts w:hint="eastAsia" w:ascii="宋体" w:hAnsi="宋体" w:cs="宋体"/>
        </w:rPr>
        <w:t>12.3本合同项下司法文书的送达地址亦为上述地址，该地址可以用于收取各类诉讼、仲裁等司法文书，按照上述地址送达的，视为签收，受送达人拒收的，不影响送达效力。</w:t>
      </w:r>
    </w:p>
    <w:p>
      <w:pPr>
        <w:pStyle w:val="12"/>
        <w:spacing w:line="360" w:lineRule="auto"/>
        <w:rPr>
          <w:rFonts w:ascii="宋体" w:hAnsi="宋体" w:cs="宋体"/>
        </w:rPr>
      </w:pPr>
      <w:r>
        <w:rPr>
          <w:rFonts w:hint="eastAsia" w:ascii="宋体" w:hAnsi="宋体" w:cs="宋体"/>
        </w:rPr>
        <w:t>12.4本合同任何一方可书面通知另一方变更其在本合同第12.1条中载明的地址，变更生效时间为通知中指明的变更日期，如通知中没有指明变更日期或指明的日期早于通知送达日，则变更生效时间为通知送达日。如一方变更地址未通知另一方的，原约定地址仍为有效送达地址。</w:t>
      </w:r>
    </w:p>
    <w:p>
      <w:pPr>
        <w:pStyle w:val="12"/>
        <w:spacing w:line="360" w:lineRule="auto"/>
        <w:rPr>
          <w:rFonts w:ascii="宋体" w:hAnsi="宋体" w:cs="宋体"/>
        </w:rPr>
      </w:pPr>
      <w:r>
        <w:rPr>
          <w:rFonts w:hint="eastAsia" w:ascii="宋体" w:hAnsi="宋体" w:cs="宋体"/>
        </w:rPr>
        <w:t>第十三条 本合同一式</w:t>
      </w:r>
      <w:r>
        <w:rPr>
          <w:rFonts w:hint="eastAsia" w:ascii="宋体" w:hAnsi="宋体" w:cs="宋体"/>
          <w:u w:val="single"/>
        </w:rPr>
        <w:t>六</w:t>
      </w:r>
      <w:r>
        <w:rPr>
          <w:rFonts w:hint="eastAsia" w:ascii="宋体" w:hAnsi="宋体" w:cs="宋体"/>
        </w:rPr>
        <w:t>份，甲方执</w:t>
      </w:r>
      <w:r>
        <w:rPr>
          <w:rFonts w:hint="eastAsia" w:ascii="宋体" w:hAnsi="宋体" w:cs="宋体"/>
          <w:u w:val="single"/>
        </w:rPr>
        <w:t>三</w:t>
      </w:r>
      <w:r>
        <w:rPr>
          <w:rFonts w:hint="eastAsia" w:ascii="宋体" w:hAnsi="宋体" w:cs="宋体"/>
        </w:rPr>
        <w:t>份，乙方执</w:t>
      </w:r>
      <w:r>
        <w:rPr>
          <w:rFonts w:hint="eastAsia" w:ascii="宋体" w:hAnsi="宋体" w:cs="宋体"/>
          <w:u w:val="single"/>
        </w:rPr>
        <w:t>三</w:t>
      </w:r>
      <w:r>
        <w:rPr>
          <w:rFonts w:hint="eastAsia" w:ascii="宋体" w:hAnsi="宋体" w:cs="宋体"/>
        </w:rPr>
        <w:t>份，具有同等法律效力。</w:t>
      </w:r>
    </w:p>
    <w:p>
      <w:pPr>
        <w:pStyle w:val="12"/>
        <w:spacing w:line="360" w:lineRule="auto"/>
        <w:rPr>
          <w:rFonts w:ascii="宋体" w:hAnsi="宋体" w:cs="宋体"/>
          <w:color w:val="FF0000"/>
        </w:rPr>
      </w:pPr>
      <w:r>
        <w:rPr>
          <w:rFonts w:hint="eastAsia" w:ascii="宋体" w:hAnsi="宋体" w:cs="宋体"/>
        </w:rPr>
        <w:t>第十四条 本合同经双方代表签字并盖章后生效，</w:t>
      </w:r>
      <w:r>
        <w:rPr>
          <w:rFonts w:hint="eastAsia" w:ascii="宋体" w:hAnsi="宋体" w:cs="宋体"/>
          <w:color w:val="FF0000"/>
        </w:rPr>
        <w:t>若非法定代表人签字的，需提供授权委托书。</w:t>
      </w:r>
    </w:p>
    <w:p>
      <w:pPr>
        <w:pStyle w:val="12"/>
        <w:spacing w:line="360" w:lineRule="auto"/>
        <w:rPr>
          <w:rFonts w:ascii="宋体" w:hAnsi="宋体" w:cs="宋体"/>
        </w:rPr>
      </w:pPr>
      <w:r>
        <w:rPr>
          <w:rFonts w:hint="eastAsia" w:ascii="宋体" w:hAnsi="宋体" w:cs="宋体"/>
        </w:rPr>
        <w:t>（以下无正文）</w:t>
      </w:r>
    </w:p>
    <w:p>
      <w:pPr>
        <w:pStyle w:val="12"/>
        <w:spacing w:line="360" w:lineRule="auto"/>
        <w:rPr>
          <w:rFonts w:ascii="宋体" w:hAnsi="宋体" w:cs="宋体"/>
        </w:rPr>
      </w:pPr>
    </w:p>
    <w:p>
      <w:pPr>
        <w:pStyle w:val="12"/>
        <w:spacing w:line="360" w:lineRule="auto"/>
        <w:rPr>
          <w:rFonts w:ascii="宋体" w:hAnsi="宋体" w:cs="宋体"/>
        </w:rPr>
      </w:pPr>
    </w:p>
    <w:p>
      <w:pPr>
        <w:pStyle w:val="12"/>
        <w:spacing w:line="360" w:lineRule="auto"/>
        <w:rPr>
          <w:rFonts w:ascii="宋体" w:hAnsi="宋体" w:cs="宋体"/>
        </w:rPr>
      </w:pPr>
    </w:p>
    <w:p>
      <w:pPr>
        <w:pStyle w:val="12"/>
        <w:spacing w:line="360" w:lineRule="auto"/>
        <w:ind w:firstLine="0" w:firstLineChars="0"/>
        <w:rPr>
          <w:rFonts w:ascii="宋体" w:hAnsi="宋体" w:cs="宋体"/>
        </w:rPr>
      </w:pPr>
    </w:p>
    <w:p>
      <w:pPr>
        <w:pStyle w:val="12"/>
        <w:spacing w:line="360" w:lineRule="auto"/>
        <w:rPr>
          <w:rFonts w:ascii="宋体" w:hAnsi="宋体" w:cs="宋体"/>
        </w:rPr>
      </w:pPr>
    </w:p>
    <w:p>
      <w:pPr>
        <w:pStyle w:val="12"/>
        <w:spacing w:line="360" w:lineRule="auto"/>
        <w:jc w:val="center"/>
        <w:rPr>
          <w:rFonts w:ascii="宋体" w:hAnsi="宋体" w:cs="宋体"/>
        </w:rPr>
      </w:pPr>
      <w:r>
        <w:rPr>
          <w:rFonts w:hint="eastAsia" w:ascii="宋体" w:hAnsi="宋体" w:cs="宋体"/>
        </w:rPr>
        <w:t>（签署页）</w:t>
      </w:r>
    </w:p>
    <w:tbl>
      <w:tblPr>
        <w:tblStyle w:val="19"/>
        <w:tblW w:w="9272" w:type="dxa"/>
        <w:jc w:val="center"/>
        <w:tblLayout w:type="fixed"/>
        <w:tblCellMar>
          <w:top w:w="0" w:type="dxa"/>
          <w:left w:w="108" w:type="dxa"/>
          <w:bottom w:w="0" w:type="dxa"/>
          <w:right w:w="108" w:type="dxa"/>
        </w:tblCellMar>
      </w:tblPr>
      <w:tblGrid>
        <w:gridCol w:w="4375"/>
        <w:gridCol w:w="4897"/>
      </w:tblGrid>
      <w:tr>
        <w:tblPrEx>
          <w:tblCellMar>
            <w:top w:w="0" w:type="dxa"/>
            <w:left w:w="108" w:type="dxa"/>
            <w:bottom w:w="0" w:type="dxa"/>
            <w:right w:w="108" w:type="dxa"/>
          </w:tblCellMar>
        </w:tblPrEx>
        <w:trPr>
          <w:trHeight w:val="954" w:hRule="atLeast"/>
          <w:jc w:val="center"/>
        </w:trPr>
        <w:tc>
          <w:tcPr>
            <w:tcW w:w="4375" w:type="dxa"/>
            <w:tcBorders>
              <w:tl2br w:val="nil"/>
              <w:tr2bl w:val="nil"/>
            </w:tcBorders>
          </w:tcPr>
          <w:p>
            <w:pPr>
              <w:spacing w:line="360" w:lineRule="auto"/>
              <w:jc w:val="left"/>
              <w:rPr>
                <w:rFonts w:ascii="宋体" w:hAnsi="宋体" w:cs="宋体"/>
                <w:sz w:val="24"/>
              </w:rPr>
            </w:pPr>
            <w:r>
              <w:rPr>
                <w:rFonts w:hint="eastAsia" w:ascii="宋体" w:hAnsi="宋体" w:cs="宋体"/>
                <w:sz w:val="24"/>
              </w:rPr>
              <w:t>甲方：</w:t>
            </w:r>
          </w:p>
          <w:p>
            <w:pPr>
              <w:spacing w:line="360" w:lineRule="auto"/>
              <w:jc w:val="left"/>
              <w:rPr>
                <w:rFonts w:ascii="宋体" w:hAnsi="宋体" w:cs="宋体"/>
                <w:sz w:val="24"/>
              </w:rPr>
            </w:pPr>
            <w:r>
              <w:rPr>
                <w:rFonts w:hint="eastAsia" w:ascii="宋体" w:hAnsi="宋体" w:cs="宋体"/>
                <w:sz w:val="24"/>
              </w:rPr>
              <w:t>单位名称：重庆机场信息通信网络有限公司</w:t>
            </w:r>
          </w:p>
          <w:p>
            <w:pPr>
              <w:spacing w:line="360" w:lineRule="auto"/>
              <w:jc w:val="left"/>
              <w:rPr>
                <w:rFonts w:ascii="宋体" w:hAnsi="宋体" w:cs="宋体"/>
                <w:sz w:val="24"/>
              </w:rPr>
            </w:pPr>
            <w:r>
              <w:rPr>
                <w:rFonts w:hint="eastAsia" w:ascii="宋体" w:hAnsi="宋体" w:cs="宋体"/>
                <w:sz w:val="24"/>
              </w:rPr>
              <w:t>统一社会信用代码：915001127093887860</w:t>
            </w:r>
          </w:p>
          <w:p>
            <w:pPr>
              <w:spacing w:line="360" w:lineRule="auto"/>
              <w:jc w:val="left"/>
              <w:rPr>
                <w:rFonts w:ascii="宋体" w:hAnsi="宋体" w:cs="宋体"/>
                <w:sz w:val="24"/>
              </w:rPr>
            </w:pPr>
            <w:r>
              <w:rPr>
                <w:rFonts w:hint="eastAsia" w:ascii="宋体" w:hAnsi="宋体" w:cs="宋体"/>
                <w:sz w:val="24"/>
              </w:rPr>
              <w:t>通讯地址：重庆市渝北区江北机场内</w:t>
            </w:r>
          </w:p>
          <w:p>
            <w:pPr>
              <w:spacing w:line="360" w:lineRule="auto"/>
              <w:jc w:val="left"/>
              <w:rPr>
                <w:rFonts w:ascii="宋体" w:hAnsi="宋体" w:cs="宋体"/>
                <w:sz w:val="24"/>
              </w:rPr>
            </w:pPr>
            <w:r>
              <w:rPr>
                <w:rFonts w:hint="eastAsia" w:ascii="宋体" w:hAnsi="宋体" w:cs="宋体"/>
                <w:sz w:val="24"/>
              </w:rPr>
              <w:t>开户名称：重庆机场信息通信网络有限公司</w:t>
            </w:r>
          </w:p>
          <w:p>
            <w:pPr>
              <w:spacing w:line="360" w:lineRule="auto"/>
              <w:jc w:val="left"/>
              <w:rPr>
                <w:rFonts w:ascii="宋体" w:hAnsi="宋体" w:cs="宋体"/>
                <w:sz w:val="24"/>
              </w:rPr>
            </w:pPr>
            <w:r>
              <w:rPr>
                <w:rFonts w:hint="eastAsia" w:ascii="宋体" w:hAnsi="宋体" w:cs="宋体"/>
                <w:sz w:val="24"/>
              </w:rPr>
              <w:t>联系电话：（023）67153099</w:t>
            </w:r>
          </w:p>
          <w:p>
            <w:pPr>
              <w:spacing w:line="360" w:lineRule="auto"/>
              <w:jc w:val="left"/>
              <w:rPr>
                <w:rFonts w:ascii="宋体" w:hAnsi="宋体" w:cs="宋体"/>
                <w:sz w:val="24"/>
              </w:rPr>
            </w:pPr>
            <w:r>
              <w:rPr>
                <w:rFonts w:hint="eastAsia" w:ascii="宋体" w:hAnsi="宋体" w:cs="宋体"/>
                <w:sz w:val="24"/>
              </w:rPr>
              <w:t>授权代表：</w:t>
            </w:r>
          </w:p>
        </w:tc>
        <w:tc>
          <w:tcPr>
            <w:tcW w:w="4897" w:type="dxa"/>
            <w:tcBorders>
              <w:tl2br w:val="nil"/>
              <w:tr2bl w:val="nil"/>
            </w:tcBorders>
          </w:tcPr>
          <w:p>
            <w:pPr>
              <w:spacing w:line="360" w:lineRule="auto"/>
              <w:rPr>
                <w:rFonts w:ascii="宋体" w:hAnsi="宋体" w:cs="宋体"/>
                <w:sz w:val="24"/>
              </w:rPr>
            </w:pPr>
            <w:r>
              <w:rPr>
                <w:rFonts w:hint="eastAsia" w:ascii="宋体" w:hAnsi="宋体" w:cs="宋体"/>
                <w:sz w:val="24"/>
              </w:rPr>
              <w:t>乙方：</w:t>
            </w:r>
          </w:p>
          <w:p>
            <w:pPr>
              <w:spacing w:line="360" w:lineRule="auto"/>
              <w:rPr>
                <w:rFonts w:ascii="宋体" w:hAnsi="宋体" w:cs="宋体"/>
                <w:sz w:val="24"/>
              </w:rPr>
            </w:pPr>
            <w:r>
              <w:rPr>
                <w:rFonts w:hint="eastAsia" w:ascii="宋体" w:hAnsi="宋体" w:cs="宋体"/>
                <w:sz w:val="24"/>
              </w:rPr>
              <w:t>单位名称：</w:t>
            </w: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统一社会信用代码：</w:t>
            </w: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通讯地址：</w:t>
            </w:r>
          </w:p>
          <w:p>
            <w:pPr>
              <w:spacing w:line="360" w:lineRule="auto"/>
              <w:rPr>
                <w:rFonts w:ascii="宋体" w:hAnsi="宋体" w:cs="宋体"/>
                <w:sz w:val="24"/>
              </w:rPr>
            </w:pPr>
            <w:r>
              <w:rPr>
                <w:rFonts w:hint="eastAsia" w:ascii="宋体" w:hAnsi="宋体" w:cs="宋体"/>
                <w:sz w:val="24"/>
              </w:rPr>
              <w:t>开户银行：</w:t>
            </w:r>
          </w:p>
          <w:p>
            <w:pPr>
              <w:spacing w:line="360" w:lineRule="auto"/>
              <w:rPr>
                <w:rFonts w:ascii="宋体" w:hAnsi="宋体" w:cs="宋体"/>
                <w:sz w:val="24"/>
              </w:rPr>
            </w:pPr>
            <w:r>
              <w:rPr>
                <w:rFonts w:hint="eastAsia" w:ascii="宋体" w:hAnsi="宋体" w:cs="宋体"/>
                <w:sz w:val="24"/>
              </w:rPr>
              <w:t>银行账号：</w:t>
            </w:r>
          </w:p>
          <w:p>
            <w:pPr>
              <w:spacing w:line="360" w:lineRule="auto"/>
              <w:rPr>
                <w:rFonts w:ascii="宋体" w:hAnsi="宋体" w:cs="宋体"/>
                <w:sz w:val="24"/>
              </w:rPr>
            </w:pPr>
            <w:r>
              <w:rPr>
                <w:rFonts w:hint="eastAsia" w:ascii="宋体" w:hAnsi="宋体" w:cs="宋体"/>
                <w:sz w:val="24"/>
              </w:rPr>
              <w:t>联系电话：</w:t>
            </w:r>
          </w:p>
          <w:p>
            <w:pPr>
              <w:spacing w:line="360" w:lineRule="auto"/>
              <w:rPr>
                <w:rFonts w:ascii="宋体" w:hAnsi="宋体" w:cs="宋体"/>
                <w:sz w:val="24"/>
              </w:rPr>
            </w:pPr>
            <w:r>
              <w:rPr>
                <w:rFonts w:hint="eastAsia" w:ascii="宋体" w:hAnsi="宋体" w:cs="宋体"/>
                <w:sz w:val="24"/>
              </w:rPr>
              <w:t>授权代表：</w:t>
            </w:r>
          </w:p>
        </w:tc>
      </w:tr>
      <w:tr>
        <w:tblPrEx>
          <w:tblCellMar>
            <w:top w:w="0" w:type="dxa"/>
            <w:left w:w="108" w:type="dxa"/>
            <w:bottom w:w="0" w:type="dxa"/>
            <w:right w:w="108" w:type="dxa"/>
          </w:tblCellMar>
        </w:tblPrEx>
        <w:trPr>
          <w:trHeight w:val="527" w:hRule="atLeast"/>
          <w:jc w:val="center"/>
        </w:trPr>
        <w:tc>
          <w:tcPr>
            <w:tcW w:w="9272" w:type="dxa"/>
            <w:gridSpan w:val="2"/>
            <w:tcBorders>
              <w:tl2br w:val="nil"/>
              <w:tr2bl w:val="nil"/>
            </w:tcBorders>
          </w:tcPr>
          <w:p>
            <w:pPr>
              <w:spacing w:line="360" w:lineRule="auto"/>
              <w:rPr>
                <w:rFonts w:ascii="宋体" w:hAnsi="宋体" w:cs="宋体"/>
                <w:sz w:val="24"/>
              </w:rPr>
            </w:pPr>
            <w:r>
              <w:rPr>
                <w:rFonts w:hint="eastAsia" w:ascii="宋体" w:hAnsi="宋体" w:cs="宋体"/>
                <w:sz w:val="24"/>
              </w:rPr>
              <w:t>备注：</w:t>
            </w:r>
          </w:p>
        </w:tc>
      </w:tr>
      <w:tr>
        <w:tblPrEx>
          <w:tblCellMar>
            <w:top w:w="0" w:type="dxa"/>
            <w:left w:w="108" w:type="dxa"/>
            <w:bottom w:w="0" w:type="dxa"/>
            <w:right w:w="108" w:type="dxa"/>
          </w:tblCellMar>
        </w:tblPrEx>
        <w:trPr>
          <w:trHeight w:val="807" w:hRule="atLeast"/>
          <w:jc w:val="center"/>
        </w:trPr>
        <w:tc>
          <w:tcPr>
            <w:tcW w:w="9272" w:type="dxa"/>
            <w:gridSpan w:val="2"/>
            <w:tcBorders>
              <w:tl2br w:val="nil"/>
              <w:tr2bl w:val="nil"/>
            </w:tcBorders>
          </w:tcPr>
          <w:p>
            <w:pPr>
              <w:spacing w:line="360" w:lineRule="auto"/>
              <w:ind w:right="-153"/>
              <w:rPr>
                <w:rFonts w:ascii="宋体" w:hAnsi="宋体" w:cs="宋体"/>
                <w:sz w:val="24"/>
              </w:rPr>
            </w:pPr>
            <w:r>
              <w:rPr>
                <w:rFonts w:hint="eastAsia" w:ascii="宋体" w:hAnsi="宋体" w:cs="宋体"/>
                <w:sz w:val="24"/>
              </w:rPr>
              <w:t>签约时间：</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sz w:val="24"/>
              </w:rPr>
              <w:tab/>
            </w:r>
            <w:r>
              <w:rPr>
                <w:rFonts w:hint="eastAsia" w:ascii="宋体" w:hAnsi="宋体" w:cs="宋体"/>
                <w:sz w:val="24"/>
              </w:rPr>
              <w:tab/>
            </w:r>
          </w:p>
          <w:p>
            <w:pPr>
              <w:spacing w:line="360" w:lineRule="auto"/>
              <w:ind w:right="-153"/>
              <w:rPr>
                <w:rFonts w:ascii="宋体" w:hAnsi="宋体" w:cs="宋体"/>
                <w:sz w:val="24"/>
              </w:rPr>
            </w:pPr>
            <w:r>
              <w:rPr>
                <w:rFonts w:hint="eastAsia" w:ascii="宋体" w:hAnsi="宋体" w:cs="宋体"/>
                <w:sz w:val="24"/>
              </w:rPr>
              <w:t>签约地点：</w:t>
            </w:r>
          </w:p>
        </w:tc>
      </w:tr>
    </w:tbl>
    <w:p/>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highlight w:val="none"/>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highlight w:val="none"/>
        </w:rPr>
      </w:pPr>
    </w:p>
    <w:p>
      <w:pPr>
        <w:keepNext/>
        <w:keepLines/>
        <w:pageBreakBefore w:val="0"/>
        <w:widowControl w:val="0"/>
        <w:kinsoku/>
        <w:wordWrap/>
        <w:overflowPunct/>
        <w:topLinePunct w:val="0"/>
        <w:autoSpaceDE/>
        <w:autoSpaceDN/>
        <w:bidi w:val="0"/>
        <w:adjustRightInd/>
        <w:snapToGrid w:val="0"/>
        <w:spacing w:before="0" w:after="0" w:line="360" w:lineRule="auto"/>
        <w:textAlignment w:val="auto"/>
        <w:outlineLvl w:val="9"/>
        <w:rPr>
          <w:rFonts w:hint="eastAsia"/>
          <w:b/>
          <w:bCs/>
          <w:sz w:val="24"/>
          <w:szCs w:val="24"/>
          <w:highlight w:val="none"/>
        </w:rPr>
      </w:pPr>
    </w:p>
    <w:p>
      <w:pPr>
        <w:pStyle w:val="2"/>
        <w:rPr>
          <w:rFonts w:hint="eastAsia"/>
          <w:b/>
          <w:bCs/>
          <w:sz w:val="24"/>
          <w:szCs w:val="24"/>
          <w:highlight w:val="none"/>
        </w:rPr>
      </w:pPr>
    </w:p>
    <w:p>
      <w:pPr>
        <w:rPr>
          <w:rFonts w:hint="eastAsia"/>
        </w:rPr>
      </w:pPr>
    </w:p>
    <w:p>
      <w:pPr>
        <w:keepNext/>
        <w:keepLines/>
        <w:pageBreakBefore w:val="0"/>
        <w:widowControl w:val="0"/>
        <w:kinsoku/>
        <w:wordWrap/>
        <w:overflowPunct/>
        <w:topLinePunct w:val="0"/>
        <w:autoSpaceDE/>
        <w:autoSpaceDN/>
        <w:bidi w:val="0"/>
        <w:adjustRightInd/>
        <w:snapToGrid w:val="0"/>
        <w:spacing w:before="0" w:after="0" w:line="360" w:lineRule="auto"/>
        <w:textAlignment w:val="auto"/>
        <w:outlineLvl w:val="9"/>
        <w:rPr>
          <w:rFonts w:hint="eastAsia"/>
          <w:b/>
          <w:bCs/>
          <w:sz w:val="24"/>
          <w:szCs w:val="24"/>
          <w:highlight w:val="none"/>
        </w:rPr>
      </w:pPr>
    </w:p>
    <w:p>
      <w:pPr>
        <w:keepNext/>
        <w:keepLines/>
        <w:pageBreakBefore w:val="0"/>
        <w:widowControl w:val="0"/>
        <w:kinsoku/>
        <w:wordWrap/>
        <w:overflowPunct/>
        <w:topLinePunct w:val="0"/>
        <w:autoSpaceDE/>
        <w:autoSpaceDN/>
        <w:bidi w:val="0"/>
        <w:adjustRightInd/>
        <w:snapToGrid w:val="0"/>
        <w:spacing w:before="0" w:after="0" w:line="360" w:lineRule="auto"/>
        <w:textAlignment w:val="auto"/>
        <w:outlineLvl w:val="9"/>
        <w:rPr>
          <w:b/>
          <w:bCs/>
          <w:sz w:val="24"/>
          <w:szCs w:val="24"/>
          <w:highlight w:val="none"/>
        </w:rPr>
      </w:pPr>
      <w:r>
        <w:rPr>
          <w:rFonts w:hint="eastAsia"/>
          <w:b/>
          <w:bCs/>
          <w:sz w:val="24"/>
          <w:szCs w:val="24"/>
          <w:highlight w:val="none"/>
        </w:rPr>
        <w:t>附件1：比选办法（综合评分法）</w:t>
      </w:r>
    </w:p>
    <w:p>
      <w:pPr>
        <w:pageBreakBefore w:val="0"/>
        <w:widowControl w:val="0"/>
        <w:kinsoku/>
        <w:wordWrap/>
        <w:overflowPunct/>
        <w:topLinePunct w:val="0"/>
        <w:bidi w:val="0"/>
        <w:snapToGrid w:val="0"/>
        <w:spacing w:line="360" w:lineRule="auto"/>
        <w:jc w:val="center"/>
        <w:textAlignment w:val="auto"/>
        <w:rPr>
          <w:rFonts w:ascii="宋体" w:hAnsi="宋体" w:cs="宋体"/>
          <w:sz w:val="24"/>
          <w:highlight w:val="none"/>
        </w:rPr>
      </w:pPr>
      <w:r>
        <w:rPr>
          <w:rFonts w:hint="eastAsia" w:ascii="宋体" w:hAnsi="宋体" w:cs="宋体"/>
          <w:sz w:val="24"/>
          <w:highlight w:val="none"/>
        </w:rPr>
        <w:t>比选办法（综合评分法）</w:t>
      </w:r>
    </w:p>
    <w:p>
      <w:pPr>
        <w:pageBreakBefore w:val="0"/>
        <w:widowControl w:val="0"/>
        <w:tabs>
          <w:tab w:val="left" w:pos="2655"/>
          <w:tab w:val="left" w:pos="3520"/>
          <w:tab w:val="left" w:pos="4920"/>
          <w:tab w:val="left" w:pos="5715"/>
          <w:tab w:val="left" w:pos="6945"/>
          <w:tab w:val="left" w:pos="7980"/>
        </w:tabs>
        <w:kinsoku/>
        <w:wordWrap/>
        <w:overflowPunct/>
        <w:topLinePunct w:val="0"/>
        <w:autoSpaceDE w:val="0"/>
        <w:autoSpaceDN w:val="0"/>
        <w:bidi w:val="0"/>
        <w:adjustRightInd w:val="0"/>
        <w:snapToGrid w:val="0"/>
        <w:spacing w:line="360" w:lineRule="auto"/>
        <w:ind w:left="120" w:leftChars="57" w:right="94" w:firstLine="480" w:firstLineChars="200"/>
        <w:textAlignment w:val="auto"/>
        <w:rPr>
          <w:rFonts w:ascii="宋体" w:hAnsi="宋体" w:cs="宋体"/>
          <w:sz w:val="24"/>
          <w:highlight w:val="none"/>
        </w:rPr>
      </w:pPr>
      <w:r>
        <w:rPr>
          <w:rFonts w:hint="eastAsia" w:ascii="宋体" w:hAnsi="宋体" w:cs="宋体"/>
          <w:sz w:val="24"/>
          <w:highlight w:val="none"/>
        </w:rPr>
        <w:t>本次比选采取综合评分法。在经过初步审查后对符合本文件基本要求的比选响应人进行详细评审。总得分为经济、商务、技术三种评定因素分别按照相应分值计算分项得分后相加，满分为100分。</w:t>
      </w:r>
    </w:p>
    <w:p>
      <w:pPr>
        <w:spacing w:line="360" w:lineRule="auto"/>
        <w:jc w:val="center"/>
        <w:rPr>
          <w:rStyle w:val="23"/>
          <w:rFonts w:ascii="宋体" w:hAnsi="宋体" w:cs="宋体"/>
          <w:sz w:val="24"/>
          <w:szCs w:val="24"/>
          <w:highlight w:val="none"/>
        </w:rPr>
      </w:pPr>
      <w:r>
        <w:rPr>
          <w:rFonts w:hint="eastAsia" w:ascii="宋体" w:hAnsi="宋体" w:cs="宋体"/>
          <w:sz w:val="24"/>
          <w:highlight w:val="none"/>
          <w:lang w:val="zh-CN"/>
        </w:rPr>
        <w:t>项目综合评分细则</w:t>
      </w:r>
    </w:p>
    <w:tbl>
      <w:tblPr>
        <w:tblStyle w:val="19"/>
        <w:tblW w:w="8565" w:type="dxa"/>
        <w:tblInd w:w="0" w:type="dxa"/>
        <w:tblLayout w:type="fixed"/>
        <w:tblCellMar>
          <w:top w:w="0" w:type="dxa"/>
          <w:left w:w="108" w:type="dxa"/>
          <w:bottom w:w="0" w:type="dxa"/>
          <w:right w:w="108" w:type="dxa"/>
        </w:tblCellMar>
      </w:tblPr>
      <w:tblGrid>
        <w:gridCol w:w="457"/>
        <w:gridCol w:w="797"/>
        <w:gridCol w:w="930"/>
        <w:gridCol w:w="1217"/>
        <w:gridCol w:w="4896"/>
        <w:gridCol w:w="268"/>
      </w:tblGrid>
      <w:tr>
        <w:tblPrEx>
          <w:tblCellMar>
            <w:top w:w="0" w:type="dxa"/>
            <w:left w:w="108" w:type="dxa"/>
            <w:bottom w:w="0" w:type="dxa"/>
            <w:right w:w="108" w:type="dxa"/>
          </w:tblCellMar>
        </w:tblPrEx>
        <w:trPr>
          <w:gridAfter w:val="1"/>
          <w:wAfter w:w="268" w:type="dxa"/>
          <w:trHeight w:val="720" w:hRule="atLeast"/>
        </w:trPr>
        <w:tc>
          <w:tcPr>
            <w:tcW w:w="4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b/>
                <w:bCs/>
                <w:color w:val="000000"/>
                <w:kern w:val="0"/>
                <w:sz w:val="24"/>
                <w:highlight w:val="none"/>
              </w:rPr>
            </w:pPr>
            <w:r>
              <w:rPr>
                <w:rFonts w:hint="eastAsia" w:ascii="宋体" w:hAnsi="宋体" w:cs="宋体"/>
                <w:b/>
                <w:bCs/>
                <w:color w:val="000000"/>
                <w:kern w:val="0"/>
                <w:sz w:val="24"/>
                <w:highlight w:val="none"/>
              </w:rPr>
              <w:t>序号</w:t>
            </w:r>
          </w:p>
        </w:tc>
        <w:tc>
          <w:tcPr>
            <w:tcW w:w="172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条款内容</w:t>
            </w:r>
          </w:p>
        </w:tc>
        <w:tc>
          <w:tcPr>
            <w:tcW w:w="611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编列内容</w:t>
            </w:r>
          </w:p>
        </w:tc>
      </w:tr>
      <w:tr>
        <w:tblPrEx>
          <w:tblCellMar>
            <w:top w:w="0" w:type="dxa"/>
            <w:left w:w="108" w:type="dxa"/>
            <w:bottom w:w="0" w:type="dxa"/>
            <w:right w:w="108" w:type="dxa"/>
          </w:tblCellMar>
        </w:tblPrEx>
        <w:trPr>
          <w:gridAfter w:val="1"/>
          <w:wAfter w:w="268" w:type="dxa"/>
        </w:trPr>
        <w:tc>
          <w:tcPr>
            <w:tcW w:w="45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1</w:t>
            </w:r>
          </w:p>
        </w:tc>
        <w:tc>
          <w:tcPr>
            <w:tcW w:w="172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分值构成</w:t>
            </w:r>
          </w:p>
        </w:tc>
        <w:tc>
          <w:tcPr>
            <w:tcW w:w="611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总分=经济部分得分+商务部分得分+技术部分得分</w:t>
            </w:r>
          </w:p>
        </w:tc>
      </w:tr>
      <w:tr>
        <w:tblPrEx>
          <w:tblCellMar>
            <w:top w:w="0" w:type="dxa"/>
            <w:left w:w="108" w:type="dxa"/>
            <w:bottom w:w="0" w:type="dxa"/>
            <w:right w:w="108" w:type="dxa"/>
          </w:tblCellMar>
        </w:tblPrEx>
        <w:trPr>
          <w:gridAfter w:val="1"/>
          <w:wAfter w:w="268" w:type="dxa"/>
          <w:trHeight w:val="690"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72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（总分100分）</w:t>
            </w:r>
          </w:p>
        </w:tc>
        <w:tc>
          <w:tcPr>
            <w:tcW w:w="611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经济部分：30分；商务部分：2</w:t>
            </w:r>
            <w:r>
              <w:rPr>
                <w:rFonts w:hint="eastAsia" w:ascii="宋体" w:hAnsi="宋体" w:cs="宋体"/>
                <w:b/>
                <w:bCs/>
                <w:color w:val="000000"/>
                <w:kern w:val="0"/>
                <w:sz w:val="24"/>
                <w:highlight w:val="none"/>
                <w:lang w:val="en-US" w:eastAsia="zh-CN"/>
              </w:rPr>
              <w:t>0</w:t>
            </w:r>
            <w:r>
              <w:rPr>
                <w:rFonts w:hint="eastAsia" w:ascii="宋体" w:hAnsi="宋体" w:cs="宋体"/>
                <w:b/>
                <w:bCs/>
                <w:color w:val="000000"/>
                <w:kern w:val="0"/>
                <w:sz w:val="24"/>
                <w:highlight w:val="none"/>
              </w:rPr>
              <w:t>分；技术部分：</w:t>
            </w:r>
            <w:r>
              <w:rPr>
                <w:rFonts w:hint="eastAsia" w:ascii="宋体" w:hAnsi="宋体" w:cs="宋体"/>
                <w:b/>
                <w:bCs/>
                <w:color w:val="000000"/>
                <w:kern w:val="0"/>
                <w:sz w:val="24"/>
                <w:highlight w:val="none"/>
                <w:lang w:val="en-US" w:eastAsia="zh-CN"/>
              </w:rPr>
              <w:t>50</w:t>
            </w:r>
            <w:r>
              <w:rPr>
                <w:rFonts w:hint="eastAsia" w:ascii="宋体" w:hAnsi="宋体" w:cs="宋体"/>
                <w:b/>
                <w:bCs/>
                <w:color w:val="000000"/>
                <w:kern w:val="0"/>
                <w:sz w:val="24"/>
                <w:highlight w:val="none"/>
              </w:rPr>
              <w:t>分</w:t>
            </w:r>
          </w:p>
        </w:tc>
      </w:tr>
      <w:tr>
        <w:tblPrEx>
          <w:tblCellMar>
            <w:top w:w="0" w:type="dxa"/>
            <w:left w:w="108" w:type="dxa"/>
            <w:bottom w:w="0" w:type="dxa"/>
            <w:right w:w="108" w:type="dxa"/>
          </w:tblCellMar>
        </w:tblPrEx>
        <w:trPr>
          <w:gridAfter w:val="1"/>
          <w:wAfter w:w="268" w:type="dxa"/>
          <w:trHeight w:val="1302" w:hRule="atLeast"/>
        </w:trPr>
        <w:tc>
          <w:tcPr>
            <w:tcW w:w="45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序号</w:t>
            </w:r>
          </w:p>
        </w:tc>
        <w:tc>
          <w:tcPr>
            <w:tcW w:w="79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评审因素</w:t>
            </w:r>
          </w:p>
        </w:tc>
        <w:tc>
          <w:tcPr>
            <w:tcW w:w="93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项目</w:t>
            </w:r>
          </w:p>
        </w:tc>
        <w:tc>
          <w:tcPr>
            <w:tcW w:w="121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细项</w:t>
            </w:r>
          </w:p>
        </w:tc>
        <w:tc>
          <w:tcPr>
            <w:tcW w:w="4896"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评分标准</w:t>
            </w:r>
          </w:p>
        </w:tc>
      </w:tr>
      <w:tr>
        <w:tblPrEx>
          <w:tblCellMar>
            <w:top w:w="0" w:type="dxa"/>
            <w:left w:w="108" w:type="dxa"/>
            <w:bottom w:w="0" w:type="dxa"/>
            <w:right w:w="108" w:type="dxa"/>
          </w:tblCellMar>
        </w:tblPrEx>
        <w:trPr>
          <w:gridAfter w:val="1"/>
          <w:wAfter w:w="268" w:type="dxa"/>
          <w:trHeight w:val="1560" w:hRule="atLeast"/>
        </w:trPr>
        <w:tc>
          <w:tcPr>
            <w:tcW w:w="45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1</w:t>
            </w:r>
          </w:p>
        </w:tc>
        <w:tc>
          <w:tcPr>
            <w:tcW w:w="79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经济</w:t>
            </w:r>
          </w:p>
        </w:tc>
        <w:tc>
          <w:tcPr>
            <w:tcW w:w="93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投标报价</w:t>
            </w:r>
          </w:p>
        </w:tc>
        <w:tc>
          <w:tcPr>
            <w:tcW w:w="121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投标报价(30分)</w:t>
            </w: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评标基准价计算方法：评标基准价为通过本办法初步评审的所有有效投标人报价的平均价。偏差率=100%×</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rPr>
              <w:t>投标人评标价-评标基准价</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rPr>
              <w:t>/评标基准价，偏差率保留两位小数（形如6.12%，小数点后第三位“四舍五入”）报价得分计算公式：</w:t>
            </w:r>
          </w:p>
        </w:tc>
      </w:tr>
      <w:tr>
        <w:tblPrEx>
          <w:tblCellMar>
            <w:top w:w="0" w:type="dxa"/>
            <w:left w:w="108" w:type="dxa"/>
            <w:bottom w:w="0" w:type="dxa"/>
            <w:right w:w="108" w:type="dxa"/>
          </w:tblCellMar>
        </w:tblPrEx>
        <w:trPr>
          <w:gridAfter w:val="1"/>
          <w:wAfter w:w="268" w:type="dxa"/>
          <w:trHeight w:val="702"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1、如果投标人的报价＞评标基准价，则报价得分=本项分值-偏差率×100×1</w:t>
            </w:r>
          </w:p>
        </w:tc>
      </w:tr>
      <w:tr>
        <w:tblPrEx>
          <w:tblCellMar>
            <w:top w:w="0" w:type="dxa"/>
            <w:left w:w="108" w:type="dxa"/>
            <w:bottom w:w="0" w:type="dxa"/>
            <w:right w:w="108" w:type="dxa"/>
          </w:tblCellMar>
        </w:tblPrEx>
        <w:trPr>
          <w:gridAfter w:val="1"/>
          <w:wAfter w:w="268" w:type="dxa"/>
          <w:trHeight w:val="747"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2、如果投标人的报价≤评标基准价，则报价得分=本项分值-偏差率×100×0.5</w:t>
            </w:r>
          </w:p>
        </w:tc>
      </w:tr>
      <w:tr>
        <w:tblPrEx>
          <w:tblCellMar>
            <w:top w:w="0" w:type="dxa"/>
            <w:left w:w="108" w:type="dxa"/>
            <w:bottom w:w="0" w:type="dxa"/>
            <w:right w:w="108" w:type="dxa"/>
          </w:tblCellMar>
        </w:tblPrEx>
        <w:trPr>
          <w:gridAfter w:val="1"/>
          <w:wAfter w:w="268" w:type="dxa"/>
          <w:trHeight w:val="627"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报价得分计算“四舍五入”，保留小数点后两位，小数点后第三位“四舍五入”。</w:t>
            </w:r>
          </w:p>
        </w:tc>
      </w:tr>
      <w:tr>
        <w:tblPrEx>
          <w:tblCellMar>
            <w:top w:w="0" w:type="dxa"/>
            <w:left w:w="108" w:type="dxa"/>
            <w:bottom w:w="0" w:type="dxa"/>
            <w:right w:w="108" w:type="dxa"/>
          </w:tblCellMar>
        </w:tblPrEx>
        <w:trPr>
          <w:gridAfter w:val="1"/>
          <w:wAfter w:w="268" w:type="dxa"/>
          <w:trHeight w:val="762" w:hRule="atLeast"/>
        </w:trPr>
        <w:tc>
          <w:tcPr>
            <w:tcW w:w="457" w:type="dxa"/>
            <w:vMerge w:val="restart"/>
            <w:tcBorders>
              <w:top w:val="nil"/>
              <w:left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2</w:t>
            </w:r>
          </w:p>
          <w:p>
            <w:pPr>
              <w:widowControl/>
              <w:jc w:val="both"/>
              <w:rPr>
                <w:rFonts w:ascii="宋体" w:hAnsi="宋体" w:cs="宋体"/>
                <w:color w:val="000000"/>
                <w:kern w:val="0"/>
                <w:sz w:val="24"/>
                <w:highlight w:val="none"/>
              </w:rPr>
            </w:pPr>
          </w:p>
        </w:tc>
        <w:tc>
          <w:tcPr>
            <w:tcW w:w="79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商务</w:t>
            </w:r>
          </w:p>
        </w:tc>
        <w:tc>
          <w:tcPr>
            <w:tcW w:w="93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综合实力、项目人员配备</w:t>
            </w:r>
          </w:p>
        </w:tc>
        <w:tc>
          <w:tcPr>
            <w:tcW w:w="121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项目实施团队实力（1</w:t>
            </w:r>
            <w:r>
              <w:rPr>
                <w:rFonts w:hint="eastAsia" w:ascii="宋体" w:hAnsi="宋体" w:cs="宋体"/>
                <w:color w:val="000000"/>
                <w:kern w:val="0"/>
                <w:sz w:val="24"/>
                <w:highlight w:val="none"/>
                <w:lang w:val="en-US" w:eastAsia="zh-CN"/>
              </w:rPr>
              <w:t>1</w:t>
            </w:r>
            <w:r>
              <w:rPr>
                <w:rFonts w:hint="eastAsia" w:ascii="宋体" w:hAnsi="宋体" w:cs="宋体"/>
                <w:color w:val="000000"/>
                <w:kern w:val="0"/>
                <w:sz w:val="24"/>
                <w:highlight w:val="none"/>
              </w:rPr>
              <w:t>分）</w:t>
            </w: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1.项目技术经理具备PMP</w:t>
            </w:r>
            <w:r>
              <w:rPr>
                <w:rFonts w:hint="eastAsia" w:ascii="宋体" w:hAnsi="宋体" w:cs="宋体"/>
                <w:kern w:val="0"/>
                <w:sz w:val="24"/>
                <w:highlight w:val="none"/>
              </w:rPr>
              <w:t>或</w:t>
            </w:r>
            <w:r>
              <w:rPr>
                <w:rFonts w:hint="eastAsia" w:ascii="宋体" w:hAnsi="宋体" w:cs="宋体"/>
                <w:color w:val="000000"/>
                <w:kern w:val="0"/>
                <w:sz w:val="24"/>
                <w:highlight w:val="none"/>
              </w:rPr>
              <w:t>高级信息系统项目管理师证书的得3分，不提供得0分。</w:t>
            </w:r>
          </w:p>
        </w:tc>
      </w:tr>
      <w:tr>
        <w:tblPrEx>
          <w:tblCellMar>
            <w:top w:w="0" w:type="dxa"/>
            <w:left w:w="108" w:type="dxa"/>
            <w:bottom w:w="0" w:type="dxa"/>
            <w:right w:w="108" w:type="dxa"/>
          </w:tblCellMar>
        </w:tblPrEx>
        <w:trPr>
          <w:gridAfter w:val="1"/>
          <w:wAfter w:w="268" w:type="dxa"/>
          <w:trHeight w:val="942" w:hRule="atLeast"/>
        </w:trPr>
        <w:tc>
          <w:tcPr>
            <w:tcW w:w="457"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2.项目组成员中(除项目经理及技术负责人外)，有一人具备高级系统架构设计师证书的得</w:t>
            </w:r>
            <w:r>
              <w:rPr>
                <w:rFonts w:ascii="宋体" w:hAnsi="宋体" w:cs="宋体"/>
                <w:color w:val="000000"/>
                <w:kern w:val="0"/>
                <w:sz w:val="24"/>
                <w:highlight w:val="none"/>
              </w:rPr>
              <w:t>3</w:t>
            </w:r>
            <w:r>
              <w:rPr>
                <w:rFonts w:hint="eastAsia" w:ascii="宋体" w:hAnsi="宋体" w:cs="宋体"/>
                <w:color w:val="000000"/>
                <w:kern w:val="0"/>
                <w:sz w:val="24"/>
                <w:highlight w:val="none"/>
              </w:rPr>
              <w:t>分，不提供得0分；</w:t>
            </w:r>
          </w:p>
        </w:tc>
      </w:tr>
      <w:tr>
        <w:tblPrEx>
          <w:tblCellMar>
            <w:top w:w="0" w:type="dxa"/>
            <w:left w:w="108" w:type="dxa"/>
            <w:bottom w:w="0" w:type="dxa"/>
            <w:right w:w="108" w:type="dxa"/>
          </w:tblCellMar>
        </w:tblPrEx>
        <w:trPr>
          <w:gridAfter w:val="1"/>
          <w:wAfter w:w="268" w:type="dxa"/>
          <w:trHeight w:val="747" w:hRule="atLeast"/>
        </w:trPr>
        <w:tc>
          <w:tcPr>
            <w:tcW w:w="457"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kern w:val="0"/>
                <w:sz w:val="24"/>
                <w:highlight w:val="none"/>
              </w:rPr>
              <w:t>3.供应商具备软件能力成熟度集成模型认证CMMI3级的得3分，</w:t>
            </w:r>
            <w:r>
              <w:rPr>
                <w:rFonts w:hint="eastAsia" w:ascii="宋体" w:hAnsi="宋体" w:cs="宋体"/>
                <w:color w:val="000000"/>
                <w:kern w:val="0"/>
                <w:sz w:val="24"/>
                <w:highlight w:val="none"/>
              </w:rPr>
              <w:t>不提供得0分</w:t>
            </w:r>
            <w:r>
              <w:rPr>
                <w:rFonts w:hint="eastAsia" w:ascii="宋体" w:hAnsi="宋体" w:cs="宋体"/>
                <w:kern w:val="0"/>
                <w:sz w:val="24"/>
                <w:highlight w:val="none"/>
              </w:rPr>
              <w:t>。</w:t>
            </w:r>
          </w:p>
        </w:tc>
      </w:tr>
      <w:tr>
        <w:tblPrEx>
          <w:tblCellMar>
            <w:top w:w="0" w:type="dxa"/>
            <w:left w:w="108" w:type="dxa"/>
            <w:bottom w:w="0" w:type="dxa"/>
            <w:right w:w="108" w:type="dxa"/>
          </w:tblCellMar>
        </w:tblPrEx>
        <w:trPr>
          <w:gridAfter w:val="1"/>
          <w:wAfter w:w="268" w:type="dxa"/>
          <w:trHeight w:val="732" w:hRule="atLeast"/>
        </w:trPr>
        <w:tc>
          <w:tcPr>
            <w:tcW w:w="457"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4.供应商具备ISO27001信息安全管理体系认证证书得</w:t>
            </w:r>
            <w:r>
              <w:rPr>
                <w:rFonts w:hint="eastAsia" w:ascii="宋体" w:hAnsi="宋体" w:cs="宋体"/>
                <w:color w:val="000000"/>
                <w:kern w:val="0"/>
                <w:sz w:val="24"/>
                <w:highlight w:val="none"/>
                <w:lang w:val="en-US" w:eastAsia="zh-CN"/>
              </w:rPr>
              <w:t>2</w:t>
            </w:r>
            <w:r>
              <w:rPr>
                <w:rFonts w:hint="eastAsia" w:ascii="宋体" w:hAnsi="宋体" w:cs="宋体"/>
                <w:color w:val="000000"/>
                <w:kern w:val="0"/>
                <w:sz w:val="24"/>
                <w:highlight w:val="none"/>
              </w:rPr>
              <w:t>分，不提供得0分。</w:t>
            </w:r>
          </w:p>
        </w:tc>
      </w:tr>
      <w:tr>
        <w:tblPrEx>
          <w:tblCellMar>
            <w:top w:w="0" w:type="dxa"/>
            <w:left w:w="108" w:type="dxa"/>
            <w:bottom w:w="0" w:type="dxa"/>
            <w:right w:w="108" w:type="dxa"/>
          </w:tblCellMar>
        </w:tblPrEx>
        <w:trPr>
          <w:gridAfter w:val="1"/>
          <w:wAfter w:w="268" w:type="dxa"/>
          <w:trHeight w:val="1302" w:hRule="atLeast"/>
        </w:trPr>
        <w:tc>
          <w:tcPr>
            <w:tcW w:w="457"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hint="eastAsia" w:ascii="宋体" w:hAnsi="宋体" w:eastAsia="宋体" w:cs="宋体"/>
                <w:b w:val="0"/>
                <w:bCs w:val="0"/>
                <w:color w:val="000000"/>
                <w:kern w:val="0"/>
                <w:sz w:val="24"/>
                <w:highlight w:val="none"/>
                <w:lang w:eastAsia="zh-CN"/>
              </w:rPr>
            </w:pPr>
            <w:r>
              <w:rPr>
                <w:rFonts w:hint="eastAsia" w:ascii="宋体" w:hAnsi="宋体" w:cs="宋体"/>
                <w:color w:val="000000"/>
                <w:kern w:val="0"/>
                <w:sz w:val="24"/>
                <w:highlight w:val="none"/>
              </w:rPr>
              <w:t>1.提供以上证书复印件</w:t>
            </w:r>
            <w:r>
              <w:rPr>
                <w:rFonts w:hint="eastAsia" w:ascii="宋体" w:hAnsi="宋体" w:cs="宋体"/>
                <w:b w:val="0"/>
                <w:bCs w:val="0"/>
                <w:color w:val="000000"/>
                <w:kern w:val="0"/>
                <w:sz w:val="24"/>
                <w:highlight w:val="none"/>
              </w:rPr>
              <w:t>，原件备查。</w:t>
            </w:r>
          </w:p>
          <w:p>
            <w:pPr>
              <w:widowControl/>
              <w:rPr>
                <w:rFonts w:hint="eastAsia" w:ascii="宋体" w:hAnsi="宋体" w:eastAsia="宋体" w:cs="宋体"/>
                <w:color w:val="000000"/>
                <w:kern w:val="0"/>
                <w:sz w:val="24"/>
                <w:highlight w:val="none"/>
                <w:lang w:eastAsia="zh-CN"/>
              </w:rPr>
            </w:pPr>
            <w:r>
              <w:rPr>
                <w:rFonts w:hint="eastAsia" w:ascii="宋体" w:hAnsi="宋体" w:cs="宋体"/>
                <w:color w:val="000000"/>
                <w:kern w:val="0"/>
                <w:sz w:val="24"/>
                <w:highlight w:val="none"/>
              </w:rPr>
              <w:t>2.提供上述人员(包括项目经理、项目组其他成员)在投标人单位缴纳的社保证明。原件备查。</w:t>
            </w:r>
          </w:p>
          <w:p>
            <w:pPr>
              <w:widowControl/>
              <w:rPr>
                <w:rFonts w:ascii="宋体" w:hAnsi="宋体" w:cs="宋体"/>
                <w:color w:val="000000"/>
                <w:kern w:val="0"/>
                <w:sz w:val="24"/>
                <w:highlight w:val="none"/>
              </w:rPr>
            </w:pPr>
            <w:r>
              <w:rPr>
                <w:rFonts w:hint="eastAsia" w:ascii="宋体" w:hAnsi="宋体" w:cs="宋体"/>
                <w:color w:val="000000"/>
                <w:kern w:val="0"/>
                <w:sz w:val="24"/>
                <w:highlight w:val="none"/>
              </w:rPr>
              <w:t>3.上述证明材料须加盖供应商鲜章。</w:t>
            </w:r>
          </w:p>
        </w:tc>
      </w:tr>
      <w:tr>
        <w:tblPrEx>
          <w:tblCellMar>
            <w:top w:w="0" w:type="dxa"/>
            <w:left w:w="108" w:type="dxa"/>
            <w:bottom w:w="0" w:type="dxa"/>
            <w:right w:w="108" w:type="dxa"/>
          </w:tblCellMar>
        </w:tblPrEx>
        <w:trPr>
          <w:gridAfter w:val="1"/>
          <w:wAfter w:w="268" w:type="dxa"/>
          <w:trHeight w:val="887" w:hRule="atLeast"/>
        </w:trPr>
        <w:tc>
          <w:tcPr>
            <w:tcW w:w="457"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公司业绩</w:t>
            </w:r>
          </w:p>
        </w:tc>
        <w:tc>
          <w:tcPr>
            <w:tcW w:w="121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近三年类似业绩（</w:t>
            </w:r>
            <w:r>
              <w:rPr>
                <w:rFonts w:ascii="宋体" w:hAnsi="宋体" w:cs="宋体"/>
                <w:color w:val="000000"/>
                <w:kern w:val="0"/>
                <w:sz w:val="24"/>
                <w:highlight w:val="none"/>
              </w:rPr>
              <w:t>9</w:t>
            </w:r>
            <w:r>
              <w:rPr>
                <w:rFonts w:hint="eastAsia" w:ascii="宋体" w:hAnsi="宋体" w:cs="宋体"/>
                <w:color w:val="000000"/>
                <w:kern w:val="0"/>
                <w:sz w:val="24"/>
                <w:highlight w:val="none"/>
              </w:rPr>
              <w:t>分）</w:t>
            </w: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kern w:val="0"/>
                <w:sz w:val="24"/>
                <w:highlight w:val="none"/>
              </w:rPr>
              <w:t>2018年1月1日以来，供应商具备已完成的软件开发案例，项目金额在200万及以上的，一个案例得</w:t>
            </w:r>
            <w:r>
              <w:rPr>
                <w:rFonts w:ascii="宋体" w:hAnsi="宋体" w:cs="宋体"/>
                <w:kern w:val="0"/>
                <w:sz w:val="24"/>
                <w:highlight w:val="none"/>
              </w:rPr>
              <w:t>3</w:t>
            </w:r>
            <w:r>
              <w:rPr>
                <w:rFonts w:hint="eastAsia" w:ascii="宋体" w:hAnsi="宋体" w:cs="宋体"/>
                <w:kern w:val="0"/>
                <w:sz w:val="24"/>
                <w:highlight w:val="none"/>
              </w:rPr>
              <w:t>分，最多得</w:t>
            </w:r>
            <w:r>
              <w:rPr>
                <w:rFonts w:ascii="宋体" w:hAnsi="宋体" w:cs="宋体"/>
                <w:kern w:val="0"/>
                <w:sz w:val="24"/>
                <w:highlight w:val="none"/>
              </w:rPr>
              <w:t>9</w:t>
            </w:r>
            <w:r>
              <w:rPr>
                <w:rFonts w:hint="eastAsia" w:ascii="宋体" w:hAnsi="宋体" w:cs="宋体"/>
                <w:kern w:val="0"/>
                <w:sz w:val="24"/>
                <w:highlight w:val="none"/>
              </w:rPr>
              <w:t>分。</w:t>
            </w:r>
          </w:p>
        </w:tc>
      </w:tr>
      <w:tr>
        <w:tblPrEx>
          <w:tblCellMar>
            <w:top w:w="0" w:type="dxa"/>
            <w:left w:w="108" w:type="dxa"/>
            <w:bottom w:w="0" w:type="dxa"/>
            <w:right w:w="108" w:type="dxa"/>
          </w:tblCellMar>
        </w:tblPrEx>
        <w:trPr>
          <w:gridAfter w:val="1"/>
          <w:wAfter w:w="268" w:type="dxa"/>
          <w:trHeight w:val="822" w:hRule="atLeast"/>
        </w:trPr>
        <w:tc>
          <w:tcPr>
            <w:tcW w:w="457"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须提供每一个符合要求案例的合同复印件，验收报告复印件，不提供不得分，原件备查。</w:t>
            </w:r>
          </w:p>
        </w:tc>
      </w:tr>
      <w:tr>
        <w:tblPrEx>
          <w:tblCellMar>
            <w:top w:w="0" w:type="dxa"/>
            <w:left w:w="108" w:type="dxa"/>
            <w:bottom w:w="0" w:type="dxa"/>
            <w:right w:w="108" w:type="dxa"/>
          </w:tblCellMar>
        </w:tblPrEx>
        <w:trPr>
          <w:gridAfter w:val="1"/>
          <w:wAfter w:w="268" w:type="dxa"/>
          <w:trHeight w:val="1302" w:hRule="atLeast"/>
        </w:trPr>
        <w:tc>
          <w:tcPr>
            <w:tcW w:w="45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highlight w:val="none"/>
                <w:lang w:eastAsia="zh-CN"/>
              </w:rPr>
            </w:pPr>
            <w:r>
              <w:rPr>
                <w:rFonts w:hint="eastAsia" w:ascii="宋体" w:hAnsi="宋体" w:cs="宋体"/>
                <w:color w:val="000000"/>
                <w:kern w:val="0"/>
                <w:sz w:val="24"/>
                <w:highlight w:val="none"/>
                <w:lang w:val="en-US" w:eastAsia="zh-CN"/>
              </w:rPr>
              <w:t>3</w:t>
            </w:r>
          </w:p>
        </w:tc>
        <w:tc>
          <w:tcPr>
            <w:tcW w:w="79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技术</w:t>
            </w:r>
          </w:p>
        </w:tc>
        <w:tc>
          <w:tcPr>
            <w:tcW w:w="93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服务方案</w:t>
            </w:r>
          </w:p>
        </w:tc>
        <w:tc>
          <w:tcPr>
            <w:tcW w:w="12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需求理解（</w:t>
            </w:r>
            <w:r>
              <w:rPr>
                <w:rFonts w:ascii="宋体" w:hAnsi="宋体" w:cs="宋体"/>
                <w:color w:val="000000"/>
                <w:kern w:val="0"/>
                <w:sz w:val="24"/>
                <w:highlight w:val="none"/>
              </w:rPr>
              <w:t>6</w:t>
            </w:r>
            <w:r>
              <w:rPr>
                <w:rFonts w:hint="eastAsia" w:ascii="宋体" w:hAnsi="宋体" w:cs="宋体"/>
                <w:color w:val="000000"/>
                <w:kern w:val="0"/>
                <w:sz w:val="24"/>
                <w:highlight w:val="none"/>
              </w:rPr>
              <w:t>分）</w:t>
            </w: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对本项目现状、需求、目标的理解和分析。（要求供应商在投标书中体现，根据其理解程度对其打分）。依据提供方案的准确性、全面性、完整性，优秀得</w:t>
            </w:r>
            <w:r>
              <w:rPr>
                <w:rFonts w:ascii="宋体" w:hAnsi="宋体" w:cs="宋体"/>
                <w:color w:val="000000"/>
                <w:kern w:val="0"/>
                <w:sz w:val="24"/>
                <w:highlight w:val="none"/>
              </w:rPr>
              <w:t>6</w:t>
            </w:r>
            <w:r>
              <w:rPr>
                <w:rFonts w:hint="eastAsia" w:ascii="宋体" w:hAnsi="宋体" w:cs="宋体"/>
                <w:color w:val="000000"/>
                <w:kern w:val="0"/>
                <w:sz w:val="24"/>
                <w:highlight w:val="none"/>
              </w:rPr>
              <w:t>分，良好得</w:t>
            </w:r>
            <w:r>
              <w:rPr>
                <w:rFonts w:ascii="宋体" w:hAnsi="宋体" w:cs="宋体"/>
                <w:color w:val="000000"/>
                <w:kern w:val="0"/>
                <w:sz w:val="24"/>
                <w:highlight w:val="none"/>
              </w:rPr>
              <w:t>4</w:t>
            </w:r>
            <w:r>
              <w:rPr>
                <w:rFonts w:hint="eastAsia" w:ascii="宋体" w:hAnsi="宋体" w:cs="宋体"/>
                <w:color w:val="000000"/>
                <w:kern w:val="0"/>
                <w:sz w:val="24"/>
                <w:highlight w:val="none"/>
              </w:rPr>
              <w:t>分，一般得</w:t>
            </w:r>
            <w:r>
              <w:rPr>
                <w:rFonts w:ascii="宋体" w:hAnsi="宋体" w:cs="宋体"/>
                <w:color w:val="000000"/>
                <w:kern w:val="0"/>
                <w:sz w:val="24"/>
                <w:highlight w:val="none"/>
              </w:rPr>
              <w:t>2</w:t>
            </w:r>
            <w:r>
              <w:rPr>
                <w:rFonts w:hint="eastAsia" w:ascii="宋体" w:hAnsi="宋体" w:cs="宋体"/>
                <w:color w:val="000000"/>
                <w:kern w:val="0"/>
                <w:sz w:val="24"/>
                <w:highlight w:val="none"/>
              </w:rPr>
              <w:t>分，不提供得0分。</w:t>
            </w:r>
          </w:p>
        </w:tc>
      </w:tr>
      <w:tr>
        <w:tblPrEx>
          <w:tblCellMar>
            <w:top w:w="0" w:type="dxa"/>
            <w:left w:w="108" w:type="dxa"/>
            <w:bottom w:w="0" w:type="dxa"/>
            <w:right w:w="108" w:type="dxa"/>
          </w:tblCellMar>
        </w:tblPrEx>
        <w:trPr>
          <w:gridAfter w:val="1"/>
          <w:wAfter w:w="268" w:type="dxa"/>
          <w:trHeight w:val="1302"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支撑平台（8分）</w:t>
            </w: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提供支撑平台的基本概述，针对公共区的基础地图进行方案设计。依据提供方案的完整性、先进性以及科学合理性，优秀得</w:t>
            </w:r>
            <w:r>
              <w:rPr>
                <w:rFonts w:ascii="宋体" w:hAnsi="宋体" w:cs="宋体"/>
                <w:color w:val="000000"/>
                <w:kern w:val="0"/>
                <w:sz w:val="24"/>
                <w:highlight w:val="none"/>
              </w:rPr>
              <w:t>8</w:t>
            </w:r>
            <w:r>
              <w:rPr>
                <w:rFonts w:hint="eastAsia" w:ascii="宋体" w:hAnsi="宋体" w:cs="宋体"/>
                <w:color w:val="000000"/>
                <w:kern w:val="0"/>
                <w:sz w:val="24"/>
                <w:highlight w:val="none"/>
              </w:rPr>
              <w:t>分，良好得</w:t>
            </w:r>
            <w:r>
              <w:rPr>
                <w:rFonts w:ascii="宋体" w:hAnsi="宋体" w:cs="宋体"/>
                <w:color w:val="000000"/>
                <w:kern w:val="0"/>
                <w:sz w:val="24"/>
                <w:highlight w:val="none"/>
              </w:rPr>
              <w:t>6</w:t>
            </w:r>
            <w:r>
              <w:rPr>
                <w:rFonts w:hint="eastAsia" w:ascii="宋体" w:hAnsi="宋体" w:cs="宋体"/>
                <w:color w:val="000000"/>
                <w:kern w:val="0"/>
                <w:sz w:val="24"/>
                <w:highlight w:val="none"/>
              </w:rPr>
              <w:t>分，一般得</w:t>
            </w:r>
            <w:r>
              <w:rPr>
                <w:rFonts w:ascii="宋体" w:hAnsi="宋体" w:cs="宋体"/>
                <w:color w:val="000000"/>
                <w:kern w:val="0"/>
                <w:sz w:val="24"/>
                <w:highlight w:val="none"/>
              </w:rPr>
              <w:t>3</w:t>
            </w:r>
            <w:r>
              <w:rPr>
                <w:rFonts w:hint="eastAsia" w:ascii="宋体" w:hAnsi="宋体" w:cs="宋体"/>
                <w:color w:val="000000"/>
                <w:kern w:val="0"/>
                <w:sz w:val="24"/>
                <w:highlight w:val="none"/>
              </w:rPr>
              <w:t>分，差得1分，不提供得0分。</w:t>
            </w:r>
          </w:p>
        </w:tc>
      </w:tr>
      <w:tr>
        <w:tblPrEx>
          <w:tblCellMar>
            <w:top w:w="0" w:type="dxa"/>
            <w:left w:w="108" w:type="dxa"/>
            <w:bottom w:w="0" w:type="dxa"/>
            <w:right w:w="108" w:type="dxa"/>
          </w:tblCellMar>
        </w:tblPrEx>
        <w:trPr>
          <w:gridAfter w:val="1"/>
          <w:wAfter w:w="268" w:type="dxa"/>
          <w:trHeight w:val="1302"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智能化数字综合管理平台（15分）</w:t>
            </w: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提供智能化数字综合管理平台的基本概述，包括基础平台和应用、业务应用，以及系统接口关键内容。综合评分，依据提供方案的完整性、先进性以及科学合理性，优秀得3分，良好得2分，一般得1分，不提供得0分。</w:t>
            </w:r>
          </w:p>
        </w:tc>
      </w:tr>
      <w:tr>
        <w:tblPrEx>
          <w:tblCellMar>
            <w:top w:w="0" w:type="dxa"/>
            <w:left w:w="108" w:type="dxa"/>
            <w:bottom w:w="0" w:type="dxa"/>
            <w:right w:w="108" w:type="dxa"/>
          </w:tblCellMar>
        </w:tblPrEx>
        <w:trPr>
          <w:gridAfter w:val="1"/>
          <w:wAfter w:w="268" w:type="dxa"/>
          <w:trHeight w:val="1302"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1.基础平台和应用方面：必须包括数据交换平台、公共区综合管理数据库、可视化展示、统计与查询、系统管理、统一门户功能。每覆盖1个功能点得1分，合计6分。</w:t>
            </w:r>
          </w:p>
        </w:tc>
      </w:tr>
      <w:tr>
        <w:tblPrEx>
          <w:tblCellMar>
            <w:top w:w="0" w:type="dxa"/>
            <w:left w:w="108" w:type="dxa"/>
            <w:bottom w:w="0" w:type="dxa"/>
            <w:right w:w="108" w:type="dxa"/>
          </w:tblCellMar>
        </w:tblPrEx>
        <w:trPr>
          <w:gridAfter w:val="1"/>
          <w:wAfter w:w="268" w:type="dxa"/>
          <w:trHeight w:val="1302"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2.业务应用方面：必须提供视频智能分析模块、车辆综合监控模块、 GIS地图管理模块。每覆盖1个模块得1分，合计3分</w:t>
            </w:r>
          </w:p>
        </w:tc>
      </w:tr>
      <w:tr>
        <w:tblPrEx>
          <w:tblCellMar>
            <w:top w:w="0" w:type="dxa"/>
            <w:left w:w="108" w:type="dxa"/>
            <w:bottom w:w="0" w:type="dxa"/>
            <w:right w:w="108" w:type="dxa"/>
          </w:tblCellMar>
        </w:tblPrEx>
        <w:trPr>
          <w:gridAfter w:val="1"/>
          <w:wAfter w:w="268" w:type="dxa"/>
          <w:trHeight w:val="1302"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3.系统接口方面：提供系统接口方案，依据提供方案的完整性、先进性以及科学合理性，优秀得3分，良好得2分，一般得1分，不提供得0分。</w:t>
            </w:r>
          </w:p>
        </w:tc>
      </w:tr>
      <w:tr>
        <w:tblPrEx>
          <w:tblCellMar>
            <w:top w:w="0" w:type="dxa"/>
            <w:left w:w="108" w:type="dxa"/>
            <w:bottom w:w="0" w:type="dxa"/>
            <w:right w:w="108" w:type="dxa"/>
          </w:tblCellMar>
        </w:tblPrEx>
        <w:trPr>
          <w:gridAfter w:val="1"/>
          <w:wAfter w:w="268" w:type="dxa"/>
          <w:trHeight w:val="434"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可视化展示（</w:t>
            </w:r>
            <w:r>
              <w:rPr>
                <w:rFonts w:hint="eastAsia" w:ascii="宋体" w:hAnsi="宋体" w:cs="宋体"/>
                <w:color w:val="000000"/>
                <w:kern w:val="0"/>
                <w:sz w:val="24"/>
                <w:highlight w:val="none"/>
                <w:lang w:val="en-US" w:eastAsia="zh-CN"/>
              </w:rPr>
              <w:t>6</w:t>
            </w:r>
            <w:r>
              <w:rPr>
                <w:rFonts w:hint="eastAsia" w:ascii="宋体" w:hAnsi="宋体" w:cs="宋体"/>
                <w:color w:val="000000"/>
                <w:kern w:val="0"/>
                <w:sz w:val="24"/>
                <w:highlight w:val="none"/>
              </w:rPr>
              <w:t>分）</w:t>
            </w: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可视化展示功能要求支撑移动端、PC端和大屏端。依据提供方案的完整性、先进性以及科学合理性，优秀得</w:t>
            </w:r>
            <w:r>
              <w:rPr>
                <w:rFonts w:hint="eastAsia" w:ascii="宋体" w:hAnsi="宋体" w:cs="宋体"/>
                <w:color w:val="000000"/>
                <w:kern w:val="0"/>
                <w:sz w:val="24"/>
                <w:highlight w:val="none"/>
                <w:lang w:val="en-US" w:eastAsia="zh-CN"/>
              </w:rPr>
              <w:t>6</w:t>
            </w:r>
            <w:r>
              <w:rPr>
                <w:rFonts w:hint="eastAsia" w:ascii="宋体" w:hAnsi="宋体" w:cs="宋体"/>
                <w:color w:val="000000"/>
                <w:kern w:val="0"/>
                <w:sz w:val="24"/>
                <w:highlight w:val="none"/>
              </w:rPr>
              <w:t>分，良好得</w:t>
            </w:r>
            <w:r>
              <w:rPr>
                <w:rFonts w:hint="eastAsia" w:ascii="宋体" w:hAnsi="宋体" w:cs="宋体"/>
                <w:color w:val="000000"/>
                <w:kern w:val="0"/>
                <w:sz w:val="24"/>
                <w:highlight w:val="none"/>
                <w:lang w:val="en-US" w:eastAsia="zh-CN"/>
              </w:rPr>
              <w:t>3</w:t>
            </w:r>
            <w:r>
              <w:rPr>
                <w:rFonts w:hint="eastAsia" w:ascii="宋体" w:hAnsi="宋体" w:cs="宋体"/>
                <w:color w:val="000000"/>
                <w:kern w:val="0"/>
                <w:sz w:val="24"/>
                <w:highlight w:val="none"/>
              </w:rPr>
              <w:t>分，一般得1分，不提供得0分。</w:t>
            </w:r>
          </w:p>
        </w:tc>
      </w:tr>
      <w:tr>
        <w:tblPrEx>
          <w:tblCellMar>
            <w:top w:w="0" w:type="dxa"/>
            <w:left w:w="108" w:type="dxa"/>
            <w:bottom w:w="0" w:type="dxa"/>
            <w:right w:w="108" w:type="dxa"/>
          </w:tblCellMar>
        </w:tblPrEx>
        <w:trPr>
          <w:gridAfter w:val="1"/>
          <w:wAfter w:w="268" w:type="dxa"/>
          <w:trHeight w:val="1594"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rPr>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rPr>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rPr>
                <w:highlight w:val="none"/>
              </w:rPr>
            </w:pPr>
          </w:p>
        </w:tc>
        <w:tc>
          <w:tcPr>
            <w:tcW w:w="1217" w:type="dxa"/>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24"/>
                <w:highlight w:val="none"/>
              </w:rPr>
            </w:pPr>
            <w:r>
              <w:rPr>
                <w:rFonts w:hint="eastAsia" w:ascii="宋体" w:hAnsi="宋体" w:cs="宋体"/>
                <w:kern w:val="0"/>
                <w:sz w:val="24"/>
                <w:highlight w:val="none"/>
              </w:rPr>
              <w:t>系统对接（12分）</w:t>
            </w: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eastAsia="仿宋" w:cs="宋体"/>
                <w:kern w:val="0"/>
                <w:sz w:val="24"/>
                <w:highlight w:val="none"/>
              </w:rPr>
            </w:pPr>
            <w:r>
              <w:rPr>
                <w:rFonts w:hint="eastAsia" w:ascii="宋体" w:hAnsi="宋体" w:cs="宋体"/>
                <w:kern w:val="0"/>
                <w:sz w:val="24"/>
                <w:highlight w:val="none"/>
              </w:rPr>
              <w:t>对接违停抓拍系统，高清卡口系统，执法系统3个系统，需提供厂家</w:t>
            </w:r>
            <w:r>
              <w:rPr>
                <w:rFonts w:ascii="宋体" w:hAnsi="宋体" w:cs="宋体"/>
                <w:kern w:val="0"/>
                <w:sz w:val="24"/>
                <w:highlight w:val="none"/>
              </w:rPr>
              <w:t>对本项目的</w:t>
            </w:r>
            <w:r>
              <w:rPr>
                <w:rFonts w:hint="eastAsia" w:ascii="宋体" w:hAnsi="宋体" w:cs="宋体"/>
                <w:kern w:val="0"/>
                <w:sz w:val="24"/>
                <w:highlight w:val="none"/>
              </w:rPr>
              <w:t>接口服务承诺函，承诺完成接口对接服务和功能。每提供一个接口服务承诺函得4分，合计12分。</w:t>
            </w:r>
          </w:p>
        </w:tc>
      </w:tr>
      <w:tr>
        <w:tblPrEx>
          <w:tblCellMar>
            <w:top w:w="0" w:type="dxa"/>
            <w:left w:w="108" w:type="dxa"/>
            <w:bottom w:w="0" w:type="dxa"/>
            <w:right w:w="108" w:type="dxa"/>
          </w:tblCellMar>
        </w:tblPrEx>
        <w:trPr>
          <w:gridAfter w:val="1"/>
          <w:wAfter w:w="268" w:type="dxa"/>
          <w:trHeight w:val="1302" w:hRule="atLeast"/>
        </w:trPr>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7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highlight w:val="none"/>
              </w:rPr>
            </w:pPr>
          </w:p>
        </w:tc>
        <w:tc>
          <w:tcPr>
            <w:tcW w:w="12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系统运维方案(3分)</w:t>
            </w:r>
          </w:p>
        </w:tc>
        <w:tc>
          <w:tcPr>
            <w:tcW w:w="4896"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提供完整的系统运维方案,综合评分，依据提供方案的完整性、先进性以及科学合理性，优秀得3分，良好得2分，一般得1分，不提供得0分。</w:t>
            </w:r>
          </w:p>
        </w:tc>
      </w:tr>
      <w:tr>
        <w:tblPrEx>
          <w:tblCellMar>
            <w:top w:w="0" w:type="dxa"/>
            <w:left w:w="108" w:type="dxa"/>
            <w:bottom w:w="0" w:type="dxa"/>
            <w:right w:w="108" w:type="dxa"/>
          </w:tblCellMar>
        </w:tblPrEx>
        <w:trPr>
          <w:trHeight w:val="860" w:hRule="atLeast"/>
        </w:trPr>
        <w:tc>
          <w:tcPr>
            <w:tcW w:w="8565" w:type="dxa"/>
            <w:gridSpan w:val="6"/>
            <w:tcBorders>
              <w:top w:val="nil"/>
              <w:left w:val="single" w:color="auto" w:sz="8" w:space="0"/>
              <w:bottom w:val="nil"/>
              <w:right w:val="single" w:color="000000" w:sz="8"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备注：按照比选文件的规定对所有比选响应文件进行初步评审，只有通过初步评审的比选响应文件才能进行后续评审。</w:t>
            </w:r>
          </w:p>
        </w:tc>
      </w:tr>
      <w:tr>
        <w:tblPrEx>
          <w:tblCellMar>
            <w:top w:w="0" w:type="dxa"/>
            <w:left w:w="108" w:type="dxa"/>
            <w:bottom w:w="0" w:type="dxa"/>
            <w:right w:w="108" w:type="dxa"/>
          </w:tblCellMar>
        </w:tblPrEx>
        <w:trPr>
          <w:trHeight w:val="570" w:hRule="atLeast"/>
        </w:trPr>
        <w:tc>
          <w:tcPr>
            <w:tcW w:w="8565" w:type="dxa"/>
            <w:gridSpan w:val="6"/>
            <w:tcBorders>
              <w:top w:val="nil"/>
              <w:left w:val="single" w:color="auto" w:sz="8" w:space="0"/>
              <w:bottom w:val="single" w:color="auto" w:sz="8" w:space="0"/>
              <w:right w:val="single" w:color="000000" w:sz="8" w:space="0"/>
            </w:tcBorders>
            <w:shd w:val="clear" w:color="auto" w:fill="auto"/>
            <w:vAlign w:val="center"/>
          </w:tcPr>
          <w:p>
            <w:pPr>
              <w:widowControl/>
              <w:rPr>
                <w:rFonts w:ascii="宋体" w:hAnsi="宋体" w:cs="宋体"/>
                <w:color w:val="000000"/>
                <w:kern w:val="0"/>
                <w:sz w:val="24"/>
                <w:highlight w:val="none"/>
              </w:rPr>
            </w:pPr>
            <w:r>
              <w:rPr>
                <w:rFonts w:hint="eastAsia" w:ascii="宋体" w:hAnsi="宋体" w:cs="宋体"/>
                <w:color w:val="000000"/>
                <w:kern w:val="0"/>
                <w:sz w:val="24"/>
                <w:highlight w:val="none"/>
              </w:rPr>
              <w:t>按比选办法进行评审，得分最高的比选响应人中选。</w:t>
            </w:r>
          </w:p>
        </w:tc>
      </w:tr>
    </w:tbl>
    <w:p>
      <w:pPr>
        <w:snapToGrid w:val="0"/>
        <w:spacing w:line="360" w:lineRule="auto"/>
        <w:rPr>
          <w:rFonts w:ascii="宋体" w:hAnsi="宋体" w:cs="宋体"/>
          <w:b/>
          <w:bCs/>
          <w:sz w:val="24"/>
          <w:highlight w:val="none"/>
        </w:rPr>
      </w:pPr>
    </w:p>
    <w:p>
      <w:pPr>
        <w:pStyle w:val="3"/>
        <w:spacing w:line="360" w:lineRule="auto"/>
        <w:rPr>
          <w:sz w:val="24"/>
          <w:szCs w:val="24"/>
          <w:highlight w:val="none"/>
        </w:rPr>
      </w:pPr>
    </w:p>
    <w:p>
      <w:pPr>
        <w:rPr>
          <w:sz w:val="24"/>
          <w:highlight w:val="none"/>
        </w:rPr>
      </w:pPr>
    </w:p>
    <w:p>
      <w:pPr>
        <w:pStyle w:val="18"/>
        <w:rPr>
          <w:sz w:val="24"/>
          <w:szCs w:val="24"/>
          <w:highlight w:val="none"/>
        </w:rPr>
      </w:pPr>
    </w:p>
    <w:p>
      <w:pPr>
        <w:rPr>
          <w:sz w:val="24"/>
          <w:highlight w:val="none"/>
        </w:rPr>
      </w:pPr>
    </w:p>
    <w:p>
      <w:pPr>
        <w:pStyle w:val="18"/>
        <w:rPr>
          <w:sz w:val="24"/>
          <w:szCs w:val="24"/>
          <w:highlight w:val="none"/>
        </w:rPr>
      </w:pPr>
    </w:p>
    <w:p>
      <w:pPr>
        <w:rPr>
          <w:sz w:val="24"/>
          <w:highlight w:val="none"/>
        </w:rPr>
      </w:pPr>
    </w:p>
    <w:p>
      <w:pPr>
        <w:pStyle w:val="3"/>
        <w:spacing w:line="360" w:lineRule="auto"/>
        <w:rPr>
          <w:rFonts w:hint="eastAsia"/>
          <w:sz w:val="24"/>
          <w:szCs w:val="24"/>
          <w:highlight w:val="none"/>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highlight w:val="none"/>
        </w:rPr>
      </w:pPr>
    </w:p>
    <w:p>
      <w:pPr>
        <w:rPr>
          <w:rFonts w:hint="eastAsia"/>
          <w:sz w:val="24"/>
          <w:szCs w:val="24"/>
          <w:highlight w:val="none"/>
        </w:rPr>
      </w:pPr>
    </w:p>
    <w:p>
      <w:pPr>
        <w:pStyle w:val="2"/>
        <w:rPr>
          <w:rFonts w:hint="eastAsia"/>
          <w:sz w:val="24"/>
          <w:szCs w:val="24"/>
          <w:highlight w:val="none"/>
        </w:rPr>
      </w:pPr>
    </w:p>
    <w:p>
      <w:pPr>
        <w:rPr>
          <w:rFonts w:hint="eastAsia"/>
          <w:sz w:val="24"/>
          <w:szCs w:val="24"/>
          <w:highlight w:val="none"/>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highlight w:val="none"/>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highlight w:val="none"/>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highlight w:val="none"/>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sz w:val="24"/>
          <w:szCs w:val="24"/>
          <w:highlight w:val="none"/>
        </w:rPr>
      </w:pPr>
      <w:r>
        <w:rPr>
          <w:rFonts w:hint="eastAsia"/>
          <w:sz w:val="24"/>
          <w:szCs w:val="24"/>
          <w:highlight w:val="none"/>
        </w:rPr>
        <w:t>附件2：报价函</w:t>
      </w:r>
    </w:p>
    <w:p>
      <w:pPr>
        <w:spacing w:line="360" w:lineRule="auto"/>
        <w:jc w:val="center"/>
        <w:rPr>
          <w:rFonts w:ascii="宋体" w:hAnsi="宋体" w:cs="宋体"/>
          <w:b/>
          <w:sz w:val="24"/>
          <w:highlight w:val="none"/>
        </w:rPr>
      </w:pPr>
      <w:r>
        <w:rPr>
          <w:rFonts w:hint="eastAsia" w:ascii="宋体" w:hAnsi="宋体" w:cs="宋体"/>
          <w:b/>
          <w:sz w:val="24"/>
          <w:highlight w:val="none"/>
        </w:rPr>
        <w:t>报价函</w:t>
      </w:r>
    </w:p>
    <w:p>
      <w:pPr>
        <w:spacing w:line="360" w:lineRule="auto"/>
        <w:jc w:val="left"/>
        <w:rPr>
          <w:rFonts w:ascii="宋体" w:hAnsi="宋体" w:cs="宋体"/>
          <w:sz w:val="24"/>
          <w:highlight w:val="none"/>
        </w:rPr>
      </w:pPr>
      <w:r>
        <w:rPr>
          <w:rFonts w:hint="eastAsia" w:ascii="宋体" w:hAnsi="宋体" w:cs="宋体"/>
          <w:sz w:val="24"/>
          <w:highlight w:val="none"/>
        </w:rPr>
        <w:t>重庆机场信息通信网络有限公司：</w:t>
      </w:r>
    </w:p>
    <w:p>
      <w:pPr>
        <w:tabs>
          <w:tab w:val="left" w:pos="2655"/>
          <w:tab w:val="left" w:pos="3520"/>
          <w:tab w:val="left" w:pos="4920"/>
          <w:tab w:val="left" w:pos="5715"/>
          <w:tab w:val="left" w:pos="6945"/>
          <w:tab w:val="left" w:pos="7980"/>
        </w:tabs>
        <w:autoSpaceDE w:val="0"/>
        <w:autoSpaceDN w:val="0"/>
        <w:adjustRightInd w:val="0"/>
        <w:spacing w:line="360" w:lineRule="auto"/>
        <w:ind w:left="120" w:leftChars="57" w:right="94" w:firstLine="480" w:firstLineChars="200"/>
        <w:rPr>
          <w:rFonts w:ascii="宋体" w:hAnsi="宋体" w:cs="宋体"/>
          <w:sz w:val="24"/>
          <w:highlight w:val="none"/>
        </w:rPr>
      </w:pPr>
      <w:r>
        <w:rPr>
          <w:rFonts w:hint="eastAsia" w:ascii="宋体" w:hAnsi="宋体" w:cs="宋体"/>
          <w:sz w:val="24"/>
          <w:highlight w:val="none"/>
        </w:rPr>
        <w:t>1．我方已仔细研究了</w:t>
      </w:r>
      <w:r>
        <w:rPr>
          <w:rFonts w:hint="eastAsia" w:ascii="宋体" w:hAnsi="宋体" w:cs="宋体"/>
          <w:sz w:val="24"/>
          <w:highlight w:val="none"/>
          <w:u w:val="single"/>
        </w:rPr>
        <w:tab/>
      </w:r>
      <w:r>
        <w:rPr>
          <w:rFonts w:hint="eastAsia" w:ascii="宋体" w:hAnsi="宋体" w:cs="宋体"/>
          <w:sz w:val="24"/>
          <w:highlight w:val="none"/>
          <w:u w:val="single"/>
        </w:rPr>
        <w:tab/>
      </w:r>
      <w:r>
        <w:rPr>
          <w:rFonts w:hint="eastAsia" w:ascii="宋体" w:hAnsi="宋体" w:cs="宋体"/>
          <w:sz w:val="24"/>
          <w:highlight w:val="none"/>
          <w:u w:val="single"/>
        </w:rPr>
        <w:t>（项目名称）</w:t>
      </w:r>
      <w:r>
        <w:rPr>
          <w:rFonts w:hint="eastAsia" w:ascii="宋体" w:hAnsi="宋体" w:cs="宋体"/>
          <w:sz w:val="24"/>
          <w:highlight w:val="none"/>
        </w:rPr>
        <w:t>项目比选文件的全部内容，愿意以人民币</w:t>
      </w:r>
      <w:r>
        <w:rPr>
          <w:rFonts w:hint="eastAsia" w:ascii="宋体" w:hAnsi="宋体" w:cs="宋体"/>
          <w:sz w:val="24"/>
          <w:highlight w:val="none"/>
          <w:u w:val="single"/>
        </w:rPr>
        <w:t>（大写）</w:t>
      </w:r>
      <w:r>
        <w:rPr>
          <w:rFonts w:hint="eastAsia" w:ascii="宋体" w:hAnsi="宋体" w:cs="宋体"/>
          <w:sz w:val="24"/>
          <w:highlight w:val="none"/>
          <w:u w:val="single"/>
        </w:rPr>
        <w:tab/>
      </w:r>
      <w:r>
        <w:rPr>
          <w:rFonts w:hint="eastAsia" w:ascii="宋体" w:hAnsi="宋体" w:cs="宋体"/>
          <w:sz w:val="24"/>
          <w:highlight w:val="none"/>
          <w:u w:val="single"/>
          <w:lang w:val="en-US" w:eastAsia="zh-CN"/>
        </w:rPr>
        <w:t xml:space="preserve">     </w:t>
      </w:r>
      <w:r>
        <w:rPr>
          <w:rFonts w:hint="eastAsia" w:ascii="宋体" w:hAnsi="宋体" w:cs="宋体"/>
          <w:sz w:val="24"/>
          <w:highlight w:val="none"/>
          <w:u w:val="single"/>
        </w:rPr>
        <w:t>（¥</w:t>
      </w:r>
      <w:r>
        <w:rPr>
          <w:rFonts w:hint="eastAsia" w:ascii="宋体" w:hAnsi="宋体" w:cs="宋体"/>
          <w:sz w:val="24"/>
          <w:highlight w:val="none"/>
          <w:u w:val="single"/>
        </w:rPr>
        <w:tab/>
      </w:r>
      <w:r>
        <w:rPr>
          <w:rFonts w:hint="eastAsia" w:ascii="宋体" w:hAnsi="宋体" w:cs="宋体"/>
          <w:sz w:val="24"/>
          <w:highlight w:val="none"/>
          <w:u w:val="single"/>
          <w:lang w:val="en-US" w:eastAsia="zh-CN"/>
        </w:rPr>
        <w:t xml:space="preserve">    </w:t>
      </w:r>
      <w:r>
        <w:rPr>
          <w:rFonts w:hint="eastAsia" w:ascii="宋体" w:hAnsi="宋体" w:cs="宋体"/>
          <w:sz w:val="24"/>
          <w:highlight w:val="none"/>
          <w:u w:val="single"/>
        </w:rPr>
        <w:t>）</w:t>
      </w:r>
      <w:r>
        <w:rPr>
          <w:rFonts w:hint="eastAsia" w:ascii="宋体" w:hAnsi="宋体" w:cs="宋体"/>
          <w:b/>
          <w:bCs/>
          <w:sz w:val="24"/>
          <w:highlight w:val="none"/>
        </w:rPr>
        <w:t>不含增值税</w:t>
      </w:r>
      <w:r>
        <w:rPr>
          <w:rFonts w:hint="eastAsia" w:ascii="宋体" w:hAnsi="宋体" w:cs="宋体"/>
          <w:sz w:val="24"/>
          <w:highlight w:val="none"/>
        </w:rPr>
        <w:t>发票的总报价，增值税税率</w:t>
      </w:r>
      <w:r>
        <w:rPr>
          <w:rFonts w:hint="eastAsia" w:ascii="宋体" w:hAnsi="宋体" w:cs="宋体"/>
          <w:sz w:val="24"/>
          <w:highlight w:val="none"/>
          <w:u w:val="single"/>
        </w:rPr>
        <w:t xml:space="preserve">      %</w:t>
      </w:r>
      <w:r>
        <w:rPr>
          <w:rFonts w:hint="eastAsia" w:ascii="宋体" w:hAnsi="宋体" w:cs="宋体"/>
          <w:sz w:val="24"/>
          <w:highlight w:val="none"/>
        </w:rPr>
        <w:t>，服务期限</w:t>
      </w:r>
      <w:r>
        <w:rPr>
          <w:rFonts w:hint="eastAsia" w:ascii="宋体" w:hAnsi="宋体" w:cs="宋体"/>
          <w:sz w:val="24"/>
          <w:highlight w:val="none"/>
          <w:u w:val="single"/>
        </w:rPr>
        <w:tab/>
      </w:r>
      <w:r>
        <w:rPr>
          <w:rFonts w:hint="eastAsia" w:ascii="宋体" w:hAnsi="宋体" w:cs="宋体"/>
          <w:sz w:val="24"/>
          <w:highlight w:val="none"/>
          <w:u w:val="single"/>
        </w:rPr>
        <w:t xml:space="preserve">   </w:t>
      </w:r>
      <w:r>
        <w:rPr>
          <w:rFonts w:hint="eastAsia" w:ascii="宋体" w:hAnsi="宋体" w:cs="宋体"/>
          <w:sz w:val="24"/>
          <w:highlight w:val="none"/>
        </w:rPr>
        <w:t>日历天，按合同约定实施和完成承包项目的全部工作。</w:t>
      </w:r>
    </w:p>
    <w:p>
      <w:pPr>
        <w:autoSpaceDE w:val="0"/>
        <w:autoSpaceDN w:val="0"/>
        <w:adjustRightInd w:val="0"/>
        <w:spacing w:before="0" w:line="360" w:lineRule="auto"/>
        <w:ind w:right="-20" w:firstLine="480" w:firstLineChars="200"/>
        <w:jc w:val="left"/>
        <w:rPr>
          <w:rFonts w:ascii="宋体" w:hAnsi="宋体" w:cs="宋体"/>
          <w:sz w:val="24"/>
          <w:highlight w:val="none"/>
        </w:rPr>
      </w:pPr>
      <w:r>
        <w:rPr>
          <w:rFonts w:hint="eastAsia" w:ascii="宋体" w:hAnsi="宋体" w:cs="宋体"/>
          <w:sz w:val="24"/>
          <w:highlight w:val="none"/>
        </w:rPr>
        <w:t>2．我方承诺在比选有效期内不修改、撤销比选响应文件。</w:t>
      </w:r>
    </w:p>
    <w:p>
      <w:pPr>
        <w:autoSpaceDE w:val="0"/>
        <w:autoSpaceDN w:val="0"/>
        <w:adjustRightInd w:val="0"/>
        <w:spacing w:line="360" w:lineRule="auto"/>
        <w:ind w:right="-20" w:firstLine="480" w:firstLineChars="200"/>
        <w:jc w:val="left"/>
        <w:rPr>
          <w:rFonts w:ascii="宋体" w:hAnsi="宋体" w:cs="宋体"/>
          <w:sz w:val="24"/>
          <w:highlight w:val="none"/>
        </w:rPr>
      </w:pPr>
      <w:r>
        <w:rPr>
          <w:rFonts w:hint="eastAsia" w:ascii="宋体" w:hAnsi="宋体" w:cs="宋体"/>
          <w:sz w:val="24"/>
          <w:highlight w:val="none"/>
        </w:rPr>
        <w:t>3．如我方成交：</w:t>
      </w:r>
    </w:p>
    <w:p>
      <w:pPr>
        <w:autoSpaceDE w:val="0"/>
        <w:autoSpaceDN w:val="0"/>
        <w:adjustRightInd w:val="0"/>
        <w:spacing w:line="360" w:lineRule="auto"/>
        <w:ind w:right="-80" w:firstLine="480" w:firstLineChars="200"/>
        <w:jc w:val="left"/>
        <w:rPr>
          <w:rFonts w:ascii="宋体" w:hAnsi="宋体" w:cs="宋体"/>
          <w:sz w:val="24"/>
          <w:highlight w:val="none"/>
        </w:rPr>
      </w:pPr>
      <w:r>
        <w:rPr>
          <w:rFonts w:hint="eastAsia" w:ascii="宋体" w:hAnsi="宋体" w:cs="宋体"/>
          <w:sz w:val="24"/>
          <w:highlight w:val="none"/>
        </w:rPr>
        <w:t>（1）我方承诺在收到成交通知后，在规定的期限内与你方签订合同。</w:t>
      </w:r>
    </w:p>
    <w:p>
      <w:pPr>
        <w:autoSpaceDE w:val="0"/>
        <w:autoSpaceDN w:val="0"/>
        <w:adjustRightInd w:val="0"/>
        <w:spacing w:line="360" w:lineRule="auto"/>
        <w:ind w:right="-20" w:firstLine="480" w:firstLineChars="200"/>
        <w:jc w:val="left"/>
        <w:rPr>
          <w:rFonts w:ascii="宋体" w:hAnsi="宋体" w:cs="宋体"/>
          <w:sz w:val="24"/>
          <w:highlight w:val="none"/>
        </w:rPr>
      </w:pPr>
      <w:r>
        <w:rPr>
          <w:rFonts w:hint="eastAsia" w:ascii="宋体" w:hAnsi="宋体" w:cs="宋体"/>
          <w:sz w:val="24"/>
          <w:highlight w:val="none"/>
        </w:rPr>
        <w:t>（2）随同本报价函递交的报价函附录属于合同文件的组成部分。</w:t>
      </w:r>
    </w:p>
    <w:p>
      <w:pPr>
        <w:autoSpaceDE w:val="0"/>
        <w:autoSpaceDN w:val="0"/>
        <w:adjustRightInd w:val="0"/>
        <w:spacing w:line="360" w:lineRule="auto"/>
        <w:ind w:right="-20" w:firstLine="480" w:firstLineChars="200"/>
        <w:jc w:val="left"/>
        <w:rPr>
          <w:rFonts w:ascii="宋体" w:hAnsi="宋体" w:cs="宋体"/>
          <w:sz w:val="24"/>
          <w:highlight w:val="none"/>
        </w:rPr>
      </w:pPr>
      <w:r>
        <w:rPr>
          <w:rFonts w:hint="eastAsia" w:ascii="宋体" w:hAnsi="宋体" w:cs="宋体"/>
          <w:sz w:val="24"/>
          <w:highlight w:val="none"/>
        </w:rPr>
        <w:t>（3）我方承诺在合同约定的期限内完成并移交全部合同项目和成果。</w:t>
      </w:r>
    </w:p>
    <w:p>
      <w:pPr>
        <w:autoSpaceDE w:val="0"/>
        <w:autoSpaceDN w:val="0"/>
        <w:adjustRightInd w:val="0"/>
        <w:spacing w:line="360" w:lineRule="auto"/>
        <w:ind w:left="120" w:right="-9" w:firstLine="480" w:firstLineChars="200"/>
        <w:jc w:val="left"/>
        <w:rPr>
          <w:rFonts w:ascii="宋体" w:hAnsi="宋体" w:cs="宋体"/>
          <w:sz w:val="24"/>
          <w:highlight w:val="none"/>
        </w:rPr>
      </w:pPr>
      <w:r>
        <w:rPr>
          <w:rFonts w:hint="eastAsia" w:ascii="宋体" w:hAnsi="宋体" w:cs="宋体"/>
          <w:sz w:val="24"/>
          <w:highlight w:val="none"/>
        </w:rPr>
        <w:t>4．我方在此声明，所递交的比选响应文件及有关资料内容完整、真实和准确。</w:t>
      </w:r>
    </w:p>
    <w:p>
      <w:pPr>
        <w:autoSpaceDE w:val="0"/>
        <w:autoSpaceDN w:val="0"/>
        <w:adjustRightInd w:val="0"/>
        <w:spacing w:line="360" w:lineRule="auto"/>
        <w:ind w:left="120" w:right="-9" w:firstLine="480" w:firstLineChars="200"/>
        <w:jc w:val="left"/>
        <w:rPr>
          <w:rFonts w:ascii="宋体" w:hAnsi="宋体" w:cs="宋体"/>
          <w:sz w:val="24"/>
          <w:highlight w:val="none"/>
        </w:rPr>
      </w:pPr>
      <w:r>
        <w:rPr>
          <w:rFonts w:hint="eastAsia" w:ascii="宋体" w:hAnsi="宋体" w:cs="宋体"/>
          <w:sz w:val="24"/>
          <w:highlight w:val="none"/>
        </w:rPr>
        <w:t>5．除非达到另外协议并生效，你方的成交通知书和本比选响应文件将成为约束双方的合同文件组成部分。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firstLine="648" w:firstLineChars="270"/>
        <w:jc w:val="left"/>
        <w:rPr>
          <w:rFonts w:ascii="宋体" w:hAnsi="宋体" w:cs="宋体"/>
          <w:sz w:val="24"/>
          <w:highlight w:val="none"/>
        </w:rPr>
      </w:pPr>
      <w:r>
        <w:rPr>
          <w:rFonts w:hint="eastAsia" w:ascii="宋体" w:hAnsi="宋体" w:cs="宋体"/>
          <w:sz w:val="24"/>
          <w:highlight w:val="none"/>
        </w:rPr>
        <w:t>比选人：</w:t>
      </w:r>
      <w:r>
        <w:rPr>
          <w:rFonts w:hint="eastAsia" w:ascii="宋体" w:hAnsi="宋体" w:cs="宋体"/>
          <w:sz w:val="24"/>
          <w:highlight w:val="none"/>
          <w:u w:val="single"/>
        </w:rPr>
        <w:t>（盖单位公章）</w:t>
      </w:r>
    </w:p>
    <w:p>
      <w:pPr>
        <w:tabs>
          <w:tab w:val="left" w:pos="7140"/>
          <w:tab w:val="left" w:pos="7560"/>
          <w:tab w:val="left" w:pos="8300"/>
        </w:tabs>
        <w:autoSpaceDE w:val="0"/>
        <w:autoSpaceDN w:val="0"/>
        <w:adjustRightInd w:val="0"/>
        <w:spacing w:line="360" w:lineRule="auto"/>
        <w:ind w:right="210" w:firstLine="648" w:firstLineChars="270"/>
        <w:jc w:val="left"/>
        <w:rPr>
          <w:rFonts w:ascii="宋体" w:hAnsi="宋体" w:cs="宋体"/>
          <w:sz w:val="24"/>
          <w:highlight w:val="none"/>
          <w:u w:val="single"/>
        </w:rPr>
      </w:pPr>
      <w:r>
        <w:rPr>
          <w:rFonts w:hint="eastAsia" w:ascii="宋体" w:hAnsi="宋体" w:cs="宋体"/>
          <w:sz w:val="24"/>
          <w:highlight w:val="none"/>
        </w:rPr>
        <w:t>法定代表人或其委托代理人</w:t>
      </w:r>
      <w:r>
        <w:rPr>
          <w:rFonts w:hint="eastAsia" w:ascii="宋体" w:hAnsi="宋体" w:cs="宋体"/>
          <w:sz w:val="24"/>
          <w:highlight w:val="none"/>
          <w:u w:val="single"/>
        </w:rPr>
        <w:t>：</w:t>
      </w:r>
      <w:r>
        <w:rPr>
          <w:rFonts w:hint="eastAsia" w:ascii="宋体" w:hAnsi="宋体" w:cs="宋体"/>
          <w:sz w:val="24"/>
          <w:highlight w:val="none"/>
          <w:u w:val="single"/>
        </w:rPr>
        <w:tab/>
      </w:r>
      <w:r>
        <w:rPr>
          <w:rFonts w:hint="eastAsia" w:ascii="宋体" w:hAnsi="宋体" w:cs="宋体"/>
          <w:sz w:val="24"/>
          <w:highlight w:val="none"/>
          <w:u w:val="single"/>
        </w:rPr>
        <w:t>（签字）</w:t>
      </w:r>
    </w:p>
    <w:p>
      <w:pPr>
        <w:tabs>
          <w:tab w:val="left" w:pos="7035"/>
          <w:tab w:val="left" w:pos="7560"/>
          <w:tab w:val="left" w:pos="8300"/>
        </w:tabs>
        <w:autoSpaceDE w:val="0"/>
        <w:autoSpaceDN w:val="0"/>
        <w:adjustRightInd w:val="0"/>
        <w:spacing w:line="360" w:lineRule="auto"/>
        <w:ind w:right="210" w:firstLine="648" w:firstLineChars="270"/>
        <w:jc w:val="left"/>
        <w:rPr>
          <w:rFonts w:ascii="宋体" w:hAnsi="宋体" w:cs="宋体"/>
          <w:sz w:val="24"/>
          <w:highlight w:val="none"/>
          <w:u w:val="single"/>
        </w:rPr>
      </w:pPr>
      <w:r>
        <w:rPr>
          <w:rFonts w:hint="eastAsia" w:ascii="宋体" w:hAnsi="宋体" w:cs="宋体"/>
          <w:sz w:val="24"/>
          <w:highlight w:val="none"/>
        </w:rPr>
        <w:t>地址：</w:t>
      </w:r>
      <w:r>
        <w:rPr>
          <w:rFonts w:hint="eastAsia" w:ascii="宋体" w:hAnsi="宋体" w:cs="宋体"/>
          <w:sz w:val="24"/>
          <w:highlight w:val="none"/>
          <w:u w:val="single"/>
        </w:rPr>
        <w:tab/>
      </w:r>
    </w:p>
    <w:p>
      <w:pPr>
        <w:tabs>
          <w:tab w:val="left" w:pos="7035"/>
          <w:tab w:val="left" w:pos="7560"/>
          <w:tab w:val="left" w:pos="8300"/>
        </w:tabs>
        <w:autoSpaceDE w:val="0"/>
        <w:autoSpaceDN w:val="0"/>
        <w:adjustRightInd w:val="0"/>
        <w:spacing w:line="360" w:lineRule="auto"/>
        <w:ind w:right="210" w:firstLine="648" w:firstLineChars="270"/>
        <w:jc w:val="left"/>
        <w:rPr>
          <w:rFonts w:ascii="宋体" w:hAnsi="宋体" w:cs="宋体"/>
          <w:sz w:val="24"/>
          <w:highlight w:val="none"/>
          <w:u w:val="single"/>
        </w:rPr>
      </w:pPr>
      <w:r>
        <w:rPr>
          <w:rFonts w:hint="eastAsia" w:ascii="宋体" w:hAnsi="宋体" w:cs="宋体"/>
          <w:sz w:val="24"/>
          <w:highlight w:val="none"/>
        </w:rPr>
        <w:t>网址</w:t>
      </w:r>
      <w:r>
        <w:rPr>
          <w:rFonts w:hint="eastAsia" w:ascii="宋体" w:hAnsi="宋体" w:cs="宋体"/>
          <w:sz w:val="24"/>
          <w:highlight w:val="none"/>
          <w:u w:val="single"/>
        </w:rPr>
        <w:t>：　　　　　　　　　　　　　　</w:t>
      </w:r>
    </w:p>
    <w:p>
      <w:pPr>
        <w:tabs>
          <w:tab w:val="left" w:pos="7035"/>
          <w:tab w:val="left" w:pos="7560"/>
          <w:tab w:val="left" w:pos="8300"/>
        </w:tabs>
        <w:autoSpaceDE w:val="0"/>
        <w:autoSpaceDN w:val="0"/>
        <w:adjustRightInd w:val="0"/>
        <w:spacing w:line="360" w:lineRule="auto"/>
        <w:ind w:right="210" w:firstLine="648" w:firstLineChars="270"/>
        <w:jc w:val="left"/>
        <w:rPr>
          <w:rFonts w:ascii="宋体" w:hAnsi="宋体" w:cs="宋体"/>
          <w:sz w:val="24"/>
          <w:highlight w:val="none"/>
          <w:u w:val="single"/>
        </w:rPr>
      </w:pPr>
      <w:r>
        <w:rPr>
          <w:rFonts w:hint="eastAsia" w:ascii="宋体" w:hAnsi="宋体" w:cs="宋体"/>
          <w:sz w:val="24"/>
          <w:highlight w:val="none"/>
        </w:rPr>
        <w:t>电话</w:t>
      </w:r>
      <w:r>
        <w:rPr>
          <w:rFonts w:hint="eastAsia" w:ascii="宋体" w:hAnsi="宋体" w:cs="宋体"/>
          <w:sz w:val="24"/>
          <w:highlight w:val="none"/>
          <w:u w:val="single"/>
        </w:rPr>
        <w:t>：　　　　　　　　　　　　　　</w:t>
      </w:r>
    </w:p>
    <w:p>
      <w:pPr>
        <w:tabs>
          <w:tab w:val="left" w:pos="7035"/>
          <w:tab w:val="left" w:pos="7560"/>
          <w:tab w:val="left" w:pos="8300"/>
        </w:tabs>
        <w:autoSpaceDE w:val="0"/>
        <w:autoSpaceDN w:val="0"/>
        <w:adjustRightInd w:val="0"/>
        <w:spacing w:line="360" w:lineRule="auto"/>
        <w:ind w:right="210" w:firstLine="648" w:firstLineChars="270"/>
        <w:jc w:val="left"/>
        <w:rPr>
          <w:rFonts w:ascii="宋体" w:hAnsi="宋体" w:cs="宋体"/>
          <w:sz w:val="24"/>
          <w:highlight w:val="none"/>
          <w:u w:val="single"/>
        </w:rPr>
      </w:pPr>
      <w:r>
        <w:rPr>
          <w:rFonts w:hint="eastAsia" w:ascii="宋体" w:hAnsi="宋体" w:cs="宋体"/>
          <w:sz w:val="24"/>
          <w:highlight w:val="none"/>
        </w:rPr>
        <w:t>传真：</w:t>
      </w:r>
      <w:r>
        <w:rPr>
          <w:rFonts w:hint="eastAsia" w:ascii="宋体" w:hAnsi="宋体" w:cs="宋体"/>
          <w:sz w:val="24"/>
          <w:highlight w:val="none"/>
          <w:u w:val="single"/>
        </w:rPr>
        <w:t>　　　　　　　　　　　　　　</w:t>
      </w:r>
    </w:p>
    <w:p>
      <w:pPr>
        <w:tabs>
          <w:tab w:val="left" w:pos="7035"/>
          <w:tab w:val="left" w:pos="7560"/>
          <w:tab w:val="left" w:pos="8300"/>
        </w:tabs>
        <w:autoSpaceDE w:val="0"/>
        <w:autoSpaceDN w:val="0"/>
        <w:adjustRightInd w:val="0"/>
        <w:spacing w:line="360" w:lineRule="auto"/>
        <w:ind w:right="210" w:firstLine="648" w:firstLineChars="270"/>
        <w:jc w:val="left"/>
        <w:rPr>
          <w:rFonts w:ascii="宋体" w:hAnsi="宋体" w:cs="宋体"/>
          <w:sz w:val="24"/>
          <w:highlight w:val="none"/>
        </w:rPr>
      </w:pPr>
      <w:r>
        <w:rPr>
          <w:rFonts w:hint="eastAsia" w:ascii="宋体" w:hAnsi="宋体" w:cs="宋体"/>
          <w:sz w:val="24"/>
          <w:highlight w:val="none"/>
        </w:rPr>
        <w:t>邮政编码：</w:t>
      </w:r>
      <w:r>
        <w:rPr>
          <w:rFonts w:hint="eastAsia" w:ascii="宋体" w:hAnsi="宋体" w:cs="宋体"/>
          <w:sz w:val="24"/>
          <w:highlight w:val="none"/>
          <w:u w:val="single"/>
        </w:rPr>
        <w:t>　　　　　</w:t>
      </w:r>
    </w:p>
    <w:p>
      <w:pPr>
        <w:tabs>
          <w:tab w:val="left" w:pos="6000"/>
          <w:tab w:val="left" w:pos="7040"/>
          <w:tab w:val="left" w:pos="8100"/>
        </w:tabs>
        <w:autoSpaceDE w:val="0"/>
        <w:autoSpaceDN w:val="0"/>
        <w:adjustRightInd w:val="0"/>
        <w:spacing w:line="360" w:lineRule="auto"/>
        <w:ind w:left="2096" w:leftChars="571" w:right="-20" w:hanging="897" w:hangingChars="374"/>
        <w:jc w:val="center"/>
        <w:rPr>
          <w:rFonts w:ascii="宋体" w:hAnsi="宋体" w:cs="宋体"/>
          <w:sz w:val="24"/>
          <w:highlight w:val="none"/>
        </w:rPr>
      </w:pPr>
      <w:r>
        <w:rPr>
          <w:rFonts w:hint="eastAsia" w:ascii="宋体" w:hAnsi="宋体" w:cs="宋体"/>
          <w:sz w:val="24"/>
          <w:highlight w:val="none"/>
        </w:rPr>
        <w:t xml:space="preserve">                      </w:t>
      </w:r>
    </w:p>
    <w:p>
      <w:pPr>
        <w:pageBreakBefore w:val="0"/>
        <w:widowControl w:val="0"/>
        <w:tabs>
          <w:tab w:val="left" w:pos="6000"/>
          <w:tab w:val="left" w:pos="7040"/>
          <w:tab w:val="left" w:pos="8100"/>
        </w:tabs>
        <w:kinsoku/>
        <w:wordWrap/>
        <w:overflowPunct/>
        <w:topLinePunct w:val="0"/>
        <w:autoSpaceDE w:val="0"/>
        <w:autoSpaceDN w:val="0"/>
        <w:bidi w:val="0"/>
        <w:adjustRightInd w:val="0"/>
        <w:snapToGrid/>
        <w:spacing w:line="360" w:lineRule="auto"/>
        <w:ind w:left="2096" w:leftChars="571" w:right="-20" w:hanging="897" w:hangingChars="374"/>
        <w:jc w:val="center"/>
        <w:textAlignment w:val="auto"/>
        <w:rPr>
          <w:rFonts w:hint="eastAsia"/>
          <w:highlight w:val="none"/>
        </w:rPr>
      </w:pPr>
      <w:r>
        <w:rPr>
          <w:rFonts w:hint="eastAsia" w:ascii="宋体" w:hAnsi="宋体" w:cs="宋体"/>
          <w:sz w:val="24"/>
          <w:highlight w:val="none"/>
        </w:rPr>
        <w:t xml:space="preserve">                 </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highlight w:val="none"/>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highlight w:val="none"/>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sz w:val="24"/>
          <w:szCs w:val="24"/>
          <w:highlight w:val="none"/>
        </w:rPr>
      </w:pPr>
      <w:r>
        <w:rPr>
          <w:rFonts w:hint="eastAsia"/>
          <w:sz w:val="24"/>
          <w:szCs w:val="24"/>
          <w:highlight w:val="none"/>
        </w:rPr>
        <w:t>附件3：法定代表人身份证明</w:t>
      </w:r>
    </w:p>
    <w:p>
      <w:pPr>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b/>
          <w:sz w:val="24"/>
          <w:highlight w:val="none"/>
        </w:rPr>
      </w:pPr>
      <w:r>
        <w:rPr>
          <w:rFonts w:hint="eastAsia" w:ascii="宋体" w:hAnsi="宋体" w:cs="宋体"/>
          <w:b/>
          <w:sz w:val="24"/>
          <w:highlight w:val="none"/>
        </w:rPr>
        <w:t>法定代表人身份证明</w:t>
      </w:r>
    </w:p>
    <w:p>
      <w:pPr>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highlight w:val="none"/>
        </w:rPr>
      </w:pPr>
    </w:p>
    <w:p>
      <w:pPr>
        <w:tabs>
          <w:tab w:val="left" w:pos="5565"/>
        </w:tabs>
        <w:autoSpaceDE w:val="0"/>
        <w:autoSpaceDN w:val="0"/>
        <w:adjustRightInd w:val="0"/>
        <w:snapToGrid w:val="0"/>
        <w:spacing w:line="360" w:lineRule="auto"/>
        <w:ind w:firstLine="446" w:firstLineChars="186"/>
        <w:jc w:val="left"/>
        <w:rPr>
          <w:rFonts w:ascii="宋体" w:hAnsi="宋体" w:cs="宋体"/>
          <w:kern w:val="0"/>
          <w:sz w:val="24"/>
          <w:highlight w:val="none"/>
        </w:rPr>
      </w:pPr>
      <w:r>
        <w:rPr>
          <w:rFonts w:hint="eastAsia" w:ascii="宋体" w:hAnsi="宋体" w:cs="宋体"/>
          <w:kern w:val="0"/>
          <w:sz w:val="24"/>
          <w:highlight w:val="none"/>
        </w:rPr>
        <w:t>比选响应人名称：</w:t>
      </w:r>
      <w:r>
        <w:rPr>
          <w:rFonts w:hint="eastAsia" w:ascii="宋体" w:hAnsi="宋体" w:cs="宋体"/>
          <w:kern w:val="0"/>
          <w:sz w:val="24"/>
          <w:highlight w:val="none"/>
          <w:u w:val="single"/>
        </w:rPr>
        <w:tab/>
      </w:r>
      <w:r>
        <w:rPr>
          <w:rFonts w:hint="eastAsia" w:ascii="宋体" w:hAnsi="宋体" w:cs="宋体"/>
          <w:kern w:val="0"/>
          <w:sz w:val="24"/>
          <w:highlight w:val="none"/>
          <w:u w:val="single"/>
        </w:rPr>
        <w:t xml:space="preserve">              </w:t>
      </w:r>
    </w:p>
    <w:p>
      <w:pPr>
        <w:autoSpaceDE w:val="0"/>
        <w:autoSpaceDN w:val="0"/>
        <w:adjustRightInd w:val="0"/>
        <w:snapToGrid w:val="0"/>
        <w:spacing w:line="360" w:lineRule="auto"/>
        <w:ind w:firstLine="446" w:firstLineChars="186"/>
        <w:jc w:val="left"/>
        <w:rPr>
          <w:rFonts w:ascii="宋体" w:hAnsi="宋体" w:cs="宋体"/>
          <w:kern w:val="0"/>
          <w:sz w:val="24"/>
          <w:highlight w:val="none"/>
        </w:rPr>
      </w:pPr>
    </w:p>
    <w:p>
      <w:pPr>
        <w:tabs>
          <w:tab w:val="left" w:pos="5475"/>
        </w:tabs>
        <w:autoSpaceDE w:val="0"/>
        <w:autoSpaceDN w:val="0"/>
        <w:adjustRightInd w:val="0"/>
        <w:snapToGrid w:val="0"/>
        <w:spacing w:line="360" w:lineRule="auto"/>
        <w:ind w:firstLine="446" w:firstLineChars="186"/>
        <w:jc w:val="left"/>
        <w:rPr>
          <w:rFonts w:ascii="宋体" w:hAnsi="宋体" w:cs="宋体"/>
          <w:kern w:val="0"/>
          <w:sz w:val="24"/>
          <w:highlight w:val="none"/>
        </w:rPr>
      </w:pPr>
      <w:r>
        <w:rPr>
          <w:rFonts w:hint="eastAsia" w:ascii="宋体" w:hAnsi="宋体" w:cs="宋体"/>
          <w:kern w:val="0"/>
          <w:sz w:val="24"/>
          <w:highlight w:val="none"/>
        </w:rPr>
        <w:t>单位性质：</w:t>
      </w:r>
      <w:r>
        <w:rPr>
          <w:rFonts w:hint="eastAsia" w:ascii="宋体" w:hAnsi="宋体" w:cs="宋体"/>
          <w:kern w:val="0"/>
          <w:sz w:val="24"/>
          <w:highlight w:val="none"/>
          <w:u w:val="single"/>
        </w:rPr>
        <w:tab/>
      </w:r>
      <w:r>
        <w:rPr>
          <w:rFonts w:hint="eastAsia" w:ascii="宋体" w:hAnsi="宋体" w:cs="宋体"/>
          <w:kern w:val="0"/>
          <w:sz w:val="24"/>
          <w:highlight w:val="none"/>
          <w:u w:val="single"/>
        </w:rPr>
        <w:t xml:space="preserve">               </w:t>
      </w:r>
    </w:p>
    <w:p>
      <w:pPr>
        <w:autoSpaceDE w:val="0"/>
        <w:autoSpaceDN w:val="0"/>
        <w:adjustRightInd w:val="0"/>
        <w:snapToGrid w:val="0"/>
        <w:spacing w:line="360" w:lineRule="auto"/>
        <w:ind w:firstLine="446" w:firstLineChars="186"/>
        <w:jc w:val="left"/>
        <w:rPr>
          <w:rFonts w:ascii="宋体" w:hAnsi="宋体" w:cs="宋体"/>
          <w:kern w:val="0"/>
          <w:sz w:val="24"/>
          <w:highlight w:val="none"/>
        </w:rPr>
      </w:pPr>
    </w:p>
    <w:p>
      <w:pPr>
        <w:tabs>
          <w:tab w:val="left" w:pos="5475"/>
        </w:tabs>
        <w:autoSpaceDE w:val="0"/>
        <w:autoSpaceDN w:val="0"/>
        <w:adjustRightInd w:val="0"/>
        <w:snapToGrid w:val="0"/>
        <w:spacing w:line="360" w:lineRule="auto"/>
        <w:ind w:firstLine="446" w:firstLineChars="186"/>
        <w:jc w:val="left"/>
        <w:rPr>
          <w:rFonts w:ascii="宋体" w:hAnsi="宋体" w:cs="宋体"/>
          <w:kern w:val="0"/>
          <w:sz w:val="24"/>
          <w:highlight w:val="none"/>
        </w:rPr>
      </w:pPr>
      <w:r>
        <w:rPr>
          <w:rFonts w:hint="eastAsia" w:ascii="宋体" w:hAnsi="宋体" w:cs="宋体"/>
          <w:kern w:val="0"/>
          <w:sz w:val="24"/>
          <w:highlight w:val="none"/>
        </w:rPr>
        <w:t>地址：</w:t>
      </w:r>
      <w:r>
        <w:rPr>
          <w:rFonts w:hint="eastAsia" w:ascii="宋体" w:hAnsi="宋体" w:cs="宋体"/>
          <w:kern w:val="0"/>
          <w:sz w:val="24"/>
          <w:highlight w:val="none"/>
          <w:u w:val="single"/>
        </w:rPr>
        <w:tab/>
      </w:r>
      <w:r>
        <w:rPr>
          <w:rFonts w:hint="eastAsia" w:ascii="宋体" w:hAnsi="宋体" w:cs="宋体"/>
          <w:kern w:val="0"/>
          <w:sz w:val="24"/>
          <w:highlight w:val="none"/>
          <w:u w:val="single"/>
        </w:rPr>
        <w:t xml:space="preserve">               </w:t>
      </w:r>
    </w:p>
    <w:p>
      <w:pPr>
        <w:autoSpaceDE w:val="0"/>
        <w:autoSpaceDN w:val="0"/>
        <w:adjustRightInd w:val="0"/>
        <w:snapToGrid w:val="0"/>
        <w:spacing w:line="360" w:lineRule="auto"/>
        <w:ind w:firstLine="446" w:firstLineChars="186"/>
        <w:jc w:val="left"/>
        <w:rPr>
          <w:rFonts w:ascii="宋体" w:hAnsi="宋体" w:cs="宋体"/>
          <w:kern w:val="0"/>
          <w:sz w:val="24"/>
          <w:highlight w:val="none"/>
        </w:rPr>
      </w:pPr>
    </w:p>
    <w:p>
      <w:pPr>
        <w:tabs>
          <w:tab w:val="left" w:pos="2520"/>
          <w:tab w:val="left" w:pos="3836"/>
        </w:tabs>
        <w:autoSpaceDE w:val="0"/>
        <w:autoSpaceDN w:val="0"/>
        <w:adjustRightInd w:val="0"/>
        <w:snapToGrid w:val="0"/>
        <w:spacing w:line="360" w:lineRule="auto"/>
        <w:ind w:firstLine="446" w:firstLineChars="186"/>
        <w:jc w:val="left"/>
        <w:rPr>
          <w:rFonts w:ascii="宋体" w:hAnsi="宋体" w:cs="宋体"/>
          <w:kern w:val="0"/>
          <w:sz w:val="24"/>
          <w:highlight w:val="none"/>
        </w:rPr>
      </w:pPr>
      <w:r>
        <w:rPr>
          <w:rFonts w:hint="eastAsia" w:ascii="宋体" w:hAnsi="宋体" w:cs="宋体"/>
          <w:kern w:val="0"/>
          <w:sz w:val="24"/>
          <w:highlight w:val="none"/>
        </w:rPr>
        <w:t>成立时间：</w:t>
      </w:r>
      <w:r>
        <w:rPr>
          <w:rFonts w:hint="eastAsia" w:ascii="宋体" w:hAnsi="宋体" w:cs="宋体"/>
          <w:kern w:val="0"/>
          <w:sz w:val="24"/>
          <w:highlight w:val="none"/>
          <w:u w:val="single"/>
        </w:rPr>
        <w:tab/>
      </w:r>
      <w:r>
        <w:rPr>
          <w:rFonts w:hint="eastAsia" w:ascii="宋体" w:hAnsi="宋体" w:cs="宋体"/>
          <w:kern w:val="0"/>
          <w:sz w:val="24"/>
          <w:highlight w:val="none"/>
          <w:u w:val="single"/>
        </w:rPr>
        <w:t xml:space="preserve">  </w:t>
      </w:r>
      <w:r>
        <w:rPr>
          <w:rFonts w:hint="eastAsia" w:ascii="宋体" w:hAnsi="宋体" w:cs="宋体"/>
          <w:spacing w:val="-1"/>
          <w:kern w:val="0"/>
          <w:sz w:val="24"/>
          <w:highlight w:val="none"/>
        </w:rPr>
        <w:t>年</w:t>
      </w:r>
      <w:r>
        <w:rPr>
          <w:rFonts w:hint="eastAsia" w:ascii="宋体" w:hAnsi="宋体" w:cs="宋体"/>
          <w:spacing w:val="-1"/>
          <w:kern w:val="0"/>
          <w:sz w:val="24"/>
          <w:highlight w:val="none"/>
          <w:u w:val="single"/>
        </w:rPr>
        <w:t xml:space="preserve">      </w:t>
      </w:r>
      <w:r>
        <w:rPr>
          <w:rFonts w:hint="eastAsia" w:ascii="宋体" w:hAnsi="宋体" w:cs="宋体"/>
          <w:spacing w:val="-1"/>
          <w:kern w:val="0"/>
          <w:sz w:val="24"/>
          <w:highlight w:val="none"/>
        </w:rPr>
        <w:t>月</w:t>
      </w:r>
      <w:r>
        <w:rPr>
          <w:rFonts w:hint="eastAsia" w:ascii="宋体" w:hAnsi="宋体" w:cs="宋体"/>
          <w:spacing w:val="-1"/>
          <w:kern w:val="0"/>
          <w:sz w:val="24"/>
          <w:highlight w:val="none"/>
          <w:u w:val="single"/>
        </w:rPr>
        <w:t xml:space="preserve">      </w:t>
      </w:r>
      <w:r>
        <w:rPr>
          <w:rFonts w:hint="eastAsia" w:ascii="宋体" w:hAnsi="宋体" w:cs="宋体"/>
          <w:kern w:val="0"/>
          <w:sz w:val="24"/>
          <w:highlight w:val="none"/>
        </w:rPr>
        <w:t>日</w:t>
      </w:r>
    </w:p>
    <w:p>
      <w:pPr>
        <w:autoSpaceDE w:val="0"/>
        <w:autoSpaceDN w:val="0"/>
        <w:adjustRightInd w:val="0"/>
        <w:snapToGrid w:val="0"/>
        <w:spacing w:line="360" w:lineRule="auto"/>
        <w:ind w:firstLine="446" w:firstLineChars="186"/>
        <w:jc w:val="left"/>
        <w:rPr>
          <w:rFonts w:ascii="宋体" w:hAnsi="宋体" w:cs="宋体"/>
          <w:kern w:val="0"/>
          <w:sz w:val="24"/>
          <w:highlight w:val="none"/>
        </w:rPr>
      </w:pPr>
    </w:p>
    <w:p>
      <w:pPr>
        <w:tabs>
          <w:tab w:val="left" w:pos="5475"/>
        </w:tabs>
        <w:autoSpaceDE w:val="0"/>
        <w:autoSpaceDN w:val="0"/>
        <w:adjustRightInd w:val="0"/>
        <w:snapToGrid w:val="0"/>
        <w:spacing w:line="360" w:lineRule="auto"/>
        <w:ind w:firstLine="446" w:firstLineChars="186"/>
        <w:jc w:val="left"/>
        <w:rPr>
          <w:rFonts w:ascii="宋体" w:hAnsi="宋体" w:cs="宋体"/>
          <w:kern w:val="0"/>
          <w:sz w:val="24"/>
          <w:highlight w:val="none"/>
        </w:rPr>
      </w:pPr>
      <w:r>
        <w:rPr>
          <w:rFonts w:hint="eastAsia" w:ascii="宋体" w:hAnsi="宋体" w:cs="宋体"/>
          <w:kern w:val="0"/>
          <w:sz w:val="24"/>
          <w:highlight w:val="none"/>
        </w:rPr>
        <w:t>经营期限：</w:t>
      </w:r>
      <w:r>
        <w:rPr>
          <w:rFonts w:hint="eastAsia" w:ascii="宋体" w:hAnsi="宋体" w:cs="宋体"/>
          <w:kern w:val="0"/>
          <w:sz w:val="24"/>
          <w:highlight w:val="none"/>
          <w:u w:val="single"/>
        </w:rPr>
        <w:tab/>
      </w:r>
    </w:p>
    <w:p>
      <w:pPr>
        <w:autoSpaceDE w:val="0"/>
        <w:autoSpaceDN w:val="0"/>
        <w:adjustRightInd w:val="0"/>
        <w:snapToGrid w:val="0"/>
        <w:spacing w:line="360" w:lineRule="auto"/>
        <w:ind w:firstLine="446" w:firstLineChars="186"/>
        <w:jc w:val="left"/>
        <w:rPr>
          <w:rFonts w:ascii="宋体" w:hAnsi="宋体" w:cs="宋体"/>
          <w:kern w:val="0"/>
          <w:sz w:val="24"/>
          <w:highlight w:val="none"/>
        </w:rPr>
      </w:pPr>
    </w:p>
    <w:p>
      <w:pPr>
        <w:tabs>
          <w:tab w:val="left" w:pos="1580"/>
          <w:tab w:val="left" w:pos="3260"/>
          <w:tab w:val="left" w:pos="4840"/>
          <w:tab w:val="left" w:pos="6300"/>
        </w:tabs>
        <w:autoSpaceDE w:val="0"/>
        <w:autoSpaceDN w:val="0"/>
        <w:adjustRightInd w:val="0"/>
        <w:snapToGrid w:val="0"/>
        <w:spacing w:line="360" w:lineRule="auto"/>
        <w:ind w:firstLine="446" w:firstLineChars="186"/>
        <w:jc w:val="left"/>
        <w:rPr>
          <w:rFonts w:ascii="宋体" w:hAnsi="宋体" w:cs="宋体"/>
          <w:kern w:val="0"/>
          <w:sz w:val="24"/>
          <w:highlight w:val="none"/>
        </w:rPr>
      </w:pPr>
      <w:r>
        <w:rPr>
          <w:rFonts w:hint="eastAsia" w:ascii="宋体" w:hAnsi="宋体" w:cs="宋体"/>
          <w:kern w:val="0"/>
          <w:sz w:val="24"/>
          <w:highlight w:val="none"/>
        </w:rPr>
        <w:t>姓名：</w:t>
      </w:r>
      <w:r>
        <w:rPr>
          <w:rFonts w:hint="eastAsia" w:ascii="宋体" w:hAnsi="宋体" w:cs="宋体"/>
          <w:kern w:val="0"/>
          <w:sz w:val="24"/>
          <w:highlight w:val="none"/>
          <w:u w:val="single"/>
        </w:rPr>
        <w:tab/>
      </w:r>
      <w:r>
        <w:rPr>
          <w:rFonts w:hint="eastAsia" w:ascii="宋体" w:hAnsi="宋体" w:cs="宋体"/>
          <w:kern w:val="0"/>
          <w:sz w:val="24"/>
          <w:highlight w:val="none"/>
          <w:u w:val="single"/>
        </w:rPr>
        <w:t xml:space="preserve">    </w:t>
      </w:r>
      <w:r>
        <w:rPr>
          <w:rFonts w:hint="eastAsia" w:ascii="宋体" w:hAnsi="宋体" w:cs="宋体"/>
          <w:kern w:val="0"/>
          <w:sz w:val="24"/>
          <w:highlight w:val="none"/>
        </w:rPr>
        <w:t xml:space="preserve"> 性别</w:t>
      </w:r>
      <w:r>
        <w:rPr>
          <w:rFonts w:hint="eastAsia" w:ascii="宋体" w:hAnsi="宋体" w:cs="宋体"/>
          <w:spacing w:val="-1"/>
          <w:kern w:val="0"/>
          <w:sz w:val="24"/>
          <w:highlight w:val="none"/>
        </w:rPr>
        <w:t>：</w:t>
      </w:r>
      <w:r>
        <w:rPr>
          <w:rFonts w:hint="eastAsia" w:ascii="宋体" w:hAnsi="宋体" w:cs="宋体"/>
          <w:kern w:val="0"/>
          <w:sz w:val="24"/>
          <w:highlight w:val="none"/>
          <w:u w:val="single"/>
        </w:rPr>
        <w:tab/>
      </w:r>
      <w:r>
        <w:rPr>
          <w:rFonts w:hint="eastAsia" w:ascii="宋体" w:hAnsi="宋体" w:cs="宋体"/>
          <w:kern w:val="0"/>
          <w:sz w:val="24"/>
          <w:highlight w:val="none"/>
          <w:u w:val="single"/>
        </w:rPr>
        <w:t xml:space="preserve">   </w:t>
      </w:r>
      <w:r>
        <w:rPr>
          <w:rFonts w:hint="eastAsia" w:ascii="宋体" w:hAnsi="宋体" w:cs="宋体"/>
          <w:kern w:val="0"/>
          <w:sz w:val="24"/>
          <w:highlight w:val="none"/>
        </w:rPr>
        <w:t xml:space="preserve"> </w:t>
      </w:r>
      <w:r>
        <w:rPr>
          <w:rFonts w:hint="eastAsia" w:ascii="宋体" w:hAnsi="宋体" w:cs="宋体"/>
          <w:spacing w:val="-1"/>
          <w:kern w:val="0"/>
          <w:sz w:val="24"/>
          <w:highlight w:val="none"/>
        </w:rPr>
        <w:t>年</w:t>
      </w:r>
      <w:r>
        <w:rPr>
          <w:rFonts w:hint="eastAsia" w:ascii="宋体" w:hAnsi="宋体" w:cs="宋体"/>
          <w:kern w:val="0"/>
          <w:sz w:val="24"/>
          <w:highlight w:val="none"/>
        </w:rPr>
        <w:t>龄：</w:t>
      </w:r>
      <w:r>
        <w:rPr>
          <w:rFonts w:hint="eastAsia" w:ascii="宋体" w:hAnsi="宋体" w:cs="宋体"/>
          <w:kern w:val="0"/>
          <w:sz w:val="24"/>
          <w:highlight w:val="none"/>
          <w:u w:val="single"/>
        </w:rPr>
        <w:tab/>
      </w:r>
      <w:r>
        <w:rPr>
          <w:rFonts w:hint="eastAsia" w:ascii="宋体" w:hAnsi="宋体" w:cs="宋体"/>
          <w:kern w:val="0"/>
          <w:sz w:val="24"/>
          <w:highlight w:val="none"/>
          <w:u w:val="single"/>
        </w:rPr>
        <w:t xml:space="preserve">   </w:t>
      </w:r>
      <w:r>
        <w:rPr>
          <w:rFonts w:hint="eastAsia" w:ascii="宋体" w:hAnsi="宋体" w:cs="宋体"/>
          <w:kern w:val="0"/>
          <w:sz w:val="24"/>
          <w:highlight w:val="none"/>
        </w:rPr>
        <w:t xml:space="preserve"> 职务：</w:t>
      </w:r>
      <w:r>
        <w:rPr>
          <w:rFonts w:hint="eastAsia" w:ascii="宋体" w:hAnsi="宋体" w:cs="宋体"/>
          <w:kern w:val="0"/>
          <w:sz w:val="24"/>
          <w:highlight w:val="none"/>
          <w:u w:val="single"/>
        </w:rPr>
        <w:t xml:space="preserve">    </w:t>
      </w:r>
      <w:r>
        <w:rPr>
          <w:rFonts w:hint="eastAsia" w:ascii="宋体" w:hAnsi="宋体" w:cs="宋体"/>
          <w:kern w:val="0"/>
          <w:sz w:val="24"/>
          <w:highlight w:val="none"/>
        </w:rPr>
        <w:t xml:space="preserve"> </w:t>
      </w:r>
    </w:p>
    <w:p>
      <w:pPr>
        <w:autoSpaceDE w:val="0"/>
        <w:autoSpaceDN w:val="0"/>
        <w:adjustRightInd w:val="0"/>
        <w:snapToGrid w:val="0"/>
        <w:spacing w:line="360" w:lineRule="auto"/>
        <w:ind w:firstLine="446" w:firstLineChars="186"/>
        <w:jc w:val="left"/>
        <w:rPr>
          <w:rFonts w:ascii="宋体" w:hAnsi="宋体" w:cs="宋体"/>
          <w:kern w:val="0"/>
          <w:sz w:val="24"/>
          <w:highlight w:val="none"/>
        </w:rPr>
      </w:pPr>
    </w:p>
    <w:p>
      <w:pPr>
        <w:tabs>
          <w:tab w:val="left" w:pos="3360"/>
        </w:tabs>
        <w:autoSpaceDE w:val="0"/>
        <w:autoSpaceDN w:val="0"/>
        <w:adjustRightInd w:val="0"/>
        <w:snapToGrid w:val="0"/>
        <w:spacing w:line="360" w:lineRule="auto"/>
        <w:ind w:firstLine="446" w:firstLineChars="186"/>
        <w:jc w:val="left"/>
        <w:rPr>
          <w:rFonts w:ascii="宋体" w:hAnsi="宋体" w:cs="宋体"/>
          <w:kern w:val="0"/>
          <w:sz w:val="24"/>
          <w:highlight w:val="none"/>
        </w:rPr>
      </w:pPr>
      <w:r>
        <w:rPr>
          <w:rFonts w:hint="eastAsia" w:ascii="宋体" w:hAnsi="宋体" w:cs="宋体"/>
          <w:kern w:val="0"/>
          <w:sz w:val="24"/>
          <w:highlight w:val="none"/>
        </w:rPr>
        <w:t>系</w:t>
      </w:r>
      <w:r>
        <w:rPr>
          <w:rFonts w:hint="eastAsia" w:ascii="宋体" w:hAnsi="宋体" w:cs="宋体"/>
          <w:kern w:val="0"/>
          <w:sz w:val="24"/>
          <w:highlight w:val="none"/>
          <w:u w:val="single"/>
        </w:rPr>
        <w:tab/>
      </w:r>
      <w:r>
        <w:rPr>
          <w:rFonts w:hint="eastAsia" w:ascii="宋体" w:hAnsi="宋体" w:cs="宋体"/>
          <w:kern w:val="0"/>
          <w:sz w:val="24"/>
          <w:highlight w:val="none"/>
        </w:rPr>
        <w:t>（比选人名称）的法定代表人。</w:t>
      </w:r>
    </w:p>
    <w:p>
      <w:pPr>
        <w:autoSpaceDE w:val="0"/>
        <w:autoSpaceDN w:val="0"/>
        <w:adjustRightInd w:val="0"/>
        <w:snapToGrid w:val="0"/>
        <w:spacing w:line="360" w:lineRule="auto"/>
        <w:ind w:firstLine="446" w:firstLineChars="186"/>
        <w:jc w:val="left"/>
        <w:rPr>
          <w:rFonts w:ascii="宋体" w:hAnsi="宋体" w:cs="宋体"/>
          <w:kern w:val="0"/>
          <w:sz w:val="24"/>
          <w:highlight w:val="none"/>
        </w:rPr>
      </w:pPr>
    </w:p>
    <w:p>
      <w:pPr>
        <w:autoSpaceDE w:val="0"/>
        <w:autoSpaceDN w:val="0"/>
        <w:adjustRightInd w:val="0"/>
        <w:snapToGrid w:val="0"/>
        <w:spacing w:line="360" w:lineRule="auto"/>
        <w:ind w:firstLine="926" w:firstLineChars="386"/>
        <w:jc w:val="left"/>
        <w:rPr>
          <w:rFonts w:ascii="宋体" w:hAnsi="宋体" w:cs="宋体"/>
          <w:kern w:val="0"/>
          <w:sz w:val="24"/>
          <w:highlight w:val="none"/>
        </w:rPr>
      </w:pPr>
      <w:r>
        <w:rPr>
          <w:rFonts w:hint="eastAsia" w:ascii="宋体" w:hAnsi="宋体" w:cs="宋体"/>
          <w:kern w:val="0"/>
          <w:sz w:val="24"/>
          <w:highlight w:val="none"/>
        </w:rPr>
        <w:t>特此证明。</w:t>
      </w:r>
    </w:p>
    <w:p>
      <w:pPr>
        <w:autoSpaceDE w:val="0"/>
        <w:autoSpaceDN w:val="0"/>
        <w:adjustRightInd w:val="0"/>
        <w:snapToGrid w:val="0"/>
        <w:spacing w:line="360" w:lineRule="auto"/>
        <w:jc w:val="left"/>
        <w:rPr>
          <w:rFonts w:ascii="宋体" w:hAnsi="宋体" w:cs="宋体"/>
          <w:kern w:val="0"/>
          <w:sz w:val="24"/>
          <w:highlight w:val="none"/>
        </w:rPr>
      </w:pPr>
    </w:p>
    <w:p>
      <w:pPr>
        <w:autoSpaceDE w:val="0"/>
        <w:autoSpaceDN w:val="0"/>
        <w:adjustRightInd w:val="0"/>
        <w:snapToGrid w:val="0"/>
        <w:spacing w:line="360" w:lineRule="auto"/>
        <w:jc w:val="left"/>
        <w:rPr>
          <w:rFonts w:ascii="宋体" w:hAnsi="宋体" w:cs="宋体"/>
          <w:kern w:val="0"/>
          <w:sz w:val="24"/>
          <w:highlight w:val="none"/>
        </w:rPr>
      </w:pPr>
    </w:p>
    <w:p>
      <w:pPr>
        <w:autoSpaceDE w:val="0"/>
        <w:autoSpaceDN w:val="0"/>
        <w:adjustRightInd w:val="0"/>
        <w:snapToGrid w:val="0"/>
        <w:spacing w:line="360" w:lineRule="auto"/>
        <w:jc w:val="left"/>
        <w:rPr>
          <w:rFonts w:ascii="宋体" w:hAnsi="宋体" w:cs="宋体"/>
          <w:kern w:val="0"/>
          <w:sz w:val="24"/>
          <w:highlight w:val="none"/>
        </w:rPr>
      </w:pPr>
    </w:p>
    <w:p>
      <w:pPr>
        <w:tabs>
          <w:tab w:val="left" w:pos="5460"/>
        </w:tabs>
        <w:autoSpaceDE w:val="0"/>
        <w:autoSpaceDN w:val="0"/>
        <w:adjustRightInd w:val="0"/>
        <w:snapToGrid w:val="0"/>
        <w:spacing w:line="360" w:lineRule="auto"/>
        <w:ind w:firstLine="2880" w:firstLineChars="1200"/>
        <w:jc w:val="left"/>
        <w:rPr>
          <w:rFonts w:ascii="宋体" w:hAnsi="宋体" w:cs="宋体"/>
          <w:kern w:val="0"/>
          <w:sz w:val="24"/>
          <w:highlight w:val="none"/>
        </w:rPr>
      </w:pPr>
      <w:r>
        <w:rPr>
          <w:rFonts w:hint="eastAsia" w:ascii="宋体" w:hAnsi="宋体" w:cs="宋体"/>
          <w:kern w:val="0"/>
          <w:sz w:val="24"/>
          <w:highlight w:val="none"/>
        </w:rPr>
        <w:t>比选</w:t>
      </w:r>
      <w:r>
        <w:rPr>
          <w:rFonts w:hint="eastAsia" w:ascii="宋体" w:hAnsi="宋体" w:cs="宋体"/>
          <w:spacing w:val="-1"/>
          <w:kern w:val="0"/>
          <w:sz w:val="24"/>
          <w:highlight w:val="none"/>
        </w:rPr>
        <w:t>人</w:t>
      </w:r>
      <w:r>
        <w:rPr>
          <w:rFonts w:hint="eastAsia" w:ascii="宋体" w:hAnsi="宋体" w:cs="宋体"/>
          <w:kern w:val="0"/>
          <w:sz w:val="24"/>
          <w:highlight w:val="none"/>
        </w:rPr>
        <w:t>：</w:t>
      </w:r>
      <w:r>
        <w:rPr>
          <w:rFonts w:hint="eastAsia" w:ascii="宋体" w:hAnsi="宋体" w:cs="宋体"/>
          <w:kern w:val="0"/>
          <w:sz w:val="24"/>
          <w:highlight w:val="none"/>
          <w:u w:val="single"/>
        </w:rPr>
        <w:tab/>
      </w:r>
      <w:r>
        <w:rPr>
          <w:rFonts w:hint="eastAsia" w:ascii="宋体" w:hAnsi="宋体" w:cs="宋体"/>
          <w:kern w:val="0"/>
          <w:sz w:val="24"/>
          <w:highlight w:val="none"/>
          <w:u w:val="single"/>
        </w:rPr>
        <w:t xml:space="preserve">  </w:t>
      </w:r>
      <w:r>
        <w:rPr>
          <w:rFonts w:hint="eastAsia" w:ascii="宋体" w:hAnsi="宋体" w:cs="宋体"/>
          <w:spacing w:val="-1"/>
          <w:kern w:val="0"/>
          <w:sz w:val="24"/>
          <w:highlight w:val="none"/>
        </w:rPr>
        <w:t>（</w:t>
      </w:r>
      <w:r>
        <w:rPr>
          <w:rFonts w:hint="eastAsia" w:ascii="宋体" w:hAnsi="宋体" w:cs="宋体"/>
          <w:kern w:val="0"/>
          <w:sz w:val="24"/>
          <w:highlight w:val="none"/>
        </w:rPr>
        <w:t>盖单位公章）</w:t>
      </w:r>
    </w:p>
    <w:p>
      <w:pPr>
        <w:autoSpaceDE w:val="0"/>
        <w:autoSpaceDN w:val="0"/>
        <w:adjustRightInd w:val="0"/>
        <w:snapToGrid w:val="0"/>
        <w:spacing w:line="360" w:lineRule="auto"/>
        <w:jc w:val="left"/>
        <w:rPr>
          <w:rFonts w:ascii="宋体" w:hAnsi="宋体" w:cs="宋体"/>
          <w:kern w:val="0"/>
          <w:sz w:val="24"/>
          <w:highlight w:val="none"/>
        </w:rPr>
      </w:pPr>
    </w:p>
    <w:p>
      <w:pPr>
        <w:tabs>
          <w:tab w:val="left" w:pos="4935"/>
          <w:tab w:val="left" w:pos="5460"/>
          <w:tab w:val="left" w:pos="6400"/>
        </w:tabs>
        <w:autoSpaceDE w:val="0"/>
        <w:autoSpaceDN w:val="0"/>
        <w:adjustRightInd w:val="0"/>
        <w:snapToGrid w:val="0"/>
        <w:spacing w:line="360" w:lineRule="auto"/>
        <w:ind w:firstLine="3808" w:firstLineChars="1600"/>
        <w:jc w:val="left"/>
        <w:rPr>
          <w:rFonts w:ascii="宋体" w:hAnsi="宋体" w:cs="宋体"/>
          <w:kern w:val="0"/>
          <w:sz w:val="24"/>
          <w:highlight w:val="none"/>
        </w:rPr>
      </w:pPr>
      <w:r>
        <w:rPr>
          <w:rFonts w:hint="eastAsia" w:ascii="宋体" w:hAnsi="宋体" w:cs="宋体"/>
          <w:spacing w:val="-1"/>
          <w:kern w:val="0"/>
          <w:sz w:val="24"/>
          <w:highlight w:val="none"/>
          <w:u w:val="single"/>
        </w:rPr>
        <w:t xml:space="preserve">     </w:t>
      </w:r>
      <w:r>
        <w:rPr>
          <w:rFonts w:hint="eastAsia" w:ascii="宋体" w:hAnsi="宋体" w:cs="宋体"/>
          <w:spacing w:val="-1"/>
          <w:kern w:val="0"/>
          <w:sz w:val="24"/>
          <w:highlight w:val="none"/>
        </w:rPr>
        <w:t>年</w:t>
      </w:r>
      <w:r>
        <w:rPr>
          <w:rFonts w:hint="eastAsia" w:ascii="宋体" w:hAnsi="宋体" w:cs="宋体"/>
          <w:spacing w:val="-1"/>
          <w:kern w:val="0"/>
          <w:sz w:val="24"/>
          <w:highlight w:val="none"/>
          <w:u w:val="single"/>
        </w:rPr>
        <w:t xml:space="preserve">    </w:t>
      </w:r>
      <w:r>
        <w:rPr>
          <w:rFonts w:hint="eastAsia" w:ascii="宋体" w:hAnsi="宋体" w:cs="宋体"/>
          <w:kern w:val="0"/>
          <w:sz w:val="24"/>
          <w:highlight w:val="none"/>
        </w:rPr>
        <w:t>月</w:t>
      </w:r>
      <w:r>
        <w:rPr>
          <w:rFonts w:hint="eastAsia" w:ascii="宋体" w:hAnsi="宋体" w:cs="宋体"/>
          <w:kern w:val="0"/>
          <w:sz w:val="24"/>
          <w:highlight w:val="none"/>
          <w:u w:val="single"/>
        </w:rPr>
        <w:t xml:space="preserve">    </w:t>
      </w:r>
      <w:r>
        <w:rPr>
          <w:rFonts w:hint="eastAsia" w:ascii="宋体" w:hAnsi="宋体" w:cs="宋体"/>
          <w:kern w:val="0"/>
          <w:sz w:val="24"/>
          <w:highlight w:val="none"/>
        </w:rPr>
        <w:t>日</w:t>
      </w:r>
    </w:p>
    <w:p>
      <w:pPr>
        <w:spacing w:line="360" w:lineRule="auto"/>
        <w:rPr>
          <w:rFonts w:ascii="宋体" w:hAnsi="宋体" w:cs="宋体"/>
          <w:b/>
          <w:bCs/>
          <w:sz w:val="24"/>
          <w:highlight w:val="none"/>
        </w:rPr>
      </w:pPr>
      <w:r>
        <w:rPr>
          <w:rFonts w:hint="eastAsia" w:ascii="宋体" w:hAnsi="宋体" w:cs="宋体"/>
          <w:b/>
          <w:bCs/>
          <w:kern w:val="0"/>
          <w:sz w:val="24"/>
          <w:highlight w:val="none"/>
        </w:rPr>
        <w:t>附法定代表人身份证复印件</w:t>
      </w:r>
    </w:p>
    <w:p>
      <w:pPr>
        <w:snapToGrid w:val="0"/>
        <w:spacing w:line="360" w:lineRule="auto"/>
        <w:rPr>
          <w:rFonts w:ascii="宋体" w:hAnsi="宋体" w:cs="宋体"/>
          <w:b/>
          <w:bCs/>
          <w:sz w:val="24"/>
          <w:highlight w:val="none"/>
        </w:rPr>
      </w:pPr>
    </w:p>
    <w:p>
      <w:pPr>
        <w:pStyle w:val="3"/>
        <w:spacing w:before="0" w:after="0" w:line="360" w:lineRule="auto"/>
        <w:rPr>
          <w:rFonts w:hint="eastAsia"/>
          <w:sz w:val="24"/>
          <w:szCs w:val="24"/>
          <w:highlight w:val="none"/>
        </w:rPr>
      </w:pPr>
    </w:p>
    <w:p>
      <w:pPr>
        <w:pStyle w:val="3"/>
        <w:spacing w:before="0" w:after="0" w:line="360" w:lineRule="auto"/>
        <w:rPr>
          <w:sz w:val="24"/>
          <w:szCs w:val="24"/>
          <w:highlight w:val="none"/>
        </w:rPr>
      </w:pPr>
      <w:r>
        <w:rPr>
          <w:rFonts w:hint="eastAsia"/>
          <w:sz w:val="24"/>
          <w:szCs w:val="24"/>
          <w:highlight w:val="none"/>
        </w:rPr>
        <w:t>附件4：法定代表人授权书</w:t>
      </w:r>
    </w:p>
    <w:p>
      <w:pPr>
        <w:spacing w:line="360" w:lineRule="auto"/>
        <w:jc w:val="center"/>
        <w:rPr>
          <w:rFonts w:ascii="宋体" w:hAnsi="宋体" w:cs="宋体"/>
          <w:b/>
          <w:sz w:val="24"/>
          <w:highlight w:val="none"/>
        </w:rPr>
      </w:pPr>
      <w:r>
        <w:rPr>
          <w:rFonts w:hint="eastAsia" w:ascii="宋体" w:hAnsi="宋体" w:cs="宋体"/>
          <w:b/>
          <w:sz w:val="24"/>
          <w:highlight w:val="none"/>
        </w:rPr>
        <w:t>法定代表人授权书</w:t>
      </w:r>
    </w:p>
    <w:p>
      <w:pPr>
        <w:spacing w:line="360" w:lineRule="auto"/>
        <w:ind w:right="-694"/>
        <w:rPr>
          <w:rFonts w:ascii="宋体" w:hAnsi="宋体" w:cs="宋体"/>
          <w:sz w:val="24"/>
          <w:highlight w:val="none"/>
        </w:rPr>
      </w:pPr>
    </w:p>
    <w:p>
      <w:pPr>
        <w:spacing w:line="360" w:lineRule="auto"/>
        <w:ind w:firstLine="600" w:firstLineChars="250"/>
        <w:rPr>
          <w:rFonts w:ascii="宋体" w:hAnsi="宋体" w:cs="宋体"/>
          <w:sz w:val="24"/>
          <w:highlight w:val="none"/>
        </w:rPr>
      </w:pPr>
      <w:r>
        <w:rPr>
          <w:rFonts w:hint="eastAsia" w:ascii="宋体" w:hAnsi="宋体" w:cs="宋体"/>
          <w:sz w:val="24"/>
          <w:highlight w:val="none"/>
        </w:rPr>
        <w:t>本授权书申明___________________________（公司注册地点）______________(公司名称)__________(职务)________(法人代表)，现授权本公司_________________(公司名称)__________(职务)________(姓名)为正式的合法代理人，并授权该代理人在_________________（项目名称）的比选活动中，以我单位的名义签署比选响应文件，与业主协商、签定合同协议书以及执行一切与此有关的事务。</w:t>
      </w:r>
    </w:p>
    <w:p>
      <w:pPr>
        <w:spacing w:line="360" w:lineRule="auto"/>
        <w:rPr>
          <w:rFonts w:ascii="宋体" w:hAnsi="宋体" w:cs="宋体"/>
          <w:sz w:val="24"/>
          <w:highlight w:val="none"/>
        </w:rPr>
      </w:pPr>
    </w:p>
    <w:p>
      <w:pPr>
        <w:spacing w:line="360" w:lineRule="auto"/>
        <w:jc w:val="right"/>
        <w:rPr>
          <w:rFonts w:ascii="宋体" w:hAnsi="宋体" w:cs="宋体"/>
          <w:sz w:val="24"/>
          <w:highlight w:val="none"/>
        </w:rPr>
      </w:pPr>
      <w:r>
        <w:rPr>
          <w:rFonts w:hint="eastAsia" w:ascii="宋体" w:hAnsi="宋体" w:cs="宋体"/>
          <w:sz w:val="24"/>
          <w:highlight w:val="none"/>
        </w:rPr>
        <w:t>比选响应单位：____________（盖章）</w:t>
      </w:r>
    </w:p>
    <w:p>
      <w:pPr>
        <w:spacing w:line="360" w:lineRule="auto"/>
        <w:jc w:val="right"/>
        <w:rPr>
          <w:rFonts w:ascii="宋体" w:hAnsi="宋体" w:cs="宋体"/>
          <w:sz w:val="24"/>
          <w:highlight w:val="none"/>
        </w:rPr>
      </w:pPr>
    </w:p>
    <w:p>
      <w:pPr>
        <w:spacing w:line="360" w:lineRule="auto"/>
        <w:jc w:val="right"/>
        <w:rPr>
          <w:rFonts w:ascii="宋体" w:hAnsi="宋体" w:cs="宋体"/>
          <w:sz w:val="24"/>
          <w:highlight w:val="none"/>
        </w:rPr>
      </w:pPr>
      <w:r>
        <w:rPr>
          <w:rFonts w:hint="eastAsia" w:ascii="宋体" w:hAnsi="宋体" w:cs="宋体"/>
          <w:sz w:val="24"/>
          <w:highlight w:val="none"/>
        </w:rPr>
        <w:t>授权人：____________（签章）</w:t>
      </w:r>
    </w:p>
    <w:p>
      <w:pPr>
        <w:spacing w:line="360" w:lineRule="auto"/>
        <w:jc w:val="right"/>
        <w:rPr>
          <w:rFonts w:ascii="宋体" w:hAnsi="宋体" w:cs="宋体"/>
          <w:sz w:val="24"/>
          <w:highlight w:val="none"/>
        </w:rPr>
      </w:pPr>
    </w:p>
    <w:p>
      <w:pPr>
        <w:spacing w:line="360" w:lineRule="auto"/>
        <w:jc w:val="right"/>
        <w:rPr>
          <w:rFonts w:ascii="宋体" w:hAnsi="宋体" w:cs="宋体"/>
          <w:sz w:val="24"/>
          <w:highlight w:val="none"/>
        </w:rPr>
      </w:pPr>
      <w:r>
        <w:rPr>
          <w:rFonts w:hint="eastAsia" w:ascii="宋体" w:hAnsi="宋体" w:cs="宋体"/>
          <w:sz w:val="24"/>
          <w:highlight w:val="none"/>
        </w:rPr>
        <w:t>被授权人代理人：____________（签章）</w:t>
      </w:r>
    </w:p>
    <w:p>
      <w:pPr>
        <w:spacing w:line="360" w:lineRule="auto"/>
        <w:jc w:val="right"/>
        <w:rPr>
          <w:rFonts w:ascii="宋体" w:hAnsi="宋体" w:cs="宋体"/>
          <w:sz w:val="24"/>
          <w:highlight w:val="none"/>
        </w:rPr>
      </w:pPr>
    </w:p>
    <w:p>
      <w:pPr>
        <w:spacing w:line="360" w:lineRule="auto"/>
        <w:jc w:val="right"/>
        <w:rPr>
          <w:rFonts w:ascii="宋体" w:hAnsi="宋体" w:cs="宋体"/>
          <w:sz w:val="24"/>
          <w:highlight w:val="none"/>
        </w:rPr>
      </w:pPr>
      <w:r>
        <w:rPr>
          <w:rFonts w:hint="eastAsia" w:ascii="宋体" w:hAnsi="宋体" w:cs="宋体"/>
          <w:sz w:val="24"/>
          <w:highlight w:val="none"/>
        </w:rPr>
        <w:t>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pPr>
        <w:spacing w:line="360" w:lineRule="auto"/>
        <w:rPr>
          <w:rFonts w:ascii="宋体" w:hAnsi="宋体" w:cs="宋体"/>
          <w:sz w:val="24"/>
          <w:highlight w:val="none"/>
        </w:rPr>
      </w:pPr>
    </w:p>
    <w:p>
      <w:pPr>
        <w:snapToGrid w:val="0"/>
        <w:spacing w:line="360" w:lineRule="auto"/>
        <w:rPr>
          <w:rFonts w:ascii="宋体" w:hAnsi="宋体" w:cs="宋体"/>
          <w:b/>
          <w:sz w:val="24"/>
          <w:highlight w:val="none"/>
        </w:rPr>
      </w:pPr>
      <w:r>
        <w:rPr>
          <w:rFonts w:hint="eastAsia" w:ascii="宋体" w:hAnsi="宋体" w:cs="宋体"/>
          <w:b/>
          <w:bCs/>
          <w:sz w:val="24"/>
          <w:highlight w:val="none"/>
        </w:rPr>
        <w:t>附被授权人代理人身份证复印件</w:t>
      </w: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E23E9BB-BE62-456C-8598-80759B585A37}"/>
  </w:font>
  <w:font w:name="Arial">
    <w:panose1 w:val="020B0604020202020204"/>
    <w:charset w:val="01"/>
    <w:family w:val="swiss"/>
    <w:pitch w:val="default"/>
    <w:sig w:usb0="E0002AFF" w:usb1="C0007843" w:usb2="00000009" w:usb3="00000000" w:csb0="400001FF" w:csb1="FFFF0000"/>
    <w:embedRegular r:id="rId2" w:fontKey="{1724621A-05F3-44F4-BDE8-5C7B3B1A053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547E0BFF-1FC7-4FD4-AFD5-416C5ECF6387}"/>
  </w:font>
  <w:font w:name="Symbol">
    <w:panose1 w:val="05050102010706020507"/>
    <w:charset w:val="02"/>
    <w:family w:val="roman"/>
    <w:pitch w:val="default"/>
    <w:sig w:usb0="00000000" w:usb1="00000000" w:usb2="00000000" w:usb3="00000000" w:csb0="80000000" w:csb1="00000000"/>
    <w:embedRegular r:id="rId4" w:fontKey="{AB7F3690-62CC-46A1-A4D1-2B040D4B9DB2}"/>
  </w:font>
  <w:font w:name="Calibri">
    <w:panose1 w:val="020F0502020204030204"/>
    <w:charset w:val="00"/>
    <w:family w:val="swiss"/>
    <w:pitch w:val="default"/>
    <w:sig w:usb0="E00002FF" w:usb1="4000ACFF" w:usb2="00000001" w:usb3="00000000" w:csb0="2000019F" w:csb1="00000000"/>
    <w:embedRegular r:id="rId5" w:fontKey="{21CB333E-05FA-42AB-9763-7DD31581430D}"/>
  </w:font>
  <w:font w:name="Cambria">
    <w:panose1 w:val="02040503050406030204"/>
    <w:charset w:val="00"/>
    <w:family w:val="roman"/>
    <w:pitch w:val="default"/>
    <w:sig w:usb0="E00002FF" w:usb1="400004FF" w:usb2="00000000" w:usb3="00000000" w:csb0="2000019F" w:csb1="00000000"/>
    <w:embedRegular r:id="rId6" w:fontKey="{20810843-09CD-45E0-9E03-66E93E98772D}"/>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7" w:fontKey="{035126B7-8C15-4274-8B5D-AD9B270835DB}"/>
  </w:font>
  <w:font w:name="幼圆">
    <w:altName w:val="宋体"/>
    <w:panose1 w:val="0201050906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 PAGE   \* MERGEFORMAT </w:instrText>
    </w:r>
    <w:r>
      <w:fldChar w:fldCharType="separate"/>
    </w:r>
    <w:r>
      <w:rPr>
        <w:lang w:val="zh-CN"/>
      </w:rPr>
      <w:t>2</w:t>
    </w:r>
    <w:r>
      <w:rPr>
        <w:lang w:val="zh-CN"/>
      </w:rPr>
      <w:fldChar w:fldCharType="end"/>
    </w:r>
  </w:p>
  <w:p>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0D4249"/>
    <w:multiLevelType w:val="singleLevel"/>
    <w:tmpl w:val="DA0D4249"/>
    <w:lvl w:ilvl="0" w:tentative="0">
      <w:start w:val="8"/>
      <w:numFmt w:val="chineseCounting"/>
      <w:suff w:val="nothing"/>
      <w:lvlText w:val="%1、"/>
      <w:lvlJc w:val="left"/>
      <w:rPr>
        <w:rFonts w:hint="eastAsia"/>
      </w:rPr>
    </w:lvl>
  </w:abstractNum>
  <w:abstractNum w:abstractNumId="1">
    <w:nsid w:val="06466661"/>
    <w:multiLevelType w:val="multilevel"/>
    <w:tmpl w:val="06466661"/>
    <w:lvl w:ilvl="0" w:tentative="0">
      <w:start w:val="1"/>
      <w:numFmt w:val="chineseCountingThousand"/>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04315DD"/>
    <w:multiLevelType w:val="multilevel"/>
    <w:tmpl w:val="404315DD"/>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4595173D"/>
    <w:multiLevelType w:val="multilevel"/>
    <w:tmpl w:val="4595173D"/>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19"/>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9FA"/>
    <w:rsid w:val="0000097F"/>
    <w:rsid w:val="00005333"/>
    <w:rsid w:val="00006788"/>
    <w:rsid w:val="00006904"/>
    <w:rsid w:val="000157B5"/>
    <w:rsid w:val="00017CC8"/>
    <w:rsid w:val="0002289E"/>
    <w:rsid w:val="00023008"/>
    <w:rsid w:val="00025AEC"/>
    <w:rsid w:val="000265C7"/>
    <w:rsid w:val="00031BB8"/>
    <w:rsid w:val="00032715"/>
    <w:rsid w:val="00035345"/>
    <w:rsid w:val="000371A2"/>
    <w:rsid w:val="00044BB6"/>
    <w:rsid w:val="00050D62"/>
    <w:rsid w:val="0005249A"/>
    <w:rsid w:val="0005588C"/>
    <w:rsid w:val="00056869"/>
    <w:rsid w:val="000611DA"/>
    <w:rsid w:val="000631F6"/>
    <w:rsid w:val="00063CCA"/>
    <w:rsid w:val="00073A28"/>
    <w:rsid w:val="000740F0"/>
    <w:rsid w:val="00076511"/>
    <w:rsid w:val="000825D0"/>
    <w:rsid w:val="00084B6F"/>
    <w:rsid w:val="000A2074"/>
    <w:rsid w:val="000A3B23"/>
    <w:rsid w:val="000B269B"/>
    <w:rsid w:val="000B4109"/>
    <w:rsid w:val="000B753E"/>
    <w:rsid w:val="000B7659"/>
    <w:rsid w:val="000C02DD"/>
    <w:rsid w:val="000D521A"/>
    <w:rsid w:val="000E2F2F"/>
    <w:rsid w:val="000E5E1E"/>
    <w:rsid w:val="000F3310"/>
    <w:rsid w:val="000F4E07"/>
    <w:rsid w:val="00103882"/>
    <w:rsid w:val="00106342"/>
    <w:rsid w:val="00106E21"/>
    <w:rsid w:val="0012414C"/>
    <w:rsid w:val="00126337"/>
    <w:rsid w:val="0013184B"/>
    <w:rsid w:val="00140784"/>
    <w:rsid w:val="00146445"/>
    <w:rsid w:val="00147C4E"/>
    <w:rsid w:val="001505AE"/>
    <w:rsid w:val="00150869"/>
    <w:rsid w:val="001559E7"/>
    <w:rsid w:val="00163E7C"/>
    <w:rsid w:val="00173CDA"/>
    <w:rsid w:val="00180D31"/>
    <w:rsid w:val="00181249"/>
    <w:rsid w:val="00182F1E"/>
    <w:rsid w:val="001849E2"/>
    <w:rsid w:val="0018716E"/>
    <w:rsid w:val="0018776C"/>
    <w:rsid w:val="0019019A"/>
    <w:rsid w:val="00192AF6"/>
    <w:rsid w:val="00195265"/>
    <w:rsid w:val="00196FD2"/>
    <w:rsid w:val="001C452E"/>
    <w:rsid w:val="001C7E96"/>
    <w:rsid w:val="001D0060"/>
    <w:rsid w:val="001E04F7"/>
    <w:rsid w:val="001E0DD3"/>
    <w:rsid w:val="001E26A4"/>
    <w:rsid w:val="001E7E92"/>
    <w:rsid w:val="001F2E0C"/>
    <w:rsid w:val="001F3DD8"/>
    <w:rsid w:val="001F52E9"/>
    <w:rsid w:val="00202EEA"/>
    <w:rsid w:val="00204169"/>
    <w:rsid w:val="002111D0"/>
    <w:rsid w:val="002146E5"/>
    <w:rsid w:val="002170C0"/>
    <w:rsid w:val="00223328"/>
    <w:rsid w:val="00224DEB"/>
    <w:rsid w:val="00230435"/>
    <w:rsid w:val="002334E4"/>
    <w:rsid w:val="002362BD"/>
    <w:rsid w:val="002369A5"/>
    <w:rsid w:val="002468C1"/>
    <w:rsid w:val="0026392D"/>
    <w:rsid w:val="00264544"/>
    <w:rsid w:val="00266533"/>
    <w:rsid w:val="0028006E"/>
    <w:rsid w:val="002834F6"/>
    <w:rsid w:val="00286536"/>
    <w:rsid w:val="00287E0A"/>
    <w:rsid w:val="00295527"/>
    <w:rsid w:val="002B75E8"/>
    <w:rsid w:val="002C46DA"/>
    <w:rsid w:val="002C52F9"/>
    <w:rsid w:val="002D6F8E"/>
    <w:rsid w:val="002E5FDE"/>
    <w:rsid w:val="002E7DFF"/>
    <w:rsid w:val="002F5A5B"/>
    <w:rsid w:val="002F6E00"/>
    <w:rsid w:val="002F7CA1"/>
    <w:rsid w:val="002F7F31"/>
    <w:rsid w:val="00300C2A"/>
    <w:rsid w:val="003035D6"/>
    <w:rsid w:val="00306DDC"/>
    <w:rsid w:val="00311324"/>
    <w:rsid w:val="00317034"/>
    <w:rsid w:val="00332BF8"/>
    <w:rsid w:val="00333793"/>
    <w:rsid w:val="00333BD0"/>
    <w:rsid w:val="00340E6F"/>
    <w:rsid w:val="0034710B"/>
    <w:rsid w:val="00347BDE"/>
    <w:rsid w:val="00351066"/>
    <w:rsid w:val="003534A4"/>
    <w:rsid w:val="00357C50"/>
    <w:rsid w:val="00367054"/>
    <w:rsid w:val="00370602"/>
    <w:rsid w:val="00371638"/>
    <w:rsid w:val="003723A5"/>
    <w:rsid w:val="003840CF"/>
    <w:rsid w:val="00391B61"/>
    <w:rsid w:val="00392422"/>
    <w:rsid w:val="0039415B"/>
    <w:rsid w:val="00396376"/>
    <w:rsid w:val="003A2048"/>
    <w:rsid w:val="003A228A"/>
    <w:rsid w:val="003A2974"/>
    <w:rsid w:val="003A4373"/>
    <w:rsid w:val="003B3EA4"/>
    <w:rsid w:val="003B7133"/>
    <w:rsid w:val="003B79B9"/>
    <w:rsid w:val="003C7185"/>
    <w:rsid w:val="003D6803"/>
    <w:rsid w:val="003E0179"/>
    <w:rsid w:val="003E074E"/>
    <w:rsid w:val="003F167C"/>
    <w:rsid w:val="003F78CE"/>
    <w:rsid w:val="00413E38"/>
    <w:rsid w:val="00420115"/>
    <w:rsid w:val="00422256"/>
    <w:rsid w:val="00422C70"/>
    <w:rsid w:val="00424AC5"/>
    <w:rsid w:val="00425623"/>
    <w:rsid w:val="00425B77"/>
    <w:rsid w:val="0042735B"/>
    <w:rsid w:val="00441244"/>
    <w:rsid w:val="00445377"/>
    <w:rsid w:val="00445824"/>
    <w:rsid w:val="00452541"/>
    <w:rsid w:val="00453F3C"/>
    <w:rsid w:val="00455CFC"/>
    <w:rsid w:val="004655F4"/>
    <w:rsid w:val="00467F45"/>
    <w:rsid w:val="00485F00"/>
    <w:rsid w:val="00490CF8"/>
    <w:rsid w:val="00493AD9"/>
    <w:rsid w:val="0049584A"/>
    <w:rsid w:val="004A06D9"/>
    <w:rsid w:val="004A0C85"/>
    <w:rsid w:val="004A743B"/>
    <w:rsid w:val="004B146A"/>
    <w:rsid w:val="004B3DF7"/>
    <w:rsid w:val="004B7D2E"/>
    <w:rsid w:val="004C0973"/>
    <w:rsid w:val="004D050B"/>
    <w:rsid w:val="004D79C1"/>
    <w:rsid w:val="004E45E3"/>
    <w:rsid w:val="004F2FAB"/>
    <w:rsid w:val="004F307F"/>
    <w:rsid w:val="004F3384"/>
    <w:rsid w:val="004F3F16"/>
    <w:rsid w:val="004F6B0B"/>
    <w:rsid w:val="0052266E"/>
    <w:rsid w:val="005401B4"/>
    <w:rsid w:val="00550BF1"/>
    <w:rsid w:val="00564FC4"/>
    <w:rsid w:val="00566ECB"/>
    <w:rsid w:val="005766B4"/>
    <w:rsid w:val="0058393D"/>
    <w:rsid w:val="005863EB"/>
    <w:rsid w:val="00591811"/>
    <w:rsid w:val="005B2C03"/>
    <w:rsid w:val="005B5E40"/>
    <w:rsid w:val="005B623B"/>
    <w:rsid w:val="005B6DF6"/>
    <w:rsid w:val="005B72F8"/>
    <w:rsid w:val="005C4CBA"/>
    <w:rsid w:val="005C7814"/>
    <w:rsid w:val="005C79AE"/>
    <w:rsid w:val="005E1278"/>
    <w:rsid w:val="005E467A"/>
    <w:rsid w:val="005F4A5B"/>
    <w:rsid w:val="006011E0"/>
    <w:rsid w:val="00603388"/>
    <w:rsid w:val="006078C9"/>
    <w:rsid w:val="00610FBA"/>
    <w:rsid w:val="00622C32"/>
    <w:rsid w:val="00625FBB"/>
    <w:rsid w:val="00626931"/>
    <w:rsid w:val="00632FE8"/>
    <w:rsid w:val="006331B5"/>
    <w:rsid w:val="006352CB"/>
    <w:rsid w:val="006448B9"/>
    <w:rsid w:val="00646279"/>
    <w:rsid w:val="0064646F"/>
    <w:rsid w:val="0064740A"/>
    <w:rsid w:val="00653540"/>
    <w:rsid w:val="00654F1A"/>
    <w:rsid w:val="006603E9"/>
    <w:rsid w:val="0066283A"/>
    <w:rsid w:val="0066423D"/>
    <w:rsid w:val="0066539F"/>
    <w:rsid w:val="0066710E"/>
    <w:rsid w:val="0066722C"/>
    <w:rsid w:val="006700E0"/>
    <w:rsid w:val="0067214B"/>
    <w:rsid w:val="00672495"/>
    <w:rsid w:val="00677C64"/>
    <w:rsid w:val="00682719"/>
    <w:rsid w:val="00693C5F"/>
    <w:rsid w:val="00694CA2"/>
    <w:rsid w:val="00694E61"/>
    <w:rsid w:val="006964FC"/>
    <w:rsid w:val="006A69A2"/>
    <w:rsid w:val="006B4B68"/>
    <w:rsid w:val="006B5EB3"/>
    <w:rsid w:val="006B78A8"/>
    <w:rsid w:val="006C49D1"/>
    <w:rsid w:val="006E0BFC"/>
    <w:rsid w:val="006E22B0"/>
    <w:rsid w:val="006E55F4"/>
    <w:rsid w:val="006E7700"/>
    <w:rsid w:val="006E7EC8"/>
    <w:rsid w:val="006F0D23"/>
    <w:rsid w:val="00701961"/>
    <w:rsid w:val="0070395B"/>
    <w:rsid w:val="007118BA"/>
    <w:rsid w:val="00722EF1"/>
    <w:rsid w:val="00723810"/>
    <w:rsid w:val="00726FDA"/>
    <w:rsid w:val="00736352"/>
    <w:rsid w:val="007540E5"/>
    <w:rsid w:val="007544BD"/>
    <w:rsid w:val="007563D2"/>
    <w:rsid w:val="00757BC9"/>
    <w:rsid w:val="00760A24"/>
    <w:rsid w:val="0076301C"/>
    <w:rsid w:val="0076322A"/>
    <w:rsid w:val="00766B00"/>
    <w:rsid w:val="0077011C"/>
    <w:rsid w:val="0078149A"/>
    <w:rsid w:val="00783017"/>
    <w:rsid w:val="00783450"/>
    <w:rsid w:val="007872F8"/>
    <w:rsid w:val="00790155"/>
    <w:rsid w:val="007950D5"/>
    <w:rsid w:val="007A23F4"/>
    <w:rsid w:val="007A25BA"/>
    <w:rsid w:val="007B21E1"/>
    <w:rsid w:val="007C1F70"/>
    <w:rsid w:val="007E0D23"/>
    <w:rsid w:val="007E19FA"/>
    <w:rsid w:val="007E4029"/>
    <w:rsid w:val="007F0083"/>
    <w:rsid w:val="007F7223"/>
    <w:rsid w:val="008137A3"/>
    <w:rsid w:val="0081544B"/>
    <w:rsid w:val="008220FD"/>
    <w:rsid w:val="00833172"/>
    <w:rsid w:val="00835B1F"/>
    <w:rsid w:val="008602A9"/>
    <w:rsid w:val="0086679C"/>
    <w:rsid w:val="008760AC"/>
    <w:rsid w:val="008800A8"/>
    <w:rsid w:val="00883BBC"/>
    <w:rsid w:val="00883E00"/>
    <w:rsid w:val="00886158"/>
    <w:rsid w:val="00886894"/>
    <w:rsid w:val="008903C7"/>
    <w:rsid w:val="008913B8"/>
    <w:rsid w:val="00892377"/>
    <w:rsid w:val="008A0078"/>
    <w:rsid w:val="008B073C"/>
    <w:rsid w:val="008B5D37"/>
    <w:rsid w:val="008C5EA9"/>
    <w:rsid w:val="008C647F"/>
    <w:rsid w:val="008C74BC"/>
    <w:rsid w:val="008D0B73"/>
    <w:rsid w:val="008E2C9F"/>
    <w:rsid w:val="008F3B24"/>
    <w:rsid w:val="008F3C3E"/>
    <w:rsid w:val="00910647"/>
    <w:rsid w:val="00917025"/>
    <w:rsid w:val="009325DE"/>
    <w:rsid w:val="00941604"/>
    <w:rsid w:val="00942CCC"/>
    <w:rsid w:val="00957C4B"/>
    <w:rsid w:val="009615D1"/>
    <w:rsid w:val="0096421C"/>
    <w:rsid w:val="00973BDE"/>
    <w:rsid w:val="0098056B"/>
    <w:rsid w:val="00982147"/>
    <w:rsid w:val="0098379E"/>
    <w:rsid w:val="00985C97"/>
    <w:rsid w:val="009865AA"/>
    <w:rsid w:val="00990CE0"/>
    <w:rsid w:val="009B30A2"/>
    <w:rsid w:val="009B3D93"/>
    <w:rsid w:val="009B4B99"/>
    <w:rsid w:val="009C1103"/>
    <w:rsid w:val="009D00D9"/>
    <w:rsid w:val="009D1F92"/>
    <w:rsid w:val="009D5971"/>
    <w:rsid w:val="009E193A"/>
    <w:rsid w:val="009F1A57"/>
    <w:rsid w:val="009F4A70"/>
    <w:rsid w:val="00A079DB"/>
    <w:rsid w:val="00A12488"/>
    <w:rsid w:val="00A279E1"/>
    <w:rsid w:val="00A307C5"/>
    <w:rsid w:val="00A42347"/>
    <w:rsid w:val="00A51639"/>
    <w:rsid w:val="00A64B28"/>
    <w:rsid w:val="00A6743C"/>
    <w:rsid w:val="00A70F36"/>
    <w:rsid w:val="00A73E6F"/>
    <w:rsid w:val="00A74F64"/>
    <w:rsid w:val="00A9211E"/>
    <w:rsid w:val="00AA3DFD"/>
    <w:rsid w:val="00AA7541"/>
    <w:rsid w:val="00AB18AB"/>
    <w:rsid w:val="00AB49E5"/>
    <w:rsid w:val="00AD0062"/>
    <w:rsid w:val="00AD04F5"/>
    <w:rsid w:val="00AD1B3B"/>
    <w:rsid w:val="00AD3C9F"/>
    <w:rsid w:val="00AD460B"/>
    <w:rsid w:val="00AD5218"/>
    <w:rsid w:val="00AE1E61"/>
    <w:rsid w:val="00AE372B"/>
    <w:rsid w:val="00AE450D"/>
    <w:rsid w:val="00AF1739"/>
    <w:rsid w:val="00AF6F3E"/>
    <w:rsid w:val="00B07E47"/>
    <w:rsid w:val="00B14C13"/>
    <w:rsid w:val="00B22AD5"/>
    <w:rsid w:val="00B23001"/>
    <w:rsid w:val="00B27562"/>
    <w:rsid w:val="00B31151"/>
    <w:rsid w:val="00B3115C"/>
    <w:rsid w:val="00B44196"/>
    <w:rsid w:val="00B45188"/>
    <w:rsid w:val="00B677A8"/>
    <w:rsid w:val="00B7045B"/>
    <w:rsid w:val="00B719CE"/>
    <w:rsid w:val="00B73FE8"/>
    <w:rsid w:val="00B81C3E"/>
    <w:rsid w:val="00B83591"/>
    <w:rsid w:val="00BA0571"/>
    <w:rsid w:val="00BA1401"/>
    <w:rsid w:val="00BA1D26"/>
    <w:rsid w:val="00BB07FB"/>
    <w:rsid w:val="00BB0CC3"/>
    <w:rsid w:val="00BB0E2D"/>
    <w:rsid w:val="00BC4195"/>
    <w:rsid w:val="00BD1B28"/>
    <w:rsid w:val="00BE72AF"/>
    <w:rsid w:val="00BF544F"/>
    <w:rsid w:val="00BF5C66"/>
    <w:rsid w:val="00C03881"/>
    <w:rsid w:val="00C062CB"/>
    <w:rsid w:val="00C25DD0"/>
    <w:rsid w:val="00C33B30"/>
    <w:rsid w:val="00C36C02"/>
    <w:rsid w:val="00C3798E"/>
    <w:rsid w:val="00C4369F"/>
    <w:rsid w:val="00C43B58"/>
    <w:rsid w:val="00C43FDF"/>
    <w:rsid w:val="00C525AC"/>
    <w:rsid w:val="00C60962"/>
    <w:rsid w:val="00C636E6"/>
    <w:rsid w:val="00C643C9"/>
    <w:rsid w:val="00C6512E"/>
    <w:rsid w:val="00C745A1"/>
    <w:rsid w:val="00C7596B"/>
    <w:rsid w:val="00C80539"/>
    <w:rsid w:val="00C826C9"/>
    <w:rsid w:val="00C9189F"/>
    <w:rsid w:val="00C93570"/>
    <w:rsid w:val="00CA22C7"/>
    <w:rsid w:val="00CC2123"/>
    <w:rsid w:val="00CC2C5D"/>
    <w:rsid w:val="00CC2F9F"/>
    <w:rsid w:val="00CD4D7B"/>
    <w:rsid w:val="00CE0603"/>
    <w:rsid w:val="00CF5BF8"/>
    <w:rsid w:val="00CF7A22"/>
    <w:rsid w:val="00D07A04"/>
    <w:rsid w:val="00D125EB"/>
    <w:rsid w:val="00D149F1"/>
    <w:rsid w:val="00D45135"/>
    <w:rsid w:val="00D47F13"/>
    <w:rsid w:val="00D63B4A"/>
    <w:rsid w:val="00D64587"/>
    <w:rsid w:val="00D66438"/>
    <w:rsid w:val="00D73599"/>
    <w:rsid w:val="00D75600"/>
    <w:rsid w:val="00D80CA9"/>
    <w:rsid w:val="00D81DC5"/>
    <w:rsid w:val="00D83800"/>
    <w:rsid w:val="00DA1CBE"/>
    <w:rsid w:val="00DB47BC"/>
    <w:rsid w:val="00DB73DB"/>
    <w:rsid w:val="00DD6002"/>
    <w:rsid w:val="00DE179D"/>
    <w:rsid w:val="00DE7CC8"/>
    <w:rsid w:val="00DF0117"/>
    <w:rsid w:val="00DF18B6"/>
    <w:rsid w:val="00DF642B"/>
    <w:rsid w:val="00E039E8"/>
    <w:rsid w:val="00E053CA"/>
    <w:rsid w:val="00E14889"/>
    <w:rsid w:val="00E16198"/>
    <w:rsid w:val="00E20738"/>
    <w:rsid w:val="00E22D77"/>
    <w:rsid w:val="00E259EA"/>
    <w:rsid w:val="00E27397"/>
    <w:rsid w:val="00E3282B"/>
    <w:rsid w:val="00E35970"/>
    <w:rsid w:val="00E4025B"/>
    <w:rsid w:val="00E45276"/>
    <w:rsid w:val="00E50CBA"/>
    <w:rsid w:val="00E54D02"/>
    <w:rsid w:val="00E55FD9"/>
    <w:rsid w:val="00E6373A"/>
    <w:rsid w:val="00E64748"/>
    <w:rsid w:val="00E7086E"/>
    <w:rsid w:val="00E76761"/>
    <w:rsid w:val="00E77B0B"/>
    <w:rsid w:val="00E8758A"/>
    <w:rsid w:val="00E90678"/>
    <w:rsid w:val="00E91556"/>
    <w:rsid w:val="00E94D9E"/>
    <w:rsid w:val="00E96BE1"/>
    <w:rsid w:val="00EB0F23"/>
    <w:rsid w:val="00EC4E18"/>
    <w:rsid w:val="00ED4050"/>
    <w:rsid w:val="00EE616E"/>
    <w:rsid w:val="00F0277C"/>
    <w:rsid w:val="00F02E67"/>
    <w:rsid w:val="00F1365F"/>
    <w:rsid w:val="00F172DB"/>
    <w:rsid w:val="00F23D92"/>
    <w:rsid w:val="00F25E04"/>
    <w:rsid w:val="00F2773C"/>
    <w:rsid w:val="00F3207E"/>
    <w:rsid w:val="00F33397"/>
    <w:rsid w:val="00F33FB2"/>
    <w:rsid w:val="00F3491F"/>
    <w:rsid w:val="00F35517"/>
    <w:rsid w:val="00F40190"/>
    <w:rsid w:val="00F479F7"/>
    <w:rsid w:val="00F50101"/>
    <w:rsid w:val="00F5221B"/>
    <w:rsid w:val="00F534C5"/>
    <w:rsid w:val="00F622E4"/>
    <w:rsid w:val="00F62AC2"/>
    <w:rsid w:val="00F62E33"/>
    <w:rsid w:val="00F70CF8"/>
    <w:rsid w:val="00F74A15"/>
    <w:rsid w:val="00F77C51"/>
    <w:rsid w:val="00F8042D"/>
    <w:rsid w:val="00F81F3A"/>
    <w:rsid w:val="00F85181"/>
    <w:rsid w:val="00FA17E2"/>
    <w:rsid w:val="00FA6503"/>
    <w:rsid w:val="00FB4220"/>
    <w:rsid w:val="00FD0A6D"/>
    <w:rsid w:val="00FD5A31"/>
    <w:rsid w:val="00FE7DA0"/>
    <w:rsid w:val="00FF1C7D"/>
    <w:rsid w:val="00FF5E49"/>
    <w:rsid w:val="012E0300"/>
    <w:rsid w:val="01691B6E"/>
    <w:rsid w:val="018A4198"/>
    <w:rsid w:val="018E717F"/>
    <w:rsid w:val="019560EE"/>
    <w:rsid w:val="01A4277C"/>
    <w:rsid w:val="01BD0CF1"/>
    <w:rsid w:val="01C355C5"/>
    <w:rsid w:val="01E06B35"/>
    <w:rsid w:val="024016E6"/>
    <w:rsid w:val="025E3298"/>
    <w:rsid w:val="02942F99"/>
    <w:rsid w:val="02A35327"/>
    <w:rsid w:val="035C37DA"/>
    <w:rsid w:val="03776155"/>
    <w:rsid w:val="03F20679"/>
    <w:rsid w:val="0402072A"/>
    <w:rsid w:val="040E1692"/>
    <w:rsid w:val="042029BE"/>
    <w:rsid w:val="043C210E"/>
    <w:rsid w:val="048C7057"/>
    <w:rsid w:val="04AA3BDB"/>
    <w:rsid w:val="04C946EE"/>
    <w:rsid w:val="04D6352A"/>
    <w:rsid w:val="04E5606B"/>
    <w:rsid w:val="04FB7A55"/>
    <w:rsid w:val="052517CE"/>
    <w:rsid w:val="053642AB"/>
    <w:rsid w:val="05671512"/>
    <w:rsid w:val="05A06A83"/>
    <w:rsid w:val="05F13FC5"/>
    <w:rsid w:val="064864AD"/>
    <w:rsid w:val="06604BE9"/>
    <w:rsid w:val="06926D13"/>
    <w:rsid w:val="06B0704C"/>
    <w:rsid w:val="06CF675E"/>
    <w:rsid w:val="07357959"/>
    <w:rsid w:val="074D02BC"/>
    <w:rsid w:val="076039E5"/>
    <w:rsid w:val="07672918"/>
    <w:rsid w:val="07AB2CEE"/>
    <w:rsid w:val="07AD36B0"/>
    <w:rsid w:val="07B57086"/>
    <w:rsid w:val="07E546A7"/>
    <w:rsid w:val="080438C1"/>
    <w:rsid w:val="080838F5"/>
    <w:rsid w:val="088F54C8"/>
    <w:rsid w:val="08910B52"/>
    <w:rsid w:val="08EF4E49"/>
    <w:rsid w:val="090248C8"/>
    <w:rsid w:val="09224D96"/>
    <w:rsid w:val="094706FF"/>
    <w:rsid w:val="0962260E"/>
    <w:rsid w:val="09631ECE"/>
    <w:rsid w:val="099A4754"/>
    <w:rsid w:val="09AB61E9"/>
    <w:rsid w:val="09DB6294"/>
    <w:rsid w:val="0A0019BA"/>
    <w:rsid w:val="0A203217"/>
    <w:rsid w:val="0A4C0A14"/>
    <w:rsid w:val="0A6B3C65"/>
    <w:rsid w:val="0A893D04"/>
    <w:rsid w:val="0A9E106A"/>
    <w:rsid w:val="0AA92727"/>
    <w:rsid w:val="0AAF15D6"/>
    <w:rsid w:val="0AB743B3"/>
    <w:rsid w:val="0B0F5DD1"/>
    <w:rsid w:val="0B1A4582"/>
    <w:rsid w:val="0B3C621E"/>
    <w:rsid w:val="0B466E36"/>
    <w:rsid w:val="0B493908"/>
    <w:rsid w:val="0B4A7596"/>
    <w:rsid w:val="0B7312B6"/>
    <w:rsid w:val="0B8B05DD"/>
    <w:rsid w:val="0BB55AFD"/>
    <w:rsid w:val="0BBD74B2"/>
    <w:rsid w:val="0BC37124"/>
    <w:rsid w:val="0BC64395"/>
    <w:rsid w:val="0C3D0ED0"/>
    <w:rsid w:val="0C66265E"/>
    <w:rsid w:val="0C883917"/>
    <w:rsid w:val="0CC47023"/>
    <w:rsid w:val="0CD00F58"/>
    <w:rsid w:val="0D0D72A6"/>
    <w:rsid w:val="0D241949"/>
    <w:rsid w:val="0D3E6CF0"/>
    <w:rsid w:val="0D3F647A"/>
    <w:rsid w:val="0D40396C"/>
    <w:rsid w:val="0D697909"/>
    <w:rsid w:val="0D7A0153"/>
    <w:rsid w:val="0DAD5C24"/>
    <w:rsid w:val="0DB3003C"/>
    <w:rsid w:val="0DE2563B"/>
    <w:rsid w:val="0E05121F"/>
    <w:rsid w:val="0E2D7FF8"/>
    <w:rsid w:val="0E7C2D1D"/>
    <w:rsid w:val="0EDC25AB"/>
    <w:rsid w:val="0F235253"/>
    <w:rsid w:val="0F3C7CE9"/>
    <w:rsid w:val="0F600249"/>
    <w:rsid w:val="0F921CD0"/>
    <w:rsid w:val="0FF52716"/>
    <w:rsid w:val="0FF87DB8"/>
    <w:rsid w:val="0FFF32FC"/>
    <w:rsid w:val="101B284F"/>
    <w:rsid w:val="103404E1"/>
    <w:rsid w:val="103749DB"/>
    <w:rsid w:val="103E6FE8"/>
    <w:rsid w:val="107A14CD"/>
    <w:rsid w:val="108C7073"/>
    <w:rsid w:val="10A5024A"/>
    <w:rsid w:val="10D26477"/>
    <w:rsid w:val="10FF20EA"/>
    <w:rsid w:val="114F7404"/>
    <w:rsid w:val="1171316E"/>
    <w:rsid w:val="117F6893"/>
    <w:rsid w:val="11993356"/>
    <w:rsid w:val="11B05283"/>
    <w:rsid w:val="11F57CF8"/>
    <w:rsid w:val="121F4709"/>
    <w:rsid w:val="122E0012"/>
    <w:rsid w:val="12505C12"/>
    <w:rsid w:val="12A53375"/>
    <w:rsid w:val="12D572B3"/>
    <w:rsid w:val="12EA5E0D"/>
    <w:rsid w:val="12F265E1"/>
    <w:rsid w:val="12F71770"/>
    <w:rsid w:val="13231E93"/>
    <w:rsid w:val="133B3237"/>
    <w:rsid w:val="133D736B"/>
    <w:rsid w:val="13635623"/>
    <w:rsid w:val="138B276A"/>
    <w:rsid w:val="13A51C33"/>
    <w:rsid w:val="13BD5215"/>
    <w:rsid w:val="13C40134"/>
    <w:rsid w:val="13DD671A"/>
    <w:rsid w:val="13FF10B2"/>
    <w:rsid w:val="146B020A"/>
    <w:rsid w:val="146D6F4F"/>
    <w:rsid w:val="14893036"/>
    <w:rsid w:val="149C5CD8"/>
    <w:rsid w:val="14E41CA6"/>
    <w:rsid w:val="15054E66"/>
    <w:rsid w:val="15105AFF"/>
    <w:rsid w:val="15107577"/>
    <w:rsid w:val="15165885"/>
    <w:rsid w:val="151C2909"/>
    <w:rsid w:val="15365109"/>
    <w:rsid w:val="15925856"/>
    <w:rsid w:val="15EF7903"/>
    <w:rsid w:val="16154391"/>
    <w:rsid w:val="16186B3C"/>
    <w:rsid w:val="1627538E"/>
    <w:rsid w:val="16301051"/>
    <w:rsid w:val="16784F7E"/>
    <w:rsid w:val="169655F2"/>
    <w:rsid w:val="17103591"/>
    <w:rsid w:val="17590195"/>
    <w:rsid w:val="17606E66"/>
    <w:rsid w:val="17694843"/>
    <w:rsid w:val="178032F7"/>
    <w:rsid w:val="179A4D40"/>
    <w:rsid w:val="17B305F7"/>
    <w:rsid w:val="17B87C3D"/>
    <w:rsid w:val="17EA6D07"/>
    <w:rsid w:val="180C4053"/>
    <w:rsid w:val="18311C47"/>
    <w:rsid w:val="18422D6B"/>
    <w:rsid w:val="185B7983"/>
    <w:rsid w:val="18671BA5"/>
    <w:rsid w:val="186A3A04"/>
    <w:rsid w:val="186A776A"/>
    <w:rsid w:val="1875238B"/>
    <w:rsid w:val="1879054F"/>
    <w:rsid w:val="18A259E1"/>
    <w:rsid w:val="18A364E2"/>
    <w:rsid w:val="18C64174"/>
    <w:rsid w:val="19270D2C"/>
    <w:rsid w:val="198042FA"/>
    <w:rsid w:val="19B85434"/>
    <w:rsid w:val="19FF0946"/>
    <w:rsid w:val="1A3F6211"/>
    <w:rsid w:val="1A785ED2"/>
    <w:rsid w:val="1AA91C4E"/>
    <w:rsid w:val="1ABE0632"/>
    <w:rsid w:val="1ADA07D7"/>
    <w:rsid w:val="1AE76FFF"/>
    <w:rsid w:val="1AE86237"/>
    <w:rsid w:val="1B1B2762"/>
    <w:rsid w:val="1B6E19B9"/>
    <w:rsid w:val="1B773910"/>
    <w:rsid w:val="1BA37B12"/>
    <w:rsid w:val="1BD82E60"/>
    <w:rsid w:val="1BE02B8E"/>
    <w:rsid w:val="1BEE7D75"/>
    <w:rsid w:val="1BFE35F1"/>
    <w:rsid w:val="1C174D14"/>
    <w:rsid w:val="1C2451EF"/>
    <w:rsid w:val="1C291C41"/>
    <w:rsid w:val="1C2D30C9"/>
    <w:rsid w:val="1C5129DD"/>
    <w:rsid w:val="1C6119F6"/>
    <w:rsid w:val="1C7B674B"/>
    <w:rsid w:val="1C9960A5"/>
    <w:rsid w:val="1D4947F9"/>
    <w:rsid w:val="1D626881"/>
    <w:rsid w:val="1D734062"/>
    <w:rsid w:val="1D835ECA"/>
    <w:rsid w:val="1D8B7674"/>
    <w:rsid w:val="1DC2547F"/>
    <w:rsid w:val="1E591298"/>
    <w:rsid w:val="1E7D0452"/>
    <w:rsid w:val="1E8661D6"/>
    <w:rsid w:val="1EB456F6"/>
    <w:rsid w:val="1EF063A9"/>
    <w:rsid w:val="1F35392A"/>
    <w:rsid w:val="1F3A23E8"/>
    <w:rsid w:val="1F742D78"/>
    <w:rsid w:val="1FA31132"/>
    <w:rsid w:val="1FD156F9"/>
    <w:rsid w:val="1FF74640"/>
    <w:rsid w:val="2028495D"/>
    <w:rsid w:val="202C7174"/>
    <w:rsid w:val="20483A03"/>
    <w:rsid w:val="20546612"/>
    <w:rsid w:val="20901C0E"/>
    <w:rsid w:val="20AF1255"/>
    <w:rsid w:val="20BB5044"/>
    <w:rsid w:val="20BE1DB8"/>
    <w:rsid w:val="2106343F"/>
    <w:rsid w:val="211C0B5B"/>
    <w:rsid w:val="212D69FF"/>
    <w:rsid w:val="214B0B36"/>
    <w:rsid w:val="21856130"/>
    <w:rsid w:val="22422118"/>
    <w:rsid w:val="234021F3"/>
    <w:rsid w:val="23584E9E"/>
    <w:rsid w:val="23875C40"/>
    <w:rsid w:val="2395605D"/>
    <w:rsid w:val="23BF5822"/>
    <w:rsid w:val="23EA2250"/>
    <w:rsid w:val="23F3146E"/>
    <w:rsid w:val="242149DA"/>
    <w:rsid w:val="245977C7"/>
    <w:rsid w:val="24683541"/>
    <w:rsid w:val="247C0A76"/>
    <w:rsid w:val="24856CF4"/>
    <w:rsid w:val="24A820F2"/>
    <w:rsid w:val="24B66923"/>
    <w:rsid w:val="24EC54B0"/>
    <w:rsid w:val="24F5497F"/>
    <w:rsid w:val="25196869"/>
    <w:rsid w:val="252D28F1"/>
    <w:rsid w:val="2532653C"/>
    <w:rsid w:val="25342C8F"/>
    <w:rsid w:val="25461AC3"/>
    <w:rsid w:val="25675382"/>
    <w:rsid w:val="256C6AA9"/>
    <w:rsid w:val="25A479B0"/>
    <w:rsid w:val="25BD6D2B"/>
    <w:rsid w:val="25FE7D2C"/>
    <w:rsid w:val="2608766E"/>
    <w:rsid w:val="263D6D6B"/>
    <w:rsid w:val="263D7662"/>
    <w:rsid w:val="266B1F53"/>
    <w:rsid w:val="26771AD5"/>
    <w:rsid w:val="268C5A28"/>
    <w:rsid w:val="26977DAE"/>
    <w:rsid w:val="269A5E09"/>
    <w:rsid w:val="269B0F43"/>
    <w:rsid w:val="26B84D76"/>
    <w:rsid w:val="26BE036C"/>
    <w:rsid w:val="26BE5549"/>
    <w:rsid w:val="26C83B90"/>
    <w:rsid w:val="26D51FB6"/>
    <w:rsid w:val="26DF36D3"/>
    <w:rsid w:val="26F26866"/>
    <w:rsid w:val="26F702B9"/>
    <w:rsid w:val="275664DB"/>
    <w:rsid w:val="27637AB9"/>
    <w:rsid w:val="27662BF9"/>
    <w:rsid w:val="27713234"/>
    <w:rsid w:val="27851710"/>
    <w:rsid w:val="286A6C92"/>
    <w:rsid w:val="287C2CCE"/>
    <w:rsid w:val="28963D2F"/>
    <w:rsid w:val="28B1349C"/>
    <w:rsid w:val="28B3622A"/>
    <w:rsid w:val="28F5160F"/>
    <w:rsid w:val="290341B1"/>
    <w:rsid w:val="292528A5"/>
    <w:rsid w:val="294C46EC"/>
    <w:rsid w:val="29642267"/>
    <w:rsid w:val="298A2A91"/>
    <w:rsid w:val="29A86695"/>
    <w:rsid w:val="29C82F19"/>
    <w:rsid w:val="29FC7BAB"/>
    <w:rsid w:val="2A260C1A"/>
    <w:rsid w:val="2A2C0D6C"/>
    <w:rsid w:val="2A3B7938"/>
    <w:rsid w:val="2A425CDD"/>
    <w:rsid w:val="2A602775"/>
    <w:rsid w:val="2A6F5FF7"/>
    <w:rsid w:val="2A7D2332"/>
    <w:rsid w:val="2A8C43E2"/>
    <w:rsid w:val="2AC10DF9"/>
    <w:rsid w:val="2AC60799"/>
    <w:rsid w:val="2AF12873"/>
    <w:rsid w:val="2AFC31C9"/>
    <w:rsid w:val="2B253466"/>
    <w:rsid w:val="2B3542A3"/>
    <w:rsid w:val="2B425C4A"/>
    <w:rsid w:val="2B85356B"/>
    <w:rsid w:val="2BB53932"/>
    <w:rsid w:val="2BC6347F"/>
    <w:rsid w:val="2BD72CF4"/>
    <w:rsid w:val="2BFD4E1C"/>
    <w:rsid w:val="2CE2762F"/>
    <w:rsid w:val="2CE958B3"/>
    <w:rsid w:val="2D1C610E"/>
    <w:rsid w:val="2D20658D"/>
    <w:rsid w:val="2D397265"/>
    <w:rsid w:val="2D52510D"/>
    <w:rsid w:val="2D643BD3"/>
    <w:rsid w:val="2DC10A63"/>
    <w:rsid w:val="2DFA2E4E"/>
    <w:rsid w:val="2E9A324E"/>
    <w:rsid w:val="2EB7553C"/>
    <w:rsid w:val="2ECF7F57"/>
    <w:rsid w:val="2F705CB0"/>
    <w:rsid w:val="2F814F10"/>
    <w:rsid w:val="2F8D5A40"/>
    <w:rsid w:val="2FAD2367"/>
    <w:rsid w:val="2FCB552D"/>
    <w:rsid w:val="30032591"/>
    <w:rsid w:val="302E0C74"/>
    <w:rsid w:val="30787A8D"/>
    <w:rsid w:val="30B12420"/>
    <w:rsid w:val="30D936A7"/>
    <w:rsid w:val="30DE11E9"/>
    <w:rsid w:val="310E1BD4"/>
    <w:rsid w:val="31C37FAD"/>
    <w:rsid w:val="31E5064D"/>
    <w:rsid w:val="31E71D2D"/>
    <w:rsid w:val="322614FC"/>
    <w:rsid w:val="32292E96"/>
    <w:rsid w:val="32306522"/>
    <w:rsid w:val="32396A94"/>
    <w:rsid w:val="323F432D"/>
    <w:rsid w:val="32670254"/>
    <w:rsid w:val="32704976"/>
    <w:rsid w:val="32A649D4"/>
    <w:rsid w:val="32B06AA6"/>
    <w:rsid w:val="32CC5AC9"/>
    <w:rsid w:val="32CD45B9"/>
    <w:rsid w:val="32FA07EE"/>
    <w:rsid w:val="33020BE3"/>
    <w:rsid w:val="332221B6"/>
    <w:rsid w:val="333E3C6E"/>
    <w:rsid w:val="33610F01"/>
    <w:rsid w:val="33817901"/>
    <w:rsid w:val="34675FB3"/>
    <w:rsid w:val="34735179"/>
    <w:rsid w:val="34A06ABA"/>
    <w:rsid w:val="34A21439"/>
    <w:rsid w:val="34E77F3B"/>
    <w:rsid w:val="350B5C1C"/>
    <w:rsid w:val="353C6805"/>
    <w:rsid w:val="35566615"/>
    <w:rsid w:val="355B3943"/>
    <w:rsid w:val="35637942"/>
    <w:rsid w:val="35C61E46"/>
    <w:rsid w:val="35FA6FC6"/>
    <w:rsid w:val="36092A2C"/>
    <w:rsid w:val="36141FAB"/>
    <w:rsid w:val="363F3DD4"/>
    <w:rsid w:val="366B350E"/>
    <w:rsid w:val="369C470D"/>
    <w:rsid w:val="36B13D5B"/>
    <w:rsid w:val="36B52BA4"/>
    <w:rsid w:val="36EC44DD"/>
    <w:rsid w:val="37AB41DE"/>
    <w:rsid w:val="37D17A99"/>
    <w:rsid w:val="37E031EB"/>
    <w:rsid w:val="37E66B51"/>
    <w:rsid w:val="37FE63DF"/>
    <w:rsid w:val="38086D73"/>
    <w:rsid w:val="380F61FE"/>
    <w:rsid w:val="38333537"/>
    <w:rsid w:val="383751EE"/>
    <w:rsid w:val="384472EB"/>
    <w:rsid w:val="384C7EBD"/>
    <w:rsid w:val="38610C17"/>
    <w:rsid w:val="38874A1E"/>
    <w:rsid w:val="388967C5"/>
    <w:rsid w:val="389106F6"/>
    <w:rsid w:val="389D6D94"/>
    <w:rsid w:val="38BA4CF1"/>
    <w:rsid w:val="38C609B8"/>
    <w:rsid w:val="38CA4601"/>
    <w:rsid w:val="38D429AD"/>
    <w:rsid w:val="38EC253A"/>
    <w:rsid w:val="38FA1B4F"/>
    <w:rsid w:val="38FD45B0"/>
    <w:rsid w:val="39260165"/>
    <w:rsid w:val="393C18EB"/>
    <w:rsid w:val="3940568F"/>
    <w:rsid w:val="395C5C08"/>
    <w:rsid w:val="395E47F3"/>
    <w:rsid w:val="397779D4"/>
    <w:rsid w:val="397F0C68"/>
    <w:rsid w:val="39CF6FE7"/>
    <w:rsid w:val="39E63656"/>
    <w:rsid w:val="3A175922"/>
    <w:rsid w:val="3A1F00D2"/>
    <w:rsid w:val="3A3F0512"/>
    <w:rsid w:val="3A61118C"/>
    <w:rsid w:val="3A6174C9"/>
    <w:rsid w:val="3A7E20F0"/>
    <w:rsid w:val="3A9C6630"/>
    <w:rsid w:val="3AAC2902"/>
    <w:rsid w:val="3ABA3473"/>
    <w:rsid w:val="3AC25FE2"/>
    <w:rsid w:val="3AC543CF"/>
    <w:rsid w:val="3AF239E7"/>
    <w:rsid w:val="3B2C517D"/>
    <w:rsid w:val="3B433F9A"/>
    <w:rsid w:val="3B445E07"/>
    <w:rsid w:val="3B69731E"/>
    <w:rsid w:val="3B743E46"/>
    <w:rsid w:val="3B962E85"/>
    <w:rsid w:val="3BA51D9E"/>
    <w:rsid w:val="3BFB58F0"/>
    <w:rsid w:val="3C0071D6"/>
    <w:rsid w:val="3C1C7FF4"/>
    <w:rsid w:val="3C1E4CB5"/>
    <w:rsid w:val="3C2B6CCD"/>
    <w:rsid w:val="3C3071A6"/>
    <w:rsid w:val="3C441F78"/>
    <w:rsid w:val="3C5F7498"/>
    <w:rsid w:val="3CAA004A"/>
    <w:rsid w:val="3D1C3402"/>
    <w:rsid w:val="3D2528A1"/>
    <w:rsid w:val="3D3D4099"/>
    <w:rsid w:val="3D585AB2"/>
    <w:rsid w:val="3D8E1B3D"/>
    <w:rsid w:val="3DAF1F39"/>
    <w:rsid w:val="3DB47673"/>
    <w:rsid w:val="3DBF55DD"/>
    <w:rsid w:val="3E1D0DF6"/>
    <w:rsid w:val="3E2121B3"/>
    <w:rsid w:val="3E421A6C"/>
    <w:rsid w:val="3E6463E3"/>
    <w:rsid w:val="3E7E7960"/>
    <w:rsid w:val="3E8F5A64"/>
    <w:rsid w:val="3E9A2A12"/>
    <w:rsid w:val="3E9B371E"/>
    <w:rsid w:val="3EA8075A"/>
    <w:rsid w:val="3EC95C23"/>
    <w:rsid w:val="3ED311CB"/>
    <w:rsid w:val="3ED82734"/>
    <w:rsid w:val="3EFA788D"/>
    <w:rsid w:val="3F0A7B03"/>
    <w:rsid w:val="3F195245"/>
    <w:rsid w:val="3F473C5B"/>
    <w:rsid w:val="3F906951"/>
    <w:rsid w:val="3FB953AB"/>
    <w:rsid w:val="3FC93EE1"/>
    <w:rsid w:val="3FD94337"/>
    <w:rsid w:val="40492F3B"/>
    <w:rsid w:val="40533B20"/>
    <w:rsid w:val="406C6BD0"/>
    <w:rsid w:val="40847FF2"/>
    <w:rsid w:val="409E4CBD"/>
    <w:rsid w:val="40A92AF5"/>
    <w:rsid w:val="40AA4EC1"/>
    <w:rsid w:val="40C10B90"/>
    <w:rsid w:val="40CC0979"/>
    <w:rsid w:val="40CD1C6A"/>
    <w:rsid w:val="40E16526"/>
    <w:rsid w:val="40EE7C69"/>
    <w:rsid w:val="410A7AD7"/>
    <w:rsid w:val="410E31A5"/>
    <w:rsid w:val="411D17A2"/>
    <w:rsid w:val="41344BFA"/>
    <w:rsid w:val="421A0B26"/>
    <w:rsid w:val="421D291F"/>
    <w:rsid w:val="421F2A9C"/>
    <w:rsid w:val="42290339"/>
    <w:rsid w:val="42AB1A3B"/>
    <w:rsid w:val="42B50A01"/>
    <w:rsid w:val="42D1758C"/>
    <w:rsid w:val="42DD2A54"/>
    <w:rsid w:val="431951BE"/>
    <w:rsid w:val="4322337C"/>
    <w:rsid w:val="43760BB8"/>
    <w:rsid w:val="437D5F80"/>
    <w:rsid w:val="43806A7A"/>
    <w:rsid w:val="438E6E9D"/>
    <w:rsid w:val="43917F88"/>
    <w:rsid w:val="44051A1B"/>
    <w:rsid w:val="442A3DC9"/>
    <w:rsid w:val="44DD68A4"/>
    <w:rsid w:val="44FD5226"/>
    <w:rsid w:val="4509051F"/>
    <w:rsid w:val="4584163D"/>
    <w:rsid w:val="45916A53"/>
    <w:rsid w:val="461379D8"/>
    <w:rsid w:val="46346AFA"/>
    <w:rsid w:val="46C43298"/>
    <w:rsid w:val="46DA1B54"/>
    <w:rsid w:val="46EF025F"/>
    <w:rsid w:val="47084E3D"/>
    <w:rsid w:val="47361E09"/>
    <w:rsid w:val="476A02AE"/>
    <w:rsid w:val="47866F19"/>
    <w:rsid w:val="47C64EB5"/>
    <w:rsid w:val="47DE2DAC"/>
    <w:rsid w:val="480B715C"/>
    <w:rsid w:val="482F185E"/>
    <w:rsid w:val="484C335E"/>
    <w:rsid w:val="487E59B8"/>
    <w:rsid w:val="489C5962"/>
    <w:rsid w:val="489F2294"/>
    <w:rsid w:val="48D34D56"/>
    <w:rsid w:val="48F73128"/>
    <w:rsid w:val="4986429C"/>
    <w:rsid w:val="49BB317F"/>
    <w:rsid w:val="49C75196"/>
    <w:rsid w:val="4A2644DC"/>
    <w:rsid w:val="4A2D61FD"/>
    <w:rsid w:val="4A5177C3"/>
    <w:rsid w:val="4A5B42A7"/>
    <w:rsid w:val="4A7B62F9"/>
    <w:rsid w:val="4AAE196F"/>
    <w:rsid w:val="4AB01548"/>
    <w:rsid w:val="4ABB21EC"/>
    <w:rsid w:val="4AE32D39"/>
    <w:rsid w:val="4AEB5603"/>
    <w:rsid w:val="4B806B83"/>
    <w:rsid w:val="4B9B68FC"/>
    <w:rsid w:val="4BF24228"/>
    <w:rsid w:val="4C0842E9"/>
    <w:rsid w:val="4C2216E1"/>
    <w:rsid w:val="4C306043"/>
    <w:rsid w:val="4C3B481A"/>
    <w:rsid w:val="4C3E068D"/>
    <w:rsid w:val="4C5C219A"/>
    <w:rsid w:val="4C6B6BAA"/>
    <w:rsid w:val="4CA071DE"/>
    <w:rsid w:val="4CE32463"/>
    <w:rsid w:val="4D6A64F8"/>
    <w:rsid w:val="4DF978A8"/>
    <w:rsid w:val="4E057EFC"/>
    <w:rsid w:val="4E7A1B8E"/>
    <w:rsid w:val="4E864416"/>
    <w:rsid w:val="4EE5430A"/>
    <w:rsid w:val="4F1162DE"/>
    <w:rsid w:val="4F226B33"/>
    <w:rsid w:val="4F243AA4"/>
    <w:rsid w:val="4F3B3FEB"/>
    <w:rsid w:val="4F4110AE"/>
    <w:rsid w:val="4F5A7728"/>
    <w:rsid w:val="4F616951"/>
    <w:rsid w:val="4F6F7537"/>
    <w:rsid w:val="4F726A40"/>
    <w:rsid w:val="4F8019EC"/>
    <w:rsid w:val="4FFA1C7C"/>
    <w:rsid w:val="500363E8"/>
    <w:rsid w:val="50052590"/>
    <w:rsid w:val="50843167"/>
    <w:rsid w:val="50D676AC"/>
    <w:rsid w:val="50E32ED7"/>
    <w:rsid w:val="50EB695A"/>
    <w:rsid w:val="50F74D6D"/>
    <w:rsid w:val="51340A7C"/>
    <w:rsid w:val="513F1039"/>
    <w:rsid w:val="515843B0"/>
    <w:rsid w:val="51844B18"/>
    <w:rsid w:val="51DF0623"/>
    <w:rsid w:val="51E30A34"/>
    <w:rsid w:val="521C4028"/>
    <w:rsid w:val="52230F80"/>
    <w:rsid w:val="52382127"/>
    <w:rsid w:val="52393CEF"/>
    <w:rsid w:val="525556CF"/>
    <w:rsid w:val="52DC112C"/>
    <w:rsid w:val="52F75F7A"/>
    <w:rsid w:val="533861DB"/>
    <w:rsid w:val="53766058"/>
    <w:rsid w:val="537A0570"/>
    <w:rsid w:val="53A10128"/>
    <w:rsid w:val="53FA7335"/>
    <w:rsid w:val="546A6794"/>
    <w:rsid w:val="54D679CA"/>
    <w:rsid w:val="54EC66A6"/>
    <w:rsid w:val="54F05AE0"/>
    <w:rsid w:val="55103AF6"/>
    <w:rsid w:val="55125123"/>
    <w:rsid w:val="551E69D6"/>
    <w:rsid w:val="552523FA"/>
    <w:rsid w:val="55336D97"/>
    <w:rsid w:val="554A47D5"/>
    <w:rsid w:val="556E3F03"/>
    <w:rsid w:val="559727B9"/>
    <w:rsid w:val="55C8233F"/>
    <w:rsid w:val="55DA4BA1"/>
    <w:rsid w:val="560E4488"/>
    <w:rsid w:val="561717AA"/>
    <w:rsid w:val="56560043"/>
    <w:rsid w:val="565D63BF"/>
    <w:rsid w:val="56A87492"/>
    <w:rsid w:val="56EC6DD9"/>
    <w:rsid w:val="56FD298B"/>
    <w:rsid w:val="570A1562"/>
    <w:rsid w:val="5791214E"/>
    <w:rsid w:val="57A71AC0"/>
    <w:rsid w:val="57D25682"/>
    <w:rsid w:val="57E172E6"/>
    <w:rsid w:val="58094566"/>
    <w:rsid w:val="58EC1AE7"/>
    <w:rsid w:val="58FC7A46"/>
    <w:rsid w:val="591E2CAF"/>
    <w:rsid w:val="593B4C1F"/>
    <w:rsid w:val="594F5E0E"/>
    <w:rsid w:val="5960217A"/>
    <w:rsid w:val="596A10E6"/>
    <w:rsid w:val="59AE32A4"/>
    <w:rsid w:val="59B53ED9"/>
    <w:rsid w:val="59BF07AE"/>
    <w:rsid w:val="59E460F3"/>
    <w:rsid w:val="59E94B4A"/>
    <w:rsid w:val="5A3E60BC"/>
    <w:rsid w:val="5A6B06DF"/>
    <w:rsid w:val="5A6F6FD4"/>
    <w:rsid w:val="5A7B0FDC"/>
    <w:rsid w:val="5A83457D"/>
    <w:rsid w:val="5A8C3DA3"/>
    <w:rsid w:val="5A916352"/>
    <w:rsid w:val="5AB211BF"/>
    <w:rsid w:val="5AD070BC"/>
    <w:rsid w:val="5AEC3AC2"/>
    <w:rsid w:val="5AEC6641"/>
    <w:rsid w:val="5AF34FA0"/>
    <w:rsid w:val="5B6F48FE"/>
    <w:rsid w:val="5BBB4611"/>
    <w:rsid w:val="5BC2207B"/>
    <w:rsid w:val="5C2331FB"/>
    <w:rsid w:val="5C3A4E1A"/>
    <w:rsid w:val="5C7D6760"/>
    <w:rsid w:val="5CA32DA1"/>
    <w:rsid w:val="5CA4164C"/>
    <w:rsid w:val="5CCB0B04"/>
    <w:rsid w:val="5CDE769C"/>
    <w:rsid w:val="5D502220"/>
    <w:rsid w:val="5D6E038B"/>
    <w:rsid w:val="5D8F7508"/>
    <w:rsid w:val="5DAF47CE"/>
    <w:rsid w:val="5DCA7D0D"/>
    <w:rsid w:val="5DE35C72"/>
    <w:rsid w:val="5DEE15F0"/>
    <w:rsid w:val="5E0926F4"/>
    <w:rsid w:val="5E0E287B"/>
    <w:rsid w:val="5E123FA7"/>
    <w:rsid w:val="5E274772"/>
    <w:rsid w:val="5E386967"/>
    <w:rsid w:val="5E467D98"/>
    <w:rsid w:val="5EAD3FB6"/>
    <w:rsid w:val="5EC5323E"/>
    <w:rsid w:val="5ECD59D9"/>
    <w:rsid w:val="5EE513A1"/>
    <w:rsid w:val="5EED722B"/>
    <w:rsid w:val="5F0723A9"/>
    <w:rsid w:val="5F2E3FCC"/>
    <w:rsid w:val="5F2E5F5D"/>
    <w:rsid w:val="5F457474"/>
    <w:rsid w:val="5F6C25FD"/>
    <w:rsid w:val="5F713904"/>
    <w:rsid w:val="5F7856D8"/>
    <w:rsid w:val="5F845281"/>
    <w:rsid w:val="5FA52500"/>
    <w:rsid w:val="600116AA"/>
    <w:rsid w:val="6037300A"/>
    <w:rsid w:val="60681418"/>
    <w:rsid w:val="60855934"/>
    <w:rsid w:val="60DC7F20"/>
    <w:rsid w:val="613555CE"/>
    <w:rsid w:val="615034B4"/>
    <w:rsid w:val="61907ABB"/>
    <w:rsid w:val="61AE2F46"/>
    <w:rsid w:val="61DA464E"/>
    <w:rsid w:val="61DC14F1"/>
    <w:rsid w:val="61E868E7"/>
    <w:rsid w:val="62733B3F"/>
    <w:rsid w:val="627548F7"/>
    <w:rsid w:val="62D5160B"/>
    <w:rsid w:val="62DC3E31"/>
    <w:rsid w:val="62F959F8"/>
    <w:rsid w:val="6343772C"/>
    <w:rsid w:val="6380567C"/>
    <w:rsid w:val="63DE5A6D"/>
    <w:rsid w:val="641D62FF"/>
    <w:rsid w:val="643734A4"/>
    <w:rsid w:val="64787E10"/>
    <w:rsid w:val="64E1182F"/>
    <w:rsid w:val="650502E9"/>
    <w:rsid w:val="650566B7"/>
    <w:rsid w:val="65233B1E"/>
    <w:rsid w:val="65300BA0"/>
    <w:rsid w:val="65574380"/>
    <w:rsid w:val="657832C8"/>
    <w:rsid w:val="659E3465"/>
    <w:rsid w:val="65A30B39"/>
    <w:rsid w:val="65AB65A7"/>
    <w:rsid w:val="65B30048"/>
    <w:rsid w:val="65C93E00"/>
    <w:rsid w:val="65D321DE"/>
    <w:rsid w:val="65E64317"/>
    <w:rsid w:val="66040E03"/>
    <w:rsid w:val="6651184D"/>
    <w:rsid w:val="666B36A7"/>
    <w:rsid w:val="667D7612"/>
    <w:rsid w:val="66AE10A1"/>
    <w:rsid w:val="66B36943"/>
    <w:rsid w:val="66FB2D53"/>
    <w:rsid w:val="67045810"/>
    <w:rsid w:val="6728276A"/>
    <w:rsid w:val="67442E11"/>
    <w:rsid w:val="674A04DC"/>
    <w:rsid w:val="67A00AE2"/>
    <w:rsid w:val="67B432C5"/>
    <w:rsid w:val="67F65044"/>
    <w:rsid w:val="67FB2FA3"/>
    <w:rsid w:val="684318DC"/>
    <w:rsid w:val="684C45D1"/>
    <w:rsid w:val="688E0065"/>
    <w:rsid w:val="688F1611"/>
    <w:rsid w:val="68B9792B"/>
    <w:rsid w:val="68D74F3C"/>
    <w:rsid w:val="692E3DAC"/>
    <w:rsid w:val="69AE27E2"/>
    <w:rsid w:val="69BB56CA"/>
    <w:rsid w:val="6A0E2CF8"/>
    <w:rsid w:val="6A4C25BB"/>
    <w:rsid w:val="6A6C3BDD"/>
    <w:rsid w:val="6A7474E4"/>
    <w:rsid w:val="6A7A3720"/>
    <w:rsid w:val="6AC3161D"/>
    <w:rsid w:val="6AC405D6"/>
    <w:rsid w:val="6AD13C1B"/>
    <w:rsid w:val="6B113B47"/>
    <w:rsid w:val="6B116BCE"/>
    <w:rsid w:val="6B65640B"/>
    <w:rsid w:val="6B793C08"/>
    <w:rsid w:val="6B7C6457"/>
    <w:rsid w:val="6B995283"/>
    <w:rsid w:val="6BA33B66"/>
    <w:rsid w:val="6BB53A54"/>
    <w:rsid w:val="6BC9132A"/>
    <w:rsid w:val="6BD72163"/>
    <w:rsid w:val="6BEB76C8"/>
    <w:rsid w:val="6C14100D"/>
    <w:rsid w:val="6C2B0ACC"/>
    <w:rsid w:val="6C302599"/>
    <w:rsid w:val="6C302FA0"/>
    <w:rsid w:val="6C3F0163"/>
    <w:rsid w:val="6C407A83"/>
    <w:rsid w:val="6C4B2F20"/>
    <w:rsid w:val="6CE040A2"/>
    <w:rsid w:val="6CE53AB8"/>
    <w:rsid w:val="6D0B09F1"/>
    <w:rsid w:val="6D0E223E"/>
    <w:rsid w:val="6D6048B1"/>
    <w:rsid w:val="6DA32372"/>
    <w:rsid w:val="6DAA3A37"/>
    <w:rsid w:val="6DC72EBF"/>
    <w:rsid w:val="6DCC2C49"/>
    <w:rsid w:val="6DCD362C"/>
    <w:rsid w:val="6DE41845"/>
    <w:rsid w:val="6DE83A19"/>
    <w:rsid w:val="6EAD1509"/>
    <w:rsid w:val="6F1A4C2A"/>
    <w:rsid w:val="6F2B3E69"/>
    <w:rsid w:val="6F5A4DD2"/>
    <w:rsid w:val="6F606393"/>
    <w:rsid w:val="6F610D84"/>
    <w:rsid w:val="6F824689"/>
    <w:rsid w:val="6F850448"/>
    <w:rsid w:val="6F8A6CFE"/>
    <w:rsid w:val="6F9864ED"/>
    <w:rsid w:val="6FA0680E"/>
    <w:rsid w:val="6FA53568"/>
    <w:rsid w:val="6FE85DE1"/>
    <w:rsid w:val="70156098"/>
    <w:rsid w:val="707C00AF"/>
    <w:rsid w:val="707E1164"/>
    <w:rsid w:val="70865901"/>
    <w:rsid w:val="708F78A6"/>
    <w:rsid w:val="70BF146D"/>
    <w:rsid w:val="70D8407B"/>
    <w:rsid w:val="70DD5086"/>
    <w:rsid w:val="70E94699"/>
    <w:rsid w:val="71193D3B"/>
    <w:rsid w:val="714A2E21"/>
    <w:rsid w:val="717332D4"/>
    <w:rsid w:val="71B650F8"/>
    <w:rsid w:val="71D15C09"/>
    <w:rsid w:val="71E0223A"/>
    <w:rsid w:val="71FC43E5"/>
    <w:rsid w:val="72071122"/>
    <w:rsid w:val="72090242"/>
    <w:rsid w:val="721A7575"/>
    <w:rsid w:val="723979DD"/>
    <w:rsid w:val="72AF4E54"/>
    <w:rsid w:val="72EA6D05"/>
    <w:rsid w:val="72F30699"/>
    <w:rsid w:val="73334E28"/>
    <w:rsid w:val="735470F3"/>
    <w:rsid w:val="73AF36FC"/>
    <w:rsid w:val="73C56169"/>
    <w:rsid w:val="73CC3211"/>
    <w:rsid w:val="73DC7474"/>
    <w:rsid w:val="73FE0B34"/>
    <w:rsid w:val="742779EC"/>
    <w:rsid w:val="74434D8A"/>
    <w:rsid w:val="74566F5D"/>
    <w:rsid w:val="7489595B"/>
    <w:rsid w:val="74C811EB"/>
    <w:rsid w:val="74CE3475"/>
    <w:rsid w:val="74D23774"/>
    <w:rsid w:val="75137CDB"/>
    <w:rsid w:val="7545159D"/>
    <w:rsid w:val="75553CCB"/>
    <w:rsid w:val="75621E93"/>
    <w:rsid w:val="756C0008"/>
    <w:rsid w:val="7570303F"/>
    <w:rsid w:val="758C5936"/>
    <w:rsid w:val="758D6799"/>
    <w:rsid w:val="75A67716"/>
    <w:rsid w:val="75AB6FA4"/>
    <w:rsid w:val="75E31586"/>
    <w:rsid w:val="75E956B2"/>
    <w:rsid w:val="75EE4E83"/>
    <w:rsid w:val="76876395"/>
    <w:rsid w:val="76C62F44"/>
    <w:rsid w:val="76F53D52"/>
    <w:rsid w:val="77456D68"/>
    <w:rsid w:val="77611D7E"/>
    <w:rsid w:val="777A4AB1"/>
    <w:rsid w:val="77826806"/>
    <w:rsid w:val="77C654DE"/>
    <w:rsid w:val="77D2703E"/>
    <w:rsid w:val="77F06522"/>
    <w:rsid w:val="782C2E42"/>
    <w:rsid w:val="78401169"/>
    <w:rsid w:val="78766D54"/>
    <w:rsid w:val="788129C3"/>
    <w:rsid w:val="789D2993"/>
    <w:rsid w:val="78CC5F42"/>
    <w:rsid w:val="78D61F6A"/>
    <w:rsid w:val="78EC768E"/>
    <w:rsid w:val="79046ACC"/>
    <w:rsid w:val="79226D09"/>
    <w:rsid w:val="79864B52"/>
    <w:rsid w:val="79C13319"/>
    <w:rsid w:val="79F15BEC"/>
    <w:rsid w:val="7A0629C6"/>
    <w:rsid w:val="7A424D83"/>
    <w:rsid w:val="7A4F18B8"/>
    <w:rsid w:val="7A634800"/>
    <w:rsid w:val="7A83626A"/>
    <w:rsid w:val="7AA977A4"/>
    <w:rsid w:val="7ABB269F"/>
    <w:rsid w:val="7AE4420A"/>
    <w:rsid w:val="7B1617B3"/>
    <w:rsid w:val="7B333B06"/>
    <w:rsid w:val="7B792F60"/>
    <w:rsid w:val="7B7E2CEC"/>
    <w:rsid w:val="7B84382F"/>
    <w:rsid w:val="7BA10677"/>
    <w:rsid w:val="7BB13DFD"/>
    <w:rsid w:val="7BDD42F4"/>
    <w:rsid w:val="7BF111F7"/>
    <w:rsid w:val="7BFF71AC"/>
    <w:rsid w:val="7C0703E6"/>
    <w:rsid w:val="7C1331BF"/>
    <w:rsid w:val="7C1B259C"/>
    <w:rsid w:val="7C1D0550"/>
    <w:rsid w:val="7C360234"/>
    <w:rsid w:val="7C724792"/>
    <w:rsid w:val="7CA03D1C"/>
    <w:rsid w:val="7CCC5075"/>
    <w:rsid w:val="7D030A93"/>
    <w:rsid w:val="7D264717"/>
    <w:rsid w:val="7D8100C7"/>
    <w:rsid w:val="7DEA3FF1"/>
    <w:rsid w:val="7E314F65"/>
    <w:rsid w:val="7E6459CD"/>
    <w:rsid w:val="7E833FC7"/>
    <w:rsid w:val="7E923777"/>
    <w:rsid w:val="7EAB318D"/>
    <w:rsid w:val="7EB03D4E"/>
    <w:rsid w:val="7EC21071"/>
    <w:rsid w:val="7ED44704"/>
    <w:rsid w:val="7EE31DA7"/>
    <w:rsid w:val="7EE80F31"/>
    <w:rsid w:val="7EFF3D75"/>
    <w:rsid w:val="7F06409A"/>
    <w:rsid w:val="7F4327EF"/>
    <w:rsid w:val="7F8C704C"/>
    <w:rsid w:val="7F937814"/>
    <w:rsid w:val="7FA14A15"/>
    <w:rsid w:val="7FCA11FA"/>
    <w:rsid w:val="7FD273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semiHidden="0" w:name="heading 3" w:locked="1"/>
    <w:lsdException w:qFormat="1" w:uiPriority="0"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9"/>
    <w:qFormat/>
    <w:locked/>
    <w:uiPriority w:val="0"/>
    <w:pPr>
      <w:keepNext/>
      <w:keepLines/>
      <w:spacing w:before="340" w:after="330" w:line="578" w:lineRule="auto"/>
      <w:outlineLvl w:val="0"/>
    </w:pPr>
    <w:rPr>
      <w:b/>
      <w:bCs/>
      <w:kern w:val="44"/>
      <w:sz w:val="44"/>
      <w:szCs w:val="44"/>
    </w:rPr>
  </w:style>
  <w:style w:type="paragraph" w:styleId="4">
    <w:name w:val="heading 2"/>
    <w:basedOn w:val="1"/>
    <w:next w:val="1"/>
    <w:qFormat/>
    <w:locked/>
    <w:uiPriority w:val="0"/>
    <w:pPr>
      <w:keepNext/>
      <w:keepLines/>
      <w:spacing w:before="120" w:after="120"/>
      <w:outlineLvl w:val="1"/>
    </w:pPr>
    <w:rPr>
      <w:rFonts w:ascii="Arial" w:hAnsi="Arial" w:eastAsia="黑体"/>
      <w:bCs/>
      <w:sz w:val="32"/>
      <w:szCs w:val="32"/>
    </w:rPr>
  </w:style>
  <w:style w:type="paragraph" w:styleId="2">
    <w:name w:val="heading 3"/>
    <w:basedOn w:val="1"/>
    <w:next w:val="1"/>
    <w:link w:val="40"/>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41"/>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2"/>
    <w:unhideWhenUsed/>
    <w:qFormat/>
    <w:locked/>
    <w:uiPriority w:val="0"/>
    <w:pPr>
      <w:keepNext/>
      <w:keepLines/>
      <w:spacing w:before="280" w:after="290" w:line="376" w:lineRule="auto"/>
      <w:outlineLvl w:val="4"/>
    </w:pPr>
    <w:rPr>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8">
    <w:name w:val="annotation text"/>
    <w:basedOn w:val="1"/>
    <w:semiHidden/>
    <w:unhideWhenUsed/>
    <w:qFormat/>
    <w:uiPriority w:val="99"/>
    <w:pPr>
      <w:jc w:val="left"/>
    </w:pPr>
  </w:style>
  <w:style w:type="paragraph" w:styleId="9">
    <w:name w:val="Body Text"/>
    <w:basedOn w:val="1"/>
    <w:next w:val="1"/>
    <w:qFormat/>
    <w:uiPriority w:val="0"/>
    <w:pPr>
      <w:jc w:val="center"/>
    </w:pPr>
    <w:rPr>
      <w:rFonts w:ascii="幼圆" w:eastAsia="幼圆"/>
      <w:b/>
      <w:sz w:val="44"/>
    </w:rPr>
  </w:style>
  <w:style w:type="paragraph" w:styleId="10">
    <w:name w:val="Body Text Indent"/>
    <w:basedOn w:val="1"/>
    <w:qFormat/>
    <w:uiPriority w:val="0"/>
    <w:pPr>
      <w:ind w:firstLine="560" w:firstLineChars="200"/>
    </w:pPr>
    <w:rPr>
      <w:sz w:val="28"/>
    </w:rPr>
  </w:style>
  <w:style w:type="paragraph" w:styleId="11">
    <w:name w:val="Date"/>
    <w:basedOn w:val="1"/>
    <w:next w:val="1"/>
    <w:link w:val="44"/>
    <w:semiHidden/>
    <w:unhideWhenUsed/>
    <w:qFormat/>
    <w:uiPriority w:val="99"/>
    <w:pPr>
      <w:ind w:left="100" w:leftChars="2500"/>
    </w:pPr>
  </w:style>
  <w:style w:type="paragraph" w:styleId="12">
    <w:name w:val="Body Text Indent 2"/>
    <w:basedOn w:val="1"/>
    <w:qFormat/>
    <w:uiPriority w:val="0"/>
    <w:pPr>
      <w:spacing w:line="600" w:lineRule="exact"/>
      <w:ind w:firstLine="480" w:firstLineChars="200"/>
    </w:pPr>
    <w:rPr>
      <w:sz w:val="24"/>
    </w:rPr>
  </w:style>
  <w:style w:type="paragraph" w:styleId="13">
    <w:name w:val="Balloon Text"/>
    <w:basedOn w:val="1"/>
    <w:link w:val="24"/>
    <w:qFormat/>
    <w:uiPriority w:val="99"/>
    <w:rPr>
      <w:sz w:val="18"/>
      <w:szCs w:val="18"/>
    </w:rPr>
  </w:style>
  <w:style w:type="paragraph" w:styleId="14">
    <w:name w:val="footer"/>
    <w:basedOn w:val="1"/>
    <w:link w:val="25"/>
    <w:qFormat/>
    <w:uiPriority w:val="99"/>
    <w:pPr>
      <w:tabs>
        <w:tab w:val="center" w:pos="4153"/>
        <w:tab w:val="right" w:pos="8306"/>
      </w:tabs>
      <w:snapToGrid w:val="0"/>
      <w:jc w:val="left"/>
    </w:pPr>
    <w:rPr>
      <w:rFonts w:ascii="Calibri" w:hAnsi="Calibri"/>
      <w:kern w:val="0"/>
      <w:sz w:val="18"/>
      <w:szCs w:val="18"/>
    </w:rPr>
  </w:style>
  <w:style w:type="paragraph" w:styleId="15">
    <w:name w:val="header"/>
    <w:basedOn w:val="1"/>
    <w:link w:val="26"/>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6">
    <w:name w:val="toc 1"/>
    <w:basedOn w:val="1"/>
    <w:next w:val="1"/>
    <w:qFormat/>
    <w:uiPriority w:val="99"/>
    <w:rPr>
      <w:rFonts w:ascii="Calibri" w:hAnsi="Calibri"/>
      <w:b/>
      <w:szCs w:val="20"/>
    </w:rPr>
  </w:style>
  <w:style w:type="paragraph" w:styleId="1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8">
    <w:name w:val="Title"/>
    <w:basedOn w:val="1"/>
    <w:next w:val="1"/>
    <w:qFormat/>
    <w:locked/>
    <w:uiPriority w:val="0"/>
    <w:pPr>
      <w:spacing w:before="240" w:after="60" w:line="360" w:lineRule="auto"/>
      <w:jc w:val="center"/>
      <w:outlineLvl w:val="0"/>
    </w:pPr>
    <w:rPr>
      <w:rFonts w:ascii="Calibri" w:hAnsi="Calibri"/>
      <w:b/>
      <w:bCs/>
      <w:sz w:val="32"/>
      <w:szCs w:val="32"/>
    </w:rPr>
  </w:style>
  <w:style w:type="table" w:styleId="20">
    <w:name w:val="Table Grid"/>
    <w:basedOn w:val="1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semiHidden/>
    <w:unhideWhenUsed/>
    <w:qFormat/>
    <w:uiPriority w:val="99"/>
    <w:rPr>
      <w:color w:val="0000FF"/>
      <w:u w:val="single"/>
    </w:rPr>
  </w:style>
  <w:style w:type="character" w:styleId="23">
    <w:name w:val="annotation reference"/>
    <w:qFormat/>
    <w:uiPriority w:val="99"/>
    <w:rPr>
      <w:sz w:val="21"/>
      <w:szCs w:val="21"/>
    </w:rPr>
  </w:style>
  <w:style w:type="character" w:customStyle="1" w:styleId="24">
    <w:name w:val="批注框文本 Char"/>
    <w:basedOn w:val="21"/>
    <w:link w:val="13"/>
    <w:semiHidden/>
    <w:qFormat/>
    <w:locked/>
    <w:uiPriority w:val="99"/>
    <w:rPr>
      <w:rFonts w:ascii="Times New Roman" w:hAnsi="Times New Roman"/>
      <w:kern w:val="2"/>
      <w:sz w:val="18"/>
    </w:rPr>
  </w:style>
  <w:style w:type="character" w:customStyle="1" w:styleId="25">
    <w:name w:val="页脚 Char"/>
    <w:basedOn w:val="21"/>
    <w:link w:val="14"/>
    <w:qFormat/>
    <w:locked/>
    <w:uiPriority w:val="99"/>
    <w:rPr>
      <w:sz w:val="18"/>
    </w:rPr>
  </w:style>
  <w:style w:type="character" w:customStyle="1" w:styleId="26">
    <w:name w:val="页眉 Char"/>
    <w:basedOn w:val="21"/>
    <w:link w:val="15"/>
    <w:semiHidden/>
    <w:qFormat/>
    <w:locked/>
    <w:uiPriority w:val="99"/>
    <w:rPr>
      <w:sz w:val="18"/>
    </w:rPr>
  </w:style>
  <w:style w:type="paragraph" w:customStyle="1" w:styleId="27">
    <w:name w:val="列出段落1"/>
    <w:basedOn w:val="1"/>
    <w:qFormat/>
    <w:uiPriority w:val="99"/>
    <w:pPr>
      <w:ind w:firstLine="420" w:firstLineChars="200"/>
    </w:pPr>
  </w:style>
  <w:style w:type="character" w:customStyle="1" w:styleId="28">
    <w:name w:val="f14w1"/>
    <w:qFormat/>
    <w:uiPriority w:val="99"/>
    <w:rPr>
      <w:b/>
      <w:color w:val="002569"/>
      <w:sz w:val="21"/>
    </w:rPr>
  </w:style>
  <w:style w:type="paragraph" w:customStyle="1" w:styleId="29">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30">
    <w:name w:val="列出段落11"/>
    <w:basedOn w:val="1"/>
    <w:qFormat/>
    <w:uiPriority w:val="99"/>
    <w:pPr>
      <w:ind w:firstLine="420" w:firstLineChars="200"/>
    </w:pPr>
  </w:style>
  <w:style w:type="paragraph" w:customStyle="1" w:styleId="31">
    <w:name w:val="列出段落2"/>
    <w:basedOn w:val="1"/>
    <w:qFormat/>
    <w:uiPriority w:val="99"/>
    <w:pPr>
      <w:ind w:firstLine="420" w:firstLineChars="200"/>
    </w:pPr>
    <w:rPr>
      <w:rFonts w:ascii="Calibri" w:hAnsi="Calibri"/>
      <w:szCs w:val="22"/>
    </w:rPr>
  </w:style>
  <w:style w:type="character" w:customStyle="1" w:styleId="32">
    <w:name w:val="font21"/>
    <w:basedOn w:val="21"/>
    <w:qFormat/>
    <w:uiPriority w:val="0"/>
    <w:rPr>
      <w:rFonts w:hint="default" w:ascii="Arial" w:hAnsi="Arial" w:cs="Arial"/>
      <w:color w:val="000000"/>
      <w:sz w:val="20"/>
      <w:szCs w:val="20"/>
      <w:u w:val="none"/>
    </w:rPr>
  </w:style>
  <w:style w:type="character" w:customStyle="1" w:styleId="33">
    <w:name w:val="font41"/>
    <w:basedOn w:val="21"/>
    <w:qFormat/>
    <w:uiPriority w:val="0"/>
    <w:rPr>
      <w:rFonts w:hint="eastAsia" w:ascii="仿宋" w:hAnsi="仿宋" w:eastAsia="仿宋" w:cs="仿宋"/>
      <w:color w:val="000000"/>
      <w:sz w:val="20"/>
      <w:szCs w:val="20"/>
      <w:u w:val="none"/>
    </w:rPr>
  </w:style>
  <w:style w:type="character" w:customStyle="1" w:styleId="34">
    <w:name w:val="font01"/>
    <w:basedOn w:val="21"/>
    <w:qFormat/>
    <w:uiPriority w:val="0"/>
    <w:rPr>
      <w:rFonts w:hint="eastAsia" w:ascii="仿宋" w:hAnsi="仿宋" w:eastAsia="仿宋" w:cs="仿宋"/>
      <w:color w:val="000000"/>
      <w:sz w:val="20"/>
      <w:szCs w:val="20"/>
      <w:u w:val="none"/>
    </w:rPr>
  </w:style>
  <w:style w:type="character" w:customStyle="1" w:styleId="35">
    <w:name w:val="font31"/>
    <w:basedOn w:val="21"/>
    <w:qFormat/>
    <w:uiPriority w:val="0"/>
    <w:rPr>
      <w:rFonts w:hint="default" w:ascii="Arial" w:hAnsi="Arial" w:cs="Arial"/>
      <w:color w:val="000000"/>
      <w:sz w:val="20"/>
      <w:szCs w:val="20"/>
      <w:u w:val="none"/>
    </w:rPr>
  </w:style>
  <w:style w:type="character" w:customStyle="1" w:styleId="36">
    <w:name w:val="font61"/>
    <w:basedOn w:val="21"/>
    <w:qFormat/>
    <w:uiPriority w:val="0"/>
    <w:rPr>
      <w:rFonts w:hint="eastAsia" w:ascii="仿宋" w:hAnsi="仿宋" w:eastAsia="仿宋" w:cs="仿宋"/>
      <w:color w:val="000000"/>
      <w:sz w:val="20"/>
      <w:szCs w:val="20"/>
      <w:u w:val="none"/>
    </w:rPr>
  </w:style>
  <w:style w:type="paragraph" w:customStyle="1" w:styleId="37">
    <w:name w:val="zjb正文"/>
    <w:basedOn w:val="1"/>
    <w:qFormat/>
    <w:uiPriority w:val="0"/>
    <w:pPr>
      <w:jc w:val="left"/>
    </w:pPr>
  </w:style>
  <w:style w:type="character" w:customStyle="1" w:styleId="38">
    <w:name w:val="font11"/>
    <w:basedOn w:val="21"/>
    <w:qFormat/>
    <w:uiPriority w:val="0"/>
    <w:rPr>
      <w:rFonts w:hint="eastAsia" w:ascii="仿宋" w:hAnsi="仿宋" w:eastAsia="仿宋" w:cs="仿宋"/>
      <w:color w:val="000000"/>
      <w:sz w:val="20"/>
      <w:szCs w:val="20"/>
      <w:u w:val="none"/>
    </w:rPr>
  </w:style>
  <w:style w:type="character" w:customStyle="1" w:styleId="39">
    <w:name w:val="标题 1 Char"/>
    <w:basedOn w:val="21"/>
    <w:link w:val="3"/>
    <w:qFormat/>
    <w:uiPriority w:val="0"/>
    <w:rPr>
      <w:b/>
      <w:bCs/>
      <w:kern w:val="44"/>
      <w:sz w:val="44"/>
      <w:szCs w:val="44"/>
    </w:rPr>
  </w:style>
  <w:style w:type="character" w:customStyle="1" w:styleId="40">
    <w:name w:val="标题 3 Char"/>
    <w:basedOn w:val="21"/>
    <w:link w:val="2"/>
    <w:qFormat/>
    <w:uiPriority w:val="0"/>
    <w:rPr>
      <w:b/>
      <w:bCs/>
      <w:kern w:val="2"/>
      <w:sz w:val="32"/>
      <w:szCs w:val="32"/>
    </w:rPr>
  </w:style>
  <w:style w:type="character" w:customStyle="1" w:styleId="41">
    <w:name w:val="标题 4 Char"/>
    <w:basedOn w:val="21"/>
    <w:link w:val="5"/>
    <w:qFormat/>
    <w:uiPriority w:val="0"/>
    <w:rPr>
      <w:rFonts w:asciiTheme="majorHAnsi" w:hAnsiTheme="majorHAnsi" w:eastAsiaTheme="majorEastAsia" w:cstheme="majorBidi"/>
      <w:b/>
      <w:bCs/>
      <w:kern w:val="2"/>
      <w:sz w:val="28"/>
      <w:szCs w:val="28"/>
    </w:rPr>
  </w:style>
  <w:style w:type="character" w:customStyle="1" w:styleId="42">
    <w:name w:val="标题 5 Char"/>
    <w:basedOn w:val="21"/>
    <w:link w:val="6"/>
    <w:qFormat/>
    <w:uiPriority w:val="0"/>
    <w:rPr>
      <w:b/>
      <w:bCs/>
      <w:kern w:val="2"/>
      <w:sz w:val="28"/>
      <w:szCs w:val="28"/>
    </w:rPr>
  </w:style>
  <w:style w:type="paragraph" w:styleId="43">
    <w:name w:val="List Paragraph"/>
    <w:basedOn w:val="1"/>
    <w:qFormat/>
    <w:uiPriority w:val="99"/>
    <w:pPr>
      <w:ind w:firstLine="420" w:firstLineChars="200"/>
    </w:pPr>
  </w:style>
  <w:style w:type="character" w:customStyle="1" w:styleId="44">
    <w:name w:val="日期 Char"/>
    <w:basedOn w:val="21"/>
    <w:link w:val="11"/>
    <w:semiHidden/>
    <w:qFormat/>
    <w:uiPriority w:val="99"/>
    <w:rPr>
      <w:kern w:val="2"/>
      <w:sz w:val="21"/>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77A640-A8A8-4DCF-BFC1-55CB21BBBE9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2643</Words>
  <Characters>15066</Characters>
  <Lines>125</Lines>
  <Paragraphs>35</Paragraphs>
  <TotalTime>5</TotalTime>
  <ScaleCrop>false</ScaleCrop>
  <LinksUpToDate>false</LinksUpToDate>
  <CharactersWithSpaces>17674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2021-09-08T07:32:00Z</dcterms:created>
  <dc:creator>李凯01</dc:creator>
  <cp:lastModifiedBy>小余同学</cp:lastModifiedBy>
  <cp:lastPrinted>2021-09-18T01:57:00Z</cp:lastPrinted>
  <dcterms:modified xsi:type="dcterms:W3CDTF">2021-10-08T09:03:02Z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KSOSaveFontToCloudKey">
    <vt:lpwstr>414459651_embed</vt:lpwstr>
  </property>
  <property fmtid="{D5CDD505-2E9C-101B-9397-08002B2CF9AE}" pid="4" name="ICV">
    <vt:lpwstr>45ECAEF4958B4AA08EA00D95752AFF38</vt:lpwstr>
  </property>
</Properties>
</file>