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561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报 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空港航空地面服务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有限公司：</w:t>
      </w:r>
    </w:p>
    <w:p>
      <w:pPr>
        <w:keepNext w:val="0"/>
        <w:keepLines w:val="0"/>
        <w:pageBreakBefore w:val="0"/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120" w:leftChars="57" w:right="94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我方已仔细研究了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锂电池电动搬运车租赁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报价要求（见附件）的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全部内容，愿意以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每台每月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（大写）           元（¥      ）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不含增值税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的报价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附件要求的全部内容完成该项目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210" w:firstLine="756" w:firstLineChars="27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210" w:firstLine="756" w:firstLineChars="27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（盖单位公章）</w:t>
      </w:r>
    </w:p>
    <w:p>
      <w:pPr>
        <w:keepNext w:val="0"/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210" w:firstLine="756" w:firstLineChars="27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法定代表人或其委托代理人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（签字）</w:t>
      </w:r>
    </w:p>
    <w:p>
      <w:pPr>
        <w:keepNext w:val="0"/>
        <w:keepLines w:val="0"/>
        <w:pageBreakBefore w:val="0"/>
        <w:tabs>
          <w:tab w:val="left" w:pos="7035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210" w:firstLine="756" w:firstLineChars="27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：　　　　　　　　　　　　　　</w:t>
      </w:r>
    </w:p>
    <w:p>
      <w:pPr>
        <w:keepNext w:val="0"/>
        <w:keepLines w:val="0"/>
        <w:pageBreakBefore w:val="0"/>
        <w:tabs>
          <w:tab w:val="left" w:pos="6000"/>
          <w:tab w:val="left" w:pos="7040"/>
          <w:tab w:val="left" w:pos="81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2246" w:leftChars="571" w:right="-20" w:hanging="1047" w:hangingChars="374"/>
        <w:jc w:val="center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备注：1.递交报价函时，请附法定代表人身份证明或委托代理人的授权证明、营业执照复印件、设备参数信息以及合格证明等；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843" w:firstLineChars="300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2.递交时间：2021年9月30日上午9:30时-10:00时，过期不予受理；10:00时正式开始报价流程。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843" w:firstLineChars="3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3.本项目不接受二次报价，采用有效最低价法。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附件：报价要求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1.资质要求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1.1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报价单位需具备有效的三证合一营业执照，经营范围涉及机械设备租赁等相关内容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1.2在重庆地区有相关的维修保养（合作）机构。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 xml:space="preserve">  2.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项目需求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2.1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设备需求</w:t>
      </w:r>
    </w:p>
    <w:tbl>
      <w:tblPr>
        <w:tblStyle w:val="3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339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33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参数类别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最低要求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3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动力方式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电动，锂电池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3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操作方式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站立式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3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额定荷载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3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货叉最大起升高度 mm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不低于120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货叉外侧距mm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550-700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33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驱动电机Kw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3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起升电机Kw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33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电池组电压/容量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不低于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24V/120Ah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维修保养需求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设备出租期间，由出租方承担设备的所有维修和保养。设备出现故障报修后，出租方至少应于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6小时内到达甲方现场，12小时内排除故障，12小时不能排除故障的应在24小时内安排备用设备进行替换。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2.3保险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成交单位应为设备购买财产保险，防止因设备造成的双方以及涉及第三方的人身及财产损失。租赁期间的正常使用造成设备损失的，成交单位在获得保险公司赔偿后不得将权益转让给保险公司。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报价要求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b/>
          <w:sz w:val="28"/>
          <w:szCs w:val="28"/>
        </w:rPr>
        <w:t>本项目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每台每月租金不含增值税最高限价为人民币壹仟叁佰柒拾元整</w:t>
      </w:r>
      <w:r>
        <w:rPr>
          <w:rFonts w:hint="eastAsia" w:ascii="仿宋" w:hAnsi="仿宋" w:eastAsia="仿宋" w:cs="仿宋"/>
          <w:b/>
          <w:sz w:val="28"/>
          <w:szCs w:val="28"/>
        </w:rPr>
        <w:t>（小写：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1370</w:t>
      </w:r>
      <w:r>
        <w:rPr>
          <w:rFonts w:hint="eastAsia" w:ascii="仿宋" w:hAnsi="仿宋" w:eastAsia="仿宋" w:cs="仿宋"/>
          <w:b/>
          <w:sz w:val="28"/>
          <w:szCs w:val="28"/>
        </w:rPr>
        <w:t>元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/台·月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），</w:t>
      </w:r>
      <w:r>
        <w:rPr>
          <w:rFonts w:hint="eastAsia" w:ascii="仿宋" w:hAnsi="仿宋" w:eastAsia="仿宋" w:cs="仿宋"/>
          <w:b/>
          <w:sz w:val="28"/>
          <w:szCs w:val="28"/>
        </w:rPr>
        <w:t>报价超过最高限价，将取消报价方的报价资格。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4.租赁期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租赁期自2021年10月29日起-2023年10月28日止。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5.支付条款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先用后付，按三个月为周期支付租金。三个月期满后，出具符合规定的增值税发票后20个工作日内一次性支付三个月的租金。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如提供增值税普通发票，实际支付金额=不含增值税金额；如提供增值税专用发票，实际支付金额=不含增值税金额+增值税税额。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 xml:space="preserve">  6.其他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其余具体条款在合同中协商约定。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70633"/>
    <w:rsid w:val="00A06E44"/>
    <w:rsid w:val="03870CC0"/>
    <w:rsid w:val="086F1E49"/>
    <w:rsid w:val="0BD80E1D"/>
    <w:rsid w:val="0DE603FF"/>
    <w:rsid w:val="1C8C404B"/>
    <w:rsid w:val="1D7D7670"/>
    <w:rsid w:val="1F9E6D3B"/>
    <w:rsid w:val="27470633"/>
    <w:rsid w:val="2E44332A"/>
    <w:rsid w:val="3EDB06EF"/>
    <w:rsid w:val="5A824902"/>
    <w:rsid w:val="79104EB3"/>
    <w:rsid w:val="7B8D4230"/>
    <w:rsid w:val="7F30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/>
      <w:b/>
      <w:bCs/>
      <w:sz w:val="32"/>
      <w:szCs w:val="32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2019-01-09T01:26:00Z</dcterms:created>
  <dc:creator>Zhengyu</dc:creator>
  <cp:lastModifiedBy>Zhengyu</cp:lastModifiedBy>
  <dcterms:modified xsi:type="dcterms:W3CDTF">2021-09-26T06:21:50Z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EF347485CF8941A0AAC7A41063C56241</vt:lpwstr>
  </property>
</Properties>
</file>