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ascii="Times New Roman" w:hAnsi="Times New Roman" w:eastAsia="仿宋_GB2312" w:cs="Times New Roman"/>
          <w:b/>
          <w:color w:val="000000" w:themeColor="text1"/>
          <w:sz w:val="28"/>
          <w:szCs w:val="28"/>
          <w:lang w:val="en-US" w:eastAsia="zh-CN"/>
          <w14:textFill>
            <w14:solidFill>
              <w14:schemeClr w14:val="tx1"/>
            </w14:solidFill>
          </w14:textFill>
        </w:rPr>
      </w:pPr>
      <w:r>
        <w:rPr>
          <w:rFonts w:hint="eastAsia" w:eastAsia="仿宋_GB2312" w:cs="Times New Roman"/>
          <w:b/>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方正小标宋_GBK" w:cs="Times New Roman"/>
          <w:color w:val="000000" w:themeColor="text1"/>
          <w:sz w:val="44"/>
          <w:szCs w:val="44"/>
          <w:lang w:val="en-US" w:eastAsia="zh-CN"/>
          <w14:textFill>
            <w14:solidFill>
              <w14:schemeClr w14:val="tx1"/>
            </w14:solidFill>
          </w14:textFill>
        </w:rPr>
      </w:pPr>
      <w:r>
        <w:rPr>
          <w:rFonts w:hint="eastAsia" w:eastAsia="方正小标宋_GBK" w:cs="Times New Roman"/>
          <w:color w:val="000000" w:themeColor="text1"/>
          <w:sz w:val="44"/>
          <w:szCs w:val="44"/>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bidi w:val="0"/>
        <w:spacing w:line="560" w:lineRule="exact"/>
        <w:ind w:right="-313" w:rightChars="-149"/>
        <w:jc w:val="cente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eastAsia" w:eastAsia="方正小标宋_GBK" w:cs="Times New Roman"/>
          <w:color w:val="000000" w:themeColor="text1"/>
          <w:sz w:val="44"/>
          <w:szCs w:val="44"/>
          <w:lang w:val="en-US" w:eastAsia="zh-CN"/>
          <w14:textFill>
            <w14:solidFill>
              <w14:schemeClr w14:val="tx1"/>
            </w14:solidFill>
          </w14:textFill>
        </w:rPr>
        <w:t>三围栏平板车购置项目</w:t>
      </w:r>
    </w:p>
    <w:p>
      <w:pPr>
        <w:keepNext w:val="0"/>
        <w:keepLines w:val="0"/>
        <w:pageBreakBefore w:val="0"/>
        <w:kinsoku/>
        <w:wordWrap/>
        <w:overflowPunct/>
        <w:topLinePunct w:val="0"/>
        <w:bidi w:val="0"/>
        <w:spacing w:line="560" w:lineRule="exact"/>
        <w:ind w:right="-313" w:rightChars="-149"/>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比选</w:t>
      </w:r>
      <w:r>
        <w:rPr>
          <w:rFonts w:hint="eastAsia" w:eastAsia="方正小标宋_GBK" w:cs="Times New Roman"/>
          <w:color w:val="000000" w:themeColor="text1"/>
          <w:sz w:val="44"/>
          <w:szCs w:val="44"/>
          <w:lang w:eastAsia="zh-CN"/>
          <w14:textFill>
            <w14:solidFill>
              <w14:schemeClr w14:val="tx1"/>
            </w14:solidFill>
          </w14:textFill>
        </w:rPr>
        <w:t>采购</w:t>
      </w:r>
      <w:r>
        <w:rPr>
          <w:rFonts w:hint="default" w:ascii="Times New Roman" w:hAnsi="Times New Roman" w:eastAsia="方正小标宋_GBK" w:cs="Times New Roman"/>
          <w:color w:val="000000" w:themeColor="text1"/>
          <w:sz w:val="44"/>
          <w:szCs w:val="44"/>
          <w14:textFill>
            <w14:solidFill>
              <w14:schemeClr w14:val="tx1"/>
            </w14:solidFill>
          </w14:textFill>
        </w:rPr>
        <w:t>文件</w:t>
      </w:r>
    </w:p>
    <w:p>
      <w:pPr>
        <w:keepNext w:val="0"/>
        <w:keepLines w:val="0"/>
        <w:pageBreakBefore w:val="0"/>
        <w:kinsoku/>
        <w:wordWrap/>
        <w:overflowPunct/>
        <w:topLinePunct w:val="0"/>
        <w:bidi w:val="0"/>
        <w:spacing w:line="560" w:lineRule="exact"/>
        <w:jc w:val="center"/>
        <w:rPr>
          <w:rFonts w:hint="eastAsia"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编号：</w:t>
      </w:r>
      <w:r>
        <w:rPr>
          <w:rFonts w:hint="eastAsia" w:eastAsia="方正仿宋_GBK" w:cs="Times New Roman"/>
          <w:color w:val="000000" w:themeColor="text1"/>
          <w:sz w:val="32"/>
          <w:szCs w:val="32"/>
          <w:lang w:val="en-US" w:eastAsia="zh-CN"/>
          <w14:textFill>
            <w14:solidFill>
              <w14:schemeClr w14:val="tx1"/>
            </w14:solidFill>
          </w14:textFill>
        </w:rPr>
        <w:t>GJ21002</w:t>
      </w:r>
    </w:p>
    <w:p>
      <w:pPr>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default"/>
        </w:rPr>
      </w:pPr>
    </w:p>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color w:val="000000" w:themeColor="text1"/>
          <w:sz w:val="32"/>
          <w:szCs w:val="32"/>
          <w:lang w:eastAsia="zh-CN"/>
          <w14:textFill>
            <w14:solidFill>
              <w14:schemeClr w14:val="tx1"/>
            </w14:solidFill>
          </w14:textFill>
        </w:rPr>
        <w:t>重庆空港航空地面服务</w:t>
      </w:r>
      <w:r>
        <w:rPr>
          <w:rFonts w:hint="default" w:ascii="Times New Roman" w:hAnsi="Times New Roman" w:eastAsia="方正仿宋_GBK" w:cs="Times New Roman"/>
          <w:color w:val="000000" w:themeColor="text1"/>
          <w:sz w:val="32"/>
          <w:szCs w:val="32"/>
          <w14:textFill>
            <w14:solidFill>
              <w14:schemeClr w14:val="tx1"/>
            </w14:solidFill>
          </w14:textFill>
        </w:rPr>
        <w:t>有限公司</w:t>
      </w:r>
    </w:p>
    <w:p>
      <w:pPr>
        <w:keepNext w:val="0"/>
        <w:keepLines w:val="0"/>
        <w:pageBreakBefore w:val="0"/>
        <w:kinsoku/>
        <w:wordWrap/>
        <w:overflowPunct/>
        <w:topLinePunct w:val="0"/>
        <w:bidi w:val="0"/>
        <w:spacing w:line="560" w:lineRule="exact"/>
        <w:ind w:firstLine="3200" w:firstLineChars="10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月</w:t>
      </w:r>
    </w:p>
    <w:p>
      <w:pPr>
        <w:keepNext w:val="0"/>
        <w:keepLines w:val="0"/>
        <w:pageBreakBefore w:val="0"/>
        <w:kinsoku/>
        <w:wordWrap/>
        <w:overflowPunct/>
        <w:topLinePunct w:val="0"/>
        <w:bidi w:val="0"/>
        <w:spacing w:line="560" w:lineRule="exact"/>
        <w:jc w:val="both"/>
        <w:textAlignment w:val="auto"/>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16"/>
        <w:rPr>
          <w:rFonts w:hint="eastAsia"/>
        </w:rPr>
      </w:pPr>
    </w:p>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sectPr>
          <w:headerReference r:id="rId3" w:type="default"/>
          <w:footerReference r:id="rId4" w:type="default"/>
          <w:pgSz w:w="11906" w:h="16838"/>
          <w:pgMar w:top="156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三围栏平板车购置项目</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比选</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采购</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文件</w:t>
      </w:r>
    </w:p>
    <w:p>
      <w:pPr>
        <w:keepNext w:val="0"/>
        <w:keepLines w:val="0"/>
        <w:pageBreakBefore w:val="0"/>
        <w:widowControl/>
        <w:kinsoku/>
        <w:wordWrap/>
        <w:overflowPunct/>
        <w:topLinePunct w:val="0"/>
        <w:bidi w:val="0"/>
        <w:spacing w:line="560" w:lineRule="exact"/>
        <w:ind w:firstLine="600" w:firstLineChars="200"/>
        <w:jc w:val="left"/>
        <w:textAlignment w:val="auto"/>
        <w:outlineLvl w:val="9"/>
        <w:rPr>
          <w:rFonts w:hint="eastAsia" w:ascii="方正小标宋_GBK" w:hAnsi="方正小标宋_GBK" w:eastAsia="方正小标宋_GBK" w:cs="方正小标宋_GBK"/>
          <w:color w:val="000000" w:themeColor="text1"/>
          <w:sz w:val="30"/>
          <w:szCs w:val="30"/>
          <w14:textFill>
            <w14:solidFill>
              <w14:schemeClr w14:val="tx1"/>
            </w14:solidFill>
          </w14:textFill>
        </w:rPr>
      </w:pPr>
    </w:p>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重庆空港航空地面服务有限公司拟</w:t>
      </w:r>
      <w:r>
        <w:rPr>
          <w:rFonts w:hint="eastAsia" w:ascii="仿宋_GB2312" w:hAnsi="仿宋_GB2312" w:eastAsia="仿宋_GB2312" w:cs="仿宋_GB2312"/>
          <w:color w:val="000000" w:themeColor="text1"/>
          <w:sz w:val="28"/>
          <w:szCs w:val="28"/>
          <w14:textFill>
            <w14:solidFill>
              <w14:schemeClr w14:val="tx1"/>
            </w14:solidFill>
          </w14:textFill>
        </w:rPr>
        <w:t>决定于近期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实施三围栏平板车购置项目，现邀请符合相应条件的单位参与本次项目的比选。</w:t>
      </w:r>
    </w:p>
    <w:p>
      <w:pPr>
        <w:keepNext w:val="0"/>
        <w:keepLines w:val="0"/>
        <w:pageBreakBefore w:val="0"/>
        <w:widowControl/>
        <w:numPr>
          <w:ilvl w:val="0"/>
          <w:numId w:val="0"/>
        </w:numPr>
        <w:kinsoku/>
        <w:wordWrap/>
        <w:overflowPunct/>
        <w:topLinePunct w:val="0"/>
        <w:bidi w:val="0"/>
        <w:spacing w:line="560" w:lineRule="exact"/>
        <w:ind w:firstLine="560" w:firstLineChars="200"/>
        <w:jc w:val="left"/>
        <w:textAlignment w:val="auto"/>
        <w:outlineLvl w:val="9"/>
        <w:rPr>
          <w:rFonts w:hint="eastAsia" w:ascii="黑体" w:hAnsi="黑体" w:eastAsia="黑体" w:cs="黑体"/>
          <w:color w:val="000000" w:themeColor="text1"/>
          <w:kern w:val="0"/>
          <w:sz w:val="28"/>
          <w:szCs w:val="28"/>
          <w14:textFill>
            <w14:solidFill>
              <w14:schemeClr w14:val="tx1"/>
            </w14:solidFill>
          </w14:textFill>
        </w:rPr>
      </w:pPr>
      <w:bookmarkStart w:id="0" w:name="_Toc9666"/>
      <w:r>
        <w:rPr>
          <w:rFonts w:hint="eastAsia" w:ascii="黑体" w:hAnsi="黑体" w:eastAsia="黑体" w:cs="黑体"/>
          <w:color w:val="000000" w:themeColor="text1"/>
          <w:kern w:val="0"/>
          <w:sz w:val="28"/>
          <w:szCs w:val="28"/>
          <w:lang w:val="en-US" w:eastAsia="zh-CN"/>
          <w14:textFill>
            <w14:solidFill>
              <w14:schemeClr w14:val="tx1"/>
            </w14:solidFill>
          </w14:textFill>
        </w:rPr>
        <w:t>一、</w:t>
      </w:r>
      <w:r>
        <w:rPr>
          <w:rFonts w:hint="eastAsia" w:ascii="黑体" w:hAnsi="黑体" w:eastAsia="黑体" w:cs="黑体"/>
          <w:color w:val="000000" w:themeColor="text1"/>
          <w:kern w:val="0"/>
          <w:sz w:val="28"/>
          <w:szCs w:val="28"/>
          <w14:textFill>
            <w14:solidFill>
              <w14:schemeClr w14:val="tx1"/>
            </w14:solidFill>
          </w14:textFill>
        </w:rPr>
        <w:t>项目实施内容及要求</w:t>
      </w:r>
    </w:p>
    <w:p>
      <w:pPr>
        <w:keepNext w:val="0"/>
        <w:keepLines w:val="0"/>
        <w:pageBreakBefore w:val="0"/>
        <w:kinsoku/>
        <w:wordWrap/>
        <w:overflowPunct/>
        <w:topLinePunct w:val="0"/>
        <w:bidi w:val="0"/>
        <w:snapToGrid w:val="0"/>
        <w:spacing w:line="560" w:lineRule="exact"/>
        <w:ind w:firstLine="562" w:firstLineChars="200"/>
        <w:textAlignment w:val="auto"/>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1.1 比选响应人资格要求</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 xml:space="preserve">1.1.1 </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具备有效三证合一营业执照的独立法人生产商或制造商；如比选响应人为代理商，需提供生产商的唯一授权证明；（提供营业执照复印件并加盖公章）</w:t>
      </w:r>
    </w:p>
    <w:p>
      <w:pPr>
        <w:keepNext w:val="0"/>
        <w:keepLines w:val="0"/>
        <w:pageBreakBefore w:val="0"/>
        <w:kinsoku/>
        <w:wordWrap/>
        <w:overflowPunct/>
        <w:topLinePunct w:val="0"/>
        <w:bidi w:val="0"/>
        <w:spacing w:line="560" w:lineRule="exact"/>
        <w:ind w:firstLine="560" w:firstLineChars="200"/>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 xml:space="preserve">1.1.2 </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自</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2018年1月1日起，</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具备</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至少1个为国内大型机场提供三围栏平板车的供货业绩</w:t>
      </w:r>
      <w:r>
        <w:rPr>
          <w:rFonts w:hint="eastAsia" w:ascii="仿宋_GB2312" w:hAnsi="仿宋_GB2312" w:eastAsia="仿宋_GB2312" w:cs="仿宋_GB2312"/>
          <w:color w:val="000000" w:themeColor="text1"/>
          <w:sz w:val="28"/>
          <w:szCs w:val="28"/>
          <w:shd w:val="clear" w:color="auto" w:fill="FFFFFF"/>
          <w:lang w:eastAsia="zh-CN"/>
          <w14:textFill>
            <w14:solidFill>
              <w14:schemeClr w14:val="tx1"/>
            </w14:solidFill>
          </w14:textFill>
        </w:rPr>
        <w:t>。</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（机场名单详见附件2，提供合同复印件加盖公章）；</w:t>
      </w:r>
    </w:p>
    <w:p>
      <w:pPr>
        <w:keepNext w:val="0"/>
        <w:keepLines w:val="0"/>
        <w:pageBreakBefore w:val="0"/>
        <w:kinsoku/>
        <w:wordWrap/>
        <w:overflowPunct/>
        <w:topLinePunct w:val="0"/>
        <w:bidi w:val="0"/>
        <w:spacing w:line="560" w:lineRule="exact"/>
        <w:ind w:firstLine="560" w:firstLineChars="200"/>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1.1.3 本项目不接受联合体，不得转包、分包。</w:t>
      </w:r>
    </w:p>
    <w:p>
      <w:pPr>
        <w:keepNext w:val="0"/>
        <w:keepLines w:val="0"/>
        <w:pageBreakBefore w:val="0"/>
        <w:widowControl/>
        <w:kinsoku/>
        <w:wordWrap/>
        <w:overflowPunct/>
        <w:topLinePunct w:val="0"/>
        <w:bidi w:val="0"/>
        <w:spacing w:line="560" w:lineRule="exact"/>
        <w:ind w:firstLine="562" w:firstLineChars="200"/>
        <w:jc w:val="left"/>
        <w:textAlignment w:val="auto"/>
        <w:outlineLvl w:val="9"/>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1.2  项目</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概况及要求</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1.2.1 项目</w:t>
      </w:r>
      <w:bookmarkStart w:id="1" w:name="_Hlk36424681"/>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概况</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w:t>
      </w:r>
      <w:bookmarkEnd w:id="1"/>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购置3吨三围栏平板车80辆。</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 设备参数要求：</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*1.2.2.1工作台尺寸：3260mm×1900mm×560mm；</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*1.2.2.2外形尺寸：4760×1900×1360mm</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*1.2.2.3围栏：高度为800mm；两侧围栏底部长度2700mm、上部长度2000mm；</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*1.2.2.4载重量：3000kg；</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*1.2.2.5自重：≧700kg</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*1.2.2.6车架：采用国标GB 8#槽钢焊接而成；</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*1.2.2.7面板：3mm花纹钢板并打漏水孔；</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1.2.2.8围栏：采用30×40mm矩形管焊接而成，底部内侧400mm高度封2mm钢板，不镂空全封；</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1.2.2.9转盘：采用45#钢锻造件；</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1.2.2.10前后轴：采用热轧φ76×5无缝钢管；</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1.2.2.11轴头：采用优质40Cr圆钢，调质后再精加工，固定轮子采用加厚开槽螺母用开口销进行止退；</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1.2.2.12刹车：拖把放下即自动刹车，在任何角度可自动刹车；</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1.2.2.13转向：前轴装有自制转盘，可360°转向，使用安全稳定；</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1.2.2.14拖把：采用φ42×5无缝钢管作把体，φ25圆钢作拉环；</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1.2.2.15插销：φ38圆钢；</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1.2.2.16后挂钩：采用弹簧自锁式拖钩，材料选用优质碳素16MM厚钢板；</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1.2.2.17轮胎：采用优质高强度耐磨橡胶实心轮胎，型号16×5-9，</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1.2.2.18轮子直径约408mm；</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1.2.2.19三面围栏采用全封闭式；</w:t>
      </w:r>
    </w:p>
    <w:p>
      <w:pPr>
        <w:pStyle w:val="2"/>
        <w:rPr>
          <w:rFonts w:hint="default"/>
          <w:lang w:val="en-US" w:eastAsia="zh-CN"/>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1.2.2.20应具备基本防锈功能。</w:t>
      </w:r>
    </w:p>
    <w:p>
      <w:pPr>
        <w:keepNext w:val="0"/>
        <w:keepLines w:val="0"/>
        <w:pageBreakBefore w:val="0"/>
        <w:kinsoku/>
        <w:wordWrap/>
        <w:overflowPunct/>
        <w:topLinePunct w:val="0"/>
        <w:bidi w:val="0"/>
        <w:spacing w:line="560" w:lineRule="exact"/>
        <w:ind w:firstLine="562" w:firstLineChars="200"/>
        <w:contextualSpacing/>
        <w:textAlignment w:val="auto"/>
        <w:outlineLvl w:val="9"/>
        <w:rPr>
          <w:rStyle w:val="26"/>
          <w:rFonts w:hint="default"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特别说明：带*号的为不可负偏离的条款，有任一不满足，比选响应文件将被作废；未带*号的条款为可负偏离的条款，但最多不得超过三项，超过三项（不含）比选响应文件将被作废。</w:t>
      </w:r>
    </w:p>
    <w:p>
      <w:pPr>
        <w:keepNext w:val="0"/>
        <w:keepLines w:val="0"/>
        <w:pageBreakBefore w:val="0"/>
        <w:kinsoku/>
        <w:wordWrap/>
        <w:overflowPunct/>
        <w:topLinePunct w:val="0"/>
        <w:bidi w:val="0"/>
        <w:spacing w:line="560" w:lineRule="exact"/>
        <w:ind w:firstLine="562" w:firstLineChars="200"/>
        <w:textAlignment w:val="auto"/>
        <w:outlineLvl w:val="9"/>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1.2.3 报价要求：</w:t>
      </w:r>
    </w:p>
    <w:p>
      <w:pPr>
        <w:keepNext w:val="0"/>
        <w:keepLines w:val="0"/>
        <w:pageBreakBefore w:val="0"/>
        <w:widowControl/>
        <w:kinsoku/>
        <w:wordWrap/>
        <w:overflowPunct/>
        <w:topLinePunct w:val="0"/>
        <w:bidi w:val="0"/>
        <w:spacing w:line="560" w:lineRule="exact"/>
        <w:ind w:firstLine="548" w:firstLineChars="196"/>
        <w:jc w:val="left"/>
        <w:textAlignment w:val="auto"/>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所涉及到的费用为人民币报价，报价包括完成项目要求的全部成本费用、劳务费用、运输费用、安装调试费用、税金（除增值税外）等的全部费用。因比选响应人自身原因造成漏报、少报皆由其自行承担责任，比选采购人不再补偿。</w:t>
      </w:r>
    </w:p>
    <w:p>
      <w:pPr>
        <w:keepNext w:val="0"/>
        <w:keepLines w:val="0"/>
        <w:pageBreakBefore w:val="0"/>
        <w:widowControl/>
        <w:kinsoku/>
        <w:wordWrap/>
        <w:overflowPunct/>
        <w:topLinePunct w:val="0"/>
        <w:bidi w:val="0"/>
        <w:spacing w:line="560" w:lineRule="exact"/>
        <w:ind w:firstLine="551" w:firstLineChars="196"/>
        <w:jc w:val="left"/>
        <w:textAlignment w:val="auto"/>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本项目最高总限价（不含增值税）为人民币捌拾肆万捌仟元整（小写金额：¥ 848000.00），</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报价超过最高限价，将取消比选响应人的比选资格。</w:t>
      </w:r>
    </w:p>
    <w:bookmarkEnd w:id="0"/>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lang w:val="en-US" w:eastAsia="zh-CN"/>
          <w14:textFill>
            <w14:solidFill>
              <w14:schemeClr w14:val="tx1"/>
            </w14:solidFill>
          </w14:textFill>
        </w:rPr>
        <w:t>二</w:t>
      </w:r>
      <w:r>
        <w:rPr>
          <w:rFonts w:hint="eastAsia" w:ascii="黑体" w:hAnsi="黑体" w:eastAsia="黑体" w:cs="黑体"/>
          <w:color w:val="000000" w:themeColor="text1"/>
          <w:kern w:val="0"/>
          <w:sz w:val="28"/>
          <w:szCs w:val="28"/>
          <w14:textFill>
            <w14:solidFill>
              <w14:schemeClr w14:val="tx1"/>
            </w14:solidFill>
          </w14:textFill>
        </w:rPr>
        <w:t>、成交标准</w:t>
      </w:r>
    </w:p>
    <w:p>
      <w:pPr>
        <w:keepNext w:val="0"/>
        <w:keepLines w:val="0"/>
        <w:pageBreakBefore w:val="0"/>
        <w:kinsoku/>
        <w:wordWrap/>
        <w:overflowPunct/>
        <w:topLinePunct w:val="0"/>
        <w:bidi w:val="0"/>
        <w:spacing w:line="560" w:lineRule="exact"/>
        <w:ind w:firstLine="56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b/>
          <w:bCs w:val="0"/>
          <w:color w:val="000000" w:themeColor="text1"/>
          <w:sz w:val="28"/>
          <w:szCs w:val="28"/>
          <w14:textFill>
            <w14:solidFill>
              <w14:schemeClr w14:val="tx1"/>
            </w14:solidFill>
          </w14:textFill>
        </w:rPr>
        <w:t>成交人采用综合评分法，</w:t>
      </w: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按综合得分从高到低的原则确定</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3名成交候选人，综合得分第1名的成为推荐成交人。</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b w:val="0"/>
          <w:bCs/>
          <w:color w:val="000000" w:themeColor="text1"/>
          <w:kern w:val="0"/>
          <w:sz w:val="28"/>
          <w:szCs w:val="28"/>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14:textFill>
            <w14:solidFill>
              <w14:schemeClr w14:val="tx1"/>
            </w14:solidFill>
          </w14:textFill>
        </w:rPr>
        <w:t>具体</w:t>
      </w:r>
      <w:r>
        <w:rPr>
          <w:rFonts w:hint="eastAsia" w:ascii="仿宋_GB2312" w:hAnsi="仿宋_GB2312" w:eastAsia="仿宋_GB2312" w:cs="仿宋_GB2312"/>
          <w:b w:val="0"/>
          <w:bCs/>
          <w:color w:val="000000" w:themeColor="text1"/>
          <w:sz w:val="28"/>
          <w:szCs w:val="28"/>
          <w14:textFill>
            <w14:solidFill>
              <w14:schemeClr w14:val="tx1"/>
            </w14:solidFill>
          </w14:textFill>
        </w:rPr>
        <w:t>比选规则</w:t>
      </w:r>
      <w:r>
        <w:rPr>
          <w:rFonts w:hint="eastAsia" w:ascii="仿宋_GB2312" w:hAnsi="仿宋_GB2312" w:eastAsia="仿宋_GB2312" w:cs="仿宋_GB2312"/>
          <w:b w:val="0"/>
          <w:bCs/>
          <w:color w:val="000000" w:themeColor="text1"/>
          <w:kern w:val="0"/>
          <w:sz w:val="28"/>
          <w:szCs w:val="28"/>
          <w14:textFill>
            <w14:solidFill>
              <w14:schemeClr w14:val="tx1"/>
            </w14:solidFill>
          </w14:textFill>
        </w:rPr>
        <w:t>如下：</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.1 递交比选响应文件截止时，比选响应文件少于</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个的，应停止比选活动，将递交的比选响应文件退还比选响应人，并重新组织比选。重新比选仍然不足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个单位的，可以继续进行比选</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.2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经评审，</w:t>
      </w:r>
      <w:r>
        <w:rPr>
          <w:rFonts w:hint="eastAsia" w:ascii="仿宋_GB2312" w:hAnsi="仿宋_GB2312" w:eastAsia="仿宋_GB2312" w:cs="仿宋_GB2312"/>
          <w:color w:val="000000" w:themeColor="text1"/>
          <w:kern w:val="0"/>
          <w:sz w:val="28"/>
          <w:szCs w:val="28"/>
          <w14:textFill>
            <w14:solidFill>
              <w14:schemeClr w14:val="tx1"/>
            </w14:solidFill>
          </w14:textFill>
        </w:rPr>
        <w:t>有效比选响应人不足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个的，评审委员会应当否决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该项目的</w:t>
      </w:r>
      <w:r>
        <w:rPr>
          <w:rFonts w:hint="eastAsia" w:ascii="仿宋_GB2312" w:hAnsi="仿宋_GB2312" w:eastAsia="仿宋_GB2312" w:cs="仿宋_GB2312"/>
          <w:color w:val="000000" w:themeColor="text1"/>
          <w:kern w:val="0"/>
          <w:sz w:val="28"/>
          <w:szCs w:val="28"/>
          <w14:textFill>
            <w14:solidFill>
              <w14:schemeClr w14:val="tx1"/>
            </w14:solidFill>
          </w14:textFill>
        </w:rPr>
        <w:t>比选</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但是有效比选响应人的经济、技术等指标仍然具有市场竞争力，能够满足比选文件要求的，评审委员会可以继续评审，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按照</w:t>
      </w:r>
      <w:r>
        <w:rPr>
          <w:rFonts w:hint="eastAsia" w:ascii="仿宋_GB2312" w:hAnsi="仿宋_GB2312" w:eastAsia="仿宋_GB2312" w:cs="仿宋_GB2312"/>
          <w:color w:val="000000" w:themeColor="text1"/>
          <w:kern w:val="0"/>
          <w:sz w:val="28"/>
          <w:szCs w:val="28"/>
          <w14:textFill>
            <w14:solidFill>
              <w14:schemeClr w14:val="tx1"/>
            </w14:solidFill>
          </w14:textFill>
        </w:rPr>
        <w:t>综合评分高的原则确定成交候选人。</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三</w:t>
      </w:r>
      <w:r>
        <w:rPr>
          <w:rFonts w:hint="eastAsia" w:ascii="黑体" w:hAnsi="黑体" w:eastAsia="黑体" w:cs="黑体"/>
          <w:b w:val="0"/>
          <w:bCs/>
          <w:color w:val="000000" w:themeColor="text1"/>
          <w:sz w:val="28"/>
          <w:szCs w:val="28"/>
          <w14:textFill>
            <w14:solidFill>
              <w14:schemeClr w14:val="tx1"/>
            </w14:solidFill>
          </w14:textFill>
        </w:rPr>
        <w:t>、比选</w:t>
      </w:r>
      <w:r>
        <w:rPr>
          <w:rFonts w:hint="eastAsia" w:ascii="黑体" w:hAnsi="黑体" w:eastAsia="黑体" w:cs="黑体"/>
          <w:b w:val="0"/>
          <w:bCs/>
          <w:color w:val="000000" w:themeColor="text1"/>
          <w:sz w:val="28"/>
          <w:szCs w:val="28"/>
          <w:lang w:eastAsia="zh-CN"/>
          <w14:textFill>
            <w14:solidFill>
              <w14:schemeClr w14:val="tx1"/>
            </w14:solidFill>
          </w14:textFill>
        </w:rPr>
        <w:t>采购</w:t>
      </w:r>
      <w:r>
        <w:rPr>
          <w:rFonts w:hint="eastAsia" w:ascii="黑体" w:hAnsi="黑体" w:eastAsia="黑体" w:cs="黑体"/>
          <w:b w:val="0"/>
          <w:bCs/>
          <w:color w:val="000000" w:themeColor="text1"/>
          <w:sz w:val="28"/>
          <w:szCs w:val="28"/>
          <w14:textFill>
            <w14:solidFill>
              <w14:schemeClr w14:val="tx1"/>
            </w14:solidFill>
          </w14:textFill>
        </w:rPr>
        <w:t>文件发放的</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比选</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采购</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文件及相关资料于2021年</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22</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起在</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重庆江北机场外网</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https://www.cqa.cn/u/jichang</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发布</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60" w:lineRule="exact"/>
        <w:ind w:firstLine="560" w:firstLineChars="200"/>
        <w:textAlignment w:val="auto"/>
        <w:rPr>
          <w:rFonts w:hint="eastAsia" w:ascii="黑体" w:hAnsi="黑体" w:eastAsia="黑体" w:cs="黑体"/>
          <w:b w:val="0"/>
          <w:bCs/>
          <w:color w:val="000000" w:themeColor="text1"/>
          <w:kern w:val="2"/>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四、比选响应</w:t>
      </w:r>
      <w:r>
        <w:rPr>
          <w:rFonts w:hint="eastAsia" w:ascii="黑体" w:hAnsi="黑体" w:eastAsia="黑体" w:cs="黑体"/>
          <w:b w:val="0"/>
          <w:bCs/>
          <w:color w:val="000000" w:themeColor="text1"/>
          <w:kern w:val="2"/>
          <w:sz w:val="28"/>
          <w:szCs w:val="28"/>
          <w14:textFill>
            <w14:solidFill>
              <w14:schemeClr w14:val="tx1"/>
            </w14:solidFill>
          </w14:textFill>
        </w:rPr>
        <w:t>保证金及履约保证金</w:t>
      </w:r>
      <w:bookmarkStart w:id="3" w:name="_GoBack"/>
      <w:bookmarkEnd w:id="3"/>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比选</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响应</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保证金：无</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500" w:lineRule="exact"/>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履约保证金：捌万伍仟元整。</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在收到成交通知书后7天内，以银行转账的方式向以下甲方账户提交履约保证金</w:t>
      </w:r>
      <w:r>
        <w:rPr>
          <w:rFonts w:hint="eastAsia" w:ascii="仿宋_GB2312" w:hAnsi="仿宋_GB2312" w:eastAsia="仿宋_GB2312" w:cs="仿宋_GB2312"/>
          <w:color w:val="000000" w:themeColor="text1"/>
          <w:kern w:val="0"/>
          <w:sz w:val="28"/>
          <w:szCs w:val="28"/>
          <w:u w:val="single"/>
          <w:lang w:val="en-US" w:eastAsia="zh-CN"/>
          <w14:textFill>
            <w14:solidFill>
              <w14:schemeClr w14:val="tx1"/>
            </w14:solidFill>
          </w14:textFill>
        </w:rPr>
        <w:t>(大写）捌万肆仟捌佰元整 （小写：¥ 84800.00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。货物到货且验收合格后，由成交人提出申请，甲方于40天内一次性退还，不计利息。</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甲方账户信息：</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户名：重庆空港航空地面服务有限公司</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税号：91500112666441363D</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地址：重庆市渝北区双凤桥街道渝航路1幢1/2-0</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电话号码：023-67153596</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开户银行：建行渝北机场支行</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账户账号：5000 1083 8000 5020 0711</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五、到货期</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自合同生效之日起40日历天内。</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六、</w:t>
      </w:r>
      <w:r>
        <w:rPr>
          <w:rFonts w:hint="eastAsia" w:ascii="黑体" w:hAnsi="黑体" w:eastAsia="黑体" w:cs="黑体"/>
          <w:b w:val="0"/>
          <w:bCs w:val="0"/>
          <w:color w:val="000000" w:themeColor="text1"/>
          <w:sz w:val="28"/>
          <w:szCs w:val="28"/>
          <w14:textFill>
            <w14:solidFill>
              <w14:schemeClr w14:val="tx1"/>
            </w14:solidFill>
          </w14:textFill>
        </w:rPr>
        <w:t>比选响应有效期</w:t>
      </w:r>
    </w:p>
    <w:p>
      <w:pPr>
        <w:keepNext w:val="0"/>
        <w:keepLines w:val="0"/>
        <w:pageBreakBefore w:val="0"/>
        <w:kinsoku/>
        <w:wordWrap/>
        <w:overflowPunct/>
        <w:topLinePunct w:val="0"/>
        <w:bidi w:val="0"/>
        <w:spacing w:line="560" w:lineRule="exact"/>
        <w:ind w:firstLine="560" w:firstLineChars="200"/>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90天（自比选响应人提交比选响应文件截止之日起计算）。</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七</w:t>
      </w:r>
      <w:r>
        <w:rPr>
          <w:rFonts w:hint="eastAsia" w:ascii="黑体" w:hAnsi="黑体" w:eastAsia="黑体" w:cs="黑体"/>
          <w:b w:val="0"/>
          <w:bCs w:val="0"/>
          <w:color w:val="000000" w:themeColor="text1"/>
          <w:sz w:val="28"/>
          <w:szCs w:val="28"/>
          <w14:textFill>
            <w14:solidFill>
              <w14:schemeClr w14:val="tx1"/>
            </w14:solidFill>
          </w14:textFill>
        </w:rPr>
        <w:t>、比选响应文件的编制和提交</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.1 </w:t>
      </w:r>
      <w:r>
        <w:rPr>
          <w:rFonts w:hint="eastAsia" w:ascii="仿宋_GB2312" w:hAnsi="仿宋_GB2312" w:eastAsia="仿宋_GB2312" w:cs="仿宋_GB2312"/>
          <w:color w:val="000000" w:themeColor="text1"/>
          <w:sz w:val="28"/>
          <w:szCs w:val="28"/>
          <w14:textFill>
            <w14:solidFill>
              <w14:schemeClr w14:val="tx1"/>
            </w14:solidFill>
          </w14:textFill>
        </w:rPr>
        <w:t>比选响应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z w:val="28"/>
          <w:szCs w:val="28"/>
          <w:lang w:val="zh-CN"/>
          <w14:textFill>
            <w14:solidFill>
              <w14:schemeClr w14:val="tx1"/>
            </w14:solidFill>
          </w14:textFill>
        </w:rPr>
        <w:t>应当按照</w:t>
      </w:r>
      <w:r>
        <w:rPr>
          <w:rFonts w:hint="eastAsia" w:ascii="仿宋_GB2312" w:hAnsi="仿宋_GB2312" w:eastAsia="仿宋_GB2312" w:cs="仿宋_GB2312"/>
          <w:color w:val="000000" w:themeColor="text1"/>
          <w:sz w:val="28"/>
          <w:szCs w:val="28"/>
          <w14:textFill>
            <w14:solidFill>
              <w14:schemeClr w14:val="tx1"/>
            </w14:solidFill>
          </w14:textFill>
        </w:rPr>
        <w:t>比选</w:t>
      </w:r>
      <w:r>
        <w:rPr>
          <w:rFonts w:hint="eastAsia" w:ascii="仿宋_GB2312" w:hAnsi="仿宋_GB2312" w:eastAsia="仿宋_GB2312" w:cs="仿宋_GB2312"/>
          <w:color w:val="000000" w:themeColor="text1"/>
          <w:sz w:val="28"/>
          <w:szCs w:val="28"/>
          <w:lang w:val="zh-CN"/>
          <w14:textFill>
            <w14:solidFill>
              <w14:schemeClr w14:val="tx1"/>
            </w14:solidFill>
          </w14:textFill>
        </w:rPr>
        <w:t>采购文件的要求编制比选响应文件，比选响应文件应当对</w:t>
      </w:r>
      <w:r>
        <w:rPr>
          <w:rFonts w:hint="eastAsia" w:ascii="仿宋_GB2312" w:hAnsi="仿宋_GB2312" w:eastAsia="仿宋_GB2312" w:cs="仿宋_GB2312"/>
          <w:color w:val="000000" w:themeColor="text1"/>
          <w:sz w:val="28"/>
          <w:szCs w:val="28"/>
          <w14:textFill>
            <w14:solidFill>
              <w14:schemeClr w14:val="tx1"/>
            </w14:solidFill>
          </w14:textFill>
        </w:rPr>
        <w:t>比选</w:t>
      </w:r>
      <w:r>
        <w:rPr>
          <w:rFonts w:hint="eastAsia" w:ascii="仿宋_GB2312" w:hAnsi="仿宋_GB2312" w:eastAsia="仿宋_GB2312" w:cs="仿宋_GB2312"/>
          <w:color w:val="000000" w:themeColor="text1"/>
          <w:sz w:val="28"/>
          <w:szCs w:val="28"/>
          <w:lang w:val="zh-CN"/>
          <w14:textFill>
            <w14:solidFill>
              <w14:schemeClr w14:val="tx1"/>
            </w14:solidFill>
          </w14:textFill>
        </w:rPr>
        <w:t>采购文件提出的要求和条件作出实质性应答。</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b/>
          <w:bCs/>
          <w:color w:val="000000" w:themeColor="text1"/>
          <w:sz w:val="28"/>
          <w:szCs w:val="28"/>
          <w:lang w:val="zh-CN"/>
          <w14:textFill>
            <w14:solidFill>
              <w14:schemeClr w14:val="tx1"/>
            </w14:solidFill>
          </w14:textFill>
        </w:rPr>
        <w:t xml:space="preserve"> 比选响应</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人应按比选采购文件要求编制响应</w:t>
      </w:r>
      <w:r>
        <w:rPr>
          <w:rFonts w:hint="eastAsia" w:ascii="仿宋_GB2312" w:hAnsi="仿宋_GB2312" w:eastAsia="仿宋_GB2312" w:cs="仿宋_GB2312"/>
          <w:b/>
          <w:bCs/>
          <w:color w:val="000000" w:themeColor="text1"/>
          <w:sz w:val="28"/>
          <w:szCs w:val="28"/>
          <w:lang w:val="zh-CN"/>
          <w14:textFill>
            <w14:solidFill>
              <w14:schemeClr w14:val="tx1"/>
            </w14:solidFill>
          </w14:textFill>
        </w:rPr>
        <w:t>文件</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响应文件并</w:t>
      </w:r>
      <w:r>
        <w:rPr>
          <w:rFonts w:hint="eastAsia" w:ascii="仿宋_GB2312" w:hAnsi="仿宋_GB2312" w:eastAsia="仿宋_GB2312" w:cs="仿宋_GB2312"/>
          <w:color w:val="000000" w:themeColor="text1"/>
          <w:sz w:val="28"/>
          <w:szCs w:val="28"/>
          <w:lang w:val="zh-CN"/>
          <w14:textFill>
            <w14:solidFill>
              <w14:schemeClr w14:val="tx1"/>
            </w14:solidFill>
          </w14:textFill>
        </w:rPr>
        <w:t>用A4规格纸编制并装订成册（格式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附后</w:t>
      </w:r>
      <w:r>
        <w:rPr>
          <w:rFonts w:hint="eastAsia" w:ascii="仿宋_GB2312" w:hAnsi="仿宋_GB2312" w:eastAsia="仿宋_GB2312" w:cs="仿宋_GB2312"/>
          <w:color w:val="000000" w:themeColor="text1"/>
          <w:sz w:val="28"/>
          <w:szCs w:val="28"/>
          <w:lang w:val="zh-CN"/>
          <w14:textFill>
            <w14:solidFill>
              <w14:schemeClr w14:val="tx1"/>
            </w14:solidFill>
          </w14:textFill>
        </w:rPr>
        <w:t>），主要由以下几个部分组成：</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.2.1 封面（响应文件应密封，在封面注明项目名称）。</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.2.2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报价函</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bidi w:val="0"/>
        <w:spacing w:line="560" w:lineRule="exact"/>
        <w:ind w:left="0" w:leftChars="0" w:firstLine="638" w:firstLineChars="228"/>
        <w:textAlignment w:val="auto"/>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Style w:val="26"/>
          <w:rFonts w:hint="eastAsia" w:ascii="仿宋_GB2312" w:hAnsi="仿宋_GB2312" w:eastAsia="仿宋_GB2312" w:cs="仿宋_GB2312"/>
          <w:color w:val="000000" w:themeColor="text1"/>
          <w:sz w:val="28"/>
          <w:szCs w:val="28"/>
          <w:lang w:val="zh-CN" w:eastAsia="zh-CN"/>
          <w14:textFill>
            <w14:solidFill>
              <w14:schemeClr w14:val="tx1"/>
            </w14:solidFill>
          </w14:textFill>
        </w:rPr>
        <w:t>.2.</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Style w:val="26"/>
          <w:rFonts w:hint="eastAsia" w:ascii="仿宋_GB2312" w:hAnsi="仿宋_GB2312" w:eastAsia="仿宋_GB2312" w:cs="仿宋_GB2312"/>
          <w:color w:val="000000" w:themeColor="text1"/>
          <w:sz w:val="28"/>
          <w:szCs w:val="28"/>
          <w:lang w:val="zh-CN" w:eastAsia="zh-CN"/>
          <w14:textFill>
            <w14:solidFill>
              <w14:schemeClr w14:val="tx1"/>
            </w14:solidFill>
          </w14:textFill>
        </w:rPr>
        <w:t xml:space="preserve"> 技术部分。</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根据设备参数要求具体描述拟供货设备的各项参数是否符合要求、按技术评分标准准备相关的证明材料等。</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商务部分。主要包括</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比选人响应人授权委托书（原件）、比选响应人资格要求证明文件、按商务评分标准准备相关证明材料以及</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服务承诺等。</w:t>
      </w:r>
    </w:p>
    <w:p>
      <w:pPr>
        <w:keepNext w:val="0"/>
        <w:keepLines w:val="0"/>
        <w:pageBreakBefore w:val="0"/>
        <w:kinsoku/>
        <w:wordWrap/>
        <w:overflowPunct/>
        <w:topLinePunct w:val="0"/>
        <w:bidi w:val="0"/>
        <w:adjustRightInd w:val="0"/>
        <w:snapToGrid w:val="0"/>
        <w:spacing w:line="560" w:lineRule="exact"/>
        <w:ind w:left="1" w:firstLine="560" w:firstLineChars="200"/>
        <w:jc w:val="left"/>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比选响应文件各部分合并装订成一册，纸质文件一式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val="zh-CN"/>
          <w14:textFill>
            <w14:solidFill>
              <w14:schemeClr w14:val="tx1"/>
            </w14:solidFill>
          </w14:textFill>
        </w:rPr>
        <w:t>份，其中正本1份，副本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份。</w:t>
      </w:r>
    </w:p>
    <w:p>
      <w:pPr>
        <w:keepNext w:val="0"/>
        <w:keepLines w:val="0"/>
        <w:pageBreakBefore w:val="0"/>
        <w:kinsoku/>
        <w:wordWrap/>
        <w:overflowPunct/>
        <w:topLinePunct w:val="0"/>
        <w:bidi w:val="0"/>
        <w:adjustRightInd w:val="0"/>
        <w:snapToGrid w:val="0"/>
        <w:spacing w:line="560" w:lineRule="exact"/>
        <w:ind w:left="1" w:firstLine="56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7.2.6比选响应文件一经递交，比选响应人不得查阅、取回。</w:t>
      </w:r>
    </w:p>
    <w:p>
      <w:pPr>
        <w:keepNext w:val="0"/>
        <w:keepLines w:val="0"/>
        <w:pageBreakBefore w:val="0"/>
        <w:kinsoku/>
        <w:wordWrap/>
        <w:overflowPunct/>
        <w:topLinePunct w:val="0"/>
        <w:autoSpaceDE w:val="0"/>
        <w:autoSpaceDN w:val="0"/>
        <w:bidi w:val="0"/>
        <w:adjustRightInd w:val="0"/>
        <w:spacing w:line="560" w:lineRule="exact"/>
        <w:ind w:firstLine="548" w:firstLineChars="196"/>
        <w:textAlignment w:val="auto"/>
        <w:outlineLvl w:val="9"/>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八</w:t>
      </w:r>
      <w:r>
        <w:rPr>
          <w:rFonts w:hint="eastAsia" w:ascii="黑体" w:hAnsi="黑体" w:eastAsia="黑体" w:cs="黑体"/>
          <w:b w:val="0"/>
          <w:bCs/>
          <w:color w:val="000000" w:themeColor="text1"/>
          <w:sz w:val="28"/>
          <w:szCs w:val="28"/>
          <w:lang w:val="zh-CN"/>
          <w14:textFill>
            <w14:solidFill>
              <w14:schemeClr w14:val="tx1"/>
            </w14:solidFill>
          </w14:textFill>
        </w:rPr>
        <w:t>、比选响应文件作废条款</w:t>
      </w:r>
    </w:p>
    <w:p>
      <w:pPr>
        <w:keepNext w:val="0"/>
        <w:keepLines w:val="0"/>
        <w:pageBreakBefore w:val="0"/>
        <w:kinsoku/>
        <w:wordWrap/>
        <w:overflowPunct/>
        <w:topLinePunct w:val="0"/>
        <w:bidi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pacing w:val="-8"/>
          <w:sz w:val="28"/>
          <w:szCs w:val="28"/>
          <w14:textFill>
            <w14:solidFill>
              <w14:schemeClr w14:val="tx1"/>
            </w14:solidFill>
          </w14:textFill>
        </w:rPr>
        <w:t>比选响应</w:t>
      </w:r>
      <w:r>
        <w:rPr>
          <w:rFonts w:hint="eastAsia" w:ascii="仿宋_GB2312" w:hAnsi="仿宋_GB2312" w:eastAsia="仿宋_GB2312" w:cs="仿宋_GB2312"/>
          <w:color w:val="000000" w:themeColor="text1"/>
          <w:spacing w:val="-8"/>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未按要求密封或未准时递交的</w:t>
      </w:r>
      <w:r>
        <w:rPr>
          <w:rFonts w:hint="eastAsia" w:ascii="仿宋_GB2312" w:hAnsi="仿宋_GB2312" w:eastAsia="仿宋_GB2312" w:cs="仿宋_GB2312"/>
          <w:color w:val="000000" w:themeColor="text1"/>
          <w:spacing w:val="-8"/>
          <w:sz w:val="28"/>
          <w:szCs w:val="28"/>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.1.1比选响应文件必须在</w:t>
      </w:r>
      <w:r>
        <w:rPr>
          <w:rFonts w:hint="eastAsia" w:ascii="仿宋_GB2312" w:hAnsi="仿宋_GB2312" w:eastAsia="仿宋_GB2312" w:cs="仿宋_GB2312"/>
          <w:color w:val="000000" w:themeColor="text1"/>
          <w:sz w:val="28"/>
          <w:szCs w:val="28"/>
          <w:u w:val="none"/>
          <w14:textFill>
            <w14:solidFill>
              <w14:schemeClr w14:val="tx1"/>
            </w14:solidFill>
          </w14:textFill>
        </w:rPr>
        <w:t>202</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u w:val="none"/>
          <w14:textFill>
            <w14:solidFill>
              <w14:schemeClr w14:val="tx1"/>
            </w14:solidFill>
          </w14:textFill>
        </w:rPr>
        <w:t>年</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u w:val="none"/>
          <w14:textFill>
            <w14:solidFill>
              <w14:schemeClr w14:val="tx1"/>
            </w14:solidFill>
          </w14:textFill>
        </w:rPr>
        <w:t>月</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29</w:t>
      </w:r>
      <w:r>
        <w:rPr>
          <w:rFonts w:hint="eastAsia" w:ascii="仿宋_GB2312" w:hAnsi="仿宋_GB2312" w:eastAsia="仿宋_GB2312" w:cs="仿宋_GB2312"/>
          <w:color w:val="000000" w:themeColor="text1"/>
          <w:sz w:val="28"/>
          <w:szCs w:val="28"/>
          <w:u w:val="none"/>
          <w14:textFill>
            <w14:solidFill>
              <w14:schemeClr w14:val="tx1"/>
            </w14:solidFill>
          </w14:textFill>
        </w:rPr>
        <w:t>日</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14:00-14:30</w:t>
      </w:r>
      <w:r>
        <w:rPr>
          <w:rFonts w:hint="eastAsia" w:ascii="仿宋_GB2312" w:hAnsi="仿宋_GB2312" w:eastAsia="仿宋_GB2312" w:cs="仿宋_GB2312"/>
          <w:color w:val="000000" w:themeColor="text1"/>
          <w:sz w:val="28"/>
          <w:szCs w:val="28"/>
          <w:u w:val="none"/>
          <w14:textFill>
            <w14:solidFill>
              <w14:schemeClr w14:val="tx1"/>
            </w14:solidFill>
          </w14:textFill>
        </w:rPr>
        <w:t>时</w:t>
      </w:r>
      <w:r>
        <w:rPr>
          <w:rFonts w:hint="eastAsia" w:ascii="仿宋_GB2312" w:hAnsi="仿宋_GB2312" w:eastAsia="仿宋_GB2312" w:cs="仿宋_GB2312"/>
          <w:color w:val="000000" w:themeColor="text1"/>
          <w:sz w:val="28"/>
          <w:szCs w:val="28"/>
          <w14:textFill>
            <w14:solidFill>
              <w14:schemeClr w14:val="tx1"/>
            </w14:solidFill>
          </w14:textFill>
        </w:rPr>
        <w:t>前送到重庆</w:t>
      </w:r>
      <w:r>
        <w:rPr>
          <w:rFonts w:hint="eastAsia" w:ascii="仿宋_GB2312" w:hAnsi="仿宋_GB2312" w:eastAsia="仿宋_GB2312" w:cs="仿宋_GB2312"/>
          <w:color w:val="000000" w:themeColor="text1"/>
          <w:sz w:val="28"/>
          <w:szCs w:val="28"/>
          <w:lang w:eastAsia="zh-CN"/>
          <w14:textFill>
            <w14:solidFill>
              <w14:schemeClr w14:val="tx1"/>
            </w14:solidFill>
          </w14:textFill>
        </w:rPr>
        <w:t>空港航空地面服务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有限公司110房间</w:t>
      </w:r>
      <w:r>
        <w:rPr>
          <w:rFonts w:hint="eastAsia" w:ascii="仿宋_GB2312" w:hAnsi="仿宋_GB2312" w:eastAsia="仿宋_GB2312" w:cs="仿宋_GB2312"/>
          <w:color w:val="000000" w:themeColor="text1"/>
          <w:sz w:val="28"/>
          <w:szCs w:val="28"/>
          <w14:textFill>
            <w14:solidFill>
              <w14:schemeClr w14:val="tx1"/>
            </w14:solidFill>
          </w14:textFill>
        </w:rPr>
        <w:t>，过期不予受理；</w:t>
      </w:r>
    </w:p>
    <w:p>
      <w:pPr>
        <w:keepNext w:val="0"/>
        <w:keepLines w:val="0"/>
        <w:pageBreakBefore w:val="0"/>
        <w:kinsoku/>
        <w:wordWrap/>
        <w:overflowPunct/>
        <w:topLinePunct w:val="0"/>
        <w:autoSpaceDE w:val="0"/>
        <w:autoSpaceDN w:val="0"/>
        <w:bidi w:val="0"/>
        <w:adjustRightInd w:val="0"/>
        <w:snapToGrid w:val="0"/>
        <w:spacing w:line="560" w:lineRule="exact"/>
        <w:ind w:firstLine="551" w:firstLineChars="197"/>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8"/>
          <w:szCs w:val="28"/>
          <w14:textFill>
            <w14:solidFill>
              <w14:schemeClr w14:val="tx1"/>
            </w14:solidFill>
          </w14:textFill>
        </w:rPr>
        <w:t>.1.2封面上须注明“项目名称”，</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kern w:val="0"/>
          <w:sz w:val="28"/>
          <w:szCs w:val="28"/>
          <w14:textFill>
            <w14:solidFill>
              <w14:schemeClr w14:val="tx1"/>
            </w14:solidFill>
          </w14:textFill>
        </w:rPr>
        <w:t>清单</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未按</w:t>
      </w:r>
      <w:r>
        <w:rPr>
          <w:rFonts w:hint="eastAsia" w:ascii="仿宋_GB2312" w:hAnsi="仿宋_GB2312" w:eastAsia="仿宋_GB2312" w:cs="仿宋_GB2312"/>
          <w:color w:val="000000" w:themeColor="text1"/>
          <w:kern w:val="0"/>
          <w:sz w:val="28"/>
          <w:szCs w:val="28"/>
          <w14:textFill>
            <w14:solidFill>
              <w14:schemeClr w14:val="tx1"/>
            </w14:solidFill>
          </w14:textFill>
        </w:rPr>
        <w:t>要求盖章或签字及</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spacing w:val="-8"/>
          <w:sz w:val="28"/>
          <w:szCs w:val="28"/>
          <w14:textFill>
            <w14:solidFill>
              <w14:schemeClr w14:val="tx1"/>
            </w14:solidFill>
          </w14:textFill>
        </w:rPr>
        <w:t>外包装上密封处</w:t>
      </w:r>
      <w:r>
        <w:rPr>
          <w:rFonts w:hint="eastAsia" w:ascii="仿宋_GB2312" w:hAnsi="仿宋_GB2312" w:eastAsia="仿宋_GB2312" w:cs="仿宋_GB2312"/>
          <w:color w:val="000000" w:themeColor="text1"/>
          <w:spacing w:val="-8"/>
          <w:sz w:val="28"/>
          <w:szCs w:val="28"/>
          <w:lang w:eastAsia="zh-CN"/>
          <w14:textFill>
            <w14:solidFill>
              <w14:schemeClr w14:val="tx1"/>
            </w14:solidFill>
          </w14:textFill>
        </w:rPr>
        <w:t>未</w:t>
      </w:r>
      <w:r>
        <w:rPr>
          <w:rFonts w:hint="eastAsia" w:ascii="仿宋_GB2312" w:hAnsi="仿宋_GB2312" w:eastAsia="仿宋_GB2312" w:cs="仿宋_GB2312"/>
          <w:color w:val="000000" w:themeColor="text1"/>
          <w:spacing w:val="-8"/>
          <w:sz w:val="28"/>
          <w:szCs w:val="28"/>
          <w14:textFill>
            <w14:solidFill>
              <w14:schemeClr w14:val="tx1"/>
            </w14:solidFill>
          </w14:textFill>
        </w:rPr>
        <w:t>加盖比选响应</w:t>
      </w:r>
      <w:r>
        <w:rPr>
          <w:rFonts w:hint="eastAsia" w:ascii="仿宋_GB2312" w:hAnsi="仿宋_GB2312" w:eastAsia="仿宋_GB2312" w:cs="仿宋_GB2312"/>
          <w:color w:val="000000" w:themeColor="text1"/>
          <w:spacing w:val="-8"/>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pacing w:val="-8"/>
          <w:sz w:val="28"/>
          <w:szCs w:val="28"/>
          <w14:textFill>
            <w14:solidFill>
              <w14:schemeClr w14:val="tx1"/>
            </w14:solidFill>
          </w14:textFill>
        </w:rPr>
        <w:t>公章。</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.2比选响应文件散装或者活页装订的；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.3资质不符合比选文件要求的；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.4有串通比选或弄虚作假或有其他违法行为的；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.5比选响应文件无有效授权书的；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.6比选有效期不足的；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.7未按规定的格式填写，内容不全或关键字迹模糊、无法辨认</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.8评审委员会审查发现比选响应文件未能对比选文件提出的所有实质性要求和条件作出响应的。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九</w:t>
      </w:r>
      <w:r>
        <w:rPr>
          <w:rFonts w:hint="eastAsia" w:ascii="黑体" w:hAnsi="黑体" w:eastAsia="黑体" w:cs="黑体"/>
          <w:b w:val="0"/>
          <w:bCs w:val="0"/>
          <w:color w:val="000000" w:themeColor="text1"/>
          <w:sz w:val="28"/>
          <w:szCs w:val="28"/>
          <w:lang w:val="zh-CN"/>
          <w14:textFill>
            <w14:solidFill>
              <w14:schemeClr w14:val="tx1"/>
            </w14:solidFill>
          </w14:textFill>
        </w:rPr>
        <w:t>、异议</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.1 比选响应人或其他利害关系人认为采购活动不符合法律、行政等规定的，应当在采购结果公示期之内以书面形式向采购人提出异议（以采购人收到书面异议之日为准）。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异议书应同时提交至</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重庆空港航空地面服务有限公司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304</w:t>
      </w:r>
      <w:r>
        <w:rPr>
          <w:rFonts w:hint="eastAsia" w:ascii="仿宋_GB2312" w:hAnsi="仿宋_GB2312" w:eastAsia="仿宋_GB2312" w:cs="仿宋_GB2312"/>
          <w:color w:val="000000" w:themeColor="text1"/>
          <w:sz w:val="28"/>
          <w:szCs w:val="28"/>
          <w:lang w:eastAsia="zh-CN"/>
          <w14:textFill>
            <w14:solidFill>
              <w14:schemeClr w14:val="tx1"/>
            </w14:solidFill>
          </w14:textFill>
        </w:rPr>
        <w:t>办公室（地址：重庆空港航空地面服务有限公司办公楼；电话：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023-67153808）和</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重庆空港航空地面服务有限公司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110</w:t>
      </w:r>
      <w:r>
        <w:rPr>
          <w:rFonts w:hint="eastAsia" w:ascii="仿宋_GB2312" w:hAnsi="仿宋_GB2312" w:eastAsia="仿宋_GB2312" w:cs="仿宋_GB2312"/>
          <w:color w:val="000000" w:themeColor="text1"/>
          <w:sz w:val="28"/>
          <w:szCs w:val="28"/>
          <w:lang w:eastAsia="zh-CN"/>
          <w14:textFill>
            <w14:solidFill>
              <w14:schemeClr w14:val="tx1"/>
            </w14:solidFill>
          </w14:textFill>
        </w:rPr>
        <w:t>资产设备部（地址：重庆空港航空地面服务有限公司办公楼；电话：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023-67156351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（一）异议提出人的名称、地址及有效联系方式。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（二）异议事项的基本事实。</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（三）异议请求及主张。</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（四）有效线索和相关证据、证明材料。</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异议提出人是法人的，异议函必须由其法定代表人</w:t>
      </w:r>
      <w:r>
        <w:rPr>
          <w:rFonts w:hint="eastAsia" w:ascii="仿宋_GB2312" w:hAnsi="仿宋_GB2312" w:eastAsia="仿宋_GB2312" w:cs="仿宋_GB2312"/>
          <w:color w:val="000000" w:themeColor="text1"/>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14:textFill>
            <w14:solidFill>
              <w14:schemeClr w14:val="tx1"/>
            </w14:solidFill>
          </w14:textFill>
        </w:rPr>
        <w:t>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（四）其他依法应当保密的信息和资料。</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.6 有下列情形之一的异议，不予受理：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（四）不在结果公示期内的。</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（五）已对异议事项做出答复的。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eastAsia="zh-CN"/>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十、</w:t>
      </w:r>
      <w:r>
        <w:rPr>
          <w:rFonts w:hint="eastAsia" w:ascii="黑体" w:hAnsi="黑体" w:eastAsia="黑体" w:cs="黑体"/>
          <w:b w:val="0"/>
          <w:bCs w:val="0"/>
          <w:color w:val="000000" w:themeColor="text1"/>
          <w:sz w:val="28"/>
          <w:szCs w:val="28"/>
          <w:lang w:eastAsia="zh-CN"/>
          <w14:textFill>
            <w14:solidFill>
              <w14:schemeClr w14:val="tx1"/>
            </w14:solidFill>
          </w14:textFill>
        </w:rPr>
        <w:t>监督部门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重庆空港航空地面服务有限公司党群工作部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023-67153808</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eastAsia="zh-CN"/>
          <w14:textFill>
            <w14:solidFill>
              <w14:schemeClr w14:val="tx1"/>
            </w14:solidFill>
          </w14:textFill>
        </w:rPr>
        <w:t>十</w:t>
      </w:r>
      <w:r>
        <w:rPr>
          <w:rFonts w:hint="eastAsia" w:ascii="黑体" w:hAnsi="黑体" w:eastAsia="黑体" w:cs="黑体"/>
          <w:b w:val="0"/>
          <w:bCs w:val="0"/>
          <w:color w:val="000000" w:themeColor="text1"/>
          <w:sz w:val="28"/>
          <w:szCs w:val="28"/>
          <w:lang w:val="en-US" w:eastAsia="zh-CN"/>
          <w14:textFill>
            <w14:solidFill>
              <w14:schemeClr w14:val="tx1"/>
            </w14:solidFill>
          </w14:textFill>
        </w:rPr>
        <w:t>一</w:t>
      </w:r>
      <w:r>
        <w:rPr>
          <w:rFonts w:hint="eastAsia" w:ascii="黑体" w:hAnsi="黑体" w:eastAsia="黑体" w:cs="黑体"/>
          <w:b w:val="0"/>
          <w:bCs w:val="0"/>
          <w:color w:val="000000" w:themeColor="text1"/>
          <w:sz w:val="28"/>
          <w:szCs w:val="28"/>
          <w:lang w:eastAsia="zh-CN"/>
          <w14:textFill>
            <w14:solidFill>
              <w14:schemeClr w14:val="tx1"/>
            </w14:solidFill>
          </w14:textFill>
        </w:rPr>
        <w:t>、比选时间、地点、结果通知</w:t>
      </w:r>
      <w:r>
        <w:rPr>
          <w:rFonts w:hint="eastAsia" w:ascii="黑体" w:hAnsi="黑体" w:eastAsia="黑体" w:cs="黑体"/>
          <w:b w:val="0"/>
          <w:bCs w:val="0"/>
          <w:color w:val="000000" w:themeColor="text1"/>
          <w:sz w:val="28"/>
          <w:szCs w:val="28"/>
          <w:lang w:val="en-US" w:eastAsia="zh-CN"/>
          <w14:textFill>
            <w14:solidFill>
              <w14:schemeClr w14:val="tx1"/>
            </w14:solidFill>
          </w14:textFill>
        </w:rPr>
        <w:t>及合同签订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必须在20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21</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29</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14:00至14:30</w:t>
      </w:r>
      <w:r>
        <w:rPr>
          <w:rFonts w:hint="eastAsia" w:ascii="仿宋_GB2312" w:hAnsi="仿宋_GB2312" w:eastAsia="仿宋_GB2312" w:cs="仿宋_GB2312"/>
          <w:color w:val="000000" w:themeColor="text1"/>
          <w:sz w:val="28"/>
          <w:szCs w:val="28"/>
          <w14:textFill>
            <w14:solidFill>
              <w14:schemeClr w14:val="tx1"/>
            </w14:solidFill>
          </w14:textFill>
        </w:rPr>
        <w:t>时送到</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重庆空港航空地面服务有限公司110房间</w:t>
      </w:r>
      <w:r>
        <w:rPr>
          <w:rFonts w:hint="eastAsia" w:ascii="仿宋_GB2312" w:hAnsi="仿宋_GB2312" w:eastAsia="仿宋_GB2312" w:cs="仿宋_GB2312"/>
          <w:color w:val="000000" w:themeColor="text1"/>
          <w:sz w:val="28"/>
          <w:szCs w:val="28"/>
          <w:u w:val="none"/>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过期不予受理</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11.2 2021</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29</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14:30</w:t>
      </w:r>
      <w:r>
        <w:rPr>
          <w:rFonts w:hint="eastAsia" w:ascii="仿宋_GB2312" w:hAnsi="仿宋_GB2312" w:eastAsia="仿宋_GB2312" w:cs="仿宋_GB2312"/>
          <w:color w:val="000000" w:themeColor="text1"/>
          <w:sz w:val="28"/>
          <w:szCs w:val="28"/>
          <w14:textFill>
            <w14:solidFill>
              <w14:schemeClr w14:val="tx1"/>
            </w14:solidFill>
          </w14:textFill>
        </w:rPr>
        <w:t>时在</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重庆空港航空地面服务有限公司209会议</w:t>
      </w:r>
      <w:r>
        <w:rPr>
          <w:rFonts w:hint="eastAsia" w:ascii="仿宋_GB2312" w:hAnsi="仿宋_GB2312" w:eastAsia="仿宋_GB2312" w:cs="仿宋_GB2312"/>
          <w:color w:val="000000" w:themeColor="text1"/>
          <w:sz w:val="28"/>
          <w:szCs w:val="28"/>
          <w:u w:val="none"/>
          <w14:textFill>
            <w14:solidFill>
              <w14:schemeClr w14:val="tx1"/>
            </w14:solidFill>
          </w14:textFill>
        </w:rPr>
        <w:t>室对本项目进</w:t>
      </w:r>
      <w:r>
        <w:rPr>
          <w:rFonts w:hint="eastAsia" w:ascii="仿宋_GB2312" w:hAnsi="仿宋_GB2312" w:eastAsia="仿宋_GB2312" w:cs="仿宋_GB2312"/>
          <w:color w:val="000000" w:themeColor="text1"/>
          <w:sz w:val="28"/>
          <w:szCs w:val="28"/>
          <w14:textFill>
            <w14:solidFill>
              <w14:schemeClr w14:val="tx1"/>
            </w14:solidFill>
          </w14:textFill>
        </w:rPr>
        <w:t>行比选，各比选响应</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须参加。</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.3 各潜在比选响应人如有疑问，请将加盖公章的书面质疑函</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WORD版、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PDF版</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至少于</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2021年9月26日前</w:t>
      </w:r>
      <w:r>
        <w:rPr>
          <w:rFonts w:hint="eastAsia" w:ascii="仿宋_GB2312" w:hAnsi="仿宋_GB2312" w:eastAsia="仿宋_GB2312" w:cs="仿宋_GB2312"/>
          <w:color w:val="000000" w:themeColor="text1"/>
          <w:sz w:val="28"/>
          <w:szCs w:val="28"/>
          <w:highlight w:val="none"/>
          <w14:textFill>
            <w14:solidFill>
              <w14:schemeClr w14:val="tx1"/>
            </w14:solidFill>
          </w14:textFill>
        </w:rPr>
        <w:t>通过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邮件</w:t>
      </w:r>
      <w:r>
        <w:rPr>
          <w:rFonts w:hint="eastAsia" w:ascii="仿宋_GB2312" w:hAnsi="仿宋_GB2312" w:eastAsia="仿宋_GB2312" w:cs="仿宋_GB2312"/>
          <w:color w:val="000000" w:themeColor="text1"/>
          <w:sz w:val="28"/>
          <w:szCs w:val="28"/>
          <w:highlight w:val="none"/>
          <w14:textFill>
            <w14:solidFill>
              <w14:schemeClr w14:val="tx1"/>
            </w14:solidFill>
          </w14:textFill>
        </w:rPr>
        <w:t>的形式发送</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至以下邮箱：zhengyu@cqa.cn</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11.4  参加比选唱价会议的比选响应人的被授权人应当随身携带本人身份证（原件）和授权委托书（原件），以备核验其合法身份。</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比选响应人若未派被授权人出席比选唱价会议，视为该比选响应人默认比选唱价结果。</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 xml:space="preserve"> 比选响应人一经递交比选响应文件，不得查阅、取回递交的响应文件。</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比选结果</w:t>
      </w:r>
      <w:r>
        <w:rPr>
          <w:rFonts w:hint="eastAsia" w:ascii="仿宋_GB2312" w:hAnsi="仿宋_GB2312" w:eastAsia="仿宋_GB2312" w:cs="仿宋_GB2312"/>
          <w:color w:val="000000" w:themeColor="text1"/>
          <w:sz w:val="28"/>
          <w:szCs w:val="28"/>
          <w:lang w:eastAsia="zh-CN"/>
          <w14:textFill>
            <w14:solidFill>
              <w14:schemeClr w14:val="tx1"/>
            </w14:solidFill>
          </w14:textFill>
        </w:rPr>
        <w:t>通知</w:t>
      </w:r>
      <w:r>
        <w:rPr>
          <w:rFonts w:hint="eastAsia" w:ascii="仿宋_GB2312" w:hAnsi="仿宋_GB2312" w:eastAsia="仿宋_GB2312" w:cs="仿宋_GB2312"/>
          <w:color w:val="000000" w:themeColor="text1"/>
          <w:sz w:val="28"/>
          <w:szCs w:val="28"/>
          <w14:textFill>
            <w14:solidFill>
              <w14:schemeClr w14:val="tx1"/>
            </w14:solidFill>
          </w14:textFill>
        </w:rPr>
        <w:t>：待结果确定后</w:t>
      </w:r>
      <w:r>
        <w:rPr>
          <w:rFonts w:hint="eastAsia" w:ascii="仿宋_GB2312" w:hAnsi="仿宋_GB2312" w:eastAsia="仿宋_GB2312" w:cs="仿宋_GB2312"/>
          <w:color w:val="000000" w:themeColor="text1"/>
          <w:sz w:val="28"/>
          <w:szCs w:val="28"/>
          <w:lang w:eastAsia="zh-CN"/>
          <w14:textFill>
            <w14:solidFill>
              <w14:schemeClr w14:val="tx1"/>
            </w14:solidFill>
          </w14:textFill>
        </w:rPr>
        <w:t>将</w:t>
      </w:r>
      <w:r>
        <w:rPr>
          <w:rFonts w:hint="eastAsia" w:ascii="仿宋_GB2312" w:hAnsi="仿宋_GB2312" w:eastAsia="仿宋_GB2312" w:cs="仿宋_GB2312"/>
          <w:color w:val="000000" w:themeColor="text1"/>
          <w:sz w:val="28"/>
          <w:szCs w:val="28"/>
          <w14:textFill>
            <w14:solidFill>
              <w14:schemeClr w14:val="tx1"/>
            </w14:solidFill>
          </w14:textFill>
        </w:rPr>
        <w:t>在</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重庆江北机场外网</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https://www.cqa.cn/u/jichang</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发布</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拟成交结果公示。</w:t>
      </w:r>
      <w:r>
        <w:rPr>
          <w:rFonts w:hint="eastAsia" w:ascii="仿宋_GB2312" w:hAnsi="仿宋_GB2312" w:eastAsia="仿宋_GB2312" w:cs="仿宋_GB2312"/>
          <w:color w:val="000000" w:themeColor="text1"/>
          <w:sz w:val="28"/>
          <w:szCs w:val="28"/>
          <w:highlight w:val="none"/>
          <w14:textFill>
            <w14:solidFill>
              <w14:schemeClr w14:val="tx1"/>
            </w14:solidFill>
          </w14:textFill>
        </w:rPr>
        <w:t>待结果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经比选人内部决策程序</w:t>
      </w:r>
      <w:r>
        <w:rPr>
          <w:rFonts w:hint="eastAsia" w:ascii="仿宋_GB2312" w:hAnsi="仿宋_GB2312" w:eastAsia="仿宋_GB2312" w:cs="仿宋_GB2312"/>
          <w:color w:val="000000" w:themeColor="text1"/>
          <w:sz w:val="28"/>
          <w:szCs w:val="28"/>
          <w:highlight w:val="none"/>
          <w14:textFill>
            <w14:solidFill>
              <w14:schemeClr w14:val="tx1"/>
            </w14:solidFill>
          </w14:textFill>
        </w:rPr>
        <w:t>确定后会及时通知，原则上只通知被选中的比选响应</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highlight w:val="none"/>
          <w14:textFill>
            <w14:solidFill>
              <w14:schemeClr w14:val="tx1"/>
            </w14:solidFill>
          </w14:textFill>
        </w:rPr>
        <w:t>对未被选中的比选响应</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highlight w:val="none"/>
          <w14:textFill>
            <w14:solidFill>
              <w14:schemeClr w14:val="tx1"/>
            </w14:solidFill>
          </w14:textFill>
        </w:rPr>
        <w:t>不通知</w:t>
      </w:r>
      <w:r>
        <w:rPr>
          <w:rFonts w:hint="eastAsia" w:ascii="仿宋_GB2312" w:hAnsi="仿宋_GB2312" w:eastAsia="仿宋_GB2312" w:cs="仿宋_GB2312"/>
          <w:color w:val="000000" w:themeColor="text1"/>
          <w:sz w:val="28"/>
          <w:szCs w:val="28"/>
          <w14:textFill>
            <w14:solidFill>
              <w14:schemeClr w14:val="tx1"/>
            </w14:solidFill>
          </w14:textFill>
        </w:rPr>
        <w:t>、不解释。</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b w:val="0"/>
          <w:bCs w:val="0"/>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11.7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合同签订：比选响应人接到成交通知后，应在20天内按比选采购文件和比选响应文件与</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签订书面合同。</w:t>
      </w:r>
    </w:p>
    <w:p>
      <w:pPr>
        <w:keepNext w:val="0"/>
        <w:keepLines w:val="0"/>
        <w:pageBreakBefore w:val="0"/>
        <w:kinsoku/>
        <w:wordWrap/>
        <w:overflowPunct/>
        <w:topLinePunct w:val="0"/>
        <w:bidi w:val="0"/>
        <w:snapToGrid w:val="0"/>
        <w:spacing w:line="560" w:lineRule="exact"/>
        <w:ind w:firstLine="548" w:firstLineChars="196"/>
        <w:rPr>
          <w:rFonts w:hint="eastAsia" w:ascii="黑体" w:hAnsi="黑体" w:eastAsia="黑体" w:cs="黑体"/>
          <w:b w:val="0"/>
          <w:bCs/>
          <w:sz w:val="28"/>
          <w:szCs w:val="28"/>
        </w:rPr>
      </w:pPr>
      <w:r>
        <w:rPr>
          <w:rFonts w:hint="eastAsia" w:ascii="黑体" w:hAnsi="黑体" w:eastAsia="黑体" w:cs="黑体"/>
          <w:b w:val="0"/>
          <w:bCs/>
          <w:color w:val="000000"/>
          <w:sz w:val="28"/>
          <w:szCs w:val="28"/>
        </w:rPr>
        <w:t>十</w:t>
      </w:r>
      <w:r>
        <w:rPr>
          <w:rFonts w:hint="eastAsia" w:ascii="黑体" w:hAnsi="黑体" w:eastAsia="黑体" w:cs="黑体"/>
          <w:b w:val="0"/>
          <w:bCs/>
          <w:color w:val="000000"/>
          <w:sz w:val="28"/>
          <w:szCs w:val="28"/>
          <w:lang w:val="en-US" w:eastAsia="zh-CN"/>
        </w:rPr>
        <w:t>二</w:t>
      </w:r>
      <w:r>
        <w:rPr>
          <w:rFonts w:hint="eastAsia" w:ascii="黑体" w:hAnsi="黑体" w:eastAsia="黑体" w:cs="黑体"/>
          <w:b w:val="0"/>
          <w:bCs/>
          <w:color w:val="000000"/>
          <w:sz w:val="28"/>
          <w:szCs w:val="28"/>
        </w:rPr>
        <w:t>、</w:t>
      </w:r>
      <w:r>
        <w:rPr>
          <w:rFonts w:hint="eastAsia" w:ascii="黑体" w:hAnsi="黑体" w:eastAsia="黑体" w:cs="黑体"/>
          <w:b w:val="0"/>
          <w:bCs/>
          <w:sz w:val="28"/>
          <w:szCs w:val="28"/>
        </w:rPr>
        <w:t>联系方式</w:t>
      </w:r>
    </w:p>
    <w:p>
      <w:pPr>
        <w:keepNext w:val="0"/>
        <w:keepLines w:val="0"/>
        <w:pageBreakBefore w:val="0"/>
        <w:kinsoku/>
        <w:wordWrap/>
        <w:overflowPunct/>
        <w:topLinePunct w:val="0"/>
        <w:bidi w:val="0"/>
        <w:snapToGrid w:val="0"/>
        <w:spacing w:line="560" w:lineRule="exact"/>
        <w:ind w:firstLine="548" w:firstLineChars="196"/>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业主：</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联系人：郑老师</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电话：023-67156351</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传真：023-67153540</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default" w:ascii="Times New Roman" w:hAnsi="Times New Roman" w:eastAsia="方正小标宋_GBK" w:cs="Times New Roman"/>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邮编：401120</w:t>
      </w:r>
      <w:bookmarkStart w:id="2" w:name="_Toc7485"/>
    </w:p>
    <w:p>
      <w:pP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br w:type="page"/>
      </w:r>
    </w:p>
    <w:p>
      <w:pPr>
        <w:keepNext w:val="0"/>
        <w:keepLines w:val="0"/>
        <w:pageBreakBefore w:val="0"/>
        <w:kinsoku/>
        <w:wordWrap/>
        <w:overflowPunct/>
        <w:topLinePunct w:val="0"/>
        <w:bidi w:val="0"/>
        <w:spacing w:line="240" w:lineRule="auto"/>
        <w:ind w:left="0" w:leftChars="0" w:firstLine="0" w:firstLineChars="0"/>
        <w:jc w:val="cente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t>比选办法（综合评分法）</w:t>
      </w:r>
    </w:p>
    <w:p>
      <w:pPr>
        <w:pStyle w:val="16"/>
        <w:keepNext w:val="0"/>
        <w:keepLines w:val="0"/>
        <w:pageBreakBefore w:val="0"/>
        <w:kinsoku/>
        <w:wordWrap/>
        <w:overflowPunct/>
        <w:topLinePunct w:val="0"/>
        <w:bidi w:val="0"/>
        <w:spacing w:line="56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本次比选采取综合评分法。在经过初步审查后对符合本文件基本要求的比选响应人进行详细评审，总得分为经济、技术、商务三种</w:t>
      </w:r>
      <w:r>
        <w:rPr>
          <w:rFonts w:hint="eastAsia"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评定因素分别按照相应分值计算分项得分后相加，满分为100分。</w:t>
      </w:r>
    </w:p>
    <w:p>
      <w:pPr>
        <w:pStyle w:val="16"/>
        <w:keepNext w:val="0"/>
        <w:keepLines w:val="0"/>
        <w:pageBreakBefore w:val="0"/>
        <w:kinsoku/>
        <w:wordWrap/>
        <w:overflowPunct/>
        <w:topLinePunct w:val="0"/>
        <w:bidi w:val="0"/>
        <w:spacing w:line="560" w:lineRule="exact"/>
        <w:ind w:firstLine="560"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本次比选评审包括对比选响应文件进行评审，以及对比选响应人现场述标进行评审两部分。</w:t>
      </w:r>
      <w:bookmarkEnd w:id="2"/>
    </w:p>
    <w:tbl>
      <w:tblPr>
        <w:tblStyle w:val="17"/>
        <w:tblW w:w="9535"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450"/>
        <w:gridCol w:w="825"/>
        <w:gridCol w:w="6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条款号</w:t>
            </w:r>
          </w:p>
        </w:tc>
        <w:tc>
          <w:tcPr>
            <w:tcW w:w="1450" w:type="dxa"/>
            <w:vAlign w:val="center"/>
          </w:tcPr>
          <w:p>
            <w:pPr>
              <w:keepNext w:val="0"/>
              <w:keepLines w:val="0"/>
              <w:pageBreakBefore w:val="0"/>
              <w:widowControl w:val="0"/>
              <w:tabs>
                <w:tab w:val="left" w:pos="1875"/>
              </w:tabs>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条款内容</w:t>
            </w:r>
          </w:p>
        </w:tc>
        <w:tc>
          <w:tcPr>
            <w:tcW w:w="6950" w:type="dxa"/>
            <w:gridSpan w:val="2"/>
            <w:vAlign w:val="center"/>
          </w:tcPr>
          <w:p>
            <w:pPr>
              <w:keepNext w:val="0"/>
              <w:keepLines w:val="0"/>
              <w:pageBreakBefore w:val="0"/>
              <w:widowControl w:val="0"/>
              <w:tabs>
                <w:tab w:val="left" w:pos="1875"/>
              </w:tabs>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w:t>
            </w:r>
          </w:p>
        </w:tc>
        <w:tc>
          <w:tcPr>
            <w:tcW w:w="1450" w:type="dxa"/>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分值构成</w:t>
            </w:r>
          </w:p>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（总分100分）</w:t>
            </w:r>
          </w:p>
        </w:tc>
        <w:tc>
          <w:tcPr>
            <w:tcW w:w="695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500" w:lineRule="exact"/>
              <w:ind w:firstLine="420" w:firstLineChars="200"/>
              <w:textAlignment w:val="auto"/>
              <w:outlineLvl w:val="9"/>
              <w:rPr>
                <w:rFonts w:hint="default" w:eastAsia="方正仿宋_GBK" w:cs="Times New Roman"/>
                <w:color w:val="000000"/>
                <w:sz w:val="21"/>
                <w:szCs w:val="21"/>
                <w:lang w:val="en-US" w:eastAsia="zh-CN"/>
              </w:rPr>
            </w:pPr>
            <w:r>
              <w:rPr>
                <w:rFonts w:hint="default" w:eastAsia="方正仿宋_GBK" w:cs="Times New Roman"/>
                <w:color w:val="000000"/>
                <w:sz w:val="21"/>
                <w:szCs w:val="21"/>
                <w:lang w:val="en-US" w:eastAsia="zh-CN"/>
              </w:rPr>
              <w:t>总分=经济部分得分+技术部分得分+商务部分得分</w:t>
            </w:r>
          </w:p>
          <w:p>
            <w:pPr>
              <w:keepNext w:val="0"/>
              <w:keepLines w:val="0"/>
              <w:pageBreakBefore w:val="0"/>
              <w:widowControl w:val="0"/>
              <w:kinsoku/>
              <w:wordWrap/>
              <w:overflowPunct/>
              <w:topLinePunct w:val="0"/>
              <w:autoSpaceDE/>
              <w:autoSpaceDN/>
              <w:bidi w:val="0"/>
              <w:snapToGrid w:val="0"/>
              <w:spacing w:line="500" w:lineRule="exact"/>
              <w:ind w:firstLine="420" w:firstLineChars="200"/>
              <w:textAlignment w:val="auto"/>
              <w:outlineLvl w:val="9"/>
              <w:rPr>
                <w:rFonts w:hint="default" w:ascii="Times New Roman" w:hAnsi="Times New Roman" w:eastAsia="方正仿宋_GBK" w:cs="Times New Roman"/>
                <w:color w:val="000000"/>
                <w:szCs w:val="21"/>
                <w:lang w:val="en-US" w:eastAsia="zh-CN"/>
              </w:rPr>
            </w:pPr>
            <w:r>
              <w:rPr>
                <w:rFonts w:hint="default" w:eastAsia="方正仿宋_GBK" w:cs="Times New Roman"/>
                <w:color w:val="000000"/>
                <w:sz w:val="21"/>
                <w:szCs w:val="21"/>
                <w:lang w:val="en-US" w:eastAsia="zh-CN"/>
              </w:rPr>
              <w:t>经济部分：</w:t>
            </w:r>
            <w:r>
              <w:rPr>
                <w:rFonts w:hint="eastAsia" w:eastAsia="方正仿宋_GBK" w:cs="Times New Roman"/>
                <w:color w:val="000000"/>
                <w:sz w:val="21"/>
                <w:szCs w:val="21"/>
                <w:lang w:val="en-US" w:eastAsia="zh-CN"/>
              </w:rPr>
              <w:t>65</w:t>
            </w:r>
            <w:r>
              <w:rPr>
                <w:rFonts w:hint="default" w:eastAsia="方正仿宋_GBK" w:cs="Times New Roman"/>
                <w:color w:val="000000"/>
                <w:sz w:val="21"/>
                <w:szCs w:val="21"/>
                <w:lang w:val="en-US" w:eastAsia="zh-CN"/>
              </w:rPr>
              <w:t>分；技术部分：</w:t>
            </w:r>
            <w:r>
              <w:rPr>
                <w:rFonts w:hint="eastAsia" w:eastAsia="方正仿宋_GBK" w:cs="Times New Roman"/>
                <w:color w:val="000000"/>
                <w:sz w:val="21"/>
                <w:szCs w:val="21"/>
                <w:lang w:val="en-US" w:eastAsia="zh-CN"/>
              </w:rPr>
              <w:t>22</w:t>
            </w:r>
            <w:r>
              <w:rPr>
                <w:rFonts w:hint="default" w:eastAsia="方正仿宋_GBK" w:cs="Times New Roman"/>
                <w:color w:val="000000"/>
                <w:sz w:val="21"/>
                <w:szCs w:val="21"/>
                <w:lang w:val="en-US" w:eastAsia="zh-CN"/>
              </w:rPr>
              <w:t>分；商务部分：</w:t>
            </w:r>
            <w:r>
              <w:rPr>
                <w:rFonts w:hint="eastAsia" w:eastAsia="方正仿宋_GBK" w:cs="Times New Roman"/>
                <w:color w:val="000000"/>
                <w:sz w:val="21"/>
                <w:szCs w:val="21"/>
                <w:lang w:val="en-US" w:eastAsia="zh-CN"/>
              </w:rPr>
              <w:t>13</w:t>
            </w:r>
            <w:r>
              <w:rPr>
                <w:rFonts w:hint="default" w:eastAsia="方正仿宋_GBK" w:cs="Times New Roman"/>
                <w:color w:val="000000"/>
                <w:sz w:val="21"/>
                <w:szCs w:val="21"/>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color w:val="000000"/>
                <w:sz w:val="28"/>
                <w:szCs w:val="28"/>
              </w:rPr>
              <w:t>条款号</w:t>
            </w:r>
          </w:p>
        </w:tc>
        <w:tc>
          <w:tcPr>
            <w:tcW w:w="1450"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color w:val="000000"/>
                <w:sz w:val="28"/>
                <w:szCs w:val="28"/>
              </w:rPr>
              <w:t>评审因素</w:t>
            </w:r>
          </w:p>
        </w:tc>
        <w:tc>
          <w:tcPr>
            <w:tcW w:w="825"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rPr>
            </w:pPr>
            <w:r>
              <w:rPr>
                <w:rFonts w:hint="default" w:ascii="Times New Roman" w:hAnsi="Times New Roman" w:eastAsia="方正仿宋_GBK" w:cs="Times New Roman"/>
                <w:b/>
                <w:color w:val="000000"/>
                <w:sz w:val="28"/>
                <w:szCs w:val="28"/>
              </w:rPr>
              <w:t>分值</w:t>
            </w:r>
          </w:p>
        </w:tc>
        <w:tc>
          <w:tcPr>
            <w:tcW w:w="6125" w:type="dxa"/>
            <w:tcBorders>
              <w:lef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default" w:ascii="Times New Roman" w:hAnsi="Times New Roman" w:eastAsia="方正仿宋_GBK" w:cs="Times New Roman"/>
                <w:b/>
                <w:color w:val="000000"/>
                <w:sz w:val="28"/>
                <w:szCs w:val="28"/>
                <w:lang w:val="en-US" w:eastAsia="zh-CN"/>
              </w:rPr>
              <w:t>2.1</w:t>
            </w:r>
          </w:p>
        </w:tc>
        <w:tc>
          <w:tcPr>
            <w:tcW w:w="1450"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default" w:ascii="Times New Roman" w:hAnsi="Times New Roman" w:eastAsia="方正仿宋_GBK" w:cs="Times New Roman"/>
                <w:b/>
                <w:color w:val="000000"/>
                <w:sz w:val="28"/>
                <w:szCs w:val="28"/>
                <w:lang w:val="en-US" w:eastAsia="zh-CN"/>
              </w:rPr>
              <w:t>经济部分评分标准</w:t>
            </w:r>
          </w:p>
        </w:tc>
        <w:tc>
          <w:tcPr>
            <w:tcW w:w="825"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eastAsia" w:eastAsia="方正仿宋_GBK" w:cs="Times New Roman"/>
                <w:b/>
                <w:color w:val="000000"/>
                <w:sz w:val="28"/>
                <w:szCs w:val="28"/>
                <w:lang w:val="en-US" w:eastAsia="zh-CN"/>
              </w:rPr>
              <w:t>65</w:t>
            </w:r>
            <w:r>
              <w:rPr>
                <w:rFonts w:hint="default" w:ascii="Times New Roman" w:hAnsi="Times New Roman" w:eastAsia="方正仿宋_GBK" w:cs="Times New Roman"/>
                <w:b/>
                <w:color w:val="000000"/>
                <w:sz w:val="28"/>
                <w:szCs w:val="28"/>
                <w:lang w:val="en-US" w:eastAsia="zh-CN"/>
              </w:rPr>
              <w:t>分</w:t>
            </w:r>
          </w:p>
        </w:tc>
        <w:tc>
          <w:tcPr>
            <w:tcW w:w="6125" w:type="dxa"/>
            <w:tcBorders>
              <w:left w:val="single" w:color="auto" w:sz="4" w:space="0"/>
            </w:tcBorders>
            <w:vAlign w:val="center"/>
          </w:tcPr>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所有经初步评审合格的不含税总报价中去掉1/6（不能整除的按小数前整数取整，不足六家（含）报价则不去掉）的最高价和相同家数的最低价后进行算术平均，所得的算术平均值即为评审基准价。</w:t>
            </w:r>
          </w:p>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报价的偏差率计算公式：</w:t>
            </w:r>
          </w:p>
          <w:p>
            <w:pPr>
              <w:snapToGrid w:val="0"/>
              <w:spacing w:line="500" w:lineRule="exact"/>
              <w:ind w:firstLine="420" w:firstLineChars="200"/>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偏差率=1OO％×(比选响应人报价一评审基准价)／评审基准价    </w:t>
            </w:r>
          </w:p>
          <w:p>
            <w:pPr>
              <w:autoSpaceDE/>
              <w:autoSpaceDN/>
              <w:snapToGrid w:val="0"/>
              <w:spacing w:line="500" w:lineRule="exact"/>
              <w:ind w:firstLine="420" w:firstLineChars="200"/>
              <w:outlineLvl w:val="9"/>
              <w:rPr>
                <w:rFonts w:hint="default" w:ascii="Times New Roman" w:hAnsi="Times New Roman" w:eastAsia="方正仿宋_GBK" w:cs="Times New Roman"/>
                <w:b/>
                <w:color w:val="000000"/>
                <w:kern w:val="0"/>
                <w:sz w:val="28"/>
                <w:szCs w:val="28"/>
              </w:rPr>
            </w:pPr>
            <w:r>
              <w:rPr>
                <w:rFonts w:hint="eastAsia" w:ascii="宋体" w:hAnsi="宋体" w:eastAsia="宋体" w:cs="宋体"/>
                <w:b w:val="0"/>
                <w:color w:val="000000"/>
                <w:kern w:val="2"/>
                <w:sz w:val="21"/>
                <w:szCs w:val="21"/>
                <w:lang w:val="en-US" w:eastAsia="zh-CN" w:bidi="ar-SA"/>
              </w:rPr>
              <w:t>所有经初步评审合格的比选响应人的不含税总报价与评审基准价进行比较，等于评审基准价的得65分；有效报价与评审基准价格相比，每增加1％扣0.5分，每减少1％扣0.3分；扣完为止。</w:t>
            </w:r>
            <w:r>
              <w:rPr>
                <w:rFonts w:hint="default" w:ascii="Times New Roman" w:hAnsi="Times New Roman" w:eastAsia="方正仿宋_GBK" w:cs="Times New Roman"/>
                <w:bCs/>
                <w:color w:val="00000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trPr>
        <w:tc>
          <w:tcPr>
            <w:tcW w:w="1135"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rPr>
              <w:t>2.</w:t>
            </w:r>
            <w:r>
              <w:rPr>
                <w:rFonts w:hint="default" w:ascii="Times New Roman" w:hAnsi="Times New Roman" w:eastAsia="方正仿宋_GBK" w:cs="Times New Roman"/>
                <w:b/>
                <w:bCs/>
                <w:color w:val="000000"/>
                <w:sz w:val="28"/>
                <w:szCs w:val="28"/>
                <w:lang w:val="en-US" w:eastAsia="zh-CN"/>
              </w:rPr>
              <w:t>2</w:t>
            </w:r>
          </w:p>
        </w:tc>
        <w:tc>
          <w:tcPr>
            <w:tcW w:w="145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技术</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部分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标准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eastAsia" w:eastAsia="方正仿宋_GBK" w:cs="Times New Roman"/>
                <w:b/>
                <w:bCs/>
                <w:color w:val="000000"/>
                <w:sz w:val="28"/>
                <w:szCs w:val="28"/>
                <w:lang w:val="en-US" w:eastAsia="zh-CN"/>
              </w:rPr>
              <w:t>22</w:t>
            </w:r>
            <w:r>
              <w:rPr>
                <w:rFonts w:hint="default" w:ascii="Times New Roman" w:hAnsi="Times New Roman" w:eastAsia="方正仿宋_GBK" w:cs="Times New Roman"/>
                <w:b/>
                <w:bCs/>
                <w:color w:val="000000"/>
                <w:sz w:val="28"/>
                <w:szCs w:val="28"/>
              </w:rPr>
              <w:t>分</w:t>
            </w:r>
          </w:p>
        </w:tc>
        <w:tc>
          <w:tcPr>
            <w:tcW w:w="6125" w:type="dxa"/>
            <w:tcBorders>
              <w:left w:val="single" w:color="auto" w:sz="4" w:space="0"/>
              <w:bottom w:val="single" w:color="auto" w:sz="4" w:space="0"/>
            </w:tcBorders>
            <w:vAlign w:val="center"/>
          </w:tcPr>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1.</w:t>
            </w:r>
            <w:r>
              <w:rPr>
                <w:rFonts w:hint="eastAsia" w:ascii="宋体" w:hAnsi="宋体" w:eastAsia="宋体" w:cs="宋体"/>
                <w:color w:val="000000"/>
                <w:sz w:val="21"/>
                <w:szCs w:val="21"/>
                <w:lang w:val="en-US" w:eastAsia="zh-CN"/>
              </w:rPr>
              <w:t>防锈工艺</w:t>
            </w:r>
            <w:r>
              <w:rPr>
                <w:rFonts w:hint="default"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CN"/>
              </w:rPr>
              <w:t>5</w:t>
            </w:r>
            <w:r>
              <w:rPr>
                <w:rFonts w:hint="default" w:ascii="宋体" w:hAnsi="宋体" w:eastAsia="宋体" w:cs="宋体"/>
                <w:color w:val="000000"/>
                <w:sz w:val="21"/>
                <w:szCs w:val="21"/>
                <w:lang w:val="en-US" w:eastAsia="zh-CN"/>
              </w:rPr>
              <w:t>分）</w:t>
            </w:r>
          </w:p>
          <w:p>
            <w:pPr>
              <w:snapToGrid w:val="0"/>
              <w:spacing w:line="500" w:lineRule="exact"/>
              <w:ind w:firstLine="420" w:firstLineChars="200"/>
              <w:jc w:val="both"/>
              <w:outlineLvl w:val="9"/>
              <w:rPr>
                <w:rFonts w:hint="default" w:ascii="Times New Roman" w:hAnsi="Times New Roman" w:cs="Times New Roman"/>
                <w:color w:val="000000"/>
                <w:lang w:val="en-US" w:eastAsia="zh-CN"/>
              </w:rPr>
            </w:pPr>
            <w:r>
              <w:rPr>
                <w:rFonts w:hint="eastAsia" w:ascii="宋体" w:hAnsi="宋体" w:eastAsia="宋体" w:cs="宋体"/>
                <w:color w:val="000000"/>
                <w:sz w:val="21"/>
                <w:szCs w:val="21"/>
                <w:lang w:val="en-US" w:eastAsia="zh-CN"/>
              </w:rPr>
              <w:t>采用热镀锌工艺的得5分；采用喷锌工艺的得3分；采用镀锌工艺的得1分；其他工艺不得分。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14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2.</w:t>
            </w:r>
            <w:r>
              <w:rPr>
                <w:rFonts w:hint="eastAsia" w:ascii="宋体" w:hAnsi="宋体" w:eastAsia="宋体" w:cs="宋体"/>
                <w:color w:val="000000"/>
                <w:sz w:val="21"/>
                <w:szCs w:val="21"/>
                <w:lang w:val="en-US" w:eastAsia="zh-CN"/>
              </w:rPr>
              <w:t>插销锁扣</w:t>
            </w:r>
            <w:r>
              <w:rPr>
                <w:rFonts w:hint="default"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CN"/>
              </w:rPr>
              <w:t>3</w:t>
            </w:r>
            <w:r>
              <w:rPr>
                <w:rFonts w:hint="default" w:ascii="宋体" w:hAnsi="宋体" w:eastAsia="宋体" w:cs="宋体"/>
                <w:color w:val="000000"/>
                <w:sz w:val="21"/>
                <w:szCs w:val="21"/>
                <w:lang w:val="en-US" w:eastAsia="zh-CN"/>
              </w:rPr>
              <w:t>分）</w:t>
            </w:r>
          </w:p>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需提供</w:t>
            </w:r>
            <w:r>
              <w:rPr>
                <w:rFonts w:hint="eastAsia" w:ascii="宋体" w:hAnsi="宋体" w:eastAsia="宋体" w:cs="宋体"/>
                <w:color w:val="000000"/>
                <w:sz w:val="21"/>
                <w:szCs w:val="21"/>
                <w:lang w:val="en-US" w:eastAsia="zh-CN"/>
              </w:rPr>
              <w:t>插销锁扣设计、使用的详细说明</w:t>
            </w:r>
            <w:r>
              <w:rPr>
                <w:rFonts w:hint="default" w:ascii="宋体" w:hAnsi="宋体" w:eastAsia="宋体" w:cs="宋体"/>
                <w:color w:val="000000"/>
                <w:sz w:val="21"/>
                <w:szCs w:val="21"/>
                <w:lang w:val="en-US" w:eastAsia="zh-CN"/>
              </w:rPr>
              <w:t>。评审</w:t>
            </w:r>
            <w:r>
              <w:rPr>
                <w:rFonts w:hint="eastAsia" w:ascii="宋体" w:hAnsi="宋体" w:eastAsia="宋体" w:cs="宋体"/>
                <w:color w:val="000000"/>
                <w:sz w:val="21"/>
                <w:szCs w:val="21"/>
                <w:lang w:val="en-US" w:eastAsia="zh-CN"/>
              </w:rPr>
              <w:t>将结合现场运行的模式，从先进性、安全性、便捷性角度评分。</w:t>
            </w:r>
          </w:p>
          <w:p>
            <w:pPr>
              <w:snapToGrid w:val="0"/>
              <w:spacing w:line="500" w:lineRule="exact"/>
              <w:ind w:firstLine="420" w:firstLineChars="200"/>
              <w:jc w:val="both"/>
              <w:outlineLvl w:val="9"/>
              <w:rPr>
                <w:rFonts w:hint="default" w:ascii="Times New Roman" w:hAnsi="Times New Roman" w:eastAsia="方正仿宋_GBK" w:cs="Times New Roman"/>
                <w:color w:val="000000"/>
                <w:sz w:val="21"/>
                <w:szCs w:val="21"/>
                <w:lang w:eastAsia="zh-CN"/>
              </w:rPr>
            </w:pPr>
            <w:r>
              <w:rPr>
                <w:rFonts w:hint="default" w:ascii="宋体" w:hAnsi="宋体" w:eastAsia="宋体" w:cs="宋体"/>
                <w:color w:val="000000"/>
                <w:sz w:val="21"/>
                <w:szCs w:val="21"/>
                <w:lang w:val="en-US" w:eastAsia="zh-CN"/>
              </w:rPr>
              <w:t>满分</w:t>
            </w:r>
            <w:r>
              <w:rPr>
                <w:rFonts w:hint="eastAsia" w:ascii="宋体" w:hAnsi="宋体" w:eastAsia="宋体" w:cs="宋体"/>
                <w:color w:val="000000"/>
                <w:sz w:val="21"/>
                <w:szCs w:val="21"/>
                <w:lang w:val="en-US" w:eastAsia="zh-CN"/>
              </w:rPr>
              <w:t>3</w:t>
            </w:r>
            <w:r>
              <w:rPr>
                <w:rFonts w:hint="default" w:ascii="宋体" w:hAnsi="宋体" w:eastAsia="宋体" w:cs="宋体"/>
                <w:color w:val="000000"/>
                <w:sz w:val="21"/>
                <w:szCs w:val="21"/>
                <w:lang w:val="en-US" w:eastAsia="zh-CN"/>
              </w:rPr>
              <w:t>分（好</w:t>
            </w:r>
            <w:r>
              <w:rPr>
                <w:rFonts w:hint="eastAsia" w:ascii="宋体" w:hAnsi="宋体" w:eastAsia="宋体" w:cs="宋体"/>
                <w:color w:val="000000"/>
                <w:sz w:val="21"/>
                <w:szCs w:val="21"/>
                <w:lang w:val="en-US" w:eastAsia="zh-CN"/>
              </w:rPr>
              <w:t>3</w:t>
            </w:r>
            <w:r>
              <w:rPr>
                <w:rFonts w:hint="default" w:ascii="宋体" w:hAnsi="宋体" w:eastAsia="宋体" w:cs="宋体"/>
                <w:color w:val="000000"/>
                <w:sz w:val="21"/>
                <w:szCs w:val="21"/>
                <w:lang w:val="en-US" w:eastAsia="zh-CN"/>
              </w:rPr>
              <w:t>分，一般</w:t>
            </w:r>
            <w:r>
              <w:rPr>
                <w:rFonts w:hint="eastAsia" w:ascii="宋体" w:hAnsi="宋体" w:eastAsia="宋体" w:cs="宋体"/>
                <w:color w:val="000000"/>
                <w:sz w:val="21"/>
                <w:szCs w:val="21"/>
                <w:lang w:val="en-US" w:eastAsia="zh-CN"/>
              </w:rPr>
              <w:t>2</w:t>
            </w:r>
            <w:r>
              <w:rPr>
                <w:rFonts w:hint="default" w:ascii="宋体" w:hAnsi="宋体" w:eastAsia="宋体" w:cs="宋体"/>
                <w:color w:val="000000"/>
                <w:sz w:val="21"/>
                <w:szCs w:val="21"/>
                <w:lang w:val="en-US" w:eastAsia="zh-CN"/>
              </w:rPr>
              <w:t>分，差</w:t>
            </w:r>
            <w:r>
              <w:rPr>
                <w:rFonts w:hint="eastAsia" w:ascii="宋体" w:hAnsi="宋体" w:eastAsia="宋体" w:cs="宋体"/>
                <w:color w:val="000000"/>
                <w:sz w:val="21"/>
                <w:szCs w:val="21"/>
                <w:lang w:val="en-US" w:eastAsia="zh-CN"/>
              </w:rPr>
              <w:t>0-1</w:t>
            </w:r>
            <w:r>
              <w:rPr>
                <w:rFonts w:hint="default" w:ascii="宋体" w:hAnsi="宋体" w:eastAsia="宋体" w:cs="宋体"/>
                <w:color w:val="000000"/>
                <w:sz w:val="21"/>
                <w:szCs w:val="21"/>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14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3.</w:t>
            </w:r>
            <w:r>
              <w:rPr>
                <w:rFonts w:hint="eastAsia" w:ascii="宋体" w:hAnsi="宋体" w:eastAsia="宋体" w:cs="宋体"/>
                <w:color w:val="000000"/>
                <w:sz w:val="21"/>
                <w:szCs w:val="21"/>
                <w:lang w:val="en-US" w:eastAsia="zh-CN"/>
              </w:rPr>
              <w:t>平板载重量</w:t>
            </w:r>
            <w:r>
              <w:rPr>
                <w:rFonts w:hint="default"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CN"/>
              </w:rPr>
              <w:t>4</w:t>
            </w:r>
            <w:r>
              <w:rPr>
                <w:rFonts w:hint="default" w:ascii="宋体" w:hAnsi="宋体" w:eastAsia="宋体" w:cs="宋体"/>
                <w:color w:val="000000"/>
                <w:sz w:val="21"/>
                <w:szCs w:val="21"/>
                <w:lang w:val="en-US" w:eastAsia="zh-CN"/>
              </w:rPr>
              <w:t>分）</w:t>
            </w:r>
          </w:p>
          <w:p>
            <w:pPr>
              <w:snapToGrid w:val="0"/>
              <w:spacing w:line="500" w:lineRule="exact"/>
              <w:ind w:firstLine="420" w:firstLineChars="200"/>
              <w:jc w:val="both"/>
              <w:outlineLvl w:val="9"/>
              <w:rPr>
                <w:rFonts w:hint="default" w:ascii="Times New Roman" w:hAnsi="Times New Roman" w:eastAsia="方正仿宋_GBK" w:cs="Times New Roman"/>
                <w:color w:val="000000"/>
                <w:sz w:val="21"/>
                <w:szCs w:val="21"/>
              </w:rPr>
            </w:pPr>
            <w:r>
              <w:rPr>
                <w:rFonts w:hint="eastAsia" w:ascii="宋体" w:hAnsi="宋体" w:eastAsia="宋体" w:cs="宋体"/>
                <w:color w:val="000000"/>
                <w:sz w:val="21"/>
                <w:szCs w:val="21"/>
                <w:lang w:val="en-US" w:eastAsia="zh-CN"/>
              </w:rPr>
              <w:t>3000kg＜载重量＜4000kg得2分；载重量≥4000kg得4分。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14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r>
              <w:rPr>
                <w:rFonts w:hint="default"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CN"/>
              </w:rPr>
              <w:t>轮胎</w:t>
            </w:r>
            <w:r>
              <w:rPr>
                <w:rFonts w:hint="default"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CN"/>
              </w:rPr>
              <w:t>4</w:t>
            </w:r>
            <w:r>
              <w:rPr>
                <w:rFonts w:hint="default" w:ascii="宋体" w:hAnsi="宋体" w:eastAsia="宋体" w:cs="宋体"/>
                <w:color w:val="000000"/>
                <w:sz w:val="21"/>
                <w:szCs w:val="21"/>
                <w:lang w:val="en-US" w:eastAsia="zh-CN"/>
              </w:rPr>
              <w:t>分）</w:t>
            </w:r>
          </w:p>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①</w:t>
            </w:r>
            <w:r>
              <w:rPr>
                <w:rFonts w:hint="eastAsia" w:ascii="宋体" w:hAnsi="宋体" w:eastAsia="宋体" w:cs="宋体"/>
                <w:color w:val="000000"/>
                <w:sz w:val="21"/>
                <w:szCs w:val="21"/>
                <w:lang w:val="en-US" w:eastAsia="zh-CN"/>
              </w:rPr>
              <w:t>提供配置轮胎的检测报告（2分）。根据检测报告显示的其原材料指数、强度指数、伸长率等量化指标方面进行比较评分。（好2分，一般1分，差0分）</w:t>
            </w:r>
          </w:p>
          <w:p>
            <w:pPr>
              <w:snapToGrid w:val="0"/>
              <w:spacing w:line="500" w:lineRule="exact"/>
              <w:ind w:firstLine="420" w:firstLineChars="200"/>
              <w:jc w:val="both"/>
              <w:outlineLvl w:val="9"/>
              <w:rPr>
                <w:rFonts w:hint="default"/>
                <w:lang w:val="en-US" w:eastAsia="zh-CN"/>
              </w:rPr>
            </w:pPr>
            <w:r>
              <w:rPr>
                <w:rFonts w:hint="default" w:ascii="宋体" w:hAnsi="宋体" w:eastAsia="宋体" w:cs="宋体"/>
                <w:color w:val="000000"/>
                <w:sz w:val="21"/>
                <w:szCs w:val="21"/>
                <w:lang w:val="en-US" w:eastAsia="zh-CN"/>
              </w:rPr>
              <w:t>②</w:t>
            </w:r>
            <w:r>
              <w:rPr>
                <w:rFonts w:hint="eastAsia" w:ascii="宋体" w:hAnsi="宋体" w:eastAsia="宋体" w:cs="宋体"/>
                <w:color w:val="000000"/>
                <w:sz w:val="21"/>
                <w:szCs w:val="21"/>
                <w:lang w:val="en-US" w:eastAsia="zh-CN"/>
              </w:rPr>
              <w:t>提供轮胎设计、使用的详细说明（2分）。根据轮胎设计的合理性、保养的便利性，结合现场运行综合评分。（好2分，一般1分，差0分）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14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5.围栏与底部连接工艺（2分）</w:t>
            </w:r>
          </w:p>
          <w:p>
            <w:pPr>
              <w:snapToGrid w:val="0"/>
              <w:spacing w:line="500" w:lineRule="exact"/>
              <w:ind w:firstLine="420" w:firstLineChars="200"/>
              <w:jc w:val="both"/>
              <w:outlineLvl w:val="9"/>
              <w:rPr>
                <w:rFonts w:hint="default"/>
                <w:lang w:val="en-US" w:eastAsia="zh-CN"/>
              </w:rPr>
            </w:pPr>
            <w:r>
              <w:rPr>
                <w:rFonts w:hint="eastAsia" w:ascii="宋体" w:hAnsi="宋体" w:eastAsia="宋体" w:cs="宋体"/>
                <w:color w:val="000000"/>
                <w:sz w:val="21"/>
                <w:szCs w:val="21"/>
                <w:lang w:val="en-US" w:eastAsia="zh-CN"/>
              </w:rPr>
              <w:t>围栏与底部用GB50#及以上角钢连接的得2分。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14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6.质保期内的质保服务方案（4分）</w:t>
            </w:r>
          </w:p>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提供质保期内保养、保修的后期服务方案及详细说明。评审将结合现场运行模式，从方案的时效性、经济性角度评分。</w:t>
            </w:r>
          </w:p>
          <w:p>
            <w:pPr>
              <w:snapToGrid w:val="0"/>
              <w:spacing w:line="500" w:lineRule="exact"/>
              <w:ind w:firstLine="420" w:firstLineChars="200"/>
              <w:jc w:val="both"/>
              <w:outlineLvl w:val="9"/>
              <w:rPr>
                <w:rFonts w:hint="default"/>
                <w:lang w:val="en-US" w:eastAsia="zh-CN"/>
              </w:rPr>
            </w:pPr>
            <w:r>
              <w:rPr>
                <w:rFonts w:hint="eastAsia" w:ascii="宋体" w:hAnsi="宋体" w:eastAsia="宋体" w:cs="宋体"/>
                <w:color w:val="000000"/>
                <w:sz w:val="21"/>
                <w:szCs w:val="21"/>
                <w:lang w:val="en-US" w:eastAsia="zh-CN"/>
              </w:rPr>
              <w:t>满分4分（好4分，一般2-3分，差0-1分）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1" w:hRule="atLeast"/>
        </w:trPr>
        <w:tc>
          <w:tcPr>
            <w:tcW w:w="1135"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lang w:val="en-US" w:eastAsia="zh-CN"/>
              </w:rPr>
              <w:t>2.3</w:t>
            </w:r>
          </w:p>
        </w:tc>
        <w:tc>
          <w:tcPr>
            <w:tcW w:w="1450"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lang w:val="en-US" w:eastAsia="zh-CN"/>
              </w:rPr>
              <w:t>商务</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部分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评分</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rPr>
              <w:t>标准</w:t>
            </w:r>
          </w:p>
        </w:tc>
        <w:tc>
          <w:tcPr>
            <w:tcW w:w="82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eastAsia" w:eastAsia="方正仿宋_GBK" w:cs="Times New Roman"/>
                <w:b/>
                <w:bCs/>
                <w:color w:val="000000"/>
                <w:sz w:val="28"/>
                <w:szCs w:val="28"/>
                <w:lang w:val="en-US" w:eastAsia="zh-CN"/>
              </w:rPr>
              <w:t>13</w:t>
            </w:r>
            <w:r>
              <w:rPr>
                <w:rFonts w:hint="default" w:ascii="Times New Roman" w:hAnsi="Times New Roman" w:eastAsia="方正仿宋_GBK" w:cs="Times New Roman"/>
                <w:b/>
                <w:bCs/>
                <w:color w:val="000000"/>
                <w:sz w:val="28"/>
                <w:szCs w:val="28"/>
                <w:lang w:val="en-US" w:eastAsia="zh-CN"/>
              </w:rPr>
              <w:t>分</w:t>
            </w:r>
          </w:p>
        </w:tc>
        <w:tc>
          <w:tcPr>
            <w:tcW w:w="6125" w:type="dxa"/>
            <w:tcBorders>
              <w:left w:val="single" w:color="auto" w:sz="4" w:space="0"/>
              <w:bottom w:val="single" w:color="auto" w:sz="4" w:space="0"/>
            </w:tcBorders>
            <w:vAlign w:val="center"/>
          </w:tcPr>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1.业绩（5分）</w:t>
            </w:r>
          </w:p>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自2018年1月1日至今，在国内市场累计销售三围栏类平板车达到1000辆的得2分，每增加200辆加1分，最多得5分。</w:t>
            </w:r>
          </w:p>
          <w:p>
            <w:pPr>
              <w:snapToGrid w:val="0"/>
              <w:spacing w:line="500" w:lineRule="exact"/>
              <w:ind w:firstLine="420" w:firstLineChars="200"/>
              <w:jc w:val="both"/>
              <w:outlineLvl w:val="9"/>
              <w:rPr>
                <w:rFonts w:hint="default"/>
                <w:lang w:val="en-US" w:eastAsia="zh-CN"/>
              </w:rPr>
            </w:pPr>
            <w:r>
              <w:rPr>
                <w:rFonts w:hint="eastAsia" w:ascii="宋体" w:hAnsi="宋体" w:eastAsia="宋体" w:cs="宋体"/>
                <w:color w:val="000000"/>
                <w:sz w:val="21"/>
                <w:szCs w:val="21"/>
                <w:lang w:val="en-US" w:eastAsia="zh-CN"/>
              </w:rPr>
              <w:t>（提供相关合同复印件作为评审依据，资格条件业绩参与加分）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8"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4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2.商务认证（3分）</w:t>
            </w:r>
          </w:p>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具有“质量管理体系认证ISO9001”得1分；具有“环境管理体系认证ISO14001”得1分；具有“健康安全管理体系证书OHSAS18001”或“ISO45001”得1分。</w:t>
            </w:r>
          </w:p>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（最高得3分）</w:t>
            </w:r>
          </w:p>
          <w:p>
            <w:pPr>
              <w:pStyle w:val="5"/>
              <w:numPr>
                <w:ilvl w:val="0"/>
                <w:numId w:val="0"/>
              </w:numPr>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4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3.质量保证期（3分）</w:t>
            </w:r>
          </w:p>
          <w:p>
            <w:pPr>
              <w:snapToGrid w:val="0"/>
              <w:spacing w:line="500" w:lineRule="exact"/>
              <w:ind w:firstLine="420" w:firstLineChars="200"/>
              <w:jc w:val="both"/>
              <w:outlineLvl w:val="9"/>
              <w:rPr>
                <w:rFonts w:hint="default"/>
                <w:lang w:val="en-US" w:eastAsia="zh-CN"/>
              </w:rPr>
            </w:pPr>
            <w:r>
              <w:rPr>
                <w:rFonts w:hint="eastAsia" w:ascii="宋体" w:hAnsi="宋体" w:eastAsia="宋体" w:cs="宋体"/>
                <w:color w:val="000000"/>
                <w:sz w:val="21"/>
                <w:szCs w:val="21"/>
                <w:lang w:val="en-US" w:eastAsia="zh-CN"/>
              </w:rPr>
              <w:t>在满足质量保证期要求（24个月）的基础上，承诺提供的质量保证期每多6个月加1分，最多得3分。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4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4.交货期（2分）</w:t>
            </w:r>
          </w:p>
          <w:p>
            <w:pPr>
              <w:snapToGrid w:val="0"/>
              <w:spacing w:line="500" w:lineRule="exact"/>
              <w:ind w:firstLine="420" w:firstLineChars="200"/>
              <w:jc w:val="both"/>
              <w:outlineLvl w:val="9"/>
              <w:rPr>
                <w:rFonts w:hint="default"/>
                <w:lang w:val="en-US" w:eastAsia="zh-CN"/>
              </w:rPr>
            </w:pPr>
            <w:r>
              <w:rPr>
                <w:rFonts w:hint="eastAsia" w:ascii="宋体" w:hAnsi="宋体" w:eastAsia="宋体" w:cs="宋体"/>
                <w:color w:val="000000"/>
                <w:sz w:val="21"/>
                <w:szCs w:val="21"/>
                <w:lang w:val="en-US" w:eastAsia="zh-CN"/>
              </w:rPr>
              <w:t>在满足交货期要求（40个日历天）的基础上，承诺提供的交货期每提前5个日历天加0.5分，最多得2分。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3</w:t>
            </w:r>
          </w:p>
        </w:tc>
        <w:tc>
          <w:tcPr>
            <w:tcW w:w="1450"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评审</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程序</w:t>
            </w:r>
          </w:p>
        </w:tc>
        <w:tc>
          <w:tcPr>
            <w:tcW w:w="6950" w:type="dxa"/>
            <w:gridSpan w:val="2"/>
            <w:tcBorders>
              <w:bottom w:val="single" w:color="auto" w:sz="4" w:space="0"/>
            </w:tcBorders>
            <w:vAlign w:val="center"/>
          </w:tcPr>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default"/>
              </w:rPr>
              <w:t>1</w:t>
            </w:r>
            <w:r>
              <w:rPr>
                <w:rFonts w:hint="default" w:ascii="宋体" w:hAnsi="宋体" w:eastAsia="宋体" w:cs="宋体"/>
                <w:color w:val="000000"/>
                <w:sz w:val="21"/>
                <w:szCs w:val="21"/>
                <w:lang w:val="en-US" w:eastAsia="zh-CN"/>
              </w:rPr>
              <w:t>.评分分值计算保留小数点后两位，第三位四舍五入。比选响应人最终得分=技术部分得分+经济部分得分+商务部分得分。</w:t>
            </w:r>
          </w:p>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2.按照比选文件的规定对所有比选响应文件进行初步评审，只有通过初步评审的比选响应文件才能进行后续评审。</w:t>
            </w:r>
          </w:p>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3.按比选办法进行评审，得分最高的比选响应人中选。</w:t>
            </w:r>
          </w:p>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r>
              <w:rPr>
                <w:rFonts w:hint="default" w:ascii="宋体" w:hAnsi="宋体" w:eastAsia="宋体" w:cs="宋体"/>
                <w:color w:val="000000"/>
                <w:sz w:val="21"/>
                <w:szCs w:val="21"/>
                <w:lang w:val="en-US" w:eastAsia="zh-CN"/>
              </w:rPr>
              <w:t>除有规定的外，其他加分项均需提供其他证明材料</w:t>
            </w:r>
          </w:p>
          <w:p>
            <w:pPr>
              <w:pStyle w:val="16"/>
              <w:rPr>
                <w:rFonts w:hint="default"/>
              </w:rPr>
            </w:pPr>
          </w:p>
        </w:tc>
      </w:tr>
    </w:tbl>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br w:type="page"/>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附</w:t>
      </w:r>
      <w:r>
        <w:rPr>
          <w:rFonts w:hint="eastAsia" w:eastAsia="仿宋_GB2312" w:cs="Times New Roman"/>
          <w:color w:val="000000" w:themeColor="text1"/>
          <w:sz w:val="28"/>
          <w:szCs w:val="28"/>
          <w:lang w:eastAsia="zh-CN"/>
          <w14:textFill>
            <w14:solidFill>
              <w14:schemeClr w14:val="tx1"/>
            </w14:solidFill>
          </w14:textFill>
        </w:rPr>
        <w:t>件</w:t>
      </w:r>
      <w:r>
        <w:rPr>
          <w:rFonts w:hint="eastAsia" w:eastAsia="仿宋_GB2312" w:cs="Times New Roman"/>
          <w:color w:val="000000" w:themeColor="text1"/>
          <w:sz w:val="28"/>
          <w:szCs w:val="28"/>
          <w:lang w:val="en-US" w:eastAsia="zh-CN"/>
          <w14:textFill>
            <w14:solidFill>
              <w14:schemeClr w14:val="tx1"/>
            </w14:solidFill>
          </w14:textFill>
        </w:rPr>
        <w:t>1</w:t>
      </w:r>
      <w:r>
        <w:rPr>
          <w:rFonts w:hint="default" w:ascii="Times New Roman" w:hAnsi="Times New Roman" w:eastAsia="仿宋_GB2312" w:cs="Times New Roman"/>
          <w:color w:val="000000" w:themeColor="text1"/>
          <w:sz w:val="28"/>
          <w:szCs w:val="28"/>
          <w14:textFill>
            <w14:solidFill>
              <w14:schemeClr w14:val="tx1"/>
            </w14:solidFill>
          </w14:textFill>
        </w:rPr>
        <w:t>：合同主要条款</w:t>
      </w:r>
    </w:p>
    <w:p>
      <w:pPr>
        <w:keepNext w:val="0"/>
        <w:keepLines w:val="0"/>
        <w:pageBreakBefore w:val="0"/>
        <w:kinsoku/>
        <w:wordWrap/>
        <w:overflowPunct/>
        <w:topLinePunct w:val="0"/>
        <w:bidi w:val="0"/>
        <w:snapToGrid w:val="0"/>
        <w:spacing w:line="500" w:lineRule="exact"/>
        <w:jc w:val="center"/>
        <w:rPr>
          <w:rFonts w:hint="eastAsia" w:ascii="仿宋" w:hAnsi="仿宋" w:eastAsia="仿宋" w:cs="仿宋"/>
          <w:b/>
          <w:sz w:val="44"/>
        </w:rPr>
      </w:pPr>
      <w:r>
        <w:rPr>
          <w:rFonts w:hint="eastAsia" w:ascii="仿宋" w:hAnsi="仿宋" w:eastAsia="仿宋" w:cs="仿宋"/>
          <w:b/>
          <w:bCs/>
          <w:sz w:val="36"/>
          <w:szCs w:val="36"/>
          <w:lang w:eastAsia="zh-CN"/>
        </w:rPr>
        <w:t>三围栏平板车采购合同</w:t>
      </w:r>
    </w:p>
    <w:p>
      <w:pPr>
        <w:keepNext w:val="0"/>
        <w:keepLines w:val="0"/>
        <w:pageBreakBefore w:val="0"/>
        <w:kinsoku/>
        <w:wordWrap/>
        <w:overflowPunct/>
        <w:topLinePunct w:val="0"/>
        <w:bidi w:val="0"/>
        <w:snapToGrid w:val="0"/>
        <w:spacing w:line="500" w:lineRule="exact"/>
        <w:jc w:val="both"/>
        <w:rPr>
          <w:rFonts w:hint="default" w:ascii="仿宋" w:hAnsi="仿宋" w:eastAsia="仿宋" w:cs="仿宋"/>
          <w:b/>
          <w:bCs/>
          <w:sz w:val="24"/>
          <w:szCs w:val="24"/>
          <w:lang w:val="en-US"/>
        </w:rPr>
      </w:pPr>
      <w:r>
        <w:rPr>
          <w:rFonts w:hint="eastAsia" w:ascii="仿宋" w:hAnsi="仿宋" w:eastAsia="仿宋" w:cs="仿宋"/>
          <w:b/>
          <w:sz w:val="36"/>
          <w:szCs w:val="36"/>
          <w:lang w:val="en-US" w:eastAsia="zh-CN"/>
        </w:rPr>
        <w:t xml:space="preserve">                              </w:t>
      </w:r>
      <w:r>
        <w:rPr>
          <w:rFonts w:hint="eastAsia" w:ascii="仿宋" w:hAnsi="仿宋" w:eastAsia="仿宋" w:cs="仿宋"/>
          <w:sz w:val="24"/>
          <w:szCs w:val="24"/>
          <w:lang w:val="en-US" w:eastAsia="zh-CN"/>
        </w:rPr>
        <w:t xml:space="preserve"> 合同编号： </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b/>
          <w:bCs/>
          <w:sz w:val="24"/>
          <w:szCs w:val="24"/>
          <w:lang w:eastAsia="zh-CN"/>
        </w:rPr>
      </w:pPr>
      <w:r>
        <w:rPr>
          <w:rFonts w:hint="eastAsia" w:ascii="仿宋" w:hAnsi="仿宋" w:eastAsia="仿宋" w:cs="仿宋"/>
          <w:b/>
          <w:bCs/>
          <w:sz w:val="24"/>
          <w:szCs w:val="24"/>
        </w:rPr>
        <w:t>甲方</w:t>
      </w:r>
      <w:r>
        <w:rPr>
          <w:rFonts w:hint="eastAsia" w:ascii="仿宋" w:hAnsi="仿宋" w:eastAsia="仿宋" w:cs="仿宋"/>
          <w:sz w:val="24"/>
          <w:szCs w:val="24"/>
        </w:rPr>
        <w:t xml:space="preserve">： </w:t>
      </w:r>
      <w:r>
        <w:rPr>
          <w:rFonts w:hint="eastAsia" w:ascii="仿宋" w:hAnsi="仿宋" w:eastAsia="仿宋" w:cs="仿宋"/>
          <w:sz w:val="24"/>
          <w:szCs w:val="24"/>
          <w:lang w:eastAsia="zh-CN"/>
        </w:rPr>
        <w:t>重庆空港航空地面服务有限公司</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b/>
          <w:bCs/>
          <w:sz w:val="24"/>
          <w:szCs w:val="24"/>
          <w:lang w:eastAsia="zh-CN"/>
        </w:rPr>
      </w:pPr>
      <w:r>
        <w:rPr>
          <w:rFonts w:hint="eastAsia" w:ascii="仿宋" w:hAnsi="仿宋" w:eastAsia="仿宋" w:cs="仿宋"/>
          <w:b/>
          <w:bCs/>
          <w:sz w:val="24"/>
          <w:szCs w:val="24"/>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bidi w:val="0"/>
        <w:snapToGrid w:val="0"/>
        <w:spacing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sz w:val="24"/>
          <w:szCs w:val="24"/>
        </w:rPr>
        <w:t>甲乙双方根据相关的法律法规之规定，本着友好合作、协商一致的原则，就甲方向乙方</w:t>
      </w:r>
      <w:r>
        <w:rPr>
          <w:rFonts w:hint="eastAsia" w:ascii="仿宋" w:hAnsi="仿宋" w:eastAsia="仿宋" w:cs="仿宋"/>
          <w:sz w:val="24"/>
          <w:szCs w:val="24"/>
          <w:lang w:eastAsia="zh-CN"/>
        </w:rPr>
        <w:t>购买三围栏平板车</w:t>
      </w:r>
      <w:r>
        <w:rPr>
          <w:rFonts w:hint="eastAsia" w:ascii="仿宋" w:hAnsi="仿宋" w:eastAsia="仿宋" w:cs="仿宋"/>
          <w:b w:val="0"/>
          <w:bCs w:val="0"/>
          <w:sz w:val="24"/>
          <w:szCs w:val="24"/>
          <w:lang w:eastAsia="zh-CN"/>
        </w:rPr>
        <w:t>事</w:t>
      </w:r>
      <w:r>
        <w:rPr>
          <w:rFonts w:hint="eastAsia" w:ascii="仿宋" w:hAnsi="仿宋" w:eastAsia="仿宋" w:cs="仿宋"/>
          <w:b w:val="0"/>
          <w:bCs w:val="0"/>
          <w:sz w:val="24"/>
          <w:szCs w:val="24"/>
        </w:rPr>
        <w:t>宜</w:t>
      </w:r>
      <w:r>
        <w:rPr>
          <w:rFonts w:hint="eastAsia" w:ascii="仿宋" w:hAnsi="仿宋" w:eastAsia="仿宋" w:cs="仿宋"/>
          <w:sz w:val="24"/>
          <w:szCs w:val="24"/>
        </w:rPr>
        <w:t>达成协</w:t>
      </w:r>
      <w:r>
        <w:rPr>
          <w:rFonts w:hint="eastAsia" w:ascii="仿宋" w:hAnsi="仿宋" w:eastAsia="仿宋" w:cs="仿宋"/>
          <w:color w:val="000000"/>
          <w:sz w:val="24"/>
          <w:szCs w:val="24"/>
        </w:rPr>
        <w:t>议如下：</w:t>
      </w:r>
    </w:p>
    <w:p>
      <w:pPr>
        <w:keepNext w:val="0"/>
        <w:keepLines w:val="0"/>
        <w:pageBreakBefore w:val="0"/>
        <w:kinsoku/>
        <w:wordWrap/>
        <w:overflowPunct/>
        <w:topLinePunct w:val="0"/>
        <w:bidi w:val="0"/>
        <w:snapToGrid w:val="0"/>
        <w:spacing w:line="500" w:lineRule="exact"/>
        <w:ind w:left="-540" w:leftChars="-257" w:firstLine="540" w:firstLineChars="224"/>
        <w:jc w:val="both"/>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1.释义</w:t>
      </w:r>
    </w:p>
    <w:p>
      <w:pPr>
        <w:keepNext w:val="0"/>
        <w:keepLines w:val="0"/>
        <w:pageBreakBefore w:val="0"/>
        <w:kinsoku/>
        <w:wordWrap/>
        <w:overflowPunct/>
        <w:topLinePunct w:val="0"/>
        <w:bidi w:val="0"/>
        <w:snapToGrid w:val="0"/>
        <w:spacing w:line="500" w:lineRule="exact"/>
        <w:ind w:left="-2" w:leftChars="-1" w:firstLine="2"/>
        <w:jc w:val="both"/>
        <w:rPr>
          <w:rFonts w:hint="eastAsia" w:ascii="仿宋" w:hAnsi="仿宋" w:eastAsia="仿宋" w:cs="仿宋"/>
          <w:color w:val="000000"/>
          <w:sz w:val="24"/>
          <w:szCs w:val="24"/>
        </w:rPr>
      </w:pPr>
      <w:r>
        <w:rPr>
          <w:rFonts w:hint="eastAsia" w:ascii="仿宋" w:hAnsi="仿宋" w:eastAsia="仿宋" w:cs="仿宋"/>
          <w:color w:val="000000"/>
          <w:sz w:val="24"/>
          <w:szCs w:val="24"/>
        </w:rPr>
        <w:t>1.1文中“双方”指甲方和乙方，“一方”指甲方和乙方中的任何一方。</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1.2文中所涉及费用均以人民币“元”为计量单位。</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1.3文中“年、月、日”均指公历年、月、日。</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2.合同标的</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2.1甲方向乙方购买</w:t>
      </w:r>
      <w:r>
        <w:rPr>
          <w:rFonts w:hint="eastAsia" w:ascii="仿宋" w:hAnsi="仿宋" w:eastAsia="仿宋" w:cs="仿宋"/>
          <w:b/>
          <w:bCs/>
          <w:color w:val="000000"/>
          <w:sz w:val="24"/>
          <w:szCs w:val="24"/>
          <w:lang w:eastAsia="zh-CN"/>
        </w:rPr>
        <w:t>三围栏平板车</w:t>
      </w:r>
      <w:r>
        <w:rPr>
          <w:rFonts w:hint="eastAsia" w:ascii="仿宋" w:hAnsi="仿宋" w:eastAsia="仿宋" w:cs="仿宋"/>
          <w:color w:val="000000"/>
          <w:sz w:val="24"/>
          <w:szCs w:val="24"/>
        </w:rPr>
        <w:t>。</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2.2</w:t>
      </w:r>
      <w:r>
        <w:rPr>
          <w:rFonts w:hint="eastAsia" w:ascii="仿宋" w:hAnsi="仿宋" w:eastAsia="仿宋" w:cs="仿宋"/>
          <w:color w:val="000000"/>
          <w:sz w:val="24"/>
          <w:szCs w:val="24"/>
          <w:lang w:eastAsia="zh-CN"/>
        </w:rPr>
        <w:t>货物名称</w:t>
      </w:r>
      <w:r>
        <w:rPr>
          <w:rFonts w:hint="eastAsia" w:ascii="仿宋" w:hAnsi="仿宋" w:eastAsia="仿宋" w:cs="仿宋"/>
          <w:color w:val="000000"/>
          <w:sz w:val="24"/>
          <w:szCs w:val="24"/>
        </w:rPr>
        <w:t>、型号、规格</w:t>
      </w:r>
      <w:r>
        <w:rPr>
          <w:rFonts w:hint="eastAsia" w:ascii="仿宋" w:hAnsi="仿宋" w:eastAsia="仿宋" w:cs="仿宋"/>
          <w:color w:val="000000"/>
          <w:sz w:val="24"/>
          <w:szCs w:val="24"/>
          <w:lang w:eastAsia="zh-CN"/>
        </w:rPr>
        <w:t>：</w:t>
      </w:r>
    </w:p>
    <w:tbl>
      <w:tblPr>
        <w:tblStyle w:val="17"/>
        <w:tblW w:w="10166" w:type="dxa"/>
        <w:jc w:val="center"/>
        <w:tblLayout w:type="fixed"/>
        <w:tblCellMar>
          <w:top w:w="0" w:type="dxa"/>
          <w:left w:w="0" w:type="dxa"/>
          <w:bottom w:w="0" w:type="dxa"/>
          <w:right w:w="0" w:type="dxa"/>
        </w:tblCellMar>
      </w:tblPr>
      <w:tblGrid>
        <w:gridCol w:w="653"/>
        <w:gridCol w:w="1688"/>
        <w:gridCol w:w="2770"/>
        <w:gridCol w:w="955"/>
        <w:gridCol w:w="1470"/>
        <w:gridCol w:w="1140"/>
        <w:gridCol w:w="1490"/>
      </w:tblGrid>
      <w:tr>
        <w:tblPrEx>
          <w:tblCellMar>
            <w:top w:w="0" w:type="dxa"/>
            <w:left w:w="0" w:type="dxa"/>
            <w:bottom w:w="0" w:type="dxa"/>
            <w:right w:w="0" w:type="dxa"/>
          </w:tblCellMar>
        </w:tblPrEx>
        <w:trPr>
          <w:trHeight w:val="480" w:hRule="atLeast"/>
          <w:jc w:val="center"/>
        </w:trPr>
        <w:tc>
          <w:tcPr>
            <w:tcW w:w="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名称</w:t>
            </w:r>
          </w:p>
        </w:tc>
        <w:tc>
          <w:tcPr>
            <w:tcW w:w="2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规格</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不含增值税</w:t>
            </w:r>
          </w:p>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单价</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数量</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不含增值税</w:t>
            </w:r>
          </w:p>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小计</w:t>
            </w:r>
          </w:p>
        </w:tc>
      </w:tr>
      <w:tr>
        <w:tblPrEx>
          <w:tblCellMar>
            <w:top w:w="0" w:type="dxa"/>
            <w:left w:w="0" w:type="dxa"/>
            <w:bottom w:w="0" w:type="dxa"/>
            <w:right w:w="0" w:type="dxa"/>
          </w:tblCellMar>
        </w:tblPrEx>
        <w:trPr>
          <w:trHeight w:val="520" w:hRule="atLeast"/>
          <w:jc w:val="center"/>
        </w:trPr>
        <w:tc>
          <w:tcPr>
            <w:tcW w:w="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三围栏平板车</w:t>
            </w:r>
          </w:p>
        </w:tc>
        <w:tc>
          <w:tcPr>
            <w:tcW w:w="2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按乙方比选响应文件执行</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台</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napToGrid w:val="0"/>
              <w:spacing w:line="500" w:lineRule="exact"/>
              <w:jc w:val="center"/>
              <w:rPr>
                <w:rFonts w:hint="default" w:ascii="仿宋" w:hAnsi="仿宋" w:eastAsia="仿宋" w:cs="仿宋"/>
                <w:i w:val="0"/>
                <w:color w:val="000000"/>
                <w:sz w:val="24"/>
                <w:szCs w:val="24"/>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napToGrid w:val="0"/>
              <w:spacing w:line="500" w:lineRule="exact"/>
              <w:jc w:val="center"/>
              <w:rPr>
                <w:rFonts w:hint="eastAsia" w:ascii="仿宋" w:hAnsi="仿宋" w:eastAsia="仿宋" w:cs="仿宋"/>
                <w:i w:val="0"/>
                <w:color w:val="000000"/>
                <w:sz w:val="24"/>
                <w:szCs w:val="24"/>
                <w:u w:val="none"/>
                <w:lang w:val="en-US" w:eastAsia="zh-CN"/>
              </w:rPr>
            </w:pPr>
          </w:p>
        </w:tc>
        <w:tc>
          <w:tcPr>
            <w:tcW w:w="1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napToGrid w:val="0"/>
              <w:spacing w:line="500" w:lineRule="exact"/>
              <w:jc w:val="center"/>
              <w:rPr>
                <w:rFonts w:hint="default" w:ascii="仿宋" w:hAnsi="仿宋" w:eastAsia="仿宋" w:cs="仿宋"/>
                <w:i w:val="0"/>
                <w:color w:val="000000"/>
                <w:sz w:val="24"/>
                <w:szCs w:val="24"/>
                <w:u w:val="none"/>
                <w:lang w:val="en-US" w:eastAsia="zh-CN"/>
              </w:rPr>
            </w:pPr>
          </w:p>
        </w:tc>
      </w:tr>
    </w:tbl>
    <w:p>
      <w:pPr>
        <w:keepNext w:val="0"/>
        <w:keepLines w:val="0"/>
        <w:pageBreakBefore w:val="0"/>
        <w:kinsoku/>
        <w:wordWrap/>
        <w:overflowPunct/>
        <w:topLinePunct w:val="0"/>
        <w:bidi w:val="0"/>
        <w:snapToGrid w:val="0"/>
        <w:spacing w:line="500" w:lineRule="exact"/>
        <w:jc w:val="both"/>
        <w:rPr>
          <w:rFonts w:hint="eastAsia" w:ascii="仿宋" w:hAnsi="仿宋" w:eastAsia="仿宋" w:cs="仿宋"/>
          <w:b/>
          <w:bCs/>
          <w:sz w:val="24"/>
          <w:szCs w:val="24"/>
        </w:rPr>
      </w:pPr>
      <w:r>
        <w:rPr>
          <w:rFonts w:hint="eastAsia" w:ascii="仿宋" w:hAnsi="仿宋" w:eastAsia="仿宋" w:cs="仿宋"/>
          <w:b/>
          <w:bCs/>
          <w:sz w:val="24"/>
          <w:szCs w:val="24"/>
        </w:rPr>
        <w:t>3.合同价款</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3.1</w:t>
      </w:r>
      <w:r>
        <w:rPr>
          <w:rFonts w:hint="eastAsia" w:ascii="仿宋" w:hAnsi="仿宋" w:eastAsia="仿宋" w:cs="仿宋"/>
          <w:sz w:val="24"/>
          <w:szCs w:val="24"/>
          <w:lang w:eastAsia="zh-CN"/>
        </w:rPr>
        <w:t>不含增值税总价款</w:t>
      </w:r>
      <w:r>
        <w:rPr>
          <w:rFonts w:hint="eastAsia" w:ascii="仿宋" w:hAnsi="仿宋" w:eastAsia="仿宋" w:cs="仿宋"/>
          <w:b/>
          <w:bCs/>
          <w:sz w:val="24"/>
          <w:szCs w:val="24"/>
          <w:u w:val="single"/>
          <w:lang w:eastAsia="zh-CN"/>
        </w:rPr>
        <w:t>（大写）</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lang w:eastAsia="zh-CN"/>
        </w:rPr>
        <w:t>（小写：</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lang w:eastAsia="zh-CN"/>
        </w:rPr>
        <w:t>）</w:t>
      </w:r>
      <w:r>
        <w:rPr>
          <w:rFonts w:hint="eastAsia" w:ascii="仿宋" w:hAnsi="仿宋" w:eastAsia="仿宋" w:cs="仿宋"/>
          <w:b/>
          <w:bCs/>
          <w:sz w:val="24"/>
          <w:szCs w:val="24"/>
          <w:u w:val="none"/>
          <w:lang w:val="en-US" w:eastAsia="zh-CN"/>
        </w:rPr>
        <w:t>。</w:t>
      </w:r>
      <w:r>
        <w:rPr>
          <w:rFonts w:hint="eastAsia" w:ascii="仿宋" w:hAnsi="仿宋" w:eastAsia="仿宋" w:cs="仿宋"/>
          <w:sz w:val="24"/>
          <w:szCs w:val="24"/>
          <w:lang w:eastAsia="zh-CN"/>
        </w:rPr>
        <w:t>单价详见</w:t>
      </w:r>
      <w:r>
        <w:rPr>
          <w:rFonts w:hint="eastAsia" w:ascii="仿宋" w:hAnsi="仿宋" w:eastAsia="仿宋" w:cs="仿宋"/>
          <w:sz w:val="24"/>
          <w:szCs w:val="24"/>
          <w:lang w:val="en-US" w:eastAsia="zh-CN"/>
        </w:rPr>
        <w:t>2.2条。</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3.2本合同货款已包括货物移交至甲方所需的一切</w:t>
      </w:r>
      <w:r>
        <w:rPr>
          <w:rFonts w:hint="eastAsia" w:ascii="仿宋" w:hAnsi="仿宋" w:eastAsia="仿宋" w:cs="仿宋"/>
          <w:sz w:val="24"/>
          <w:szCs w:val="24"/>
          <w:lang w:eastAsia="zh-CN"/>
        </w:rPr>
        <w:t>成本费用、劳务费用、运输费用、安装调试费、</w:t>
      </w:r>
      <w:r>
        <w:rPr>
          <w:rFonts w:hint="eastAsia" w:ascii="仿宋" w:hAnsi="仿宋" w:eastAsia="仿宋" w:cs="仿宋"/>
          <w:sz w:val="24"/>
          <w:szCs w:val="24"/>
        </w:rPr>
        <w:t>税费</w:t>
      </w:r>
      <w:r>
        <w:rPr>
          <w:rFonts w:hint="eastAsia" w:ascii="仿宋" w:hAnsi="仿宋" w:eastAsia="仿宋" w:cs="仿宋"/>
          <w:sz w:val="24"/>
          <w:szCs w:val="24"/>
          <w:lang w:eastAsia="zh-CN"/>
        </w:rPr>
        <w:t>（除增值税外）等全部费用</w:t>
      </w:r>
      <w:r>
        <w:rPr>
          <w:rFonts w:hint="eastAsia" w:ascii="仿宋" w:hAnsi="仿宋" w:eastAsia="仿宋" w:cs="仿宋"/>
          <w:sz w:val="24"/>
          <w:szCs w:val="24"/>
        </w:rPr>
        <w:t>。</w:t>
      </w:r>
    </w:p>
    <w:p>
      <w:pPr>
        <w:keepNext w:val="0"/>
        <w:keepLines w:val="0"/>
        <w:pageBreakBefore w:val="0"/>
        <w:kinsoku/>
        <w:wordWrap/>
        <w:overflowPunct/>
        <w:topLinePunct w:val="0"/>
        <w:bidi w:val="0"/>
        <w:snapToGrid w:val="0"/>
        <w:spacing w:line="500" w:lineRule="exact"/>
        <w:ind w:left="-2"/>
        <w:jc w:val="both"/>
        <w:rPr>
          <w:rFonts w:hint="eastAsia" w:ascii="仿宋" w:hAnsi="仿宋" w:eastAsia="仿宋" w:cs="仿宋"/>
          <w:b w:val="0"/>
          <w:kern w:val="2"/>
          <w:sz w:val="24"/>
          <w:szCs w:val="24"/>
          <w:lang w:val="en-US" w:eastAsia="zh-CN" w:bidi="ar-SA"/>
        </w:rPr>
      </w:pPr>
      <w:r>
        <w:rPr>
          <w:rFonts w:hint="eastAsia" w:ascii="仿宋" w:hAnsi="仿宋" w:eastAsia="仿宋" w:cs="仿宋"/>
          <w:b/>
          <w:bCs/>
          <w:sz w:val="24"/>
          <w:szCs w:val="24"/>
        </w:rPr>
        <w:t>4.</w:t>
      </w:r>
      <w:r>
        <w:rPr>
          <w:rFonts w:hint="eastAsia" w:ascii="仿宋" w:hAnsi="仿宋" w:eastAsia="仿宋" w:cs="仿宋"/>
          <w:b/>
          <w:bCs/>
          <w:sz w:val="24"/>
          <w:szCs w:val="24"/>
          <w:lang w:eastAsia="zh-CN"/>
        </w:rPr>
        <w:t>履约保证与</w:t>
      </w:r>
      <w:r>
        <w:rPr>
          <w:rFonts w:hint="eastAsia" w:ascii="仿宋" w:hAnsi="仿宋" w:eastAsia="仿宋" w:cs="仿宋"/>
          <w:b/>
          <w:bCs/>
          <w:sz w:val="24"/>
          <w:szCs w:val="24"/>
        </w:rPr>
        <w:t>支付方式</w:t>
      </w:r>
    </w:p>
    <w:p>
      <w:pPr>
        <w:keepNext w:val="0"/>
        <w:keepLines w:val="0"/>
        <w:pageBreakBefore w:val="0"/>
        <w:kinsoku/>
        <w:wordWrap/>
        <w:overflowPunct/>
        <w:topLinePunct w:val="0"/>
        <w:bidi w:val="0"/>
        <w:adjustRightInd w:val="0"/>
        <w:snapToGrid w:val="0"/>
        <w:spacing w:line="500" w:lineRule="exac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4.1</w:t>
      </w:r>
      <w:r>
        <w:rPr>
          <w:rFonts w:hint="eastAsia" w:ascii="仿宋" w:hAnsi="仿宋" w:eastAsia="仿宋" w:cs="仿宋"/>
          <w:kern w:val="0"/>
          <w:sz w:val="24"/>
          <w:szCs w:val="24"/>
          <w:highlight w:val="none"/>
          <w:u w:val="none"/>
          <w:lang w:eastAsia="zh-CN"/>
        </w:rPr>
        <w:t>履约保证：</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乙方在收到中标通知书后7天内，以银行转账的方式向以下甲方账户提交履约保证金</w:t>
      </w:r>
      <w:r>
        <w:rPr>
          <w:rFonts w:hint="eastAsia" w:ascii="仿宋" w:hAnsi="仿宋" w:eastAsia="仿宋" w:cs="仿宋"/>
          <w:kern w:val="0"/>
          <w:sz w:val="24"/>
          <w:szCs w:val="24"/>
          <w:highlight w:val="none"/>
          <w:u w:val="single"/>
          <w:lang w:val="en-US" w:eastAsia="zh-CN"/>
        </w:rPr>
        <w:t xml:space="preserve">(大写）捌万肆仟捌佰元整 </w:t>
      </w:r>
      <w:r>
        <w:rPr>
          <w:rFonts w:hint="eastAsia" w:ascii="仿宋" w:hAnsi="仿宋" w:eastAsia="仿宋" w:cs="仿宋"/>
          <w:kern w:val="0"/>
          <w:sz w:val="24"/>
          <w:szCs w:val="24"/>
          <w:highlight w:val="none"/>
          <w:u w:val="none"/>
          <w:lang w:val="en-US" w:eastAsia="zh-CN"/>
        </w:rPr>
        <w:t>（小写：¥</w:t>
      </w:r>
      <w:r>
        <w:rPr>
          <w:rFonts w:hint="eastAsia" w:ascii="仿宋" w:hAnsi="仿宋" w:eastAsia="仿宋" w:cs="仿宋"/>
          <w:kern w:val="0"/>
          <w:sz w:val="24"/>
          <w:szCs w:val="24"/>
          <w:highlight w:val="none"/>
          <w:u w:val="single"/>
          <w:lang w:val="en-US" w:eastAsia="zh-CN"/>
        </w:rPr>
        <w:t xml:space="preserve"> 84800.00 </w:t>
      </w:r>
      <w:r>
        <w:rPr>
          <w:rFonts w:hint="eastAsia" w:ascii="仿宋" w:hAnsi="仿宋" w:eastAsia="仿宋" w:cs="仿宋"/>
          <w:kern w:val="0"/>
          <w:sz w:val="24"/>
          <w:szCs w:val="24"/>
          <w:highlight w:val="none"/>
          <w:u w:val="none"/>
          <w:lang w:val="en-US" w:eastAsia="zh-CN"/>
        </w:rPr>
        <w:t>）。货物到货且验收合格后，由乙方提出申请，甲方于40天内一次性退还，不计利息。</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甲方开票及账户信息：</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户名：重庆空港航空地面服务有限公司</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税号：91500112666441363D</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地址：重庆市渝北区双凤桥街道渝航路1幢1/2-0</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电话号码：023-67153596</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开户银行：建行渝北机场支行</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lang w:val="en-US" w:eastAsia="zh-CN"/>
        </w:rPr>
      </w:pPr>
      <w:r>
        <w:rPr>
          <w:rFonts w:hint="eastAsia" w:ascii="仿宋" w:hAnsi="仿宋" w:eastAsia="仿宋" w:cs="仿宋"/>
          <w:kern w:val="0"/>
          <w:sz w:val="24"/>
          <w:szCs w:val="24"/>
          <w:highlight w:val="none"/>
          <w:lang w:val="en-US" w:eastAsia="zh-CN"/>
        </w:rPr>
        <w:t>账户账号：5000 1083 8000 5020 0711</w:t>
      </w:r>
    </w:p>
    <w:p>
      <w:pPr>
        <w:pStyle w:val="16"/>
        <w:keepNext w:val="0"/>
        <w:keepLines w:val="0"/>
        <w:pageBreakBefore w:val="0"/>
        <w:kinsoku/>
        <w:wordWrap/>
        <w:overflowPunct/>
        <w:topLinePunct w:val="0"/>
        <w:bidi w:val="0"/>
        <w:spacing w:before="0" w:after="0" w:line="500" w:lineRule="exact"/>
        <w:jc w:val="both"/>
        <w:rPr>
          <w:rFonts w:hint="eastAsia" w:ascii="仿宋" w:hAnsi="仿宋" w:eastAsia="仿宋" w:cs="仿宋"/>
          <w:lang w:val="en-US" w:eastAsia="zh-CN"/>
        </w:rPr>
      </w:pPr>
      <w:r>
        <w:rPr>
          <w:rFonts w:hint="eastAsia" w:ascii="仿宋" w:hAnsi="仿宋" w:eastAsia="仿宋" w:cs="仿宋"/>
          <w:b w:val="0"/>
          <w:kern w:val="2"/>
          <w:sz w:val="24"/>
          <w:szCs w:val="24"/>
          <w:lang w:val="en-US" w:eastAsia="zh-CN" w:bidi="ar-SA"/>
        </w:rPr>
        <w:t>4.2支付方式：</w:t>
      </w:r>
    </w:p>
    <w:p>
      <w:pPr>
        <w:keepNext w:val="0"/>
        <w:keepLines w:val="0"/>
        <w:pageBreakBefore w:val="0"/>
        <w:kinsoku/>
        <w:wordWrap/>
        <w:overflowPunct/>
        <w:topLinePunct w:val="0"/>
        <w:bidi w:val="0"/>
        <w:snapToGrid w:val="0"/>
        <w:spacing w:line="500" w:lineRule="exact"/>
        <w:ind w:firstLine="480"/>
        <w:jc w:val="both"/>
        <w:rPr>
          <w:rFonts w:hint="default"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全部货物到货验收完毕，甲方收到乙方提供的符合规定的增值税发票后，以银行转账或银行承兑汇票的方式，20个工作日内支付总货款的60%，首笔款付出180天后支付总货款的35%，质保期满支付剩余5%。</w:t>
      </w:r>
    </w:p>
    <w:p>
      <w:pPr>
        <w:pStyle w:val="5"/>
        <w:keepNext w:val="0"/>
        <w:keepLines w:val="0"/>
        <w:pageBreakBefore w:val="0"/>
        <w:kinsoku/>
        <w:wordWrap/>
        <w:overflowPunct/>
        <w:topLinePunct w:val="0"/>
        <w:bidi w:val="0"/>
        <w:snapToGrid w:val="0"/>
        <w:spacing w:before="0" w:line="500" w:lineRule="exact"/>
        <w:ind w:firstLine="480"/>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如乙方提供的增值税普通发票，甲方实际支付金额=不含增值税金额；如乙方提供的增值税专用发票，甲方实际支付金额=不含增值税金额+增值税税额。</w:t>
      </w:r>
    </w:p>
    <w:p>
      <w:pPr>
        <w:keepNext w:val="0"/>
        <w:keepLines w:val="0"/>
        <w:pageBreakBefore w:val="0"/>
        <w:kinsoku/>
        <w:wordWrap/>
        <w:overflowPunct/>
        <w:topLinePunct w:val="0"/>
        <w:bidi w:val="0"/>
        <w:snapToGrid w:val="0"/>
        <w:spacing w:line="500" w:lineRule="exact"/>
        <w:ind w:firstLine="480"/>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乙方账户信息：</w:t>
      </w:r>
    </w:p>
    <w:p>
      <w:pPr>
        <w:keepNext w:val="0"/>
        <w:keepLines w:val="0"/>
        <w:pageBreakBefore w:val="0"/>
        <w:kinsoku/>
        <w:wordWrap/>
        <w:overflowPunct/>
        <w:topLinePunct w:val="0"/>
        <w:bidi w:val="0"/>
        <w:snapToGrid w:val="0"/>
        <w:spacing w:line="500" w:lineRule="exact"/>
        <w:ind w:firstLine="480"/>
        <w:jc w:val="both"/>
        <w:rPr>
          <w:rFonts w:hint="default"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户名：</w:t>
      </w:r>
      <w:r>
        <w:rPr>
          <w:rFonts w:hint="eastAsia" w:ascii="仿宋" w:hAnsi="仿宋" w:eastAsia="仿宋" w:cs="仿宋"/>
          <w:b w:val="0"/>
          <w:kern w:val="2"/>
          <w:sz w:val="24"/>
          <w:szCs w:val="24"/>
          <w:lang w:val="en-US" w:eastAsia="zh-CN" w:bidi="ar-SA"/>
        </w:rPr>
        <w:tab/>
      </w:r>
      <w:r>
        <w:rPr>
          <w:rFonts w:hint="eastAsia" w:ascii="仿宋" w:hAnsi="仿宋" w:eastAsia="仿宋" w:cs="仿宋"/>
          <w:b w:val="0"/>
          <w:kern w:val="2"/>
          <w:sz w:val="24"/>
          <w:szCs w:val="24"/>
          <w:lang w:val="en-US" w:eastAsia="zh-CN" w:bidi="ar-SA"/>
        </w:rPr>
        <w:tab/>
      </w:r>
    </w:p>
    <w:p>
      <w:pPr>
        <w:keepNext w:val="0"/>
        <w:keepLines w:val="0"/>
        <w:pageBreakBefore w:val="0"/>
        <w:kinsoku/>
        <w:wordWrap/>
        <w:overflowPunct/>
        <w:topLinePunct w:val="0"/>
        <w:bidi w:val="0"/>
        <w:snapToGrid w:val="0"/>
        <w:spacing w:line="500" w:lineRule="exact"/>
        <w:ind w:firstLine="480"/>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账号：</w:t>
      </w:r>
    </w:p>
    <w:p>
      <w:pPr>
        <w:keepNext w:val="0"/>
        <w:keepLines w:val="0"/>
        <w:pageBreakBefore w:val="0"/>
        <w:kinsoku/>
        <w:wordWrap/>
        <w:overflowPunct/>
        <w:topLinePunct w:val="0"/>
        <w:bidi w:val="0"/>
        <w:snapToGrid w:val="0"/>
        <w:spacing w:line="500" w:lineRule="exact"/>
        <w:ind w:firstLine="480"/>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开户行：</w:t>
      </w:r>
    </w:p>
    <w:p>
      <w:pPr>
        <w:keepNext w:val="0"/>
        <w:keepLines w:val="0"/>
        <w:pageBreakBefore w:val="0"/>
        <w:kinsoku/>
        <w:wordWrap/>
        <w:overflowPunct/>
        <w:topLinePunct w:val="0"/>
        <w:bidi w:val="0"/>
        <w:snapToGrid w:val="0"/>
        <w:spacing w:line="500" w:lineRule="exact"/>
        <w:ind w:firstLine="480"/>
        <w:jc w:val="both"/>
        <w:rPr>
          <w:rFonts w:hint="default" w:ascii="仿宋" w:hAnsi="仿宋" w:eastAsia="仿宋" w:cs="仿宋"/>
          <w:sz w:val="24"/>
          <w:szCs w:val="24"/>
          <w:lang w:val="en-US" w:eastAsia="zh-CN"/>
        </w:rPr>
      </w:pPr>
      <w:r>
        <w:rPr>
          <w:rFonts w:hint="eastAsia" w:ascii="仿宋" w:hAnsi="仿宋" w:eastAsia="仿宋" w:cs="仿宋"/>
          <w:b w:val="0"/>
          <w:kern w:val="2"/>
          <w:sz w:val="24"/>
          <w:szCs w:val="24"/>
          <w:lang w:val="en-US" w:eastAsia="zh-CN" w:bidi="ar-SA"/>
        </w:rPr>
        <w:t>开户行联行号：</w:t>
      </w:r>
    </w:p>
    <w:p>
      <w:pPr>
        <w:pStyle w:val="42"/>
        <w:keepNext w:val="0"/>
        <w:keepLines w:val="0"/>
        <w:pageBreakBefore w:val="0"/>
        <w:kinsoku/>
        <w:wordWrap/>
        <w:overflowPunct/>
        <w:topLinePunct w:val="0"/>
        <w:bidi w:val="0"/>
        <w:snapToGrid w:val="0"/>
        <w:spacing w:line="500" w:lineRule="exact"/>
        <w:ind w:hanging="2"/>
        <w:jc w:val="both"/>
        <w:rPr>
          <w:rFonts w:hint="eastAsia" w:ascii="仿宋" w:hAnsi="仿宋" w:eastAsia="仿宋" w:cs="仿宋"/>
          <w:b/>
          <w:bCs/>
          <w:sz w:val="24"/>
          <w:szCs w:val="24"/>
        </w:rPr>
      </w:pPr>
      <w:r>
        <w:rPr>
          <w:rFonts w:hint="eastAsia" w:ascii="仿宋" w:hAnsi="仿宋" w:eastAsia="仿宋" w:cs="仿宋"/>
          <w:b/>
          <w:bCs/>
          <w:sz w:val="24"/>
          <w:szCs w:val="24"/>
        </w:rPr>
        <w:t>5.包装及运输</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5.1乙方应为</w:t>
      </w:r>
      <w:r>
        <w:rPr>
          <w:rFonts w:hint="eastAsia" w:ascii="仿宋" w:hAnsi="仿宋" w:eastAsia="仿宋" w:cs="仿宋"/>
          <w:sz w:val="24"/>
          <w:szCs w:val="24"/>
          <w:lang w:eastAsia="zh-CN"/>
        </w:rPr>
        <w:t>货物</w:t>
      </w:r>
      <w:r>
        <w:rPr>
          <w:rFonts w:hint="eastAsia" w:ascii="仿宋" w:hAnsi="仿宋" w:eastAsia="仿宋" w:cs="仿宋"/>
          <w:sz w:val="24"/>
          <w:szCs w:val="24"/>
        </w:rPr>
        <w:t>提供适宜</w:t>
      </w:r>
      <w:r>
        <w:rPr>
          <w:rFonts w:hint="eastAsia" w:ascii="仿宋" w:hAnsi="仿宋" w:eastAsia="仿宋" w:cs="仿宋"/>
          <w:sz w:val="24"/>
          <w:szCs w:val="24"/>
          <w:lang w:eastAsia="zh-CN"/>
        </w:rPr>
        <w:t>货物</w:t>
      </w:r>
      <w:r>
        <w:rPr>
          <w:rFonts w:hint="eastAsia" w:ascii="仿宋" w:hAnsi="仿宋" w:eastAsia="仿宋" w:cs="仿宋"/>
          <w:sz w:val="24"/>
          <w:szCs w:val="24"/>
        </w:rPr>
        <w:t>运输的包装方式，对于由于包装不良所发生的损失及由于采用不充分或不妥善的防护措施而造成的任何</w:t>
      </w:r>
      <w:r>
        <w:rPr>
          <w:rFonts w:hint="eastAsia" w:ascii="仿宋" w:hAnsi="仿宋" w:eastAsia="仿宋" w:cs="仿宋"/>
          <w:sz w:val="24"/>
          <w:szCs w:val="24"/>
          <w:lang w:eastAsia="zh-CN"/>
        </w:rPr>
        <w:t>损坏</w:t>
      </w:r>
      <w:r>
        <w:rPr>
          <w:rFonts w:hint="eastAsia" w:ascii="仿宋" w:hAnsi="仿宋" w:eastAsia="仿宋" w:cs="仿宋"/>
          <w:sz w:val="24"/>
          <w:szCs w:val="24"/>
        </w:rPr>
        <w:t>,乙方应承担由此而产生的一切费用和损失。</w:t>
      </w:r>
    </w:p>
    <w:p>
      <w:pPr>
        <w:pStyle w:val="42"/>
        <w:keepNext w:val="0"/>
        <w:keepLines w:val="0"/>
        <w:pageBreakBefore w:val="0"/>
        <w:kinsoku/>
        <w:wordWrap/>
        <w:overflowPunct/>
        <w:topLinePunct w:val="0"/>
        <w:bidi w:val="0"/>
        <w:snapToGrid w:val="0"/>
        <w:spacing w:line="500" w:lineRule="exact"/>
        <w:ind w:hanging="2"/>
        <w:jc w:val="both"/>
        <w:rPr>
          <w:rFonts w:hint="eastAsia" w:ascii="仿宋" w:hAnsi="仿宋" w:eastAsia="仿宋" w:cs="仿宋"/>
          <w:sz w:val="24"/>
          <w:szCs w:val="24"/>
        </w:rPr>
      </w:pPr>
      <w:r>
        <w:rPr>
          <w:rFonts w:hint="eastAsia" w:ascii="仿宋" w:hAnsi="仿宋" w:eastAsia="仿宋" w:cs="仿宋"/>
          <w:sz w:val="24"/>
          <w:szCs w:val="24"/>
        </w:rPr>
        <w:t>5.2 运输费用由乙方承担。运输过程中，商品毁损、灭失的风险由乙方承担。</w:t>
      </w:r>
    </w:p>
    <w:p>
      <w:pPr>
        <w:keepNext w:val="0"/>
        <w:keepLines w:val="0"/>
        <w:pageBreakBefore w:val="0"/>
        <w:tabs>
          <w:tab w:val="left" w:pos="600"/>
        </w:tabs>
        <w:kinsoku/>
        <w:wordWrap/>
        <w:overflowPunct/>
        <w:topLinePunct w:val="0"/>
        <w:bidi w:val="0"/>
        <w:snapToGrid w:val="0"/>
        <w:spacing w:line="500" w:lineRule="exact"/>
        <w:ind w:left="-2"/>
        <w:jc w:val="both"/>
        <w:rPr>
          <w:rFonts w:hint="eastAsia" w:ascii="仿宋" w:hAnsi="仿宋" w:eastAsia="仿宋" w:cs="仿宋"/>
          <w:b/>
          <w:bCs/>
          <w:sz w:val="24"/>
          <w:szCs w:val="24"/>
        </w:rPr>
      </w:pPr>
      <w:r>
        <w:rPr>
          <w:rFonts w:hint="eastAsia" w:ascii="仿宋" w:hAnsi="仿宋" w:eastAsia="仿宋" w:cs="仿宋"/>
          <w:b/>
          <w:bCs/>
          <w:sz w:val="24"/>
          <w:szCs w:val="24"/>
        </w:rPr>
        <w:t>6.交货地点、交货期限</w:t>
      </w:r>
    </w:p>
    <w:p>
      <w:pPr>
        <w:keepNext w:val="0"/>
        <w:keepLines w:val="0"/>
        <w:pageBreakBefore w:val="0"/>
        <w:tabs>
          <w:tab w:val="left" w:pos="600"/>
        </w:tabs>
        <w:kinsoku/>
        <w:wordWrap/>
        <w:overflowPunct/>
        <w:topLinePunct w:val="0"/>
        <w:bidi w:val="0"/>
        <w:snapToGrid w:val="0"/>
        <w:spacing w:line="500" w:lineRule="exact"/>
        <w:ind w:left="-2"/>
        <w:jc w:val="both"/>
        <w:rPr>
          <w:rFonts w:hint="eastAsia" w:ascii="仿宋" w:hAnsi="仿宋" w:eastAsia="仿宋" w:cs="仿宋"/>
          <w:color w:val="000000"/>
          <w:sz w:val="24"/>
          <w:szCs w:val="24"/>
        </w:rPr>
      </w:pPr>
      <w:r>
        <w:rPr>
          <w:rFonts w:hint="eastAsia" w:ascii="仿宋" w:hAnsi="仿宋" w:eastAsia="仿宋" w:cs="仿宋"/>
          <w:sz w:val="24"/>
          <w:szCs w:val="24"/>
        </w:rPr>
        <w:t>6.1交货地点：</w:t>
      </w:r>
      <w:r>
        <w:rPr>
          <w:rFonts w:hint="eastAsia" w:ascii="仿宋" w:hAnsi="仿宋" w:eastAsia="仿宋" w:cs="仿宋"/>
          <w:sz w:val="24"/>
          <w:szCs w:val="24"/>
          <w:lang w:eastAsia="zh-CN"/>
        </w:rPr>
        <w:t>重庆江北国际机场空港地服公司装卸部</w:t>
      </w:r>
      <w:r>
        <w:rPr>
          <w:rFonts w:hint="eastAsia" w:ascii="仿宋" w:hAnsi="仿宋" w:eastAsia="仿宋" w:cs="仿宋"/>
          <w:color w:val="000000"/>
          <w:sz w:val="24"/>
          <w:szCs w:val="24"/>
          <w:lang w:eastAsia="zh-CN"/>
        </w:rPr>
        <w:t>。</w:t>
      </w:r>
    </w:p>
    <w:p>
      <w:pPr>
        <w:keepNext w:val="0"/>
        <w:keepLines w:val="0"/>
        <w:pageBreakBefore w:val="0"/>
        <w:tabs>
          <w:tab w:val="left" w:pos="600"/>
        </w:tabs>
        <w:kinsoku/>
        <w:wordWrap/>
        <w:overflowPunct/>
        <w:topLinePunct w:val="0"/>
        <w:bidi w:val="0"/>
        <w:snapToGrid w:val="0"/>
        <w:spacing w:line="500" w:lineRule="exact"/>
        <w:ind w:left="-2"/>
        <w:jc w:val="both"/>
        <w:rPr>
          <w:rFonts w:hint="eastAsia" w:ascii="仿宋" w:hAnsi="仿宋" w:eastAsia="仿宋" w:cs="仿宋"/>
          <w:sz w:val="24"/>
          <w:szCs w:val="24"/>
          <w:u w:val="none"/>
          <w:lang w:val="en-US" w:eastAsia="zh-CN"/>
        </w:rPr>
      </w:pPr>
      <w:r>
        <w:rPr>
          <w:rFonts w:hint="eastAsia" w:ascii="仿宋" w:hAnsi="仿宋" w:eastAsia="仿宋" w:cs="仿宋"/>
          <w:sz w:val="24"/>
          <w:szCs w:val="24"/>
        </w:rPr>
        <w:t>6.2交货时间：</w:t>
      </w:r>
      <w:r>
        <w:rPr>
          <w:rFonts w:hint="eastAsia" w:ascii="仿宋" w:hAnsi="仿宋" w:eastAsia="仿宋" w:cs="仿宋"/>
          <w:sz w:val="24"/>
          <w:szCs w:val="24"/>
          <w:u w:val="none"/>
          <w:lang w:eastAsia="zh-CN"/>
        </w:rPr>
        <w:t>合同生效后</w:t>
      </w:r>
      <w:r>
        <w:rPr>
          <w:rFonts w:hint="eastAsia" w:ascii="仿宋" w:hAnsi="仿宋" w:eastAsia="仿宋" w:cs="仿宋"/>
          <w:sz w:val="24"/>
          <w:szCs w:val="24"/>
          <w:u w:val="none"/>
          <w:lang w:val="en-US" w:eastAsia="zh-CN"/>
        </w:rPr>
        <w:t>40日历天内交货。（根据响应方案进行调整）</w:t>
      </w:r>
    </w:p>
    <w:p>
      <w:pPr>
        <w:pStyle w:val="5"/>
        <w:keepNext w:val="0"/>
        <w:keepLines w:val="0"/>
        <w:pageBreakBefore w:val="0"/>
        <w:kinsoku/>
        <w:wordWrap/>
        <w:overflowPunct/>
        <w:topLinePunct w:val="0"/>
        <w:bidi w:val="0"/>
        <w:snapToGrid w:val="0"/>
        <w:spacing w:before="0" w:line="500" w:lineRule="exact"/>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6.3 甲方联系人及联系电话：</w:t>
      </w:r>
    </w:p>
    <w:p>
      <w:pPr>
        <w:keepNext w:val="0"/>
        <w:keepLines w:val="0"/>
        <w:pageBreakBefore w:val="0"/>
        <w:kinsoku/>
        <w:wordWrap/>
        <w:overflowPunct/>
        <w:topLinePunct w:val="0"/>
        <w:bidi w:val="0"/>
        <w:snapToGrid w:val="0"/>
        <w:spacing w:line="500" w:lineRule="exact"/>
        <w:jc w:val="both"/>
        <w:rPr>
          <w:rFonts w:hint="default" w:ascii="仿宋" w:hAnsi="仿宋" w:eastAsia="仿宋" w:cs="仿宋"/>
          <w:sz w:val="24"/>
          <w:szCs w:val="24"/>
          <w:lang w:val="en-US" w:eastAsia="zh-CN"/>
        </w:rPr>
      </w:pPr>
      <w:r>
        <w:rPr>
          <w:rFonts w:hint="eastAsia" w:ascii="仿宋" w:hAnsi="仿宋" w:eastAsia="仿宋" w:cs="仿宋"/>
          <w:sz w:val="24"/>
          <w:szCs w:val="24"/>
          <w:u w:val="none"/>
          <w:lang w:val="en-US" w:eastAsia="zh-CN"/>
        </w:rPr>
        <w:t xml:space="preserve">    乙方联系人及联系电话：</w:t>
      </w:r>
    </w:p>
    <w:p>
      <w:pPr>
        <w:keepNext w:val="0"/>
        <w:keepLines w:val="0"/>
        <w:pageBreakBefore w:val="0"/>
        <w:tabs>
          <w:tab w:val="left" w:pos="600"/>
        </w:tabs>
        <w:kinsoku/>
        <w:wordWrap/>
        <w:overflowPunct/>
        <w:topLinePunct w:val="0"/>
        <w:bidi w:val="0"/>
        <w:snapToGrid w:val="0"/>
        <w:spacing w:line="500" w:lineRule="exact"/>
        <w:ind w:left="-2"/>
        <w:jc w:val="both"/>
        <w:rPr>
          <w:rFonts w:hint="eastAsia" w:ascii="仿宋" w:hAnsi="仿宋" w:eastAsia="仿宋" w:cs="仿宋"/>
          <w:b/>
          <w:bCs/>
          <w:sz w:val="24"/>
          <w:szCs w:val="24"/>
        </w:rPr>
      </w:pPr>
      <w:r>
        <w:rPr>
          <w:rFonts w:hint="eastAsia" w:ascii="仿宋" w:hAnsi="仿宋" w:eastAsia="仿宋" w:cs="仿宋"/>
          <w:b/>
          <w:bCs/>
          <w:sz w:val="24"/>
          <w:szCs w:val="24"/>
        </w:rPr>
        <w:t xml:space="preserve">7.检验 </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7.1货到后，甲方收货</w:t>
      </w:r>
      <w:r>
        <w:rPr>
          <w:rFonts w:hint="eastAsia" w:ascii="仿宋" w:hAnsi="仿宋" w:eastAsia="仿宋" w:cs="仿宋"/>
          <w:sz w:val="24"/>
          <w:szCs w:val="24"/>
          <w:lang w:eastAsia="zh-CN"/>
        </w:rPr>
        <w:t>时</w:t>
      </w:r>
      <w:r>
        <w:rPr>
          <w:rFonts w:hint="eastAsia" w:ascii="仿宋" w:hAnsi="仿宋" w:eastAsia="仿宋" w:cs="仿宋"/>
          <w:sz w:val="24"/>
          <w:szCs w:val="24"/>
        </w:rPr>
        <w:t>，</w:t>
      </w:r>
      <w:r>
        <w:rPr>
          <w:rFonts w:hint="eastAsia" w:ascii="仿宋" w:hAnsi="仿宋" w:eastAsia="仿宋" w:cs="仿宋"/>
          <w:sz w:val="24"/>
          <w:szCs w:val="24"/>
          <w:lang w:eastAsia="zh-CN"/>
        </w:rPr>
        <w:t>对照乙方提供的送货凭证是否一致，货物</w:t>
      </w:r>
      <w:r>
        <w:rPr>
          <w:rFonts w:hint="eastAsia" w:ascii="仿宋" w:hAnsi="仿宋" w:eastAsia="仿宋" w:cs="仿宋"/>
          <w:sz w:val="24"/>
          <w:szCs w:val="24"/>
        </w:rPr>
        <w:t>的规格型号均以</w:t>
      </w:r>
      <w:r>
        <w:rPr>
          <w:rFonts w:hint="eastAsia" w:ascii="仿宋" w:hAnsi="仿宋" w:eastAsia="仿宋" w:cs="仿宋"/>
          <w:sz w:val="24"/>
          <w:szCs w:val="24"/>
          <w:lang w:eastAsia="zh-CN"/>
        </w:rPr>
        <w:t>本合同</w:t>
      </w:r>
      <w:r>
        <w:rPr>
          <w:rFonts w:hint="eastAsia" w:ascii="仿宋" w:hAnsi="仿宋" w:eastAsia="仿宋" w:cs="仿宋"/>
          <w:sz w:val="24"/>
          <w:szCs w:val="24"/>
        </w:rPr>
        <w:t>要求为准。</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7.2甲方</w:t>
      </w:r>
      <w:r>
        <w:rPr>
          <w:rFonts w:hint="eastAsia" w:ascii="仿宋" w:hAnsi="仿宋" w:eastAsia="仿宋" w:cs="仿宋"/>
          <w:sz w:val="24"/>
          <w:szCs w:val="24"/>
          <w:lang w:eastAsia="zh-CN"/>
        </w:rPr>
        <w:t>经调试、运行后，确认标的物符合本合同要求的，应及时履行验收程序。</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b/>
          <w:bCs/>
          <w:sz w:val="24"/>
          <w:szCs w:val="24"/>
        </w:rPr>
      </w:pPr>
      <w:r>
        <w:rPr>
          <w:rFonts w:hint="eastAsia" w:ascii="仿宋" w:hAnsi="仿宋" w:eastAsia="仿宋" w:cs="仿宋"/>
          <w:b/>
          <w:bCs/>
          <w:sz w:val="24"/>
          <w:szCs w:val="24"/>
        </w:rPr>
        <w:t>8.质量保证</w:t>
      </w:r>
    </w:p>
    <w:p>
      <w:pPr>
        <w:keepNext w:val="0"/>
        <w:keepLines w:val="0"/>
        <w:pageBreakBefore w:val="0"/>
        <w:kinsoku/>
        <w:wordWrap/>
        <w:overflowPunct/>
        <w:topLinePunct w:val="0"/>
        <w:bidi w:val="0"/>
        <w:snapToGrid w:val="0"/>
        <w:spacing w:line="50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8.1质量保证期：24个月(根据响应方案进行调整）</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乙方保证所提供的</w:t>
      </w:r>
      <w:r>
        <w:rPr>
          <w:rFonts w:hint="eastAsia" w:ascii="仿宋" w:hAnsi="仿宋" w:eastAsia="仿宋" w:cs="仿宋"/>
          <w:sz w:val="24"/>
          <w:szCs w:val="24"/>
          <w:lang w:eastAsia="zh-CN"/>
        </w:rPr>
        <w:t>货物</w:t>
      </w:r>
      <w:r>
        <w:rPr>
          <w:rFonts w:hint="eastAsia" w:ascii="仿宋" w:hAnsi="仿宋" w:eastAsia="仿宋" w:cs="仿宋"/>
          <w:sz w:val="24"/>
          <w:szCs w:val="24"/>
        </w:rPr>
        <w:t>为甲方所规定之</w:t>
      </w:r>
      <w:r>
        <w:rPr>
          <w:rFonts w:hint="eastAsia" w:ascii="仿宋" w:hAnsi="仿宋" w:eastAsia="仿宋" w:cs="仿宋"/>
          <w:sz w:val="24"/>
          <w:szCs w:val="24"/>
          <w:lang w:eastAsia="zh-CN"/>
        </w:rPr>
        <w:t>货物</w:t>
      </w:r>
      <w:r>
        <w:rPr>
          <w:rFonts w:hint="eastAsia" w:ascii="仿宋" w:hAnsi="仿宋" w:eastAsia="仿宋" w:cs="仿宋"/>
          <w:sz w:val="24"/>
          <w:szCs w:val="24"/>
          <w:lang w:val="en-US" w:eastAsia="zh-CN"/>
        </w:rPr>
        <w:t>。</w:t>
      </w:r>
      <w:r>
        <w:rPr>
          <w:rFonts w:hint="eastAsia" w:ascii="仿宋" w:hAnsi="仿宋" w:eastAsia="仿宋" w:cs="仿宋"/>
          <w:sz w:val="24"/>
          <w:szCs w:val="24"/>
        </w:rPr>
        <w:t>如果</w:t>
      </w:r>
      <w:r>
        <w:rPr>
          <w:rFonts w:hint="eastAsia" w:ascii="仿宋" w:hAnsi="仿宋" w:eastAsia="仿宋" w:cs="仿宋"/>
          <w:sz w:val="24"/>
          <w:szCs w:val="24"/>
          <w:lang w:eastAsia="zh-CN"/>
        </w:rPr>
        <w:t>货物</w:t>
      </w:r>
      <w:r>
        <w:rPr>
          <w:rFonts w:hint="eastAsia" w:ascii="仿宋" w:hAnsi="仿宋" w:eastAsia="仿宋" w:cs="仿宋"/>
          <w:sz w:val="24"/>
          <w:szCs w:val="24"/>
        </w:rPr>
        <w:t>质量在使用过程中</w:t>
      </w:r>
      <w:r>
        <w:rPr>
          <w:rFonts w:hint="eastAsia" w:ascii="仿宋" w:hAnsi="仿宋" w:eastAsia="仿宋" w:cs="仿宋"/>
          <w:sz w:val="24"/>
          <w:szCs w:val="24"/>
          <w:lang w:eastAsia="zh-CN"/>
        </w:rPr>
        <w:t>出现问题或</w:t>
      </w:r>
      <w:r>
        <w:rPr>
          <w:rFonts w:hint="eastAsia" w:ascii="仿宋" w:hAnsi="仿宋" w:eastAsia="仿宋" w:cs="仿宋"/>
          <w:sz w:val="24"/>
          <w:szCs w:val="24"/>
        </w:rPr>
        <w:t>不能达到相关标准，乙方应负责更换，否则，甲方有权要求退货</w:t>
      </w:r>
      <w:r>
        <w:rPr>
          <w:rFonts w:hint="eastAsia" w:ascii="仿宋" w:hAnsi="仿宋" w:eastAsia="仿宋" w:cs="仿宋"/>
          <w:sz w:val="24"/>
          <w:szCs w:val="24"/>
          <w:lang w:eastAsia="zh-CN"/>
        </w:rPr>
        <w:t>和赔偿</w:t>
      </w:r>
      <w:r>
        <w:rPr>
          <w:rFonts w:hint="eastAsia" w:ascii="仿宋" w:hAnsi="仿宋" w:eastAsia="仿宋" w:cs="仿宋"/>
          <w:sz w:val="24"/>
          <w:szCs w:val="24"/>
        </w:rPr>
        <w:t>。</w:t>
      </w:r>
    </w:p>
    <w:p>
      <w:pPr>
        <w:keepNext w:val="0"/>
        <w:keepLines w:val="0"/>
        <w:pageBreakBefore w:val="0"/>
        <w:tabs>
          <w:tab w:val="left" w:pos="600"/>
        </w:tabs>
        <w:kinsoku/>
        <w:wordWrap/>
        <w:overflowPunct/>
        <w:topLinePunct w:val="0"/>
        <w:bidi w:val="0"/>
        <w:snapToGrid w:val="0"/>
        <w:spacing w:line="500" w:lineRule="exact"/>
        <w:ind w:left="-2"/>
        <w:jc w:val="both"/>
        <w:rPr>
          <w:rFonts w:hint="eastAsia" w:ascii="仿宋" w:hAnsi="仿宋" w:eastAsia="仿宋" w:cs="仿宋"/>
          <w:b/>
          <w:bCs/>
          <w:sz w:val="24"/>
          <w:szCs w:val="24"/>
        </w:rPr>
      </w:pPr>
      <w:r>
        <w:rPr>
          <w:rFonts w:hint="eastAsia" w:ascii="仿宋" w:hAnsi="仿宋" w:eastAsia="仿宋" w:cs="仿宋"/>
          <w:b/>
          <w:bCs/>
          <w:sz w:val="24"/>
          <w:szCs w:val="24"/>
        </w:rPr>
        <w:t>9.售后及其他服务</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9.1 乙方应提供有效的联系人和联系电话，如有变更，乙方应及时、主动通知甲方。</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9.2乙方应做好定期客户回访工作，及时发现并回复客户提出的问题；可以根据客户需求提供相关的</w:t>
      </w:r>
      <w:r>
        <w:rPr>
          <w:rFonts w:hint="eastAsia" w:ascii="仿宋" w:hAnsi="仿宋" w:eastAsia="仿宋" w:cs="仿宋"/>
          <w:sz w:val="24"/>
          <w:szCs w:val="24"/>
          <w:lang w:eastAsia="zh-CN"/>
        </w:rPr>
        <w:t>购买</w:t>
      </w:r>
      <w:r>
        <w:rPr>
          <w:rFonts w:hint="eastAsia" w:ascii="仿宋" w:hAnsi="仿宋" w:eastAsia="仿宋" w:cs="仿宋"/>
          <w:sz w:val="24"/>
          <w:szCs w:val="24"/>
        </w:rPr>
        <w:t>数据。</w:t>
      </w:r>
    </w:p>
    <w:p>
      <w:pPr>
        <w:keepNext w:val="0"/>
        <w:keepLines w:val="0"/>
        <w:pageBreakBefore w:val="0"/>
        <w:tabs>
          <w:tab w:val="left" w:pos="600"/>
        </w:tabs>
        <w:kinsoku/>
        <w:wordWrap/>
        <w:overflowPunct/>
        <w:topLinePunct w:val="0"/>
        <w:bidi w:val="0"/>
        <w:snapToGrid w:val="0"/>
        <w:spacing w:line="500" w:lineRule="exact"/>
        <w:jc w:val="both"/>
        <w:rPr>
          <w:rFonts w:hint="eastAsia" w:ascii="仿宋" w:hAnsi="仿宋" w:eastAsia="仿宋" w:cs="仿宋"/>
          <w:b/>
          <w:bCs/>
          <w:sz w:val="24"/>
          <w:szCs w:val="24"/>
        </w:rPr>
      </w:pPr>
      <w:r>
        <w:rPr>
          <w:rFonts w:hint="eastAsia" w:ascii="仿宋" w:hAnsi="仿宋" w:eastAsia="仿宋" w:cs="仿宋"/>
          <w:b/>
          <w:bCs/>
          <w:sz w:val="24"/>
          <w:szCs w:val="24"/>
        </w:rPr>
        <w:t>10. 环保、安全及合法性要求</w:t>
      </w:r>
    </w:p>
    <w:p>
      <w:pPr>
        <w:keepNext w:val="0"/>
        <w:keepLines w:val="0"/>
        <w:pageBreakBefore w:val="0"/>
        <w:tabs>
          <w:tab w:val="left" w:pos="7560"/>
        </w:tabs>
        <w:kinsoku/>
        <w:wordWrap/>
        <w:overflowPunct/>
        <w:topLinePunct w:val="0"/>
        <w:bidi w:val="0"/>
        <w:snapToGrid w:val="0"/>
        <w:spacing w:line="500" w:lineRule="exact"/>
        <w:ind w:left="-2" w:leftChars="-1" w:firstLine="2"/>
        <w:jc w:val="both"/>
        <w:rPr>
          <w:rFonts w:hint="eastAsia" w:ascii="仿宋" w:hAnsi="仿宋" w:eastAsia="仿宋" w:cs="仿宋"/>
          <w:sz w:val="24"/>
          <w:szCs w:val="24"/>
        </w:rPr>
      </w:pPr>
      <w:r>
        <w:rPr>
          <w:rFonts w:hint="eastAsia" w:ascii="仿宋" w:hAnsi="仿宋" w:eastAsia="仿宋" w:cs="仿宋"/>
          <w:sz w:val="24"/>
          <w:szCs w:val="24"/>
        </w:rPr>
        <w:t>10.1 乙方承诺所提供</w:t>
      </w:r>
      <w:r>
        <w:rPr>
          <w:rFonts w:hint="eastAsia" w:ascii="仿宋" w:hAnsi="仿宋" w:eastAsia="仿宋" w:cs="仿宋"/>
          <w:sz w:val="24"/>
          <w:szCs w:val="24"/>
          <w:lang w:eastAsia="zh-CN"/>
        </w:rPr>
        <w:t>货物</w:t>
      </w:r>
      <w:r>
        <w:rPr>
          <w:rFonts w:hint="eastAsia" w:ascii="仿宋" w:hAnsi="仿宋" w:eastAsia="仿宋" w:cs="仿宋"/>
          <w:sz w:val="24"/>
          <w:szCs w:val="24"/>
        </w:rPr>
        <w:t>符合国家环境保护的有关规定，不能对环境造成不良影响并承担由此造成的经济损失。</w:t>
      </w:r>
    </w:p>
    <w:p>
      <w:pPr>
        <w:keepNext w:val="0"/>
        <w:keepLines w:val="0"/>
        <w:pageBreakBefore w:val="0"/>
        <w:tabs>
          <w:tab w:val="left" w:pos="7560"/>
        </w:tabs>
        <w:kinsoku/>
        <w:wordWrap/>
        <w:overflowPunct/>
        <w:topLinePunct w:val="0"/>
        <w:bidi w:val="0"/>
        <w:snapToGrid w:val="0"/>
        <w:spacing w:line="500" w:lineRule="exact"/>
        <w:ind w:left="-2" w:leftChars="-1" w:firstLine="2"/>
        <w:jc w:val="both"/>
        <w:rPr>
          <w:rFonts w:hint="eastAsia" w:ascii="仿宋" w:hAnsi="仿宋" w:eastAsia="仿宋" w:cs="仿宋"/>
          <w:sz w:val="24"/>
          <w:szCs w:val="24"/>
        </w:rPr>
      </w:pPr>
      <w:r>
        <w:rPr>
          <w:rFonts w:hint="eastAsia" w:ascii="仿宋" w:hAnsi="仿宋" w:eastAsia="仿宋" w:cs="仿宋"/>
          <w:sz w:val="24"/>
          <w:szCs w:val="24"/>
        </w:rPr>
        <w:t>10.2 乙方所提供</w:t>
      </w:r>
      <w:r>
        <w:rPr>
          <w:rFonts w:hint="eastAsia" w:ascii="仿宋" w:hAnsi="仿宋" w:eastAsia="仿宋" w:cs="仿宋"/>
          <w:sz w:val="24"/>
          <w:szCs w:val="24"/>
          <w:lang w:eastAsia="zh-CN"/>
        </w:rPr>
        <w:t>货物</w:t>
      </w:r>
      <w:r>
        <w:rPr>
          <w:rFonts w:hint="eastAsia" w:ascii="仿宋" w:hAnsi="仿宋" w:eastAsia="仿宋" w:cs="仿宋"/>
          <w:sz w:val="24"/>
          <w:szCs w:val="24"/>
        </w:rPr>
        <w:t>不能对甲方的正常使用人员的人身健康造成危害并承担由此产生的经济损失。</w:t>
      </w:r>
    </w:p>
    <w:p>
      <w:pPr>
        <w:keepNext w:val="0"/>
        <w:keepLines w:val="0"/>
        <w:pageBreakBefore w:val="0"/>
        <w:tabs>
          <w:tab w:val="left" w:pos="7560"/>
        </w:tabs>
        <w:kinsoku/>
        <w:wordWrap/>
        <w:overflowPunct/>
        <w:topLinePunct w:val="0"/>
        <w:bidi w:val="0"/>
        <w:snapToGrid w:val="0"/>
        <w:spacing w:line="500" w:lineRule="exact"/>
        <w:ind w:left="-2" w:leftChars="-1" w:firstLine="2"/>
        <w:jc w:val="both"/>
        <w:rPr>
          <w:rFonts w:hint="eastAsia" w:ascii="仿宋" w:hAnsi="仿宋" w:eastAsia="仿宋" w:cs="仿宋"/>
          <w:sz w:val="24"/>
          <w:szCs w:val="24"/>
        </w:rPr>
      </w:pPr>
      <w:r>
        <w:rPr>
          <w:rFonts w:hint="eastAsia" w:ascii="仿宋" w:hAnsi="仿宋" w:eastAsia="仿宋" w:cs="仿宋"/>
          <w:sz w:val="24"/>
          <w:szCs w:val="24"/>
        </w:rPr>
        <w:t>10.3乙方所提供之</w:t>
      </w:r>
      <w:r>
        <w:rPr>
          <w:rFonts w:hint="eastAsia" w:ascii="仿宋" w:hAnsi="仿宋" w:eastAsia="仿宋" w:cs="仿宋"/>
          <w:sz w:val="24"/>
          <w:szCs w:val="24"/>
          <w:lang w:eastAsia="zh-CN"/>
        </w:rPr>
        <w:t>货物</w:t>
      </w:r>
      <w:r>
        <w:rPr>
          <w:rFonts w:hint="eastAsia" w:ascii="仿宋" w:hAnsi="仿宋" w:eastAsia="仿宋" w:cs="仿宋"/>
          <w:sz w:val="24"/>
          <w:szCs w:val="24"/>
        </w:rPr>
        <w:t>符合中华人民共和国以及甲方所在地的相关法律法规及其他规范性文件之规定，不会对第三人的任何权利权益造成任何损害。</w:t>
      </w:r>
    </w:p>
    <w:p>
      <w:pPr>
        <w:keepNext w:val="0"/>
        <w:keepLines w:val="0"/>
        <w:pageBreakBefore w:val="0"/>
        <w:tabs>
          <w:tab w:val="left" w:pos="600"/>
        </w:tabs>
        <w:kinsoku/>
        <w:wordWrap/>
        <w:overflowPunct/>
        <w:topLinePunct w:val="0"/>
        <w:bidi w:val="0"/>
        <w:snapToGrid w:val="0"/>
        <w:spacing w:line="500" w:lineRule="exact"/>
        <w:ind w:left="-2"/>
        <w:jc w:val="both"/>
        <w:rPr>
          <w:rFonts w:hint="eastAsia" w:ascii="仿宋" w:hAnsi="仿宋" w:eastAsia="仿宋" w:cs="仿宋"/>
          <w:b/>
          <w:bCs/>
          <w:sz w:val="24"/>
          <w:szCs w:val="24"/>
        </w:rPr>
      </w:pPr>
      <w:r>
        <w:rPr>
          <w:rFonts w:hint="eastAsia" w:ascii="仿宋" w:hAnsi="仿宋" w:eastAsia="仿宋" w:cs="仿宋"/>
          <w:b/>
          <w:bCs/>
          <w:sz w:val="24"/>
          <w:szCs w:val="24"/>
        </w:rPr>
        <w:t xml:space="preserve">11. </w:t>
      </w:r>
      <w:r>
        <w:rPr>
          <w:rFonts w:hint="eastAsia" w:ascii="仿宋" w:hAnsi="仿宋" w:eastAsia="仿宋" w:cs="仿宋"/>
          <w:b/>
          <w:bCs/>
          <w:sz w:val="24"/>
          <w:szCs w:val="24"/>
          <w:lang w:eastAsia="zh-CN"/>
        </w:rPr>
        <w:t>货物</w:t>
      </w:r>
      <w:r>
        <w:rPr>
          <w:rFonts w:hint="eastAsia" w:ascii="仿宋" w:hAnsi="仿宋" w:eastAsia="仿宋" w:cs="仿宋"/>
          <w:b/>
          <w:bCs/>
          <w:sz w:val="24"/>
          <w:szCs w:val="24"/>
        </w:rPr>
        <w:t>瑕疵</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11.1在交货之前，乙方应就</w:t>
      </w:r>
      <w:r>
        <w:rPr>
          <w:rFonts w:hint="eastAsia" w:ascii="仿宋" w:hAnsi="仿宋" w:eastAsia="仿宋" w:cs="仿宋"/>
          <w:sz w:val="24"/>
          <w:szCs w:val="24"/>
          <w:lang w:eastAsia="zh-CN"/>
        </w:rPr>
        <w:t>货物</w:t>
      </w:r>
      <w:r>
        <w:rPr>
          <w:rFonts w:hint="eastAsia" w:ascii="仿宋" w:hAnsi="仿宋" w:eastAsia="仿宋" w:cs="仿宋"/>
          <w:sz w:val="24"/>
          <w:szCs w:val="24"/>
        </w:rPr>
        <w:t>的品质、规格、性能、数量及重量做出准确和全面的检验，保证其</w:t>
      </w:r>
      <w:r>
        <w:rPr>
          <w:rFonts w:hint="eastAsia" w:ascii="仿宋" w:hAnsi="仿宋" w:eastAsia="仿宋" w:cs="仿宋"/>
          <w:sz w:val="24"/>
          <w:szCs w:val="24"/>
          <w:lang w:eastAsia="zh-CN"/>
        </w:rPr>
        <w:t>货物</w:t>
      </w:r>
      <w:r>
        <w:rPr>
          <w:rFonts w:hint="eastAsia" w:ascii="仿宋" w:hAnsi="仿宋" w:eastAsia="仿宋" w:cs="仿宋"/>
          <w:sz w:val="24"/>
          <w:szCs w:val="24"/>
        </w:rPr>
        <w:t>不存在任何瑕疵。</w:t>
      </w:r>
    </w:p>
    <w:p>
      <w:pPr>
        <w:keepNext w:val="0"/>
        <w:keepLines w:val="0"/>
        <w:pageBreakBefore w:val="0"/>
        <w:tabs>
          <w:tab w:val="left" w:pos="7560"/>
        </w:tabs>
        <w:kinsoku/>
        <w:wordWrap/>
        <w:overflowPunct/>
        <w:topLinePunct w:val="0"/>
        <w:bidi w:val="0"/>
        <w:snapToGrid w:val="0"/>
        <w:spacing w:line="500" w:lineRule="exact"/>
        <w:ind w:left="-2" w:leftChars="-1" w:firstLine="2"/>
        <w:jc w:val="both"/>
        <w:rPr>
          <w:rFonts w:hint="eastAsia" w:ascii="仿宋" w:hAnsi="仿宋" w:eastAsia="仿宋" w:cs="仿宋"/>
          <w:sz w:val="24"/>
          <w:szCs w:val="24"/>
        </w:rPr>
      </w:pPr>
      <w:r>
        <w:rPr>
          <w:rFonts w:hint="eastAsia" w:ascii="仿宋" w:hAnsi="仿宋" w:eastAsia="仿宋" w:cs="仿宋"/>
          <w:sz w:val="24"/>
          <w:szCs w:val="24"/>
        </w:rPr>
        <w:t>11.2如甲方发现乙方所售</w:t>
      </w:r>
      <w:r>
        <w:rPr>
          <w:rFonts w:hint="eastAsia" w:ascii="仿宋" w:hAnsi="仿宋" w:eastAsia="仿宋" w:cs="仿宋"/>
          <w:sz w:val="24"/>
          <w:szCs w:val="24"/>
          <w:lang w:eastAsia="zh-CN"/>
        </w:rPr>
        <w:t>货物</w:t>
      </w:r>
      <w:r>
        <w:rPr>
          <w:rFonts w:hint="eastAsia" w:ascii="仿宋" w:hAnsi="仿宋" w:eastAsia="仿宋" w:cs="仿宋"/>
          <w:sz w:val="24"/>
          <w:szCs w:val="24"/>
        </w:rPr>
        <w:t>存在任何瑕疵，有权要求乙方进行换货。所更换之货物必须为全新的并符合规定的品质、规格和性能。若更换之货物仍不能达到甲方的要求，甲方有权要求退货，并由乙方负担因此产生的一切费用和甲方遭受的损失。</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b/>
          <w:bCs/>
          <w:sz w:val="24"/>
          <w:szCs w:val="24"/>
        </w:rPr>
      </w:pPr>
      <w:r>
        <w:rPr>
          <w:rFonts w:hint="eastAsia" w:ascii="仿宋" w:hAnsi="仿宋" w:eastAsia="仿宋" w:cs="仿宋"/>
          <w:b/>
          <w:bCs/>
          <w:sz w:val="24"/>
          <w:szCs w:val="24"/>
        </w:rPr>
        <w:t>12.违约责任</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12.1合同生效后即对双方具有法律约束力，甲乙双方应本着信守合同、友好协商的原则，处理本合同有关事宜。</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12.2甲乙双方如有一方违约，由违约方承担由此给守约方造成的经济损失。</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12.3 如乙方未按合同规定时间将</w:t>
      </w:r>
      <w:r>
        <w:rPr>
          <w:rFonts w:hint="eastAsia" w:ascii="仿宋" w:hAnsi="仿宋" w:eastAsia="仿宋" w:cs="仿宋"/>
          <w:sz w:val="24"/>
          <w:szCs w:val="24"/>
          <w:lang w:eastAsia="zh-CN"/>
        </w:rPr>
        <w:t>货物</w:t>
      </w:r>
      <w:r>
        <w:rPr>
          <w:rFonts w:hint="eastAsia" w:ascii="仿宋" w:hAnsi="仿宋" w:eastAsia="仿宋" w:cs="仿宋"/>
          <w:sz w:val="24"/>
          <w:szCs w:val="24"/>
        </w:rPr>
        <w:t>运到甲方指定地点或未按约定时间送到全部</w:t>
      </w:r>
      <w:r>
        <w:rPr>
          <w:rFonts w:hint="eastAsia" w:ascii="仿宋" w:hAnsi="仿宋" w:eastAsia="仿宋" w:cs="仿宋"/>
          <w:sz w:val="24"/>
          <w:szCs w:val="24"/>
          <w:lang w:eastAsia="zh-CN"/>
        </w:rPr>
        <w:t>货物</w:t>
      </w:r>
      <w:r>
        <w:rPr>
          <w:rFonts w:hint="eastAsia" w:ascii="仿宋" w:hAnsi="仿宋" w:eastAsia="仿宋" w:cs="仿宋"/>
          <w:sz w:val="24"/>
          <w:szCs w:val="24"/>
        </w:rPr>
        <w:t>（经甲方允许可以延期送的</w:t>
      </w:r>
      <w:r>
        <w:rPr>
          <w:rFonts w:hint="eastAsia" w:ascii="仿宋" w:hAnsi="仿宋" w:eastAsia="仿宋" w:cs="仿宋"/>
          <w:sz w:val="24"/>
          <w:szCs w:val="24"/>
          <w:lang w:eastAsia="zh-CN"/>
        </w:rPr>
        <w:t>货物</w:t>
      </w:r>
      <w:r>
        <w:rPr>
          <w:rFonts w:hint="eastAsia" w:ascii="仿宋" w:hAnsi="仿宋" w:eastAsia="仿宋" w:cs="仿宋"/>
          <w:sz w:val="24"/>
          <w:szCs w:val="24"/>
        </w:rPr>
        <w:t>除外），每延期一日，乙方应向甲方支付</w:t>
      </w:r>
      <w:r>
        <w:rPr>
          <w:rFonts w:hint="eastAsia" w:ascii="仿宋" w:hAnsi="仿宋" w:eastAsia="仿宋" w:cs="仿宋"/>
          <w:sz w:val="24"/>
          <w:szCs w:val="24"/>
          <w:lang w:eastAsia="zh-CN"/>
        </w:rPr>
        <w:t>该批次货物金额</w:t>
      </w:r>
      <w:r>
        <w:rPr>
          <w:rFonts w:hint="eastAsia" w:ascii="仿宋" w:hAnsi="仿宋" w:eastAsia="仿宋" w:cs="仿宋"/>
          <w:sz w:val="24"/>
          <w:szCs w:val="24"/>
          <w:lang w:val="en-US" w:eastAsia="zh-CN"/>
        </w:rPr>
        <w:t>千分之五</w:t>
      </w:r>
      <w:r>
        <w:rPr>
          <w:rFonts w:hint="eastAsia" w:ascii="仿宋" w:hAnsi="仿宋" w:eastAsia="仿宋" w:cs="仿宋"/>
          <w:sz w:val="24"/>
          <w:szCs w:val="24"/>
        </w:rPr>
        <w:t>的违约金。</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12.4如乙方提供的货物存在质量问题，严重影响甲方生产经营活动造成经济损失，甲方有权单方面解除本合同，并有权要求赔偿。</w:t>
      </w:r>
    </w:p>
    <w:p>
      <w:pPr>
        <w:keepNext w:val="0"/>
        <w:keepLines w:val="0"/>
        <w:pageBreakBefore w:val="0"/>
        <w:tabs>
          <w:tab w:val="left" w:pos="600"/>
        </w:tabs>
        <w:kinsoku/>
        <w:wordWrap/>
        <w:overflowPunct/>
        <w:topLinePunct w:val="0"/>
        <w:bidi w:val="0"/>
        <w:snapToGrid w:val="0"/>
        <w:spacing w:line="500" w:lineRule="exact"/>
        <w:jc w:val="both"/>
        <w:rPr>
          <w:rFonts w:hint="eastAsia" w:ascii="仿宋" w:hAnsi="仿宋" w:eastAsia="仿宋" w:cs="仿宋"/>
          <w:b/>
          <w:sz w:val="24"/>
          <w:szCs w:val="24"/>
        </w:rPr>
      </w:pPr>
      <w:r>
        <w:rPr>
          <w:rFonts w:hint="eastAsia" w:ascii="仿宋" w:hAnsi="仿宋" w:eastAsia="仿宋" w:cs="仿宋"/>
          <w:b/>
          <w:sz w:val="24"/>
          <w:szCs w:val="24"/>
        </w:rPr>
        <w:t>13.合同的变更和解除</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13.1除非遇到不可抗力因素，导致本合同不能履行，未经甲乙双方一致书面同意，任何单方无权变更合同的内容。</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13.2 对本合同的任何修改或补充，只有在双方授权的代表签字后生效，并成为本合同不可分割的组成部分，与本合同具有同等法律效力。</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13.3如本合同任何一方严重违反合同，另一方应及时向违约方发出书面纠正通知，违约方应于收到书面纠正通知之日起</w:t>
      </w:r>
      <w:r>
        <w:rPr>
          <w:rFonts w:hint="eastAsia" w:ascii="仿宋" w:hAnsi="仿宋" w:eastAsia="仿宋" w:cs="仿宋"/>
          <w:color w:val="000000"/>
          <w:sz w:val="24"/>
          <w:szCs w:val="24"/>
        </w:rPr>
        <w:t>30日内</w:t>
      </w:r>
      <w:r>
        <w:rPr>
          <w:rFonts w:hint="eastAsia" w:ascii="仿宋" w:hAnsi="仿宋" w:eastAsia="仿宋" w:cs="仿宋"/>
          <w:sz w:val="24"/>
          <w:szCs w:val="24"/>
        </w:rPr>
        <w:t>纠正违约行为，否则守约方有权解除合同并要求违约方赔偿因解除合同而造成的经济损失。</w:t>
      </w:r>
    </w:p>
    <w:p>
      <w:pPr>
        <w:keepNext w:val="0"/>
        <w:keepLines w:val="0"/>
        <w:pageBreakBefore w:val="0"/>
        <w:tabs>
          <w:tab w:val="left" w:pos="765"/>
        </w:tabs>
        <w:kinsoku/>
        <w:wordWrap/>
        <w:overflowPunct/>
        <w:topLinePunct w:val="0"/>
        <w:bidi w:val="0"/>
        <w:snapToGrid w:val="0"/>
        <w:spacing w:line="50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13.4本合同任何一方破产、解散，本合同自动终止。</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b/>
          <w:sz w:val="24"/>
          <w:szCs w:val="24"/>
        </w:rPr>
      </w:pPr>
      <w:r>
        <w:rPr>
          <w:rFonts w:hint="eastAsia" w:ascii="仿宋" w:hAnsi="仿宋" w:eastAsia="仿宋" w:cs="仿宋"/>
          <w:b/>
          <w:sz w:val="24"/>
          <w:szCs w:val="24"/>
        </w:rPr>
        <w:t>14.不可抗力</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14.1签约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政府政策调整等。</w:t>
      </w:r>
    </w:p>
    <w:p>
      <w:pPr>
        <w:keepNext w:val="0"/>
        <w:keepLines w:val="0"/>
        <w:pageBreakBefore w:val="0"/>
        <w:tabs>
          <w:tab w:val="left" w:pos="7560"/>
        </w:tabs>
        <w:kinsoku/>
        <w:wordWrap/>
        <w:overflowPunct/>
        <w:topLinePunct w:val="0"/>
        <w:bidi w:val="0"/>
        <w:snapToGrid w:val="0"/>
        <w:spacing w:line="500" w:lineRule="exact"/>
        <w:jc w:val="both"/>
        <w:rPr>
          <w:rFonts w:hint="eastAsia" w:ascii="仿宋" w:hAnsi="仿宋" w:eastAsia="仿宋" w:cs="仿宋"/>
          <w:b/>
          <w:bCs/>
          <w:sz w:val="24"/>
          <w:szCs w:val="24"/>
        </w:rPr>
      </w:pPr>
      <w:r>
        <w:rPr>
          <w:rFonts w:hint="eastAsia" w:ascii="仿宋" w:hAnsi="仿宋" w:eastAsia="仿宋" w:cs="仿宋"/>
          <w:sz w:val="24"/>
          <w:szCs w:val="24"/>
        </w:rPr>
        <w:t>14.2受阻一方应在不可抗力事件发生后尽快通知对方，并于事件发生后14日内将有关当局出具的证明文件用特快专递或挂号信寄给对方确认。</w:t>
      </w:r>
    </w:p>
    <w:p>
      <w:pPr>
        <w:keepNext w:val="0"/>
        <w:keepLines w:val="0"/>
        <w:pageBreakBefore w:val="0"/>
        <w:tabs>
          <w:tab w:val="left" w:pos="7560"/>
        </w:tabs>
        <w:kinsoku/>
        <w:wordWrap/>
        <w:overflowPunct/>
        <w:topLinePunct w:val="0"/>
        <w:bidi w:val="0"/>
        <w:snapToGrid w:val="0"/>
        <w:spacing w:line="500" w:lineRule="exact"/>
        <w:jc w:val="both"/>
        <w:rPr>
          <w:rFonts w:hint="eastAsia" w:ascii="仿宋" w:hAnsi="仿宋" w:eastAsia="仿宋" w:cs="仿宋"/>
          <w:b/>
          <w:bCs/>
          <w:sz w:val="24"/>
          <w:szCs w:val="24"/>
        </w:rPr>
      </w:pPr>
      <w:r>
        <w:rPr>
          <w:rFonts w:hint="eastAsia" w:ascii="仿宋" w:hAnsi="仿宋" w:eastAsia="仿宋" w:cs="仿宋"/>
          <w:b/>
          <w:bCs/>
          <w:sz w:val="24"/>
          <w:szCs w:val="24"/>
        </w:rPr>
        <w:t>15.通知</w:t>
      </w:r>
    </w:p>
    <w:p>
      <w:pPr>
        <w:keepNext w:val="0"/>
        <w:keepLines w:val="0"/>
        <w:pageBreakBefore w:val="0"/>
        <w:tabs>
          <w:tab w:val="left" w:pos="7560"/>
        </w:tabs>
        <w:kinsoku/>
        <w:wordWrap/>
        <w:overflowPunct/>
        <w:topLinePunct w:val="0"/>
        <w:bidi w:val="0"/>
        <w:snapToGrid w:val="0"/>
        <w:spacing w:line="500" w:lineRule="exact"/>
        <w:ind w:left="-2" w:leftChars="-1" w:firstLine="2"/>
        <w:jc w:val="both"/>
        <w:rPr>
          <w:rFonts w:hint="eastAsia" w:ascii="仿宋" w:hAnsi="仿宋" w:eastAsia="仿宋" w:cs="仿宋"/>
          <w:sz w:val="24"/>
          <w:szCs w:val="24"/>
        </w:rPr>
      </w:pPr>
      <w:r>
        <w:rPr>
          <w:rFonts w:hint="eastAsia" w:ascii="仿宋" w:hAnsi="仿宋" w:eastAsia="仿宋" w:cs="仿宋"/>
          <w:sz w:val="24"/>
          <w:szCs w:val="24"/>
        </w:rPr>
        <w:t>15.1本合同中任何通知</w:t>
      </w:r>
      <w:r>
        <w:rPr>
          <w:rFonts w:hint="eastAsia" w:ascii="仿宋" w:hAnsi="仿宋" w:eastAsia="仿宋" w:cs="仿宋"/>
          <w:sz w:val="24"/>
          <w:szCs w:val="24"/>
          <w:lang w:eastAsia="zh-CN"/>
        </w:rPr>
        <w:t>需为</w:t>
      </w:r>
      <w:r>
        <w:rPr>
          <w:rFonts w:hint="eastAsia" w:ascii="仿宋" w:hAnsi="仿宋" w:eastAsia="仿宋" w:cs="仿宋"/>
          <w:color w:val="000000"/>
          <w:sz w:val="24"/>
          <w:szCs w:val="24"/>
          <w:lang w:eastAsia="zh-CN"/>
        </w:rPr>
        <w:t>传真、电话、信函、邮件等。</w:t>
      </w:r>
    </w:p>
    <w:p>
      <w:pPr>
        <w:keepNext w:val="0"/>
        <w:keepLines w:val="0"/>
        <w:pageBreakBefore w:val="0"/>
        <w:tabs>
          <w:tab w:val="left" w:pos="750"/>
        </w:tabs>
        <w:kinsoku/>
        <w:wordWrap/>
        <w:overflowPunct/>
        <w:topLinePunct w:val="0"/>
        <w:bidi w:val="0"/>
        <w:snapToGrid w:val="0"/>
        <w:spacing w:line="500" w:lineRule="exact"/>
        <w:jc w:val="both"/>
        <w:rPr>
          <w:rFonts w:hint="eastAsia" w:ascii="仿宋" w:hAnsi="仿宋" w:eastAsia="仿宋" w:cs="仿宋"/>
          <w:b/>
          <w:sz w:val="24"/>
          <w:szCs w:val="24"/>
        </w:rPr>
      </w:pPr>
      <w:r>
        <w:rPr>
          <w:rFonts w:hint="eastAsia" w:ascii="仿宋" w:hAnsi="仿宋" w:eastAsia="仿宋" w:cs="仿宋"/>
          <w:b/>
          <w:sz w:val="24"/>
          <w:szCs w:val="24"/>
        </w:rPr>
        <w:t>16.争议解决和适用法律</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16.1与本合同有关的或因执行本合同所产生之争议，应由双方友好协商解决，不能解决时，任何一方均可向甲方所在地人民法院提起诉讼。</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16.2争议处理期间除正在审理的部分以外，双方应继续执行合同的其余部分。</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16.</w:t>
      </w:r>
      <w:r>
        <w:rPr>
          <w:rFonts w:hint="eastAsia" w:ascii="仿宋" w:hAnsi="仿宋" w:eastAsia="仿宋" w:cs="仿宋"/>
          <w:sz w:val="24"/>
          <w:szCs w:val="24"/>
          <w:lang w:val="en-US" w:eastAsia="zh-CN"/>
        </w:rPr>
        <w:t>3</w:t>
      </w:r>
      <w:r>
        <w:rPr>
          <w:rFonts w:hint="eastAsia" w:ascii="仿宋" w:hAnsi="仿宋" w:eastAsia="仿宋" w:cs="仿宋"/>
          <w:sz w:val="24"/>
          <w:szCs w:val="24"/>
        </w:rPr>
        <w:t>本合同的订立、效力、解释、履行及争议的解决适用中华人民共和国的法律、法规。</w:t>
      </w:r>
    </w:p>
    <w:p>
      <w:pPr>
        <w:keepNext w:val="0"/>
        <w:keepLines w:val="0"/>
        <w:pageBreakBefore w:val="0"/>
        <w:tabs>
          <w:tab w:val="left" w:pos="600"/>
        </w:tabs>
        <w:kinsoku/>
        <w:wordWrap/>
        <w:overflowPunct/>
        <w:topLinePunct w:val="0"/>
        <w:bidi w:val="0"/>
        <w:snapToGrid w:val="0"/>
        <w:spacing w:line="500" w:lineRule="exact"/>
        <w:jc w:val="both"/>
        <w:rPr>
          <w:rFonts w:hint="eastAsia" w:ascii="仿宋" w:hAnsi="仿宋" w:eastAsia="仿宋" w:cs="仿宋"/>
          <w:b/>
          <w:sz w:val="24"/>
          <w:szCs w:val="24"/>
        </w:rPr>
      </w:pPr>
      <w:r>
        <w:rPr>
          <w:rFonts w:hint="eastAsia" w:ascii="仿宋" w:hAnsi="仿宋" w:eastAsia="仿宋" w:cs="仿宋"/>
          <w:b/>
          <w:sz w:val="24"/>
          <w:szCs w:val="24"/>
        </w:rPr>
        <w:t>17.其他</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17.1本合同未尽事宜，应由甲、乙双方协商后以书面形式补充。</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17.2本合同</w:t>
      </w:r>
      <w:r>
        <w:rPr>
          <w:rFonts w:hint="eastAsia" w:ascii="仿宋" w:hAnsi="仿宋" w:eastAsia="仿宋" w:cs="仿宋"/>
          <w:sz w:val="24"/>
          <w:szCs w:val="24"/>
          <w:lang w:eastAsia="zh-CN"/>
        </w:rPr>
        <w:t>正本二份，甲乙双方各执一份；副本三份，甲方执二</w:t>
      </w:r>
      <w:r>
        <w:rPr>
          <w:rFonts w:hint="eastAsia" w:ascii="仿宋" w:hAnsi="仿宋" w:eastAsia="仿宋" w:cs="仿宋"/>
          <w:sz w:val="24"/>
          <w:szCs w:val="24"/>
        </w:rPr>
        <w:t>份，</w:t>
      </w:r>
      <w:r>
        <w:rPr>
          <w:rFonts w:hint="eastAsia" w:ascii="仿宋" w:hAnsi="仿宋" w:eastAsia="仿宋" w:cs="仿宋"/>
          <w:sz w:val="24"/>
          <w:szCs w:val="24"/>
          <w:lang w:eastAsia="zh-CN"/>
        </w:rPr>
        <w:t>乙方执一</w:t>
      </w:r>
      <w:r>
        <w:rPr>
          <w:rFonts w:hint="eastAsia" w:ascii="仿宋" w:hAnsi="仿宋" w:eastAsia="仿宋" w:cs="仿宋"/>
          <w:sz w:val="24"/>
          <w:szCs w:val="24"/>
        </w:rPr>
        <w:t>份，具有同等法律效力。</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lang w:eastAsia="zh-CN"/>
        </w:rPr>
      </w:pPr>
      <w:r>
        <w:rPr>
          <w:rFonts w:hint="eastAsia" w:ascii="仿宋" w:hAnsi="仿宋" w:eastAsia="仿宋" w:cs="仿宋"/>
          <w:sz w:val="24"/>
          <w:szCs w:val="24"/>
        </w:rPr>
        <w:t>17.3本合同自甲、乙双方加盖公司印章，并经双方</w:t>
      </w:r>
      <w:r>
        <w:rPr>
          <w:rFonts w:hint="eastAsia" w:ascii="仿宋" w:hAnsi="仿宋" w:eastAsia="仿宋" w:cs="仿宋"/>
          <w:sz w:val="24"/>
          <w:szCs w:val="24"/>
          <w:lang w:eastAsia="zh-CN"/>
        </w:rPr>
        <w:t>法定代表人或</w:t>
      </w:r>
      <w:r>
        <w:rPr>
          <w:rFonts w:hint="eastAsia" w:ascii="仿宋" w:hAnsi="仿宋" w:eastAsia="仿宋" w:cs="仿宋"/>
          <w:sz w:val="24"/>
          <w:szCs w:val="24"/>
        </w:rPr>
        <w:t>授权代表签字后生效</w:t>
      </w:r>
      <w:r>
        <w:rPr>
          <w:rFonts w:hint="eastAsia" w:ascii="仿宋" w:hAnsi="仿宋" w:eastAsia="仿宋" w:cs="仿宋"/>
          <w:sz w:val="24"/>
          <w:szCs w:val="24"/>
          <w:lang w:eastAsia="zh-CN"/>
        </w:rPr>
        <w:t>。</w:t>
      </w:r>
    </w:p>
    <w:p>
      <w:pPr>
        <w:pStyle w:val="16"/>
        <w:keepNext w:val="0"/>
        <w:keepLines w:val="0"/>
        <w:pageBreakBefore w:val="0"/>
        <w:kinsoku/>
        <w:wordWrap/>
        <w:overflowPunct/>
        <w:topLinePunct w:val="0"/>
        <w:bidi w:val="0"/>
        <w:spacing w:before="0" w:after="0" w:line="500" w:lineRule="exact"/>
        <w:jc w:val="both"/>
        <w:rPr>
          <w:rFonts w:hint="eastAsia" w:ascii="仿宋" w:hAnsi="仿宋" w:eastAsia="仿宋" w:cs="仿宋"/>
          <w:sz w:val="24"/>
          <w:szCs w:val="24"/>
        </w:rPr>
      </w:pPr>
    </w:p>
    <w:p>
      <w:pPr>
        <w:keepNext w:val="0"/>
        <w:keepLines w:val="0"/>
        <w:pageBreakBefore w:val="0"/>
        <w:kinsoku/>
        <w:wordWrap/>
        <w:overflowPunct/>
        <w:topLinePunct w:val="0"/>
        <w:bidi w:val="0"/>
        <w:spacing w:line="500" w:lineRule="exact"/>
        <w:rPr>
          <w:rFonts w:hint="eastAsia" w:ascii="仿宋" w:hAnsi="仿宋" w:eastAsia="仿宋" w:cs="仿宋"/>
        </w:rPr>
      </w:pP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甲方：重庆</w:t>
      </w:r>
      <w:r>
        <w:rPr>
          <w:rFonts w:hint="eastAsia" w:ascii="仿宋" w:hAnsi="仿宋" w:eastAsia="仿宋" w:cs="仿宋"/>
          <w:sz w:val="24"/>
          <w:szCs w:val="24"/>
          <w:lang w:eastAsia="zh-CN"/>
        </w:rPr>
        <w:t>空港航空地面服务</w:t>
      </w:r>
      <w:r>
        <w:rPr>
          <w:rFonts w:hint="eastAsia" w:ascii="仿宋" w:hAnsi="仿宋" w:eastAsia="仿宋" w:cs="仿宋"/>
          <w:sz w:val="24"/>
          <w:szCs w:val="24"/>
        </w:rPr>
        <w:t>有限公司</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（盖章）                               （盖章）</w:t>
      </w:r>
    </w:p>
    <w:p>
      <w:pPr>
        <w:keepNext w:val="0"/>
        <w:keepLines w:val="0"/>
        <w:pageBreakBefore w:val="0"/>
        <w:tabs>
          <w:tab w:val="left" w:pos="7560"/>
        </w:tabs>
        <w:kinsoku/>
        <w:wordWrap/>
        <w:overflowPunct/>
        <w:topLinePunct w:val="0"/>
        <w:bidi w:val="0"/>
        <w:snapToGrid w:val="0"/>
        <w:spacing w:line="5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法定代表人</w:t>
      </w:r>
      <w:r>
        <w:rPr>
          <w:rFonts w:hint="eastAsia" w:ascii="仿宋" w:hAnsi="仿宋" w:eastAsia="仿宋" w:cs="仿宋"/>
          <w:sz w:val="24"/>
          <w:szCs w:val="24"/>
          <w:lang w:val="en-US" w:eastAsia="zh-CN"/>
        </w:rPr>
        <w:t xml:space="preserve">                              法定代表人</w:t>
      </w:r>
    </w:p>
    <w:p>
      <w:pPr>
        <w:keepNext w:val="0"/>
        <w:keepLines w:val="0"/>
        <w:pageBreakBefore w:val="0"/>
        <w:tabs>
          <w:tab w:val="left" w:pos="7560"/>
        </w:tabs>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eastAsia="zh-CN"/>
        </w:rPr>
        <w:t>或授权</w:t>
      </w:r>
      <w:r>
        <w:rPr>
          <w:rFonts w:hint="eastAsia" w:ascii="仿宋" w:hAnsi="仿宋" w:eastAsia="仿宋" w:cs="仿宋"/>
          <w:sz w:val="24"/>
          <w:szCs w:val="24"/>
        </w:rPr>
        <w:t>代表：（签</w:t>
      </w:r>
      <w:r>
        <w:rPr>
          <w:rFonts w:hint="eastAsia" w:ascii="仿宋" w:hAnsi="仿宋" w:eastAsia="仿宋" w:cs="仿宋"/>
          <w:sz w:val="24"/>
          <w:szCs w:val="24"/>
          <w:lang w:eastAsia="zh-CN"/>
        </w:rPr>
        <w:t>字</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或授权</w:t>
      </w:r>
      <w:r>
        <w:rPr>
          <w:rFonts w:hint="eastAsia" w:ascii="仿宋" w:hAnsi="仿宋" w:eastAsia="仿宋" w:cs="仿宋"/>
          <w:sz w:val="24"/>
          <w:szCs w:val="24"/>
        </w:rPr>
        <w:t>代表：（签</w:t>
      </w:r>
      <w:r>
        <w:rPr>
          <w:rFonts w:hint="eastAsia" w:ascii="仿宋" w:hAnsi="仿宋" w:eastAsia="仿宋" w:cs="仿宋"/>
          <w:sz w:val="24"/>
          <w:szCs w:val="24"/>
          <w:lang w:eastAsia="zh-CN"/>
        </w:rPr>
        <w:t>字</w:t>
      </w:r>
      <w:r>
        <w:rPr>
          <w:rFonts w:hint="eastAsia" w:ascii="仿宋" w:hAnsi="仿宋" w:eastAsia="仿宋" w:cs="仿宋"/>
          <w:sz w:val="24"/>
          <w:szCs w:val="24"/>
        </w:rPr>
        <w:t>）</w:t>
      </w:r>
    </w:p>
    <w:p>
      <w:pPr>
        <w:keepNext w:val="0"/>
        <w:keepLines w:val="0"/>
        <w:pageBreakBefore w:val="0"/>
        <w:tabs>
          <w:tab w:val="left" w:pos="7686"/>
        </w:tabs>
        <w:kinsoku/>
        <w:wordWrap/>
        <w:overflowPunct/>
        <w:topLinePunct w:val="0"/>
        <w:bidi w:val="0"/>
        <w:snapToGrid w:val="0"/>
        <w:spacing w:line="500" w:lineRule="exact"/>
        <w:jc w:val="both"/>
        <w:rPr>
          <w:rFonts w:hint="default" w:ascii="仿宋" w:hAnsi="仿宋" w:eastAsia="仿宋" w:cs="仿宋"/>
          <w:sz w:val="24"/>
          <w:szCs w:val="24"/>
          <w:lang w:val="en-US" w:eastAsia="zh-CN"/>
        </w:rPr>
      </w:pPr>
      <w:r>
        <w:rPr>
          <w:rFonts w:hint="eastAsia" w:ascii="仿宋" w:hAnsi="仿宋" w:eastAsia="仿宋" w:cs="仿宋"/>
          <w:sz w:val="24"/>
          <w:szCs w:val="24"/>
        </w:rPr>
        <w:t>签订日期:</w:t>
      </w:r>
      <w:r>
        <w:rPr>
          <w:rFonts w:hint="eastAsia" w:ascii="仿宋" w:hAnsi="仿宋" w:eastAsia="仿宋" w:cs="仿宋"/>
          <w:sz w:val="24"/>
          <w:szCs w:val="24"/>
          <w:lang w:val="en-US" w:eastAsia="zh-CN"/>
        </w:rPr>
        <w:t xml:space="preserve"> 2021年   月   日             </w:t>
      </w:r>
      <w:r>
        <w:rPr>
          <w:rFonts w:hint="eastAsia" w:ascii="仿宋" w:hAnsi="仿宋" w:eastAsia="仿宋" w:cs="仿宋"/>
          <w:sz w:val="24"/>
          <w:szCs w:val="24"/>
        </w:rPr>
        <w:t>签订日期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2021年   月   日</w:t>
      </w:r>
    </w:p>
    <w:p>
      <w:pPr>
        <w:keepNext w:val="0"/>
        <w:keepLines w:val="0"/>
        <w:pageBreakBefore w:val="0"/>
        <w:kinsoku/>
        <w:wordWrap/>
        <w:overflowPunct/>
        <w:topLinePunct w:val="0"/>
        <w:bidi w:val="0"/>
        <w:spacing w:line="560" w:lineRule="exact"/>
        <w:rPr>
          <w:rFonts w:hint="default" w:ascii="Times New Roman" w:hAnsi="Times New Roman" w:eastAsia="仿宋" w:cs="Times New Roman"/>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 w:cs="Times New Roman"/>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br w:type="page"/>
      </w:r>
    </w:p>
    <w:p>
      <w:pPr>
        <w:spacing w:line="560" w:lineRule="exact"/>
        <w:rPr>
          <w:rFonts w:hint="eastAsia" w:eastAsia="仿宋_GB2312"/>
          <w:color w:val="000000" w:themeColor="text1"/>
          <w:sz w:val="28"/>
          <w:szCs w:val="28"/>
          <w:lang w:val="en-US" w:eastAsia="zh-CN"/>
          <w14:textFill>
            <w14:solidFill>
              <w14:schemeClr w14:val="tx1"/>
            </w14:solidFill>
          </w14:textFill>
        </w:rPr>
      </w:pPr>
      <w:r>
        <w:rPr>
          <w:rFonts w:hint="default" w:eastAsia="仿宋_GB2312"/>
          <w:color w:val="000000" w:themeColor="text1"/>
          <w:sz w:val="28"/>
          <w:szCs w:val="28"/>
          <w:lang w:val="en-US" w:eastAsia="zh-CN"/>
          <w14:textFill>
            <w14:solidFill>
              <w14:schemeClr w14:val="tx1"/>
            </w14:solidFill>
          </w14:textFill>
        </w:rPr>
        <w:t>附件2：</w:t>
      </w:r>
      <w:r>
        <w:rPr>
          <w:rFonts w:hint="eastAsia" w:eastAsia="仿宋_GB2312"/>
          <w:color w:val="000000" w:themeColor="text1"/>
          <w:sz w:val="28"/>
          <w:szCs w:val="28"/>
          <w:lang w:val="en-US" w:eastAsia="zh-CN"/>
          <w14:textFill>
            <w14:solidFill>
              <w14:schemeClr w14:val="tx1"/>
            </w14:solidFill>
          </w14:textFill>
        </w:rPr>
        <w:t>国内大型机场名单</w:t>
      </w:r>
    </w:p>
    <w:p>
      <w:pPr>
        <w:pStyle w:val="2"/>
        <w:rPr>
          <w:rFonts w:hint="default"/>
          <w:lang w:val="en-US" w:eastAsia="zh-CN"/>
        </w:rPr>
      </w:pPr>
    </w:p>
    <w:tbl>
      <w:tblPr>
        <w:tblStyle w:val="17"/>
        <w:tblW w:w="7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3424"/>
        <w:gridCol w:w="3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9" w:hRule="atLeast"/>
          <w:jc w:val="center"/>
        </w:trPr>
        <w:tc>
          <w:tcPr>
            <w:tcW w:w="3424"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auto"/>
                <w:spacing w:val="0"/>
                <w:kern w:val="0"/>
                <w:sz w:val="28"/>
                <w:szCs w:val="28"/>
                <w:u w:val="none"/>
                <w:lang w:val="en-US" w:eastAsia="zh-CN" w:bidi="ar"/>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"https://baike.baidu.com/item/%E5%8C%97%E4%BA%AC%E5%A4%A7%E5%85%B4%E5%9B%BD%E9%99%85%E6%9C%BA%E5%9C%BA/12801770"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北京</w:t>
            </w:r>
            <w:r>
              <w:rPr>
                <w:rStyle w:val="24"/>
                <w:rFonts w:hint="eastAsia" w:ascii="仿宋" w:hAnsi="仿宋" w:eastAsia="仿宋" w:cs="仿宋"/>
                <w:i w:val="0"/>
                <w:iCs w:val="0"/>
                <w:caps w:val="0"/>
                <w:color w:val="auto"/>
                <w:spacing w:val="0"/>
                <w:sz w:val="28"/>
                <w:szCs w:val="28"/>
                <w:u w:val="none"/>
                <w:lang w:eastAsia="zh-CN"/>
              </w:rPr>
              <w:t>首都</w:t>
            </w:r>
            <w:r>
              <w:rPr>
                <w:rStyle w:val="24"/>
                <w:rFonts w:hint="eastAsia" w:ascii="仿宋" w:hAnsi="仿宋" w:eastAsia="仿宋" w:cs="仿宋"/>
                <w:i w:val="0"/>
                <w:iCs w:val="0"/>
                <w:caps w:val="0"/>
                <w:color w:val="auto"/>
                <w:spacing w:val="0"/>
                <w:sz w:val="28"/>
                <w:szCs w:val="28"/>
                <w:u w:val="none"/>
              </w:rPr>
              <w:t>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c>
          <w:tcPr>
            <w:tcW w:w="3749"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0"/>
                <w:sz w:val="28"/>
                <w:szCs w:val="28"/>
                <w:u w:val="none"/>
                <w:lang w:val="en-US" w:eastAsia="zh-CN" w:bidi="ar"/>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"https://baike.baidu.com/item/%E4%B8%8A%E6%B5%B7%E6%B5%A6%E4%B8%9C%E5%9B%BD%E9%99%85%E6%9C%BA%E5%9C%BA"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上海浦东国际机场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9" w:hRule="atLeast"/>
          <w:jc w:val="center"/>
        </w:trPr>
        <w:tc>
          <w:tcPr>
            <w:tcW w:w="3424"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"https://baike.baidu.com/item/%E4%B8%8A%E6%B5%B7%E8%99%B9%E6%A1%A5%E5%9B%BD%E9%99%85%E6%9C%BA%E5%9C%BA" \t "https://baike.baidu.com/item/4E%E7%BA%A7%E6%9C%BA%E5%9C%BA/_blank"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上海虹桥国际机场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c>
          <w:tcPr>
            <w:tcW w:w="3749"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2"/>
                <w:sz w:val="28"/>
                <w:szCs w:val="28"/>
                <w:u w:val="none"/>
                <w:lang w:val="en-US" w:eastAsia="zh-CN" w:bidi="ar-SA"/>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"https://baike.baidu.com/item/%E5%B9%BF%E5%B7%9E%E7%99%BD%E4%BA%91%E5%9B%BD%E9%99%85%E6%9C%BA%E5%9C%BA"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广州白云国际机场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3424"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"https://baike.baidu.com/item/%E6%88%90%E9%83%BD%E5%8F%8C%E6%B5%81%E5%9B%BD%E9%99%85%E6%9C%BA%E5%9C%BA/1024519"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成都双流国际机场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c>
          <w:tcPr>
            <w:tcW w:w="3749"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2"/>
                <w:sz w:val="28"/>
                <w:szCs w:val="28"/>
                <w:u w:val="none"/>
                <w:lang w:val="en-US" w:eastAsia="zh-CN" w:bidi="ar-SA"/>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"https://baike.baidu.com/item/%E6%B7%B1%E5%9C%B3%E5%AE%9D%E5%AE%89%E5%9B%BD%E9%99%85%E6%9C%BA%E5%9C%BA"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深圳宝安国际机场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9" w:hRule="atLeast"/>
          <w:jc w:val="center"/>
        </w:trPr>
        <w:tc>
          <w:tcPr>
            <w:tcW w:w="3424"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2"/>
                <w:sz w:val="28"/>
                <w:szCs w:val="28"/>
                <w:u w:val="none"/>
                <w:lang w:val="en-US" w:eastAsia="zh-CN" w:bidi="ar-SA"/>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"https://baike.baidu.com/item/%E8%A5%BF%E5%AE%89%E5%92%B8%E9%98%B3%E5%9B%BD%E9%99%85%E6%9C%BA%E5%9C%BA"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西安咸阳国际机场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c>
          <w:tcPr>
            <w:tcW w:w="3749"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2"/>
                <w:sz w:val="28"/>
                <w:szCs w:val="28"/>
                <w:u w:val="none"/>
                <w:lang w:val="en-US" w:eastAsia="zh-CN" w:bidi="ar-SA"/>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"https://baike.baidu.com/item/%E6%98%86%E6%98%8E%E9%95%BF%E6%B0%B4%E5%9B%BD%E9%99%85%E6%9C%BA%E5%9C%BA"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昆明长水国际机场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3424"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2"/>
                <w:sz w:val="28"/>
                <w:szCs w:val="28"/>
                <w:u w:val="none"/>
                <w:lang w:val="en-US" w:eastAsia="zh-CN" w:bidi="ar-SA"/>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"https://baike.baidu.com/item/%E9%87%8D%E5%BA%86%E6%B1%9F%E5%8C%97%E5%9B%BD%E9%99%85%E6%9C%BA%E5%9C%BA/4155905"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重庆江北国际机场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c>
          <w:tcPr>
            <w:tcW w:w="3749"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2"/>
                <w:sz w:val="28"/>
                <w:szCs w:val="28"/>
                <w:u w:val="none"/>
                <w:lang w:val="en-US" w:eastAsia="zh-CN" w:bidi="ar-SA"/>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"https://baike.baidu.com/item/%E6%9D%AD%E5%B7%9E%E8%90%A7%E5%B1%B1%E5%9B%BD%E9%99%85%E6%9C%BA%E5%9C%BA/6292051"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杭州萧山国际机场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3424"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Style w:val="24"/>
                <w:rFonts w:hint="eastAsia" w:ascii="仿宋" w:hAnsi="仿宋" w:eastAsia="仿宋" w:cs="仿宋"/>
                <w:i w:val="0"/>
                <w:iCs w:val="0"/>
                <w:caps w:val="0"/>
                <w:color w:val="auto"/>
                <w:spacing w:val="0"/>
                <w:sz w:val="28"/>
                <w:szCs w:val="28"/>
                <w:u w:val="none"/>
                <w:lang w:val="en-US" w:eastAsia="zh-CN"/>
              </w:rPr>
            </w:pPr>
            <w:r>
              <w:rPr>
                <w:rStyle w:val="24"/>
                <w:rFonts w:hint="eastAsia" w:ascii="仿宋" w:hAnsi="仿宋" w:eastAsia="仿宋" w:cs="仿宋"/>
                <w:i w:val="0"/>
                <w:iCs w:val="0"/>
                <w:caps w:val="0"/>
                <w:color w:val="auto"/>
                <w:spacing w:val="0"/>
                <w:sz w:val="28"/>
                <w:szCs w:val="28"/>
                <w:u w:val="none"/>
                <w:lang w:val="en-US" w:eastAsia="zh-CN"/>
              </w:rPr>
              <w:t>台湾桃园国际机场</w:t>
            </w:r>
          </w:p>
        </w:tc>
        <w:tc>
          <w:tcPr>
            <w:tcW w:w="3749"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Style w:val="24"/>
                <w:rFonts w:hint="eastAsia" w:ascii="仿宋" w:hAnsi="仿宋" w:eastAsia="仿宋" w:cs="仿宋"/>
                <w:i w:val="0"/>
                <w:iCs w:val="0"/>
                <w:caps w:val="0"/>
                <w:color w:val="auto"/>
                <w:spacing w:val="0"/>
                <w:sz w:val="28"/>
                <w:szCs w:val="28"/>
                <w:u w:val="none"/>
                <w:lang w:val="en-US" w:eastAsia="zh-CN"/>
              </w:rPr>
            </w:pPr>
            <w:r>
              <w:rPr>
                <w:rStyle w:val="24"/>
                <w:rFonts w:hint="eastAsia" w:ascii="仿宋" w:hAnsi="仿宋" w:eastAsia="仿宋" w:cs="仿宋"/>
                <w:i w:val="0"/>
                <w:iCs w:val="0"/>
                <w:caps w:val="0"/>
                <w:color w:val="auto"/>
                <w:spacing w:val="0"/>
                <w:sz w:val="28"/>
                <w:szCs w:val="28"/>
                <w:u w:val="none"/>
              </w:rPr>
              <w:t>香港国际机场</w:t>
            </w:r>
          </w:p>
        </w:tc>
      </w:tr>
    </w:tbl>
    <w:p>
      <w:pPr>
        <w:keepNext w:val="0"/>
        <w:keepLines w:val="0"/>
        <w:widowControl/>
        <w:suppressLineNumbers w:val="0"/>
        <w:jc w:val="left"/>
      </w:pPr>
    </w:p>
    <w:p>
      <w:pPr>
        <w:rPr>
          <w:rFonts w:hint="eastAsia"/>
          <w:lang w:val="en-US" w:eastAsia="zh-CN"/>
        </w:rPr>
      </w:pPr>
      <w:r>
        <w:rPr>
          <w:rFonts w:hint="eastAsia"/>
          <w:lang w:val="en-US" w:eastAsia="zh-CN"/>
        </w:rPr>
        <w:br w:type="page"/>
      </w:r>
    </w:p>
    <w:p>
      <w:pPr>
        <w:pStyle w:val="5"/>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比选响应文件格式</w:t>
      </w:r>
      <w:r>
        <w:rPr>
          <w:rFonts w:hint="eastAsia" w:eastAsia="仿宋_GB2312" w:cs="Times New Roman"/>
          <w:b/>
          <w:bCs/>
          <w:color w:val="000000" w:themeColor="text1"/>
          <w:sz w:val="28"/>
          <w:szCs w:val="28"/>
          <w:lang w:val="en-US" w:eastAsia="zh-CN"/>
          <w14:textFill>
            <w14:solidFill>
              <w14:schemeClr w14:val="tx1"/>
            </w14:solidFill>
          </w14:textFill>
        </w:rPr>
        <w:t>:</w:t>
      </w:r>
    </w:p>
    <w:p>
      <w:pPr>
        <w:tabs>
          <w:tab w:val="left" w:pos="450"/>
          <w:tab w:val="left" w:pos="8280"/>
        </w:tabs>
        <w:rPr>
          <w:rFonts w:hint="default" w:ascii="仿宋_GB2312" w:hAnsi="仿宋" w:eastAsia="仿宋_GB2312"/>
          <w:b/>
          <w:color w:val="000000"/>
          <w:sz w:val="28"/>
          <w:szCs w:val="28"/>
          <w:lang w:val="en-US" w:eastAsia="zh-CN"/>
        </w:rPr>
      </w:pPr>
      <w:r>
        <w:rPr>
          <w:rFonts w:hint="eastAsia" w:ascii="仿宋_GB2312" w:hAnsi="仿宋" w:eastAsia="仿宋_GB2312"/>
          <w:b/>
          <w:color w:val="000000"/>
          <w:sz w:val="28"/>
          <w:szCs w:val="28"/>
          <w:lang w:val="en-US" w:eastAsia="zh-CN"/>
        </w:rPr>
        <w:t>封面</w:t>
      </w:r>
    </w:p>
    <w:p>
      <w:pPr>
        <w:tabs>
          <w:tab w:val="left" w:pos="450"/>
          <w:tab w:val="left" w:pos="8280"/>
        </w:tabs>
        <w:jc w:val="center"/>
        <w:rPr>
          <w:rFonts w:hint="eastAsia" w:ascii="仿宋_GB2312" w:hAnsi="仿宋" w:eastAsia="仿宋_GB2312"/>
          <w:b/>
          <w:color w:val="000000"/>
          <w:sz w:val="32"/>
          <w:szCs w:val="32"/>
          <w:lang w:val="zh-CN"/>
        </w:rPr>
      </w:pPr>
      <w:r>
        <w:rPr>
          <w:rFonts w:hint="eastAsia" w:ascii="仿宋_GB2312" w:hAnsi="仿宋" w:eastAsia="仿宋_GB2312"/>
          <w:b/>
          <w:color w:val="000000"/>
          <w:sz w:val="32"/>
          <w:szCs w:val="32"/>
          <w:lang w:val="zh-CN"/>
        </w:rPr>
        <w:t>重庆空港航空地面服务有限公司</w:t>
      </w:r>
    </w:p>
    <w:p>
      <w:pPr>
        <w:tabs>
          <w:tab w:val="left" w:pos="450"/>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lang w:val="zh-CN"/>
        </w:rPr>
        <w:t>三围栏平板车购置项目比选采购</w:t>
      </w:r>
    </w:p>
    <w:p>
      <w:pPr>
        <w:tabs>
          <w:tab w:val="left" w:pos="450"/>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rPr>
        <w:t>响应文件</w:t>
      </w:r>
    </w:p>
    <w:p>
      <w:pPr>
        <w:tabs>
          <w:tab w:val="left" w:pos="8280"/>
        </w:tabs>
        <w:jc w:val="center"/>
        <w:rPr>
          <w:rFonts w:ascii="仿宋_GB2312" w:hAnsi="仿宋" w:eastAsia="仿宋_GB2312"/>
          <w:b/>
          <w:color w:val="000000"/>
          <w:sz w:val="32"/>
          <w:szCs w:val="32"/>
        </w:rPr>
      </w:pPr>
    </w:p>
    <w:p>
      <w:pPr>
        <w:tabs>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rPr>
        <w:t>（正本或副本）</w:t>
      </w:r>
    </w:p>
    <w:p>
      <w:pPr>
        <w:tabs>
          <w:tab w:val="left" w:pos="8280"/>
        </w:tabs>
        <w:jc w:val="center"/>
        <w:rPr>
          <w:rFonts w:ascii="仿宋_GB2312" w:hAnsi="仿宋" w:eastAsia="仿宋_GB2312"/>
          <w:b/>
          <w:color w:val="000000"/>
          <w:sz w:val="32"/>
          <w:szCs w:val="32"/>
        </w:rPr>
      </w:pPr>
    </w:p>
    <w:p>
      <w:pPr>
        <w:tabs>
          <w:tab w:val="left" w:pos="765"/>
          <w:tab w:val="left" w:pos="8280"/>
        </w:tabs>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r>
        <w:rPr>
          <w:rFonts w:hint="eastAsia" w:ascii="仿宋_GB2312" w:hAnsi="仿宋" w:eastAsia="仿宋_GB2312"/>
          <w:b/>
          <w:color w:val="000000"/>
          <w:sz w:val="32"/>
          <w:szCs w:val="32"/>
          <w:lang w:eastAsia="zh-CN"/>
        </w:rPr>
        <w:t>响应</w:t>
      </w:r>
      <w:r>
        <w:rPr>
          <w:rFonts w:hint="eastAsia" w:ascii="仿宋_GB2312" w:hAnsi="仿宋" w:eastAsia="仿宋_GB2312"/>
          <w:b/>
          <w:color w:val="000000"/>
          <w:sz w:val="32"/>
          <w:szCs w:val="32"/>
        </w:rPr>
        <w:t>人名称（加盖公章）：</w:t>
      </w:r>
      <w:r>
        <w:rPr>
          <w:rFonts w:hint="eastAsia" w:ascii="仿宋_GB2312" w:hAnsi="仿宋" w:eastAsia="仿宋_GB2312"/>
          <w:b/>
          <w:color w:val="000000"/>
          <w:sz w:val="32"/>
          <w:szCs w:val="32"/>
          <w:u w:val="single"/>
        </w:rPr>
        <w:t xml:space="preserve">                                </w:t>
      </w:r>
    </w:p>
    <w:p>
      <w:pPr>
        <w:tabs>
          <w:tab w:val="left" w:pos="8280"/>
        </w:tabs>
        <w:rPr>
          <w:rFonts w:ascii="仿宋_GB2312" w:hAnsi="仿宋" w:eastAsia="仿宋_GB2312"/>
          <w:b/>
          <w:color w:val="000000"/>
          <w:sz w:val="32"/>
          <w:szCs w:val="32"/>
        </w:rPr>
      </w:pPr>
    </w:p>
    <w:p>
      <w:pPr>
        <w:tabs>
          <w:tab w:val="left" w:pos="8280"/>
        </w:tabs>
        <w:rPr>
          <w:rFonts w:ascii="仿宋_GB2312" w:hAnsi="仿宋" w:eastAsia="仿宋_GB2312"/>
          <w:b/>
          <w:color w:val="000000"/>
          <w:sz w:val="32"/>
          <w:szCs w:val="32"/>
        </w:rPr>
      </w:pPr>
    </w:p>
    <w:p>
      <w:pPr>
        <w:tabs>
          <w:tab w:val="left" w:pos="8280"/>
        </w:tabs>
        <w:rPr>
          <w:rFonts w:ascii="仿宋_GB2312" w:hAnsi="仿宋" w:eastAsia="仿宋_GB2312"/>
          <w:b/>
          <w:color w:val="000000"/>
          <w:sz w:val="32"/>
          <w:szCs w:val="32"/>
        </w:rPr>
      </w:pPr>
    </w:p>
    <w:p>
      <w:pPr>
        <w:tabs>
          <w:tab w:val="left" w:pos="8280"/>
        </w:tabs>
        <w:ind w:firstLine="3196" w:firstLineChars="995"/>
        <w:rPr>
          <w:rFonts w:ascii="仿宋_GB2312" w:hAnsi="仿宋" w:eastAsia="仿宋_GB2312"/>
          <w:b/>
          <w:color w:val="000000"/>
          <w:sz w:val="32"/>
          <w:szCs w:val="32"/>
          <w:lang w:val="zh-CN"/>
        </w:rPr>
      </w:pPr>
      <w:r>
        <w:rPr>
          <w:rFonts w:hint="eastAsia" w:ascii="仿宋_GB2312" w:hAnsi="仿宋" w:eastAsia="仿宋_GB2312"/>
          <w:b/>
          <w:color w:val="000000"/>
          <w:sz w:val="32"/>
          <w:szCs w:val="32"/>
        </w:rPr>
        <w:t xml:space="preserve">       年     月     日</w:t>
      </w:r>
    </w:p>
    <w:p>
      <w:pPr>
        <w:autoSpaceDE w:val="0"/>
        <w:autoSpaceDN w:val="0"/>
        <w:adjustRightInd w:val="0"/>
        <w:spacing w:line="360" w:lineRule="auto"/>
        <w:rPr>
          <w:rFonts w:ascii="仿宋_GB2312" w:hAnsi="仿宋" w:eastAsia="仿宋_GB2312"/>
          <w:b/>
          <w:color w:val="000000"/>
          <w:sz w:val="32"/>
          <w:szCs w:val="32"/>
          <w:lang w:val="zh-CN"/>
        </w:rPr>
      </w:pPr>
    </w:p>
    <w:p>
      <w:pPr>
        <w:keepNext w:val="0"/>
        <w:keepLines w:val="0"/>
        <w:pageBreakBefore w:val="0"/>
        <w:kinsoku/>
        <w:wordWrap/>
        <w:overflowPunct/>
        <w:topLinePunct w:val="0"/>
        <w:bidi w:val="0"/>
        <w:spacing w:line="240" w:lineRule="auto"/>
        <w:jc w:val="left"/>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br w:type="page"/>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目  录</w:t>
      </w:r>
    </w:p>
    <w:p>
      <w:pPr>
        <w:pStyle w:val="16"/>
        <w:rPr>
          <w:rFonts w:hint="eastAsia"/>
          <w:lang w:val="en-US" w:eastAsia="zh-CN"/>
        </w:rPr>
      </w:pPr>
    </w:p>
    <w:p>
      <w:pPr>
        <w:keepNext w:val="0"/>
        <w:keepLines w:val="0"/>
        <w:pageBreakBefore w:val="0"/>
        <w:kinsoku/>
        <w:wordWrap/>
        <w:overflowPunct/>
        <w:topLinePunct w:val="0"/>
        <w:bidi w:val="0"/>
        <w:spacing w:line="56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一、报价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函部分</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商务部分</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技术部分</w:t>
      </w: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eastAsia"/>
          <w:lang w:val="en-US" w:eastAsia="zh-CN"/>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rPr>
          <w:rFonts w:hint="eastAsia" w:eastAsia="仿宋" w:cs="Times New Roman"/>
          <w:b/>
          <w:bCs/>
          <w:color w:val="000000" w:themeColor="text1"/>
          <w:sz w:val="28"/>
          <w:szCs w:val="28"/>
          <w:lang w:val="en-US" w:eastAsia="zh-CN"/>
          <w14:textFill>
            <w14:solidFill>
              <w14:schemeClr w14:val="tx1"/>
            </w14:solidFill>
          </w14:textFill>
        </w:rPr>
      </w:pPr>
    </w:p>
    <w:p>
      <w:pPr>
        <w:rPr>
          <w:rFonts w:hint="eastAsia" w:eastAsia="仿宋" w:cs="Times New Roman"/>
          <w:b/>
          <w:bCs/>
          <w:color w:val="000000" w:themeColor="text1"/>
          <w:sz w:val="28"/>
          <w:szCs w:val="28"/>
          <w:lang w:val="en-US" w:eastAsia="zh-CN"/>
          <w14:textFill>
            <w14:solidFill>
              <w14:schemeClr w14:val="tx1"/>
            </w14:solidFill>
          </w14:textFill>
        </w:rPr>
      </w:pPr>
    </w:p>
    <w:p>
      <w:p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eastAsia="仿宋" w:cs="Times New Roman"/>
          <w:b/>
          <w:bCs/>
          <w:color w:val="000000" w:themeColor="text1"/>
          <w:sz w:val="28"/>
          <w:szCs w:val="28"/>
          <w:lang w:val="en-US" w:eastAsia="zh-CN"/>
          <w14:textFill>
            <w14:solidFill>
              <w14:schemeClr w14:val="tx1"/>
            </w14:solidFill>
          </w14:textFill>
        </w:rPr>
      </w:pPr>
      <w:r>
        <w:rPr>
          <w:rFonts w:hint="eastAsia" w:eastAsia="仿宋" w:cs="Times New Roman"/>
          <w:b/>
          <w:bCs/>
          <w:color w:val="000000" w:themeColor="text1"/>
          <w:sz w:val="28"/>
          <w:szCs w:val="28"/>
          <w:lang w:val="en-US" w:eastAsia="zh-CN"/>
          <w14:textFill>
            <w14:solidFill>
              <w14:schemeClr w14:val="tx1"/>
            </w14:solidFill>
          </w14:textFill>
        </w:rPr>
        <w:t>报价函部分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报价函</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lang w:val="en-US" w:eastAsia="zh-CN"/>
          <w14:textFill>
            <w14:solidFill>
              <w14:schemeClr w14:val="tx1"/>
            </w14:solidFill>
          </w14:textFill>
        </w:rPr>
        <w:t>重庆空港航空地面服务有限</w:t>
      </w:r>
      <w:r>
        <w:rPr>
          <w:rFonts w:hint="eastAsia" w:ascii="仿宋" w:hAnsi="仿宋" w:eastAsia="仿宋" w:cs="仿宋"/>
          <w:bCs/>
          <w:color w:val="000000" w:themeColor="text1"/>
          <w:sz w:val="28"/>
          <w:szCs w:val="28"/>
          <w:u w:val="single"/>
          <w14:textFill>
            <w14:solidFill>
              <w14:schemeClr w14:val="tx1"/>
            </w14:solidFill>
          </w14:textFill>
        </w:rPr>
        <w:t>公司</w:t>
      </w:r>
      <w:r>
        <w:rPr>
          <w:rFonts w:hint="eastAsia" w:ascii="仿宋" w:hAnsi="仿宋" w:eastAsia="仿宋" w:cs="仿宋"/>
          <w:bCs/>
          <w:color w:val="000000" w:themeColor="text1"/>
          <w:sz w:val="28"/>
          <w:szCs w:val="28"/>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1．我方已仔细研究</w:t>
      </w:r>
      <w:r>
        <w:rPr>
          <w:rFonts w:hint="eastAsia" w:ascii="仿宋" w:hAnsi="仿宋" w:eastAsia="仿宋" w:cs="仿宋"/>
          <w:bCs/>
          <w:color w:val="000000" w:themeColor="text1"/>
          <w:sz w:val="28"/>
          <w:szCs w:val="28"/>
          <w:u w:val="single"/>
          <w:lang w:val="en-US" w:eastAsia="zh-CN"/>
          <w14:textFill>
            <w14:solidFill>
              <w14:schemeClr w14:val="tx1"/>
            </w14:solidFill>
          </w14:textFill>
        </w:rPr>
        <w:t xml:space="preserve"> 重庆空港航空地面服务有限</w:t>
      </w:r>
      <w:r>
        <w:rPr>
          <w:rFonts w:hint="eastAsia" w:ascii="仿宋" w:hAnsi="仿宋" w:eastAsia="仿宋" w:cs="仿宋"/>
          <w:bCs/>
          <w:color w:val="000000" w:themeColor="text1"/>
          <w:sz w:val="28"/>
          <w:szCs w:val="28"/>
          <w:u w:val="single"/>
          <w14:textFill>
            <w14:solidFill>
              <w14:schemeClr w14:val="tx1"/>
            </w14:solidFill>
          </w14:textFill>
        </w:rPr>
        <w:t>公司</w:t>
      </w:r>
      <w:r>
        <w:rPr>
          <w:rFonts w:hint="eastAsia" w:ascii="仿宋" w:hAnsi="仿宋" w:eastAsia="仿宋" w:cs="仿宋"/>
          <w:bCs/>
          <w:color w:val="000000" w:themeColor="text1"/>
          <w:sz w:val="28"/>
          <w:szCs w:val="28"/>
          <w:u w:val="single"/>
          <w:lang w:val="en-US" w:eastAsia="zh-CN"/>
          <w14:textFill>
            <w14:solidFill>
              <w14:schemeClr w14:val="tx1"/>
            </w14:solidFill>
          </w14:textFill>
        </w:rPr>
        <w:t xml:space="preserve">三围栏平板车购置项目 </w:t>
      </w:r>
      <w:r>
        <w:rPr>
          <w:rFonts w:hint="eastAsia" w:ascii="仿宋" w:hAnsi="仿宋" w:eastAsia="仿宋" w:cs="仿宋"/>
          <w:bCs/>
          <w:color w:val="000000" w:themeColor="text1"/>
          <w:sz w:val="28"/>
          <w:szCs w:val="28"/>
          <w14:textFill>
            <w14:solidFill>
              <w14:schemeClr w14:val="tx1"/>
            </w14:solidFill>
          </w14:textFill>
        </w:rPr>
        <w:t>比选</w:t>
      </w:r>
      <w:r>
        <w:rPr>
          <w:rFonts w:hint="eastAsia" w:ascii="仿宋" w:hAnsi="仿宋" w:eastAsia="仿宋" w:cs="仿宋"/>
          <w:bCs/>
          <w:color w:val="000000" w:themeColor="text1"/>
          <w:sz w:val="28"/>
          <w:szCs w:val="28"/>
          <w:lang w:eastAsia="zh-CN"/>
          <w14:textFill>
            <w14:solidFill>
              <w14:schemeClr w14:val="tx1"/>
            </w14:solidFill>
          </w14:textFill>
        </w:rPr>
        <w:t>采购</w:t>
      </w:r>
      <w:r>
        <w:rPr>
          <w:rFonts w:hint="eastAsia" w:ascii="仿宋" w:hAnsi="仿宋" w:eastAsia="仿宋" w:cs="仿宋"/>
          <w:bCs/>
          <w:color w:val="000000" w:themeColor="text1"/>
          <w:sz w:val="28"/>
          <w:szCs w:val="28"/>
          <w14:textFill>
            <w14:solidFill>
              <w14:schemeClr w14:val="tx1"/>
            </w14:solidFill>
          </w14:textFill>
        </w:rPr>
        <w:t>文件的全部内容，</w:t>
      </w:r>
      <w:r>
        <w:rPr>
          <w:rFonts w:hint="eastAsia" w:ascii="仿宋" w:hAnsi="仿宋" w:eastAsia="仿宋" w:cs="仿宋"/>
          <w:bCs/>
          <w:color w:val="000000" w:themeColor="text1"/>
          <w:sz w:val="28"/>
          <w:szCs w:val="28"/>
          <w:lang w:val="en-US" w:eastAsia="zh-CN"/>
          <w14:textFill>
            <w14:solidFill>
              <w14:schemeClr w14:val="tx1"/>
            </w14:solidFill>
          </w14:textFill>
        </w:rPr>
        <w:t>并承诺响应比选采购文件所有要求，我方的</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不含增值税报价</w:t>
      </w:r>
      <w:r>
        <w:rPr>
          <w:rFonts w:hint="eastAsia" w:ascii="仿宋" w:hAnsi="仿宋" w:eastAsia="仿宋" w:cs="仿宋"/>
          <w:bCs/>
          <w:color w:val="000000" w:themeColor="text1"/>
          <w:sz w:val="28"/>
          <w:szCs w:val="28"/>
          <w:lang w:val="en-US" w:eastAsia="zh-CN"/>
          <w14:textFill>
            <w14:solidFill>
              <w14:schemeClr w14:val="tx1"/>
            </w14:solidFill>
          </w14:textFill>
        </w:rPr>
        <w:t>为：</w:t>
      </w:r>
      <w:r>
        <w:rPr>
          <w:rFonts w:hint="eastAsia" w:ascii="仿宋" w:hAnsi="仿宋" w:eastAsia="仿宋" w:cs="仿宋"/>
          <w:bCs/>
          <w:color w:val="000000" w:themeColor="text1"/>
          <w:sz w:val="28"/>
          <w:szCs w:val="28"/>
          <w14:textFill>
            <w14:solidFill>
              <w14:schemeClr w14:val="tx1"/>
            </w14:solidFill>
          </w14:textFill>
        </w:rPr>
        <w:t>人民币（大写）</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元（¥</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u w:val="single"/>
          <w14:textFill>
            <w14:solidFill>
              <w14:schemeClr w14:val="tx1"/>
            </w14:solidFill>
          </w14:textFill>
        </w:rPr>
        <w:t>  </w:t>
      </w:r>
      <w:r>
        <w:rPr>
          <w:rFonts w:hint="eastAsia" w:ascii="仿宋" w:hAnsi="仿宋" w:eastAsia="仿宋" w:cs="仿宋"/>
          <w:bCs/>
          <w:color w:val="000000" w:themeColor="text1"/>
          <w:sz w:val="28"/>
          <w:szCs w:val="28"/>
          <w14:textFill>
            <w14:solidFill>
              <w14:schemeClr w14:val="tx1"/>
            </w14:solidFill>
          </w14:textFill>
        </w:rPr>
        <w:t> ）</w:t>
      </w:r>
      <w:r>
        <w:rPr>
          <w:rFonts w:hint="eastAsia" w:ascii="仿宋" w:hAnsi="仿宋" w:eastAsia="仿宋" w:cs="仿宋"/>
          <w:bCs/>
          <w:color w:val="000000" w:themeColor="text1"/>
          <w:sz w:val="28"/>
          <w:szCs w:val="28"/>
          <w:lang w:val="en-US" w:eastAsia="zh-CN"/>
          <w14:textFill>
            <w14:solidFill>
              <w14:schemeClr w14:val="tx1"/>
            </w14:solidFill>
          </w14:textFill>
        </w:rPr>
        <w:t>；我方自愿</w:t>
      </w:r>
      <w:r>
        <w:rPr>
          <w:rFonts w:hint="eastAsia" w:ascii="仿宋" w:hAnsi="仿宋" w:eastAsia="仿宋" w:cs="仿宋"/>
          <w:bCs/>
          <w:color w:val="000000" w:themeColor="text1"/>
          <w:sz w:val="28"/>
          <w:szCs w:val="28"/>
          <w14:textFill>
            <w14:solidFill>
              <w14:schemeClr w14:val="tx1"/>
            </w14:solidFill>
          </w14:textFill>
        </w:rPr>
        <w:t>按合同约定实施和完成项目的全部工作。</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2．我方承诺在比选有效期内</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90天）</w:t>
      </w:r>
      <w:r>
        <w:rPr>
          <w:rFonts w:hint="eastAsia" w:ascii="仿宋" w:hAnsi="仿宋" w:eastAsia="仿宋" w:cs="仿宋"/>
          <w:bCs/>
          <w:color w:val="000000" w:themeColor="text1"/>
          <w:sz w:val="28"/>
          <w:szCs w:val="28"/>
          <w14:textFill>
            <w14:solidFill>
              <w14:schemeClr w14:val="tx1"/>
            </w14:solidFill>
          </w14:textFill>
        </w:rPr>
        <w:t>不修改、撤销比选响应文件。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3．如我方成交：</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（1）我方承诺在收到成交通知后，在规定的期限内与你方签订合同。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（2）随同本报价函递交的报价函附录属于合同文件的组成部分。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（3）我方承诺在约定的期限内完成并移交全部合同项目和成果。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4．我方在此声明，所递交的比选响应文件及有关资料内容完整、真实和准确。</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5.</w:t>
      </w:r>
      <w:r>
        <w:rPr>
          <w:rFonts w:hint="eastAsia" w:ascii="仿宋" w:hAnsi="仿宋" w:eastAsia="仿宋" w:cs="仿宋"/>
          <w:bCs/>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比选</w:t>
      </w:r>
      <w:r>
        <w:rPr>
          <w:rFonts w:hint="eastAsia" w:ascii="仿宋" w:hAnsi="仿宋" w:eastAsia="仿宋" w:cs="仿宋"/>
          <w:bCs/>
          <w:color w:val="000000" w:themeColor="text1"/>
          <w:sz w:val="28"/>
          <w:szCs w:val="28"/>
          <w:lang w:val="en-US" w:eastAsia="zh-CN"/>
          <w14:textFill>
            <w14:solidFill>
              <w14:schemeClr w14:val="tx1"/>
            </w14:solidFill>
          </w14:textFill>
        </w:rPr>
        <w:t>响应</w:t>
      </w:r>
      <w:r>
        <w:rPr>
          <w:rFonts w:hint="eastAsia" w:ascii="仿宋" w:hAnsi="仿宋" w:eastAsia="仿宋" w:cs="仿宋"/>
          <w:bCs/>
          <w:color w:val="000000" w:themeColor="text1"/>
          <w:sz w:val="28"/>
          <w:szCs w:val="28"/>
          <w14:textFill>
            <w14:solidFill>
              <w14:schemeClr w14:val="tx1"/>
            </w14:solidFill>
          </w14:textFill>
        </w:rPr>
        <w:t>人：（盖单位公章）</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法定代表人或其委托代理人： （签字）</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地址：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网址：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电话：　　　　　　　　　　　　传真：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邮政编码：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小标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br w:type="page"/>
      </w:r>
    </w:p>
    <w:p>
      <w:pPr>
        <w:keepNext w:val="0"/>
        <w:keepLines w:val="0"/>
        <w:pageBreakBefore w:val="0"/>
        <w:kinsoku/>
        <w:wordWrap/>
        <w:overflowPunct/>
        <w:topLinePunct w:val="0"/>
        <w:bidi w:val="0"/>
        <w:spacing w:line="56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授权</w:t>
      </w:r>
      <w:r>
        <w:rPr>
          <w:rFonts w:hint="eastAsia" w:ascii="仿宋" w:hAnsi="仿宋" w:eastAsia="仿宋" w:cs="仿宋"/>
          <w:bCs/>
          <w:color w:val="000000" w:themeColor="text1"/>
          <w:sz w:val="28"/>
          <w:szCs w:val="28"/>
          <w:lang w:val="en-US" w:eastAsia="zh-CN"/>
          <w14:textFill>
            <w14:solidFill>
              <w14:schemeClr w14:val="tx1"/>
            </w14:solidFill>
          </w14:textFill>
        </w:rPr>
        <w:t>委托</w:t>
      </w:r>
      <w:r>
        <w:rPr>
          <w:rFonts w:hint="eastAsia" w:ascii="仿宋" w:hAnsi="仿宋" w:eastAsia="仿宋" w:cs="仿宋"/>
          <w:bCs/>
          <w:color w:val="000000" w:themeColor="text1"/>
          <w:sz w:val="28"/>
          <w:szCs w:val="28"/>
          <w14:textFill>
            <w14:solidFill>
              <w14:schemeClr w14:val="tx1"/>
            </w14:solidFill>
          </w14:textFill>
        </w:rPr>
        <w:t>书</w:t>
      </w:r>
    </w:p>
    <w:p>
      <w:pPr>
        <w:keepNext w:val="0"/>
        <w:keepLines w:val="0"/>
        <w:pageBreakBefore w:val="0"/>
        <w:kinsoku/>
        <w:wordWrap/>
        <w:overflowPunct/>
        <w:topLinePunct w:val="0"/>
        <w:bidi w:val="0"/>
        <w:spacing w:line="560" w:lineRule="exact"/>
        <w:ind w:right="-694"/>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ind w:firstLine="700" w:firstLineChars="2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本授权书申明______________(</w:t>
      </w:r>
      <w:r>
        <w:rPr>
          <w:rFonts w:hint="eastAsia" w:ascii="仿宋" w:hAnsi="仿宋" w:eastAsia="仿宋" w:cs="仿宋"/>
          <w:color w:val="000000" w:themeColor="text1"/>
          <w:sz w:val="28"/>
          <w:szCs w:val="28"/>
          <w:lang w:val="en-US" w:eastAsia="zh-CN"/>
          <w14:textFill>
            <w14:solidFill>
              <w14:schemeClr w14:val="tx1"/>
            </w14:solidFill>
          </w14:textFill>
        </w:rPr>
        <w:t>比选响应人</w:t>
      </w:r>
      <w:r>
        <w:rPr>
          <w:rFonts w:hint="eastAsia" w:ascii="仿宋" w:hAnsi="仿宋" w:eastAsia="仿宋" w:cs="仿宋"/>
          <w:color w:val="000000" w:themeColor="text1"/>
          <w:sz w:val="28"/>
          <w:szCs w:val="28"/>
          <w14:textFill>
            <w14:solidFill>
              <w14:schemeClr w14:val="tx1"/>
            </w14:solidFill>
          </w14:textFill>
        </w:rPr>
        <w:t>名称)</w:t>
      </w:r>
      <w:r>
        <w:rPr>
          <w:rFonts w:hint="eastAsia" w:ascii="仿宋" w:hAnsi="仿宋" w:eastAsia="仿宋" w:cs="仿宋"/>
          <w:color w:val="000000" w:themeColor="text1"/>
          <w:sz w:val="28"/>
          <w:szCs w:val="28"/>
          <w:lang w:val="en-US" w:eastAsia="zh-CN"/>
          <w14:textFill>
            <w14:solidFill>
              <w14:schemeClr w14:val="tx1"/>
            </w14:solidFill>
          </w14:textFill>
        </w:rPr>
        <w:t>在此合法授权我所律师</w:t>
      </w:r>
      <w:r>
        <w:rPr>
          <w:rFonts w:hint="eastAsia" w:ascii="仿宋" w:hAnsi="仿宋" w:eastAsia="仿宋" w:cs="仿宋"/>
          <w:color w:val="000000" w:themeColor="text1"/>
          <w:sz w:val="28"/>
          <w:szCs w:val="28"/>
          <w14:textFill>
            <w14:solidFill>
              <w14:schemeClr w14:val="tx1"/>
            </w14:solidFill>
          </w14:textFill>
        </w:rPr>
        <w:t>__________(</w:t>
      </w:r>
      <w:r>
        <w:rPr>
          <w:rFonts w:hint="eastAsia" w:ascii="仿宋" w:hAnsi="仿宋" w:eastAsia="仿宋" w:cs="仿宋"/>
          <w:color w:val="000000" w:themeColor="text1"/>
          <w:sz w:val="28"/>
          <w:szCs w:val="28"/>
          <w:lang w:val="en-US" w:eastAsia="zh-CN"/>
          <w14:textFill>
            <w14:solidFill>
              <w14:schemeClr w14:val="tx1"/>
            </w14:solidFill>
          </w14:textFill>
        </w:rPr>
        <w:t>姓名</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为本单位合法代理人，在重庆空港航空地面服务有限公司三围栏平板车购置项目的比选活动中，以我单位的名义签署比选响应文件，与比选采购人协商、</w:t>
      </w:r>
      <w:r>
        <w:rPr>
          <w:rFonts w:hint="eastAsia" w:ascii="仿宋" w:hAnsi="仿宋" w:eastAsia="仿宋" w:cs="仿宋"/>
          <w:color w:val="000000" w:themeColor="text1"/>
          <w:sz w:val="28"/>
          <w:szCs w:val="28"/>
          <w14:textFill>
            <w14:solidFill>
              <w14:schemeClr w14:val="tx1"/>
            </w14:solidFill>
          </w14:textFill>
        </w:rPr>
        <w:t>签定合同协议书以及执行一切与此有关的事务。</w:t>
      </w: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被授权人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代理人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：____________（签章）</w:t>
      </w:r>
    </w:p>
    <w:p>
      <w:pPr>
        <w:pStyle w:val="16"/>
        <w:keepNext w:val="0"/>
        <w:keepLines w:val="0"/>
        <w:pageBreakBefore w:val="0"/>
        <w:kinsoku/>
        <w:wordWrap/>
        <w:overflowPunct/>
        <w:topLinePunct w:val="0"/>
        <w:bidi w:val="0"/>
        <w:spacing w:line="560" w:lineRule="exact"/>
        <w:rPr>
          <w:rFonts w:hint="eastAsia" w:ascii="仿宋" w:hAnsi="仿宋" w:eastAsia="仿宋" w:cs="仿宋"/>
        </w:rPr>
      </w:pP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比选响应</w:t>
      </w:r>
      <w:r>
        <w:rPr>
          <w:rFonts w:hint="eastAsia" w:ascii="仿宋" w:hAnsi="仿宋" w:eastAsia="仿宋" w:cs="仿宋"/>
          <w:color w:val="000000" w:themeColor="text1"/>
          <w:sz w:val="28"/>
          <w:szCs w:val="28"/>
          <w:lang w:val="en-US" w:eastAsia="zh-CN"/>
          <w14:textFill>
            <w14:solidFill>
              <w14:schemeClr w14:val="tx1"/>
            </w14:solidFill>
          </w14:textFill>
        </w:rPr>
        <w:t>人</w:t>
      </w:r>
      <w:r>
        <w:rPr>
          <w:rFonts w:hint="eastAsia" w:ascii="仿宋" w:hAnsi="仿宋" w:eastAsia="仿宋" w:cs="仿宋"/>
          <w:color w:val="000000" w:themeColor="text1"/>
          <w:sz w:val="28"/>
          <w:szCs w:val="28"/>
          <w14:textFill>
            <w14:solidFill>
              <w14:schemeClr w14:val="tx1"/>
            </w14:solidFill>
          </w14:textFill>
        </w:rPr>
        <w:t>：____________（盖章）</w:t>
      </w: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被授权人代理人身份证</w:t>
      </w:r>
      <w:r>
        <w:rPr>
          <w:rFonts w:hint="eastAsia" w:ascii="仿宋" w:hAnsi="仿宋" w:eastAsia="仿宋" w:cs="仿宋"/>
          <w:b/>
          <w:bCs/>
          <w:color w:val="000000" w:themeColor="text1"/>
          <w:sz w:val="28"/>
          <w:szCs w:val="28"/>
          <w:lang w:val="en-US" w:eastAsia="zh-CN"/>
          <w14:textFill>
            <w14:solidFill>
              <w14:schemeClr w14:val="tx1"/>
            </w14:solidFill>
          </w14:textFill>
        </w:rPr>
        <w:t>复印件</w:t>
      </w: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jc w:val="both"/>
        <w:rPr>
          <w:rFonts w:hint="eastAsia"/>
          <w:lang w:val="en-US" w:eastAsia="zh-CN"/>
        </w:rPr>
      </w:pPr>
    </w:p>
    <w:p>
      <w:pPr>
        <w:keepNext w:val="0"/>
        <w:keepLines w:val="0"/>
        <w:pageBreakBefore w:val="0"/>
        <w:numPr>
          <w:ilvl w:val="0"/>
          <w:numId w:val="1"/>
        </w:numPr>
        <w:kinsoku/>
        <w:wordWrap/>
        <w:overflowPunct/>
        <w:topLinePunct w:val="0"/>
        <w:bidi w:val="0"/>
        <w:spacing w:line="560" w:lineRule="exact"/>
        <w:ind w:left="0" w:leftChars="0" w:firstLine="0" w:firstLineChars="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技术部分</w:t>
      </w:r>
    </w:p>
    <w:p>
      <w:pPr>
        <w:keepNext w:val="0"/>
        <w:keepLines w:val="0"/>
        <w:pageBreakBefore w:val="0"/>
        <w:kinsoku/>
        <w:wordWrap/>
        <w:overflowPunct/>
        <w:topLinePunct w:val="0"/>
        <w:bidi w:val="0"/>
        <w:spacing w:line="560" w:lineRule="exact"/>
        <w:ind w:firstLine="560" w:firstLineChars="200"/>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主要</w:t>
      </w:r>
      <w:r>
        <w:rPr>
          <w:rFonts w:hint="eastAsia" w:ascii="仿宋" w:hAnsi="仿宋" w:eastAsia="仿宋" w:cs="仿宋"/>
          <w:color w:val="000000" w:themeColor="text1"/>
          <w:sz w:val="28"/>
          <w:szCs w:val="28"/>
          <w:highlight w:val="none"/>
          <w:lang w:val="en-US" w:eastAsia="zh-CN"/>
          <w14:textFill>
            <w14:solidFill>
              <w14:schemeClr w14:val="tx1"/>
            </w14:solidFill>
          </w14:textFill>
        </w:rPr>
        <w:t>根据设备参数要求、技术评分内容进行准备。</w:t>
      </w:r>
    </w:p>
    <w:p>
      <w:pPr>
        <w:pStyle w:val="16"/>
        <w:ind w:firstLine="562" w:firstLineChars="200"/>
        <w:jc w:val="both"/>
        <w:rPr>
          <w:rFonts w:hint="eastAsia" w:ascii="仿宋" w:hAnsi="仿宋" w:eastAsia="仿宋" w:cs="仿宋"/>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w:t>
      </w:r>
    </w:p>
    <w:p>
      <w:pPr>
        <w:pStyle w:val="16"/>
        <w:rPr>
          <w:rFonts w:hint="eastAsia" w:ascii="仿宋" w:hAnsi="仿宋" w:eastAsia="仿宋" w:cs="仿宋"/>
          <w:color w:val="000000" w:themeColor="text1"/>
          <w:sz w:val="28"/>
          <w:szCs w:val="28"/>
          <w:highlight w:val="none"/>
          <w:lang w:val="en-US" w:eastAsia="zh-CN"/>
          <w14:textFill>
            <w14:solidFill>
              <w14:schemeClr w14:val="tx1"/>
            </w14:solidFill>
          </w14:textFill>
        </w:rPr>
      </w:pPr>
    </w:p>
    <w:p>
      <w:pPr>
        <w:rPr>
          <w:rFonts w:hint="eastAsia" w:ascii="仿宋" w:hAnsi="仿宋" w:eastAsia="仿宋" w:cs="仿宋"/>
          <w:lang w:val="zh-CN"/>
        </w:rPr>
      </w:pPr>
    </w:p>
    <w:p>
      <w:pPr>
        <w:keepNext w:val="0"/>
        <w:keepLines w:val="0"/>
        <w:pageBreakBefore w:val="0"/>
        <w:numPr>
          <w:ilvl w:val="0"/>
          <w:numId w:val="1"/>
        </w:numPr>
        <w:kinsoku/>
        <w:wordWrap/>
        <w:overflowPunct/>
        <w:topLinePunct w:val="0"/>
        <w:bidi w:val="0"/>
        <w:spacing w:line="560" w:lineRule="exact"/>
        <w:ind w:left="0" w:leftChars="0" w:firstLine="0" w:firstLineChars="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商务部分</w:t>
      </w:r>
    </w:p>
    <w:p>
      <w:pPr>
        <w:keepNext w:val="0"/>
        <w:keepLines w:val="0"/>
        <w:pageBreakBefore w:val="0"/>
        <w:kinsoku/>
        <w:wordWrap/>
        <w:overflowPunct/>
        <w:topLinePunct w:val="0"/>
        <w:bidi w:val="0"/>
        <w:spacing w:line="560" w:lineRule="exact"/>
        <w:ind w:firstLine="560" w:firstLineChars="200"/>
        <w:outlineLvl w:val="9"/>
        <w:rPr>
          <w:rFonts w:hint="eastAsia"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主要</w:t>
      </w:r>
      <w:r>
        <w:rPr>
          <w:rFonts w:hint="eastAsia" w:ascii="仿宋" w:hAnsi="仿宋" w:eastAsia="仿宋" w:cs="仿宋"/>
          <w:color w:val="000000" w:themeColor="text1"/>
          <w:sz w:val="28"/>
          <w:szCs w:val="28"/>
          <w:highlight w:val="none"/>
          <w:lang w:val="en-US" w:eastAsia="zh-CN"/>
          <w14:textFill>
            <w14:solidFill>
              <w14:schemeClr w14:val="tx1"/>
            </w14:solidFill>
          </w14:textFill>
        </w:rPr>
        <w:t>根据资格要求、商务评分内容进行准备。</w:t>
      </w:r>
    </w:p>
    <w:p>
      <w:pPr>
        <w:pStyle w:val="16"/>
        <w:ind w:firstLine="562" w:firstLineChars="200"/>
        <w:jc w:val="both"/>
        <w:rPr>
          <w:rFonts w:hint="eastAsia" w:ascii="仿宋" w:hAnsi="仿宋" w:eastAsia="仿宋" w:cs="仿宋"/>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w:t>
      </w: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outlineLvl w:val="9"/>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p>
    <w:sectPr>
      <w:footerReference r:id="rId5" w:type="default"/>
      <w:pgSz w:w="11906" w:h="16838"/>
      <w:pgMar w:top="156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eastAsia="宋体"/>
        <w:lang w:val="en-US" w:eastAsia="zh-CN"/>
      </w:rPr>
    </w:pPr>
    <w:r>
      <w:rPr>
        <w:rFonts w:hint="eastAsia"/>
        <w:u w:val="none"/>
        <w:lang w:val="en-US" w:eastAsia="zh-CN"/>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38356"/>
    <w:multiLevelType w:val="singleLevel"/>
    <w:tmpl w:val="1BA383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7F"/>
    <w:rsid w:val="00005333"/>
    <w:rsid w:val="00006788"/>
    <w:rsid w:val="00017CC8"/>
    <w:rsid w:val="0002289E"/>
    <w:rsid w:val="00023008"/>
    <w:rsid w:val="00025AEC"/>
    <w:rsid w:val="000265C7"/>
    <w:rsid w:val="00031BB8"/>
    <w:rsid w:val="00032715"/>
    <w:rsid w:val="0003430D"/>
    <w:rsid w:val="00035345"/>
    <w:rsid w:val="000371A2"/>
    <w:rsid w:val="00044BB6"/>
    <w:rsid w:val="00050D62"/>
    <w:rsid w:val="0005249A"/>
    <w:rsid w:val="0005588C"/>
    <w:rsid w:val="00056869"/>
    <w:rsid w:val="000611DA"/>
    <w:rsid w:val="000631F6"/>
    <w:rsid w:val="00063CCA"/>
    <w:rsid w:val="00072DF9"/>
    <w:rsid w:val="00073A28"/>
    <w:rsid w:val="000740F0"/>
    <w:rsid w:val="00076511"/>
    <w:rsid w:val="000825D0"/>
    <w:rsid w:val="00084B6F"/>
    <w:rsid w:val="00094698"/>
    <w:rsid w:val="000A3B23"/>
    <w:rsid w:val="000B4109"/>
    <w:rsid w:val="000B6DCC"/>
    <w:rsid w:val="000B753E"/>
    <w:rsid w:val="000B7659"/>
    <w:rsid w:val="000C02DD"/>
    <w:rsid w:val="000C12CB"/>
    <w:rsid w:val="000D1055"/>
    <w:rsid w:val="000D521A"/>
    <w:rsid w:val="000E2F2F"/>
    <w:rsid w:val="000E5E1E"/>
    <w:rsid w:val="000F3310"/>
    <w:rsid w:val="000F4E07"/>
    <w:rsid w:val="00103882"/>
    <w:rsid w:val="00106E21"/>
    <w:rsid w:val="00125B6E"/>
    <w:rsid w:val="00126337"/>
    <w:rsid w:val="0013184B"/>
    <w:rsid w:val="00140784"/>
    <w:rsid w:val="00146445"/>
    <w:rsid w:val="001505AE"/>
    <w:rsid w:val="00150869"/>
    <w:rsid w:val="001559E7"/>
    <w:rsid w:val="00156315"/>
    <w:rsid w:val="00163E7C"/>
    <w:rsid w:val="00164250"/>
    <w:rsid w:val="00180D31"/>
    <w:rsid w:val="00181249"/>
    <w:rsid w:val="00182F1E"/>
    <w:rsid w:val="001849E2"/>
    <w:rsid w:val="0018716E"/>
    <w:rsid w:val="0018776C"/>
    <w:rsid w:val="0019019A"/>
    <w:rsid w:val="00192AF6"/>
    <w:rsid w:val="00196FD2"/>
    <w:rsid w:val="001C452E"/>
    <w:rsid w:val="001D0060"/>
    <w:rsid w:val="001E04F7"/>
    <w:rsid w:val="001E0DD3"/>
    <w:rsid w:val="001E5250"/>
    <w:rsid w:val="001F2E0C"/>
    <w:rsid w:val="001F52E9"/>
    <w:rsid w:val="00202EEA"/>
    <w:rsid w:val="002111D0"/>
    <w:rsid w:val="002146E5"/>
    <w:rsid w:val="0021685F"/>
    <w:rsid w:val="002170C0"/>
    <w:rsid w:val="00223328"/>
    <w:rsid w:val="00224DEB"/>
    <w:rsid w:val="00230435"/>
    <w:rsid w:val="002334E4"/>
    <w:rsid w:val="002362BD"/>
    <w:rsid w:val="002369A5"/>
    <w:rsid w:val="00264544"/>
    <w:rsid w:val="00266533"/>
    <w:rsid w:val="0026693E"/>
    <w:rsid w:val="00270063"/>
    <w:rsid w:val="0028006E"/>
    <w:rsid w:val="002834F6"/>
    <w:rsid w:val="00286536"/>
    <w:rsid w:val="00287E0A"/>
    <w:rsid w:val="0029379F"/>
    <w:rsid w:val="002B75E8"/>
    <w:rsid w:val="002C46DA"/>
    <w:rsid w:val="002C52F9"/>
    <w:rsid w:val="002D6F8E"/>
    <w:rsid w:val="002E5FDE"/>
    <w:rsid w:val="002F5A5B"/>
    <w:rsid w:val="002F6E00"/>
    <w:rsid w:val="002F7CA1"/>
    <w:rsid w:val="002F7F31"/>
    <w:rsid w:val="00300C2A"/>
    <w:rsid w:val="00306DDC"/>
    <w:rsid w:val="00311324"/>
    <w:rsid w:val="00317034"/>
    <w:rsid w:val="00331828"/>
    <w:rsid w:val="00332BF8"/>
    <w:rsid w:val="00333793"/>
    <w:rsid w:val="00333BD0"/>
    <w:rsid w:val="00340E6F"/>
    <w:rsid w:val="0034710B"/>
    <w:rsid w:val="00347BDE"/>
    <w:rsid w:val="00351066"/>
    <w:rsid w:val="003534A4"/>
    <w:rsid w:val="00357C50"/>
    <w:rsid w:val="00365DE2"/>
    <w:rsid w:val="00370602"/>
    <w:rsid w:val="003723A5"/>
    <w:rsid w:val="003840CF"/>
    <w:rsid w:val="00391B61"/>
    <w:rsid w:val="00392422"/>
    <w:rsid w:val="0039415B"/>
    <w:rsid w:val="00396376"/>
    <w:rsid w:val="00396960"/>
    <w:rsid w:val="003A2048"/>
    <w:rsid w:val="003A228A"/>
    <w:rsid w:val="003A2974"/>
    <w:rsid w:val="003A4373"/>
    <w:rsid w:val="003B3EA4"/>
    <w:rsid w:val="003B7133"/>
    <w:rsid w:val="003B79B9"/>
    <w:rsid w:val="003C7185"/>
    <w:rsid w:val="003D1D26"/>
    <w:rsid w:val="003D6803"/>
    <w:rsid w:val="003E074E"/>
    <w:rsid w:val="003F167C"/>
    <w:rsid w:val="003F78CE"/>
    <w:rsid w:val="004024D9"/>
    <w:rsid w:val="00413E38"/>
    <w:rsid w:val="00420115"/>
    <w:rsid w:val="00422256"/>
    <w:rsid w:val="00422C70"/>
    <w:rsid w:val="00424AC5"/>
    <w:rsid w:val="00425623"/>
    <w:rsid w:val="00425B77"/>
    <w:rsid w:val="0042735B"/>
    <w:rsid w:val="00437840"/>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8A4"/>
    <w:rsid w:val="004D050B"/>
    <w:rsid w:val="004D79C1"/>
    <w:rsid w:val="004E45E3"/>
    <w:rsid w:val="004F2FAB"/>
    <w:rsid w:val="004F307F"/>
    <w:rsid w:val="004F3384"/>
    <w:rsid w:val="004F3F16"/>
    <w:rsid w:val="004F493A"/>
    <w:rsid w:val="004F6B0B"/>
    <w:rsid w:val="0052266E"/>
    <w:rsid w:val="005265C1"/>
    <w:rsid w:val="0054529A"/>
    <w:rsid w:val="00550BF1"/>
    <w:rsid w:val="00560CC0"/>
    <w:rsid w:val="00566ECB"/>
    <w:rsid w:val="005766B4"/>
    <w:rsid w:val="0058393D"/>
    <w:rsid w:val="005863EB"/>
    <w:rsid w:val="00591811"/>
    <w:rsid w:val="005B2C03"/>
    <w:rsid w:val="005B583B"/>
    <w:rsid w:val="005B5E40"/>
    <w:rsid w:val="005B623B"/>
    <w:rsid w:val="005B6DF6"/>
    <w:rsid w:val="005B72F8"/>
    <w:rsid w:val="005C4CBA"/>
    <w:rsid w:val="005C7814"/>
    <w:rsid w:val="005C79AE"/>
    <w:rsid w:val="005E467A"/>
    <w:rsid w:val="005F4A5B"/>
    <w:rsid w:val="00605920"/>
    <w:rsid w:val="006078C9"/>
    <w:rsid w:val="00610FBA"/>
    <w:rsid w:val="00622C32"/>
    <w:rsid w:val="00623368"/>
    <w:rsid w:val="00626466"/>
    <w:rsid w:val="00626931"/>
    <w:rsid w:val="006331B5"/>
    <w:rsid w:val="006363D6"/>
    <w:rsid w:val="006448B9"/>
    <w:rsid w:val="006461EB"/>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7514"/>
    <w:rsid w:val="006B78A8"/>
    <w:rsid w:val="006C49D1"/>
    <w:rsid w:val="006E0BFC"/>
    <w:rsid w:val="006E55F4"/>
    <w:rsid w:val="006E7700"/>
    <w:rsid w:val="006E7EC8"/>
    <w:rsid w:val="006F0D23"/>
    <w:rsid w:val="00701961"/>
    <w:rsid w:val="0070395B"/>
    <w:rsid w:val="007118BA"/>
    <w:rsid w:val="007218F0"/>
    <w:rsid w:val="00722EF1"/>
    <w:rsid w:val="00736352"/>
    <w:rsid w:val="007540E5"/>
    <w:rsid w:val="007544BD"/>
    <w:rsid w:val="00760A24"/>
    <w:rsid w:val="0076301C"/>
    <w:rsid w:val="00766B00"/>
    <w:rsid w:val="00767BB2"/>
    <w:rsid w:val="0077011C"/>
    <w:rsid w:val="0078149A"/>
    <w:rsid w:val="00783017"/>
    <w:rsid w:val="00783450"/>
    <w:rsid w:val="007872F8"/>
    <w:rsid w:val="00790155"/>
    <w:rsid w:val="007950D5"/>
    <w:rsid w:val="007A10D2"/>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2E9A"/>
    <w:rsid w:val="00883BBC"/>
    <w:rsid w:val="00883E00"/>
    <w:rsid w:val="008903C7"/>
    <w:rsid w:val="008913B8"/>
    <w:rsid w:val="008A0078"/>
    <w:rsid w:val="008B073C"/>
    <w:rsid w:val="008B5D37"/>
    <w:rsid w:val="008C5309"/>
    <w:rsid w:val="008C5EA9"/>
    <w:rsid w:val="008C74BC"/>
    <w:rsid w:val="008E2C9F"/>
    <w:rsid w:val="00917310"/>
    <w:rsid w:val="009325DE"/>
    <w:rsid w:val="0094133B"/>
    <w:rsid w:val="00941604"/>
    <w:rsid w:val="00942CCC"/>
    <w:rsid w:val="00944CC6"/>
    <w:rsid w:val="0096421C"/>
    <w:rsid w:val="00973BDE"/>
    <w:rsid w:val="0098379E"/>
    <w:rsid w:val="0098559F"/>
    <w:rsid w:val="009865AA"/>
    <w:rsid w:val="00990CE0"/>
    <w:rsid w:val="009B30A2"/>
    <w:rsid w:val="009B4B99"/>
    <w:rsid w:val="009C1103"/>
    <w:rsid w:val="009C15C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76FB8"/>
    <w:rsid w:val="00A9211E"/>
    <w:rsid w:val="00AA3DFD"/>
    <w:rsid w:val="00AA7541"/>
    <w:rsid w:val="00AB18AB"/>
    <w:rsid w:val="00AC5B5F"/>
    <w:rsid w:val="00AC7293"/>
    <w:rsid w:val="00AD0062"/>
    <w:rsid w:val="00AD04F5"/>
    <w:rsid w:val="00AD1B3B"/>
    <w:rsid w:val="00AD3C9F"/>
    <w:rsid w:val="00AD460B"/>
    <w:rsid w:val="00AD5218"/>
    <w:rsid w:val="00AE1E61"/>
    <w:rsid w:val="00AE450D"/>
    <w:rsid w:val="00AF1739"/>
    <w:rsid w:val="00AF3CF4"/>
    <w:rsid w:val="00AF6F3E"/>
    <w:rsid w:val="00B07E47"/>
    <w:rsid w:val="00B22AD5"/>
    <w:rsid w:val="00B23001"/>
    <w:rsid w:val="00B27562"/>
    <w:rsid w:val="00B31151"/>
    <w:rsid w:val="00B3115C"/>
    <w:rsid w:val="00B44196"/>
    <w:rsid w:val="00B560F9"/>
    <w:rsid w:val="00B719CE"/>
    <w:rsid w:val="00B71FE1"/>
    <w:rsid w:val="00B73FE8"/>
    <w:rsid w:val="00B81C3E"/>
    <w:rsid w:val="00B83591"/>
    <w:rsid w:val="00B83A9E"/>
    <w:rsid w:val="00BA0571"/>
    <w:rsid w:val="00BA1401"/>
    <w:rsid w:val="00BA1D26"/>
    <w:rsid w:val="00BB07FB"/>
    <w:rsid w:val="00BB0CC3"/>
    <w:rsid w:val="00BC4195"/>
    <w:rsid w:val="00BE72AF"/>
    <w:rsid w:val="00BF544F"/>
    <w:rsid w:val="00C031EE"/>
    <w:rsid w:val="00C03881"/>
    <w:rsid w:val="00C062CB"/>
    <w:rsid w:val="00C21653"/>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B349F"/>
    <w:rsid w:val="00CB4CC2"/>
    <w:rsid w:val="00CC2123"/>
    <w:rsid w:val="00CC2C5D"/>
    <w:rsid w:val="00CC5A94"/>
    <w:rsid w:val="00CF5BF8"/>
    <w:rsid w:val="00CF7A22"/>
    <w:rsid w:val="00D010FD"/>
    <w:rsid w:val="00D011D4"/>
    <w:rsid w:val="00D01299"/>
    <w:rsid w:val="00D03C2F"/>
    <w:rsid w:val="00D125EB"/>
    <w:rsid w:val="00D149F1"/>
    <w:rsid w:val="00D32FDC"/>
    <w:rsid w:val="00D45135"/>
    <w:rsid w:val="00D47F13"/>
    <w:rsid w:val="00D63B4A"/>
    <w:rsid w:val="00D64587"/>
    <w:rsid w:val="00D66438"/>
    <w:rsid w:val="00D75600"/>
    <w:rsid w:val="00D80CA9"/>
    <w:rsid w:val="00D81DC5"/>
    <w:rsid w:val="00D83800"/>
    <w:rsid w:val="00DA1CBE"/>
    <w:rsid w:val="00DB73DB"/>
    <w:rsid w:val="00DD6002"/>
    <w:rsid w:val="00DE5CE6"/>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0298"/>
    <w:rsid w:val="00E45276"/>
    <w:rsid w:val="00E503C7"/>
    <w:rsid w:val="00E50CBA"/>
    <w:rsid w:val="00E54D02"/>
    <w:rsid w:val="00E55350"/>
    <w:rsid w:val="00E55FD9"/>
    <w:rsid w:val="00E6373A"/>
    <w:rsid w:val="00E7086E"/>
    <w:rsid w:val="00E76761"/>
    <w:rsid w:val="00E77B0B"/>
    <w:rsid w:val="00E8758A"/>
    <w:rsid w:val="00E90678"/>
    <w:rsid w:val="00E91556"/>
    <w:rsid w:val="00E94D9E"/>
    <w:rsid w:val="00E96BE1"/>
    <w:rsid w:val="00EA202E"/>
    <w:rsid w:val="00EB0F23"/>
    <w:rsid w:val="00EC4E18"/>
    <w:rsid w:val="00ED6A0C"/>
    <w:rsid w:val="00EE616E"/>
    <w:rsid w:val="00EE6BEE"/>
    <w:rsid w:val="00F02E2F"/>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C37D6"/>
    <w:rsid w:val="00FD5A31"/>
    <w:rsid w:val="00FE7DA0"/>
    <w:rsid w:val="00FF1C7D"/>
    <w:rsid w:val="00FF5E49"/>
    <w:rsid w:val="010C5454"/>
    <w:rsid w:val="018E717F"/>
    <w:rsid w:val="01AA6C62"/>
    <w:rsid w:val="01C34904"/>
    <w:rsid w:val="01F91A58"/>
    <w:rsid w:val="02275B33"/>
    <w:rsid w:val="024E514A"/>
    <w:rsid w:val="02844C73"/>
    <w:rsid w:val="029D297E"/>
    <w:rsid w:val="02BF3F39"/>
    <w:rsid w:val="02EC7AE5"/>
    <w:rsid w:val="02EF5648"/>
    <w:rsid w:val="0344479F"/>
    <w:rsid w:val="03AB119B"/>
    <w:rsid w:val="03F12107"/>
    <w:rsid w:val="03FC2CFC"/>
    <w:rsid w:val="042D3E0E"/>
    <w:rsid w:val="04346C47"/>
    <w:rsid w:val="046B38D3"/>
    <w:rsid w:val="048F2341"/>
    <w:rsid w:val="04C5575B"/>
    <w:rsid w:val="04E56460"/>
    <w:rsid w:val="04EC7A2C"/>
    <w:rsid w:val="05416D39"/>
    <w:rsid w:val="055E55A9"/>
    <w:rsid w:val="05627D6B"/>
    <w:rsid w:val="05893C34"/>
    <w:rsid w:val="058B37A1"/>
    <w:rsid w:val="05CA0A32"/>
    <w:rsid w:val="05F80DA3"/>
    <w:rsid w:val="06256F1D"/>
    <w:rsid w:val="062B48E9"/>
    <w:rsid w:val="06926D13"/>
    <w:rsid w:val="06B0704C"/>
    <w:rsid w:val="06DD7488"/>
    <w:rsid w:val="06FB4E78"/>
    <w:rsid w:val="06FC473E"/>
    <w:rsid w:val="06FF464E"/>
    <w:rsid w:val="0701051E"/>
    <w:rsid w:val="07030B08"/>
    <w:rsid w:val="07664BCE"/>
    <w:rsid w:val="07672918"/>
    <w:rsid w:val="07A31D63"/>
    <w:rsid w:val="07BF5C66"/>
    <w:rsid w:val="0812168B"/>
    <w:rsid w:val="08634119"/>
    <w:rsid w:val="092E0415"/>
    <w:rsid w:val="09702B24"/>
    <w:rsid w:val="09935F35"/>
    <w:rsid w:val="09997553"/>
    <w:rsid w:val="09A44D77"/>
    <w:rsid w:val="09CD56F5"/>
    <w:rsid w:val="09E02C02"/>
    <w:rsid w:val="09EC3290"/>
    <w:rsid w:val="0A384637"/>
    <w:rsid w:val="0A3E6166"/>
    <w:rsid w:val="0A731E79"/>
    <w:rsid w:val="0A923616"/>
    <w:rsid w:val="0A977327"/>
    <w:rsid w:val="0A9C0B09"/>
    <w:rsid w:val="0B4A774F"/>
    <w:rsid w:val="0B747136"/>
    <w:rsid w:val="0BEE79BD"/>
    <w:rsid w:val="0C68692E"/>
    <w:rsid w:val="0D066FFB"/>
    <w:rsid w:val="0D4571FF"/>
    <w:rsid w:val="0D56362A"/>
    <w:rsid w:val="0D654EF8"/>
    <w:rsid w:val="0D765360"/>
    <w:rsid w:val="0DA0508F"/>
    <w:rsid w:val="0DA145C2"/>
    <w:rsid w:val="0DEC451B"/>
    <w:rsid w:val="0E321F8B"/>
    <w:rsid w:val="0E566F47"/>
    <w:rsid w:val="0E5B7D3A"/>
    <w:rsid w:val="0ED45E50"/>
    <w:rsid w:val="0EE71FAC"/>
    <w:rsid w:val="0EFB2EDC"/>
    <w:rsid w:val="0F303832"/>
    <w:rsid w:val="0F5D5D0B"/>
    <w:rsid w:val="0F652260"/>
    <w:rsid w:val="0FF75CB1"/>
    <w:rsid w:val="101B284F"/>
    <w:rsid w:val="107251C5"/>
    <w:rsid w:val="10751C6C"/>
    <w:rsid w:val="10CA602B"/>
    <w:rsid w:val="10E11778"/>
    <w:rsid w:val="110572F9"/>
    <w:rsid w:val="11103A1A"/>
    <w:rsid w:val="112A5D11"/>
    <w:rsid w:val="113405A8"/>
    <w:rsid w:val="11852565"/>
    <w:rsid w:val="124A430F"/>
    <w:rsid w:val="124C5DBE"/>
    <w:rsid w:val="12721216"/>
    <w:rsid w:val="12A53375"/>
    <w:rsid w:val="12AB2683"/>
    <w:rsid w:val="12EF7472"/>
    <w:rsid w:val="130324B4"/>
    <w:rsid w:val="13055667"/>
    <w:rsid w:val="13351D76"/>
    <w:rsid w:val="133F50D1"/>
    <w:rsid w:val="13BD6A02"/>
    <w:rsid w:val="14072E9C"/>
    <w:rsid w:val="14120123"/>
    <w:rsid w:val="145D3897"/>
    <w:rsid w:val="146971A6"/>
    <w:rsid w:val="146A38F9"/>
    <w:rsid w:val="14902995"/>
    <w:rsid w:val="14942599"/>
    <w:rsid w:val="149E7F50"/>
    <w:rsid w:val="152A33F3"/>
    <w:rsid w:val="1546363A"/>
    <w:rsid w:val="15925856"/>
    <w:rsid w:val="160E5648"/>
    <w:rsid w:val="16301051"/>
    <w:rsid w:val="167726CD"/>
    <w:rsid w:val="16A95AC3"/>
    <w:rsid w:val="16E208CB"/>
    <w:rsid w:val="16EB77A7"/>
    <w:rsid w:val="1738746B"/>
    <w:rsid w:val="173E1A73"/>
    <w:rsid w:val="175F378B"/>
    <w:rsid w:val="17B4753F"/>
    <w:rsid w:val="17C264C9"/>
    <w:rsid w:val="17C6387E"/>
    <w:rsid w:val="18001A10"/>
    <w:rsid w:val="182A6026"/>
    <w:rsid w:val="18AD4CFB"/>
    <w:rsid w:val="19651732"/>
    <w:rsid w:val="19FE0C42"/>
    <w:rsid w:val="1A055576"/>
    <w:rsid w:val="1A0949BF"/>
    <w:rsid w:val="1A2773EE"/>
    <w:rsid w:val="1A780858"/>
    <w:rsid w:val="1AA649B7"/>
    <w:rsid w:val="1ACC3C34"/>
    <w:rsid w:val="1AD9349D"/>
    <w:rsid w:val="1AE045F8"/>
    <w:rsid w:val="1AE07ED1"/>
    <w:rsid w:val="1AE76FFF"/>
    <w:rsid w:val="1B3D3BC7"/>
    <w:rsid w:val="1B530870"/>
    <w:rsid w:val="1B954109"/>
    <w:rsid w:val="1BA159B2"/>
    <w:rsid w:val="1BC03857"/>
    <w:rsid w:val="1C14551E"/>
    <w:rsid w:val="1C2D30C9"/>
    <w:rsid w:val="1CA72944"/>
    <w:rsid w:val="1CA753A6"/>
    <w:rsid w:val="1D0A1192"/>
    <w:rsid w:val="1E004198"/>
    <w:rsid w:val="1E1B0A69"/>
    <w:rsid w:val="1E470BAE"/>
    <w:rsid w:val="1EBF0088"/>
    <w:rsid w:val="1ED85FE7"/>
    <w:rsid w:val="1EDE09E7"/>
    <w:rsid w:val="1F27766C"/>
    <w:rsid w:val="1F290902"/>
    <w:rsid w:val="1F35392A"/>
    <w:rsid w:val="1F4F022C"/>
    <w:rsid w:val="1FB81494"/>
    <w:rsid w:val="1FCE1887"/>
    <w:rsid w:val="1FDD46D5"/>
    <w:rsid w:val="1FF06C12"/>
    <w:rsid w:val="1FF37DA3"/>
    <w:rsid w:val="20012227"/>
    <w:rsid w:val="20162376"/>
    <w:rsid w:val="20783542"/>
    <w:rsid w:val="209E4C1A"/>
    <w:rsid w:val="20B747D3"/>
    <w:rsid w:val="20F5686F"/>
    <w:rsid w:val="212D69FF"/>
    <w:rsid w:val="21BE37AB"/>
    <w:rsid w:val="221F3474"/>
    <w:rsid w:val="22537DDE"/>
    <w:rsid w:val="226E22DD"/>
    <w:rsid w:val="2282770E"/>
    <w:rsid w:val="22D160CB"/>
    <w:rsid w:val="23093D4E"/>
    <w:rsid w:val="232C7B55"/>
    <w:rsid w:val="23523730"/>
    <w:rsid w:val="23532FB0"/>
    <w:rsid w:val="236B5E11"/>
    <w:rsid w:val="23777D76"/>
    <w:rsid w:val="23D41E3A"/>
    <w:rsid w:val="247D38B3"/>
    <w:rsid w:val="24DE033B"/>
    <w:rsid w:val="24F825EA"/>
    <w:rsid w:val="250963F0"/>
    <w:rsid w:val="2527176B"/>
    <w:rsid w:val="255B3973"/>
    <w:rsid w:val="25EE6378"/>
    <w:rsid w:val="263069F3"/>
    <w:rsid w:val="26630D75"/>
    <w:rsid w:val="26AF0C16"/>
    <w:rsid w:val="26AF1AE1"/>
    <w:rsid w:val="26B1790E"/>
    <w:rsid w:val="26BE4550"/>
    <w:rsid w:val="26DF36D3"/>
    <w:rsid w:val="26F4633F"/>
    <w:rsid w:val="26FC1E95"/>
    <w:rsid w:val="27862A40"/>
    <w:rsid w:val="278B3A20"/>
    <w:rsid w:val="27C022E0"/>
    <w:rsid w:val="27D23323"/>
    <w:rsid w:val="28552F2C"/>
    <w:rsid w:val="286C36E6"/>
    <w:rsid w:val="28867CA7"/>
    <w:rsid w:val="28900766"/>
    <w:rsid w:val="28A1023B"/>
    <w:rsid w:val="28B03454"/>
    <w:rsid w:val="28E5712E"/>
    <w:rsid w:val="2954075F"/>
    <w:rsid w:val="29935EC5"/>
    <w:rsid w:val="29F10E7D"/>
    <w:rsid w:val="29F93554"/>
    <w:rsid w:val="2AB73270"/>
    <w:rsid w:val="2B3542A3"/>
    <w:rsid w:val="2B6E3F41"/>
    <w:rsid w:val="2B824505"/>
    <w:rsid w:val="2BB628FE"/>
    <w:rsid w:val="2BD72CF4"/>
    <w:rsid w:val="2C0824D5"/>
    <w:rsid w:val="2C7E30BB"/>
    <w:rsid w:val="2C890986"/>
    <w:rsid w:val="2D2A3B0D"/>
    <w:rsid w:val="2D6E61B2"/>
    <w:rsid w:val="2DA3726B"/>
    <w:rsid w:val="2DB01335"/>
    <w:rsid w:val="2DCF4404"/>
    <w:rsid w:val="2DE06E10"/>
    <w:rsid w:val="2DE12229"/>
    <w:rsid w:val="2E12162B"/>
    <w:rsid w:val="2EBF0BBF"/>
    <w:rsid w:val="2F0A16C4"/>
    <w:rsid w:val="2F0D0675"/>
    <w:rsid w:val="2F5F0A5D"/>
    <w:rsid w:val="2F7E753E"/>
    <w:rsid w:val="2F840FFA"/>
    <w:rsid w:val="2FC3325D"/>
    <w:rsid w:val="2FE018BD"/>
    <w:rsid w:val="303429D2"/>
    <w:rsid w:val="306E1C94"/>
    <w:rsid w:val="30A40618"/>
    <w:rsid w:val="314A2798"/>
    <w:rsid w:val="314D0E3F"/>
    <w:rsid w:val="31B7717A"/>
    <w:rsid w:val="31F05866"/>
    <w:rsid w:val="320C68B2"/>
    <w:rsid w:val="320D1E09"/>
    <w:rsid w:val="321E361B"/>
    <w:rsid w:val="32362892"/>
    <w:rsid w:val="32D6687A"/>
    <w:rsid w:val="32F751B6"/>
    <w:rsid w:val="33296D3B"/>
    <w:rsid w:val="33AD241D"/>
    <w:rsid w:val="33C31107"/>
    <w:rsid w:val="33E26F87"/>
    <w:rsid w:val="33E86FAC"/>
    <w:rsid w:val="33FA0FB5"/>
    <w:rsid w:val="3446741E"/>
    <w:rsid w:val="345A6386"/>
    <w:rsid w:val="346A42FC"/>
    <w:rsid w:val="348554CB"/>
    <w:rsid w:val="34B370EE"/>
    <w:rsid w:val="34C176EE"/>
    <w:rsid w:val="34CE0EFC"/>
    <w:rsid w:val="34DA2CE1"/>
    <w:rsid w:val="34ED6EC4"/>
    <w:rsid w:val="350C0AD6"/>
    <w:rsid w:val="3520564A"/>
    <w:rsid w:val="35256E80"/>
    <w:rsid w:val="354C6A50"/>
    <w:rsid w:val="355D1858"/>
    <w:rsid w:val="35775EA4"/>
    <w:rsid w:val="359569B1"/>
    <w:rsid w:val="3597318F"/>
    <w:rsid w:val="359E146C"/>
    <w:rsid w:val="35B72366"/>
    <w:rsid w:val="35DD2679"/>
    <w:rsid w:val="35F74B83"/>
    <w:rsid w:val="361835D3"/>
    <w:rsid w:val="36506F5F"/>
    <w:rsid w:val="365073B4"/>
    <w:rsid w:val="3667042C"/>
    <w:rsid w:val="36BC008C"/>
    <w:rsid w:val="36FA5F7F"/>
    <w:rsid w:val="37065F4F"/>
    <w:rsid w:val="37AD3EFE"/>
    <w:rsid w:val="38416FAC"/>
    <w:rsid w:val="38680E7E"/>
    <w:rsid w:val="38CF775E"/>
    <w:rsid w:val="38F66E75"/>
    <w:rsid w:val="38FA1B4F"/>
    <w:rsid w:val="39022811"/>
    <w:rsid w:val="39297B26"/>
    <w:rsid w:val="39361428"/>
    <w:rsid w:val="398573C7"/>
    <w:rsid w:val="399744A4"/>
    <w:rsid w:val="39B02053"/>
    <w:rsid w:val="39CB4BFF"/>
    <w:rsid w:val="3A0871BF"/>
    <w:rsid w:val="3A2B4724"/>
    <w:rsid w:val="3A2E204A"/>
    <w:rsid w:val="3A7F3182"/>
    <w:rsid w:val="3B0520B5"/>
    <w:rsid w:val="3B17405E"/>
    <w:rsid w:val="3B3D3D9C"/>
    <w:rsid w:val="3B5B0F11"/>
    <w:rsid w:val="3B8D1B05"/>
    <w:rsid w:val="3C1228A0"/>
    <w:rsid w:val="3C33613D"/>
    <w:rsid w:val="3C740E08"/>
    <w:rsid w:val="3C7D6996"/>
    <w:rsid w:val="3CD3374A"/>
    <w:rsid w:val="3D1F111D"/>
    <w:rsid w:val="3D406D2F"/>
    <w:rsid w:val="3D4826F8"/>
    <w:rsid w:val="3D5A1ABE"/>
    <w:rsid w:val="3DAA1F99"/>
    <w:rsid w:val="3DB7239F"/>
    <w:rsid w:val="3E630E61"/>
    <w:rsid w:val="3E955595"/>
    <w:rsid w:val="3EA87988"/>
    <w:rsid w:val="3EC42196"/>
    <w:rsid w:val="3EC95C23"/>
    <w:rsid w:val="3ECF44EE"/>
    <w:rsid w:val="3F4F72C3"/>
    <w:rsid w:val="3F755F14"/>
    <w:rsid w:val="3FBD6408"/>
    <w:rsid w:val="3FDD1B72"/>
    <w:rsid w:val="3FF73EBC"/>
    <w:rsid w:val="4017326E"/>
    <w:rsid w:val="404B75B5"/>
    <w:rsid w:val="405C523D"/>
    <w:rsid w:val="40B606DB"/>
    <w:rsid w:val="415D7185"/>
    <w:rsid w:val="41811FBE"/>
    <w:rsid w:val="41C54E68"/>
    <w:rsid w:val="42411AF1"/>
    <w:rsid w:val="42551C0B"/>
    <w:rsid w:val="42AE3183"/>
    <w:rsid w:val="42AF036F"/>
    <w:rsid w:val="42DA541D"/>
    <w:rsid w:val="43372BA2"/>
    <w:rsid w:val="43814CC4"/>
    <w:rsid w:val="439012B7"/>
    <w:rsid w:val="43B03B5A"/>
    <w:rsid w:val="43B134D0"/>
    <w:rsid w:val="43BC2B1C"/>
    <w:rsid w:val="43EB3E4E"/>
    <w:rsid w:val="4439578D"/>
    <w:rsid w:val="44404BD4"/>
    <w:rsid w:val="4449454C"/>
    <w:rsid w:val="448F056E"/>
    <w:rsid w:val="44BC6416"/>
    <w:rsid w:val="44D00F5F"/>
    <w:rsid w:val="44DA00A2"/>
    <w:rsid w:val="455559D7"/>
    <w:rsid w:val="457A362D"/>
    <w:rsid w:val="45AC7EBF"/>
    <w:rsid w:val="45DD590B"/>
    <w:rsid w:val="460F20F9"/>
    <w:rsid w:val="461E5237"/>
    <w:rsid w:val="462F3F02"/>
    <w:rsid w:val="46592B02"/>
    <w:rsid w:val="467C16A7"/>
    <w:rsid w:val="46851557"/>
    <w:rsid w:val="46D4493E"/>
    <w:rsid w:val="46D92DA0"/>
    <w:rsid w:val="46EC310E"/>
    <w:rsid w:val="47624647"/>
    <w:rsid w:val="47632CCD"/>
    <w:rsid w:val="476A02AE"/>
    <w:rsid w:val="47BA26EF"/>
    <w:rsid w:val="47D53CCD"/>
    <w:rsid w:val="48026B38"/>
    <w:rsid w:val="48092C2D"/>
    <w:rsid w:val="482F185E"/>
    <w:rsid w:val="483A01CD"/>
    <w:rsid w:val="483B05D9"/>
    <w:rsid w:val="4857247D"/>
    <w:rsid w:val="48762ABF"/>
    <w:rsid w:val="49507314"/>
    <w:rsid w:val="496314E2"/>
    <w:rsid w:val="49CD20B7"/>
    <w:rsid w:val="49DD55BA"/>
    <w:rsid w:val="49F95F2C"/>
    <w:rsid w:val="4A1B175E"/>
    <w:rsid w:val="4A337275"/>
    <w:rsid w:val="4ACA5284"/>
    <w:rsid w:val="4ADD1459"/>
    <w:rsid w:val="4B7D4460"/>
    <w:rsid w:val="4B823443"/>
    <w:rsid w:val="4B9A15EA"/>
    <w:rsid w:val="4BDC5167"/>
    <w:rsid w:val="4BEA105F"/>
    <w:rsid w:val="4C0842E9"/>
    <w:rsid w:val="4C65110E"/>
    <w:rsid w:val="4C893754"/>
    <w:rsid w:val="4C9D00F4"/>
    <w:rsid w:val="4D024BEC"/>
    <w:rsid w:val="4D030F25"/>
    <w:rsid w:val="4D341CBF"/>
    <w:rsid w:val="4DAE67B4"/>
    <w:rsid w:val="4E4E529F"/>
    <w:rsid w:val="4E700F95"/>
    <w:rsid w:val="4E7F6657"/>
    <w:rsid w:val="4F17563F"/>
    <w:rsid w:val="4F1F0790"/>
    <w:rsid w:val="4F5A7728"/>
    <w:rsid w:val="4F767DC8"/>
    <w:rsid w:val="4F951A1B"/>
    <w:rsid w:val="501346E8"/>
    <w:rsid w:val="504E41B0"/>
    <w:rsid w:val="504F35F4"/>
    <w:rsid w:val="50603026"/>
    <w:rsid w:val="50816B2D"/>
    <w:rsid w:val="50B30F51"/>
    <w:rsid w:val="50DB6B65"/>
    <w:rsid w:val="511D2F10"/>
    <w:rsid w:val="51662234"/>
    <w:rsid w:val="51C16661"/>
    <w:rsid w:val="521C4028"/>
    <w:rsid w:val="52493883"/>
    <w:rsid w:val="52825917"/>
    <w:rsid w:val="528B025E"/>
    <w:rsid w:val="52B100BE"/>
    <w:rsid w:val="536C4076"/>
    <w:rsid w:val="53701036"/>
    <w:rsid w:val="53B138F6"/>
    <w:rsid w:val="541A345A"/>
    <w:rsid w:val="541B0AAA"/>
    <w:rsid w:val="545E4DEB"/>
    <w:rsid w:val="546E7E5D"/>
    <w:rsid w:val="54743095"/>
    <w:rsid w:val="54850F6B"/>
    <w:rsid w:val="54873B82"/>
    <w:rsid w:val="548F60CE"/>
    <w:rsid w:val="54E85717"/>
    <w:rsid w:val="54FD6E9A"/>
    <w:rsid w:val="5505221C"/>
    <w:rsid w:val="55671C6D"/>
    <w:rsid w:val="558E4BD8"/>
    <w:rsid w:val="55E816C6"/>
    <w:rsid w:val="560F6EE9"/>
    <w:rsid w:val="56892339"/>
    <w:rsid w:val="56F97712"/>
    <w:rsid w:val="57052B6C"/>
    <w:rsid w:val="574A472A"/>
    <w:rsid w:val="574F4702"/>
    <w:rsid w:val="5789054D"/>
    <w:rsid w:val="578B264C"/>
    <w:rsid w:val="57A71AC0"/>
    <w:rsid w:val="57B14D9D"/>
    <w:rsid w:val="57D02734"/>
    <w:rsid w:val="58094566"/>
    <w:rsid w:val="5855710D"/>
    <w:rsid w:val="58755AB0"/>
    <w:rsid w:val="58AB6C83"/>
    <w:rsid w:val="5910290D"/>
    <w:rsid w:val="593A5818"/>
    <w:rsid w:val="593B3A79"/>
    <w:rsid w:val="594A7276"/>
    <w:rsid w:val="59EA7163"/>
    <w:rsid w:val="59FD1A86"/>
    <w:rsid w:val="5A6C75D2"/>
    <w:rsid w:val="5A9F2759"/>
    <w:rsid w:val="5AAA6C73"/>
    <w:rsid w:val="5AB56FD6"/>
    <w:rsid w:val="5ADE244E"/>
    <w:rsid w:val="5AE94B0F"/>
    <w:rsid w:val="5B376B2B"/>
    <w:rsid w:val="5BA77963"/>
    <w:rsid w:val="5BF65BA9"/>
    <w:rsid w:val="5C1369F4"/>
    <w:rsid w:val="5C2635AB"/>
    <w:rsid w:val="5C3318CF"/>
    <w:rsid w:val="5C344D31"/>
    <w:rsid w:val="5C3A4E1A"/>
    <w:rsid w:val="5C814852"/>
    <w:rsid w:val="5CB72128"/>
    <w:rsid w:val="5CBE588B"/>
    <w:rsid w:val="5CD90FD4"/>
    <w:rsid w:val="5D117B93"/>
    <w:rsid w:val="5D2045C1"/>
    <w:rsid w:val="5D535485"/>
    <w:rsid w:val="5D575D6D"/>
    <w:rsid w:val="5E1F1247"/>
    <w:rsid w:val="5EDE6371"/>
    <w:rsid w:val="5EF46BFB"/>
    <w:rsid w:val="5F18377D"/>
    <w:rsid w:val="5F36514B"/>
    <w:rsid w:val="5F457474"/>
    <w:rsid w:val="5F562C1F"/>
    <w:rsid w:val="5FE56858"/>
    <w:rsid w:val="5FF356BE"/>
    <w:rsid w:val="60681418"/>
    <w:rsid w:val="60777004"/>
    <w:rsid w:val="608E1C8F"/>
    <w:rsid w:val="60B75873"/>
    <w:rsid w:val="60BF15FF"/>
    <w:rsid w:val="60CE0A84"/>
    <w:rsid w:val="610E3F6A"/>
    <w:rsid w:val="613D0A9B"/>
    <w:rsid w:val="615A0B09"/>
    <w:rsid w:val="61632A6C"/>
    <w:rsid w:val="616347C5"/>
    <w:rsid w:val="61A93559"/>
    <w:rsid w:val="61CF110A"/>
    <w:rsid w:val="621F7AE8"/>
    <w:rsid w:val="62357CAB"/>
    <w:rsid w:val="628A1181"/>
    <w:rsid w:val="62A04866"/>
    <w:rsid w:val="62A91DE7"/>
    <w:rsid w:val="62C70FDE"/>
    <w:rsid w:val="62EB0522"/>
    <w:rsid w:val="631E6B06"/>
    <w:rsid w:val="635F599B"/>
    <w:rsid w:val="636304CA"/>
    <w:rsid w:val="638B472E"/>
    <w:rsid w:val="64950E8D"/>
    <w:rsid w:val="64F05D69"/>
    <w:rsid w:val="651F4AF5"/>
    <w:rsid w:val="65280837"/>
    <w:rsid w:val="654D6C47"/>
    <w:rsid w:val="65803004"/>
    <w:rsid w:val="65B13B0F"/>
    <w:rsid w:val="65DD59C7"/>
    <w:rsid w:val="65DF06AA"/>
    <w:rsid w:val="66726DE9"/>
    <w:rsid w:val="667D7612"/>
    <w:rsid w:val="66DA0758"/>
    <w:rsid w:val="66E85868"/>
    <w:rsid w:val="673C24EF"/>
    <w:rsid w:val="67554C72"/>
    <w:rsid w:val="67B44B21"/>
    <w:rsid w:val="67EB0D51"/>
    <w:rsid w:val="67F65044"/>
    <w:rsid w:val="680A7904"/>
    <w:rsid w:val="68166352"/>
    <w:rsid w:val="6898656D"/>
    <w:rsid w:val="68B4061C"/>
    <w:rsid w:val="68B81F22"/>
    <w:rsid w:val="692D64E2"/>
    <w:rsid w:val="694C5F23"/>
    <w:rsid w:val="69572A37"/>
    <w:rsid w:val="696662A4"/>
    <w:rsid w:val="69792046"/>
    <w:rsid w:val="69881A64"/>
    <w:rsid w:val="69DF53DC"/>
    <w:rsid w:val="69E27B25"/>
    <w:rsid w:val="6A397FCF"/>
    <w:rsid w:val="6A8A7330"/>
    <w:rsid w:val="6A961F9E"/>
    <w:rsid w:val="6ACB06F4"/>
    <w:rsid w:val="6AEE6C6E"/>
    <w:rsid w:val="6B1B6AD9"/>
    <w:rsid w:val="6B46798C"/>
    <w:rsid w:val="6B687B99"/>
    <w:rsid w:val="6B995283"/>
    <w:rsid w:val="6BB93E1A"/>
    <w:rsid w:val="6BC763D5"/>
    <w:rsid w:val="6BCA31AA"/>
    <w:rsid w:val="6BEB1010"/>
    <w:rsid w:val="6BF8468F"/>
    <w:rsid w:val="6C164551"/>
    <w:rsid w:val="6C495E4F"/>
    <w:rsid w:val="6CC018BA"/>
    <w:rsid w:val="6CF00CE0"/>
    <w:rsid w:val="6D27237C"/>
    <w:rsid w:val="6D2B6A0F"/>
    <w:rsid w:val="6D302E0E"/>
    <w:rsid w:val="6D6650AF"/>
    <w:rsid w:val="6E1612C1"/>
    <w:rsid w:val="6E9B39FD"/>
    <w:rsid w:val="6F604150"/>
    <w:rsid w:val="6F876965"/>
    <w:rsid w:val="6F89225D"/>
    <w:rsid w:val="6FAF68AB"/>
    <w:rsid w:val="703053C9"/>
    <w:rsid w:val="706C4C4B"/>
    <w:rsid w:val="709C49B1"/>
    <w:rsid w:val="70D3620A"/>
    <w:rsid w:val="71193D3B"/>
    <w:rsid w:val="71422B5C"/>
    <w:rsid w:val="71D9412A"/>
    <w:rsid w:val="7211216C"/>
    <w:rsid w:val="723348A3"/>
    <w:rsid w:val="72632B7A"/>
    <w:rsid w:val="72841771"/>
    <w:rsid w:val="729A172F"/>
    <w:rsid w:val="72C95A52"/>
    <w:rsid w:val="72E04E7A"/>
    <w:rsid w:val="732604B1"/>
    <w:rsid w:val="73CA2AF9"/>
    <w:rsid w:val="74085078"/>
    <w:rsid w:val="74283EEA"/>
    <w:rsid w:val="74701552"/>
    <w:rsid w:val="74C55EA5"/>
    <w:rsid w:val="74EA4FB0"/>
    <w:rsid w:val="75154605"/>
    <w:rsid w:val="751C3C2A"/>
    <w:rsid w:val="75821E64"/>
    <w:rsid w:val="766C2683"/>
    <w:rsid w:val="76AB6A72"/>
    <w:rsid w:val="76AC7A1B"/>
    <w:rsid w:val="76D41BAE"/>
    <w:rsid w:val="76F46778"/>
    <w:rsid w:val="77611D7E"/>
    <w:rsid w:val="779117F3"/>
    <w:rsid w:val="77CF0A6B"/>
    <w:rsid w:val="786D08B8"/>
    <w:rsid w:val="78782528"/>
    <w:rsid w:val="78E610F4"/>
    <w:rsid w:val="7945384A"/>
    <w:rsid w:val="7963760A"/>
    <w:rsid w:val="79722F27"/>
    <w:rsid w:val="79B92B4E"/>
    <w:rsid w:val="7A277D89"/>
    <w:rsid w:val="7A424D83"/>
    <w:rsid w:val="7A5F6AFD"/>
    <w:rsid w:val="7A6A69F7"/>
    <w:rsid w:val="7A775E70"/>
    <w:rsid w:val="7A7D10E4"/>
    <w:rsid w:val="7AA5092A"/>
    <w:rsid w:val="7ACB150F"/>
    <w:rsid w:val="7B304512"/>
    <w:rsid w:val="7B314EA5"/>
    <w:rsid w:val="7B6F7E07"/>
    <w:rsid w:val="7BDE7F34"/>
    <w:rsid w:val="7BE72529"/>
    <w:rsid w:val="7C1E5520"/>
    <w:rsid w:val="7C21083D"/>
    <w:rsid w:val="7C2A5ACE"/>
    <w:rsid w:val="7C4414F5"/>
    <w:rsid w:val="7C500388"/>
    <w:rsid w:val="7C62013B"/>
    <w:rsid w:val="7CAE5B2E"/>
    <w:rsid w:val="7CBD66EB"/>
    <w:rsid w:val="7CEA14B8"/>
    <w:rsid w:val="7D11011F"/>
    <w:rsid w:val="7D1B40FF"/>
    <w:rsid w:val="7D3C3BC2"/>
    <w:rsid w:val="7D497A1B"/>
    <w:rsid w:val="7D720FEA"/>
    <w:rsid w:val="7D9064BE"/>
    <w:rsid w:val="7D9A213A"/>
    <w:rsid w:val="7DCB0EAA"/>
    <w:rsid w:val="7DEB76C3"/>
    <w:rsid w:val="7E024225"/>
    <w:rsid w:val="7E503DBF"/>
    <w:rsid w:val="7E615781"/>
    <w:rsid w:val="7E6459CD"/>
    <w:rsid w:val="7E75368D"/>
    <w:rsid w:val="7E7D6862"/>
    <w:rsid w:val="7EF3082E"/>
    <w:rsid w:val="7FA14A15"/>
    <w:rsid w:val="7FA37A75"/>
    <w:rsid w:val="7FB010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locked/>
    <w:uiPriority w:val="9"/>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qFormat/>
    <w:locked/>
    <w:uiPriority w:val="0"/>
    <w:pPr>
      <w:autoSpaceDE w:val="0"/>
      <w:autoSpaceDN w:val="0"/>
      <w:adjustRightInd w:val="0"/>
      <w:spacing w:before="16"/>
      <w:jc w:val="left"/>
      <w:outlineLvl w:val="2"/>
    </w:pPr>
    <w:rPr>
      <w:rFonts w:ascii="仿宋_GB2312" w:eastAsia="仿宋_GB2312"/>
      <w:b/>
      <w:kern w:val="0"/>
      <w:sz w:val="24"/>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semiHidden/>
    <w:unhideWhenUsed/>
    <w:qFormat/>
    <w:uiPriority w:val="99"/>
    <w:pPr>
      <w:jc w:val="left"/>
    </w:p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szCs w:val="20"/>
    </w:rPr>
  </w:style>
  <w:style w:type="paragraph" w:styleId="10">
    <w:name w:val="Balloon Text"/>
    <w:basedOn w:val="1"/>
    <w:link w:val="30"/>
    <w:qFormat/>
    <w:uiPriority w:val="99"/>
    <w:rPr>
      <w:sz w:val="18"/>
      <w:szCs w:val="18"/>
    </w:rPr>
  </w:style>
  <w:style w:type="paragraph" w:styleId="11">
    <w:name w:val="footer"/>
    <w:basedOn w:val="1"/>
    <w:link w:val="31"/>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38"/>
    <w:qFormat/>
    <w:locked/>
    <w:uiPriority w:val="10"/>
    <w:pPr>
      <w:spacing w:before="240" w:after="60" w:line="360" w:lineRule="auto"/>
      <w:jc w:val="center"/>
      <w:outlineLvl w:val="0"/>
    </w:pPr>
    <w:rPr>
      <w:rFonts w:ascii="Calibri" w:hAnsi="Calibri"/>
      <w:b/>
      <w:bCs/>
      <w:sz w:val="32"/>
      <w:szCs w:val="32"/>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2D64B3"/>
      <w:u w:val="none"/>
    </w:rPr>
  </w:style>
  <w:style w:type="character" w:styleId="21">
    <w:name w:val="Emphasis"/>
    <w:basedOn w:val="19"/>
    <w:qFormat/>
    <w:locked/>
    <w:uiPriority w:val="0"/>
  </w:style>
  <w:style w:type="character" w:styleId="22">
    <w:name w:val="HTML Definition"/>
    <w:basedOn w:val="19"/>
    <w:semiHidden/>
    <w:unhideWhenUsed/>
    <w:qFormat/>
    <w:uiPriority w:val="99"/>
  </w:style>
  <w:style w:type="character" w:styleId="23">
    <w:name w:val="HTML Variable"/>
    <w:basedOn w:val="19"/>
    <w:semiHidden/>
    <w:unhideWhenUsed/>
    <w:qFormat/>
    <w:uiPriority w:val="99"/>
  </w:style>
  <w:style w:type="character" w:styleId="24">
    <w:name w:val="Hyperlink"/>
    <w:basedOn w:val="19"/>
    <w:semiHidden/>
    <w:unhideWhenUsed/>
    <w:qFormat/>
    <w:uiPriority w:val="99"/>
    <w:rPr>
      <w:color w:val="2D64B3"/>
      <w:u w:val="none"/>
    </w:rPr>
  </w:style>
  <w:style w:type="character" w:styleId="25">
    <w:name w:val="HTML Code"/>
    <w:basedOn w:val="19"/>
    <w:semiHidden/>
    <w:unhideWhenUsed/>
    <w:qFormat/>
    <w:uiPriority w:val="99"/>
    <w:rPr>
      <w:rFonts w:hint="eastAsia" w:ascii="Arial" w:hAnsi="Arial" w:cs="Arial"/>
      <w:sz w:val="20"/>
    </w:rPr>
  </w:style>
  <w:style w:type="character" w:styleId="26">
    <w:name w:val="annotation reference"/>
    <w:qFormat/>
    <w:uiPriority w:val="99"/>
    <w:rPr>
      <w:sz w:val="21"/>
      <w:szCs w:val="21"/>
    </w:rPr>
  </w:style>
  <w:style w:type="character" w:styleId="27">
    <w:name w:val="HTML Cite"/>
    <w:basedOn w:val="19"/>
    <w:semiHidden/>
    <w:unhideWhenUsed/>
    <w:qFormat/>
    <w:uiPriority w:val="99"/>
  </w:style>
  <w:style w:type="character" w:styleId="28">
    <w:name w:val="HTML Keyboard"/>
    <w:basedOn w:val="19"/>
    <w:semiHidden/>
    <w:unhideWhenUsed/>
    <w:qFormat/>
    <w:uiPriority w:val="99"/>
    <w:rPr>
      <w:rFonts w:hint="default" w:ascii="Arial" w:hAnsi="Arial" w:cs="Arial"/>
      <w:sz w:val="20"/>
    </w:rPr>
  </w:style>
  <w:style w:type="character" w:styleId="29">
    <w:name w:val="HTML Sample"/>
    <w:basedOn w:val="19"/>
    <w:semiHidden/>
    <w:unhideWhenUsed/>
    <w:qFormat/>
    <w:uiPriority w:val="99"/>
    <w:rPr>
      <w:rFonts w:hint="default" w:ascii="Arial" w:hAnsi="Arial" w:cs="Arial"/>
    </w:rPr>
  </w:style>
  <w:style w:type="character" w:customStyle="1" w:styleId="30">
    <w:name w:val="批注框文本 字符"/>
    <w:basedOn w:val="19"/>
    <w:link w:val="10"/>
    <w:semiHidden/>
    <w:qFormat/>
    <w:locked/>
    <w:uiPriority w:val="99"/>
    <w:rPr>
      <w:rFonts w:ascii="Times New Roman" w:hAnsi="Times New Roman"/>
      <w:kern w:val="2"/>
      <w:sz w:val="18"/>
    </w:rPr>
  </w:style>
  <w:style w:type="character" w:customStyle="1" w:styleId="31">
    <w:name w:val="页脚 字符"/>
    <w:basedOn w:val="19"/>
    <w:link w:val="11"/>
    <w:qFormat/>
    <w:locked/>
    <w:uiPriority w:val="99"/>
    <w:rPr>
      <w:sz w:val="18"/>
    </w:rPr>
  </w:style>
  <w:style w:type="character" w:customStyle="1" w:styleId="32">
    <w:name w:val="页眉 字符"/>
    <w:basedOn w:val="19"/>
    <w:link w:val="12"/>
    <w:semiHidden/>
    <w:qFormat/>
    <w:locked/>
    <w:uiPriority w:val="99"/>
    <w:rPr>
      <w:sz w:val="18"/>
    </w:rPr>
  </w:style>
  <w:style w:type="paragraph" w:customStyle="1" w:styleId="33">
    <w:name w:val="列出段落1"/>
    <w:basedOn w:val="1"/>
    <w:qFormat/>
    <w:uiPriority w:val="99"/>
    <w:pPr>
      <w:ind w:firstLine="420" w:firstLineChars="200"/>
    </w:pPr>
  </w:style>
  <w:style w:type="character" w:customStyle="1" w:styleId="34">
    <w:name w:val="f14w1"/>
    <w:qFormat/>
    <w:uiPriority w:val="99"/>
    <w:rPr>
      <w:b/>
      <w:color w:val="002569"/>
      <w:sz w:val="21"/>
    </w:rPr>
  </w:style>
  <w:style w:type="paragraph" w:customStyle="1" w:styleId="3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6">
    <w:name w:val="列出段落11"/>
    <w:basedOn w:val="1"/>
    <w:qFormat/>
    <w:uiPriority w:val="99"/>
    <w:pPr>
      <w:ind w:firstLine="420" w:firstLineChars="200"/>
    </w:pPr>
  </w:style>
  <w:style w:type="paragraph" w:customStyle="1" w:styleId="37">
    <w:name w:val="列出段落2"/>
    <w:basedOn w:val="1"/>
    <w:qFormat/>
    <w:uiPriority w:val="99"/>
    <w:pPr>
      <w:ind w:firstLine="420" w:firstLineChars="200"/>
    </w:pPr>
    <w:rPr>
      <w:rFonts w:ascii="Calibri" w:hAnsi="Calibri"/>
      <w:szCs w:val="22"/>
    </w:rPr>
  </w:style>
  <w:style w:type="character" w:customStyle="1" w:styleId="38">
    <w:name w:val="标题 字符"/>
    <w:basedOn w:val="19"/>
    <w:link w:val="16"/>
    <w:qFormat/>
    <w:uiPriority w:val="10"/>
    <w:rPr>
      <w:rFonts w:ascii="Calibri" w:hAnsi="Calibri"/>
      <w:b/>
      <w:bCs/>
      <w:kern w:val="2"/>
      <w:sz w:val="32"/>
      <w:szCs w:val="32"/>
    </w:rPr>
  </w:style>
  <w:style w:type="paragraph" w:customStyle="1" w:styleId="39">
    <w:name w:val="1"/>
    <w:basedOn w:val="1"/>
    <w:next w:val="9"/>
    <w:qFormat/>
    <w:uiPriority w:val="0"/>
    <w:rPr>
      <w:rFonts w:ascii="宋体" w:hAnsi="Courier New"/>
      <w:szCs w:val="20"/>
    </w:rPr>
  </w:style>
  <w:style w:type="paragraph" w:customStyle="1" w:styleId="40">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paragraph" w:customStyle="1" w:styleId="41">
    <w:name w:val="Default"/>
    <w:unhideWhenUsed/>
    <w:qFormat/>
    <w:uiPriority w:val="99"/>
    <w:pPr>
      <w:widowControl w:val="0"/>
      <w:autoSpaceDE w:val="0"/>
      <w:autoSpaceDN w:val="0"/>
      <w:adjustRightInd w:val="0"/>
      <w:spacing w:beforeLines="0" w:afterLines="0"/>
    </w:pPr>
    <w:rPr>
      <w:rFonts w:hint="default" w:ascii="宋体" w:hAnsi="宋体" w:eastAsia="宋体" w:cstheme="minorBidi"/>
      <w:color w:val="000000"/>
      <w:sz w:val="24"/>
    </w:rPr>
  </w:style>
  <w:style w:type="paragraph" w:customStyle="1" w:styleId="42">
    <w:name w:val="_Style 4"/>
    <w:basedOn w:val="1"/>
    <w:next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9235</Words>
  <Characters>1534</Characters>
  <Lines>12</Lines>
  <Paragraphs>21</Paragraphs>
  <TotalTime>0</TotalTime>
  <ScaleCrop>false</ScaleCrop>
  <LinksUpToDate>false</LinksUpToDate>
  <CharactersWithSpaces>10748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2019-11-14T17:14:00Z</dcterms:created>
  <dc:creator>李凯01</dc:creator>
  <cp:lastModifiedBy>Zhengyu</cp:lastModifiedBy>
  <cp:lastPrinted>2021-09-22T06:16:00Z</cp:lastPrinted>
  <dcterms:modified xsi:type="dcterms:W3CDTF">2021-09-22T07:48:15Z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230241869_btnclosed</vt:lpwstr>
  </property>
  <property fmtid="{D5CDD505-2E9C-101B-9397-08002B2CF9AE}" pid="4" name="ICV">
    <vt:lpwstr>B35AF01D91664DADB9D65E328DC6768B</vt:lpwstr>
  </property>
</Properties>
</file>