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动力能源保障部党委阵地建设</w:t>
      </w:r>
      <w:r>
        <w:rPr>
          <w:rFonts w:hint="eastAsia" w:ascii="仿宋" w:hAnsi="仿宋" w:eastAsia="仿宋"/>
          <w:b/>
          <w:color w:val="000000" w:themeColor="text1"/>
          <w:sz w:val="44"/>
          <w:szCs w:val="44"/>
          <w14:textFill>
            <w14:solidFill>
              <w14:schemeClr w14:val="tx1"/>
            </w14:solidFill>
          </w14:textFill>
        </w:rPr>
        <w:t>展板制作</w:t>
      </w:r>
      <w:r>
        <w:rPr>
          <w:rFonts w:hint="eastAsia" w:ascii="仿宋" w:hAnsi="仿宋" w:eastAsia="仿宋"/>
          <w:b/>
          <w:color w:val="000000" w:themeColor="text1"/>
          <w:sz w:val="44"/>
          <w:szCs w:val="44"/>
          <w:lang w:val="en-US" w:eastAsia="zh-CN"/>
          <w14:textFill>
            <w14:solidFill>
              <w14:schemeClr w14:val="tx1"/>
            </w14:solidFill>
          </w14:textFill>
        </w:rPr>
        <w:t>项目</w:t>
      </w: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 xml:space="preserve">比选文件（第 </w:t>
      </w:r>
      <w:r>
        <w:rPr>
          <w:rFonts w:hint="eastAsia" w:ascii="仿宋" w:hAnsi="仿宋" w:eastAsia="仿宋"/>
          <w:b/>
          <w:color w:val="000000" w:themeColor="text1"/>
          <w:sz w:val="44"/>
          <w:szCs w:val="44"/>
          <w:lang w:val="en-US" w:eastAsia="zh-CN"/>
          <w14:textFill>
            <w14:solidFill>
              <w14:schemeClr w14:val="tx1"/>
            </w14:solidFill>
          </w14:textFill>
        </w:rPr>
        <w:t>2</w:t>
      </w:r>
      <w:r>
        <w:rPr>
          <w:rFonts w:hint="eastAsia" w:ascii="仿宋" w:hAnsi="仿宋" w:eastAsia="仿宋"/>
          <w:b/>
          <w:color w:val="000000" w:themeColor="text1"/>
          <w:sz w:val="44"/>
          <w:szCs w:val="44"/>
          <w14:textFill>
            <w14:solidFill>
              <w14:schemeClr w14:val="tx1"/>
            </w14:solidFill>
          </w14:textFill>
        </w:rPr>
        <w:t xml:space="preserve"> 次）</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pStyle w:val="2"/>
      </w:pPr>
    </w:p>
    <w:p>
      <w:pPr>
        <w:ind w:firstLine="2409" w:firstLineChars="75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编号：动力2021-88</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二一</w:t>
      </w:r>
      <w:r>
        <w:rPr>
          <w:rFonts w:hint="eastAsia" w:ascii="仿宋" w:hAnsi="仿宋" w:eastAsia="仿宋"/>
          <w:b/>
          <w:color w:val="000000" w:themeColor="text1"/>
          <w:sz w:val="32"/>
          <w:szCs w:val="32"/>
          <w14:textFill>
            <w14:solidFill>
              <w14:schemeClr w14:val="tx1"/>
            </w14:solidFill>
          </w14:textFill>
        </w:rPr>
        <w:t xml:space="preserve">年 </w:t>
      </w:r>
      <w:r>
        <w:rPr>
          <w:rFonts w:hint="eastAsia" w:ascii="仿宋" w:hAnsi="仿宋" w:eastAsia="仿宋"/>
          <w:b/>
          <w:color w:val="000000" w:themeColor="text1"/>
          <w:sz w:val="32"/>
          <w:szCs w:val="32"/>
          <w:lang w:eastAsia="zh-CN"/>
          <w14:textFill>
            <w14:solidFill>
              <w14:schemeClr w14:val="tx1"/>
            </w14:solidFill>
          </w14:textFill>
        </w:rPr>
        <w:t>九</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ascii="仿宋" w:hAnsi="仿宋" w:eastAsia="仿宋"/>
          <w:b/>
          <w:color w:val="000000" w:themeColor="text1"/>
          <w:sz w:val="40"/>
          <w:szCs w:val="40"/>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8"/>
          <w:szCs w:val="22"/>
          <w:lang w:eastAsia="zh-CN"/>
          <w14:textFill>
            <w14:solidFill>
              <w14:schemeClr w14:val="tx1"/>
            </w14:solidFill>
          </w14:textFill>
        </w:rPr>
        <w:t>动力能源保障部党委阵地建设展板</w:t>
      </w:r>
      <w:r>
        <w:rPr>
          <w:rFonts w:hint="eastAsia" w:ascii="仿宋" w:hAnsi="仿宋" w:eastAsia="仿宋"/>
          <w:b/>
          <w:color w:val="000000" w:themeColor="text1"/>
          <w:sz w:val="48"/>
          <w:szCs w:val="22"/>
          <w14:textFill>
            <w14:solidFill>
              <w14:schemeClr w14:val="tx1"/>
            </w14:solidFill>
          </w14:textFill>
        </w:rPr>
        <w:t>制作项目竞争性比选文件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w:t>
      </w:r>
      <w:r>
        <w:rPr>
          <w:rFonts w:hint="eastAsia" w:ascii="仿宋" w:hAnsi="仿宋" w:eastAsia="仿宋"/>
          <w:color w:val="000000" w:themeColor="text1"/>
          <w:sz w:val="28"/>
          <w:szCs w:val="28"/>
          <w:lang w:eastAsia="zh-CN"/>
          <w14:textFill>
            <w14:solidFill>
              <w14:schemeClr w14:val="tx1"/>
            </w14:solidFill>
          </w14:textFill>
        </w:rPr>
        <w:t>动力能源保障部党委阵地建设</w:t>
      </w:r>
      <w:r>
        <w:rPr>
          <w:rFonts w:hint="eastAsia" w:ascii="仿宋" w:hAnsi="仿宋" w:eastAsia="仿宋"/>
          <w:color w:val="000000" w:themeColor="text1"/>
          <w:sz w:val="28"/>
          <w:szCs w:val="28"/>
          <w14:textFill>
            <w14:solidFill>
              <w14:schemeClr w14:val="tx1"/>
            </w14:solidFill>
          </w14:textFill>
        </w:rPr>
        <w:t>展板制作项目邀请符合相应条件的潜在供应商就本项目进行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spacing w:line="360" w:lineRule="auto"/>
        <w:ind w:firstLine="600" w:firstLineChars="200"/>
        <w:rPr>
          <w:rFonts w:hint="default"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对动力能源保障部党委阵地进行展板制作。</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pStyle w:val="30"/>
        <w:numPr>
          <w:ilvl w:val="0"/>
          <w:numId w:val="0"/>
        </w:numPr>
        <w:spacing w:line="360" w:lineRule="auto"/>
        <w:ind w:leftChars="0"/>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展板制作要求</w:t>
      </w:r>
    </w:p>
    <w:tbl>
      <w:tblPr>
        <w:tblStyle w:val="18"/>
        <w:tblpPr w:leftFromText="180" w:rightFromText="180" w:vertAnchor="text" w:horzAnchor="page" w:tblpXSpec="center" w:tblpY="397"/>
        <w:tblOverlap w:val="never"/>
        <w:tblW w:w="8330" w:type="dxa"/>
        <w:jc w:val="center"/>
        <w:tblInd w:w="0" w:type="dxa"/>
        <w:shd w:val="clear" w:color="auto" w:fill="auto"/>
        <w:tblLayout w:type="fixed"/>
        <w:tblCellMar>
          <w:top w:w="0" w:type="dxa"/>
          <w:left w:w="0" w:type="dxa"/>
          <w:bottom w:w="0" w:type="dxa"/>
          <w:right w:w="0" w:type="dxa"/>
        </w:tblCellMar>
      </w:tblPr>
      <w:tblGrid>
        <w:gridCol w:w="406"/>
        <w:gridCol w:w="1373"/>
        <w:gridCol w:w="2130"/>
        <w:gridCol w:w="1471"/>
        <w:gridCol w:w="660"/>
        <w:gridCol w:w="780"/>
        <w:gridCol w:w="1510"/>
      </w:tblGrid>
      <w:tr>
        <w:tblPrEx>
          <w:shd w:val="clear" w:color="auto" w:fill="auto"/>
          <w:tblLayout w:type="fixed"/>
          <w:tblCellMar>
            <w:top w:w="0" w:type="dxa"/>
            <w:left w:w="0" w:type="dxa"/>
            <w:bottom w:w="0" w:type="dxa"/>
            <w:right w:w="0" w:type="dxa"/>
          </w:tblCellMar>
        </w:tblPrEx>
        <w:trPr>
          <w:trHeight w:val="7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材质及要求</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基层+橱窗</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50方钢骨架+1.2mm不锈钢折型打磨烤漆，不锈钢折边+亚克力面板+PVC基层，螺丝固定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7.8m*1.9m（单块0.55m*1.9m）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五星装饰柱</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50方钢骨架+1.2mm不锈钢折型打磨烤漆，不锈钢烤漆装饰五星，螺丝固定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0.22m*1.9m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基座套管</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60方钢骨架防锈处理+混凝土浇灌</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7.8m*0.35m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党徽</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1.2mm不锈钢折型打磨烤漆，螺丝固定</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42cm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红色记忆</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1.2mm不锈钢折型打磨烤漆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32+24+18+18cm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92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中国共产党的光辉历程+记忆+英文</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5毫米亚克力激光雕刻</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40+15+15+100cm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厘米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170</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画面</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户外背胶裱哑膜</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45cm*135cm*11张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6.7</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围挡看板</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20毫米PVC</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200*100cm*6张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00" w:hRule="atLeast"/>
          <w:jc w:val="center"/>
        </w:trPr>
        <w:tc>
          <w:tcPr>
            <w:tcW w:w="4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廉字墙</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不锈钢立体字，机理真石漆</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7.5m*2.6m</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平米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19.5</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bl>
    <w:p>
      <w:pPr>
        <w:spacing w:line="360" w:lineRule="auto"/>
        <w:ind w:firstLine="600" w:firstLineChars="200"/>
        <w:rPr>
          <w:rFonts w:hint="eastAsia" w:ascii="仿宋" w:hAnsi="仿宋" w:eastAsia="仿宋" w:cs="仿宋"/>
          <w:color w:val="FF0000"/>
          <w:sz w:val="30"/>
          <w:szCs w:val="30"/>
          <w:lang w:val="en-US" w:eastAsia="zh-CN"/>
        </w:rPr>
      </w:pP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安全责任要求</w:t>
      </w:r>
    </w:p>
    <w:p>
      <w:pPr>
        <w:spacing w:line="360" w:lineRule="auto"/>
        <w:ind w:firstLine="600" w:firstLineChars="200"/>
        <w:rPr>
          <w:rFonts w:hint="eastAsia" w:ascii="仿宋" w:hAnsi="仿宋" w:eastAsia="仿宋" w:cs="仿宋"/>
          <w:color w:val="FF0000"/>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需遵守重庆机场集团有限公司空防、消防、机坪运行、车辆及通行证门禁等管理规定，并接受项目单位监督。</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基本标准：承揽方送货至项目单位指定地点后，对展板进行安装，满足项目单位要求后方可通过验收。</w:t>
      </w:r>
    </w:p>
    <w:p>
      <w:pPr>
        <w:pStyle w:val="30"/>
        <w:numPr>
          <w:ilvl w:val="0"/>
          <w:numId w:val="2"/>
        </w:numPr>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_GB2312" w:hAnsi="Times New Roman" w:eastAsia="仿宋_GB2312" w:cs="Times New Roman"/>
          <w:color w:val="000000" w:themeColor="text1"/>
          <w:sz w:val="28"/>
          <w:szCs w:val="28"/>
          <w14:textFill>
            <w14:solidFill>
              <w14:schemeClr w14:val="tx1"/>
            </w14:solidFill>
          </w14:textFill>
        </w:rPr>
        <w:t>供应商需按照</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现场实际尺寸</w:t>
      </w:r>
      <w:r>
        <w:rPr>
          <w:rFonts w:hint="eastAsia" w:ascii="仿宋_GB2312" w:hAnsi="Times New Roman" w:eastAsia="仿宋_GB2312" w:cs="Times New Roman"/>
          <w:color w:val="000000" w:themeColor="text1"/>
          <w:sz w:val="28"/>
          <w:szCs w:val="28"/>
          <w14:textFill>
            <w14:solidFill>
              <w14:schemeClr w14:val="tx1"/>
            </w14:solidFill>
          </w14:textFill>
        </w:rPr>
        <w:t>和业主方要求</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进行</w:t>
      </w:r>
      <w:r>
        <w:rPr>
          <w:rFonts w:hint="eastAsia" w:ascii="仿宋_GB2312" w:hAnsi="Times New Roman" w:eastAsia="仿宋_GB2312" w:cs="Times New Roman"/>
          <w:color w:val="000000" w:themeColor="text1"/>
          <w:sz w:val="28"/>
          <w:szCs w:val="28"/>
          <w14:textFill>
            <w14:solidFill>
              <w14:schemeClr w14:val="tx1"/>
            </w14:solidFill>
          </w14:textFill>
        </w:rPr>
        <w:t>设计、制作</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其中设计方案应</w:t>
      </w:r>
      <w:r>
        <w:rPr>
          <w:rFonts w:hint="eastAsia" w:ascii="仿宋" w:hAnsi="仿宋" w:eastAsia="仿宋"/>
          <w:color w:val="000000"/>
          <w:sz w:val="28"/>
          <w:szCs w:val="28"/>
        </w:rPr>
        <w:t>不限次数修改直至</w:t>
      </w:r>
      <w:r>
        <w:rPr>
          <w:rFonts w:hint="eastAsia" w:ascii="仿宋" w:hAnsi="仿宋" w:eastAsia="仿宋"/>
          <w:color w:val="000000"/>
          <w:sz w:val="28"/>
          <w:szCs w:val="28"/>
          <w:lang w:val="en-US" w:eastAsia="zh-CN"/>
        </w:rPr>
        <w:t>业主方</w:t>
      </w:r>
      <w:r>
        <w:rPr>
          <w:rFonts w:hint="eastAsia" w:ascii="仿宋" w:hAnsi="仿宋" w:eastAsia="仿宋"/>
          <w:color w:val="000000"/>
          <w:sz w:val="28"/>
          <w:szCs w:val="28"/>
        </w:rPr>
        <w:t>满意</w:t>
      </w:r>
      <w:r>
        <w:rPr>
          <w:rFonts w:hint="eastAsia" w:ascii="仿宋" w:hAnsi="仿宋" w:eastAsia="仿宋"/>
          <w:color w:val="000000"/>
          <w:sz w:val="28"/>
          <w:szCs w:val="28"/>
          <w:lang w:val="en-US" w:eastAsia="zh-CN"/>
        </w:rPr>
        <w:t>为止.</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2.服务态度：责任心强、工作细致、积极主动沟通；</w:t>
      </w:r>
    </w:p>
    <w:p>
      <w:pPr>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3.工作效率：在约定的时间内完成指定项目工作，发现问题及时反馈；</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spacing w:line="360" w:lineRule="auto"/>
        <w:ind w:firstLine="560" w:firstLineChars="200"/>
        <w:rPr>
          <w:rFonts w:hint="default" w:ascii="仿宋_GB2312" w:hAnsi="宋体" w:eastAsia="仿宋_GB2312"/>
          <w:color w:val="FF0000"/>
          <w:sz w:val="28"/>
          <w:szCs w:val="28"/>
          <w:lang w:val="en-US" w:eastAsia="zh-CN"/>
        </w:rPr>
      </w:pPr>
      <w:r>
        <w:rPr>
          <w:rFonts w:hint="eastAsia" w:ascii="仿宋_GB2312" w:hAnsi="宋体" w:eastAsia="仿宋_GB2312" w:cs="Arial"/>
          <w:bCs/>
          <w:color w:val="000000" w:themeColor="text1"/>
          <w:sz w:val="28"/>
          <w:szCs w:val="28"/>
          <w:lang w:val="en-US" w:eastAsia="zh-CN"/>
          <w14:textFill>
            <w14:solidFill>
              <w14:schemeClr w14:val="tx1"/>
            </w14:solidFill>
          </w14:textFill>
        </w:rPr>
        <w:t>1.工期为</w:t>
      </w:r>
      <w:r>
        <w:rPr>
          <w:rFonts w:hint="eastAsia" w:ascii="仿宋_GB2312" w:hAnsi="宋体" w:eastAsia="仿宋_GB2312" w:cs="Arial"/>
          <w:bCs/>
          <w:color w:val="000000" w:themeColor="text1"/>
          <w:sz w:val="28"/>
          <w:szCs w:val="28"/>
          <w:highlight w:val="none"/>
          <w:lang w:val="en-US" w:eastAsia="zh-CN"/>
          <w14:textFill>
            <w14:solidFill>
              <w14:schemeClr w14:val="tx1"/>
            </w14:solidFill>
          </w14:textFill>
        </w:rPr>
        <w:t>设计方案通过审核之日起30日历天。</w:t>
      </w:r>
    </w:p>
    <w:p>
      <w:pPr>
        <w:spacing w:line="360" w:lineRule="auto"/>
        <w:ind w:firstLine="560" w:firstLineChars="200"/>
        <w:rPr>
          <w:rFonts w:hint="eastAsia" w:ascii="仿宋_GB2312" w:hAnsi="宋体" w:eastAsia="仿宋_GB2312" w:cs="Arial"/>
          <w:bCs/>
          <w:color w:val="000000" w:themeColor="text1"/>
          <w:sz w:val="28"/>
          <w:szCs w:val="28"/>
          <w:lang w:val="en-US" w:eastAsia="zh-CN"/>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2.质保期：自验收合格之日起3个月。</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lang w:val="en-US" w:eastAsia="zh-CN"/>
          <w14:textFill>
            <w14:solidFill>
              <w14:schemeClr w14:val="tx1"/>
            </w14:solidFill>
          </w14:textFill>
        </w:rPr>
        <w:t>3</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质保期内出现任何产品质量问题</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接到甲方通知后，乙方需派人在3小时内进行响应，并免费更换出现质量问题的产品。</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spacing w:line="360" w:lineRule="auto"/>
        <w:ind w:firstLine="560" w:firstLineChars="20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项目</w:t>
      </w:r>
      <w:r>
        <w:rPr>
          <w:rFonts w:hint="eastAsia" w:ascii="仿宋_GB2312" w:hAnsi="宋体" w:eastAsia="仿宋_GB2312"/>
          <w:color w:val="000000" w:themeColor="text1"/>
          <w:sz w:val="28"/>
          <w:szCs w:val="28"/>
          <w:lang w:eastAsia="zh-CN"/>
          <w14:textFill>
            <w14:solidFill>
              <w14:schemeClr w14:val="tx1"/>
            </w14:solidFill>
          </w14:textFill>
        </w:rPr>
        <w:t>结束</w:t>
      </w:r>
      <w:r>
        <w:rPr>
          <w:rFonts w:hint="eastAsia" w:ascii="仿宋_GB2312" w:hAnsi="宋体" w:eastAsia="仿宋_GB2312"/>
          <w:color w:val="000000" w:themeColor="text1"/>
          <w:sz w:val="28"/>
          <w:szCs w:val="28"/>
          <w:lang w:val="en-US" w:eastAsia="zh-CN"/>
          <w14:textFill>
            <w14:solidFill>
              <w14:schemeClr w14:val="tx1"/>
            </w14:solidFill>
          </w14:textFill>
        </w:rPr>
        <w:t>并通过甲方验收后</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甲方一次性</w:t>
      </w:r>
      <w:r>
        <w:rPr>
          <w:rFonts w:hint="eastAsia" w:ascii="仿宋_GB2312" w:hAnsi="宋体" w:eastAsia="仿宋_GB2312"/>
          <w:color w:val="000000" w:themeColor="text1"/>
          <w:sz w:val="28"/>
          <w:szCs w:val="28"/>
          <w14:textFill>
            <w14:solidFill>
              <w14:schemeClr w14:val="tx1"/>
            </w14:solidFill>
          </w14:textFill>
        </w:rPr>
        <w:t>支付</w:t>
      </w:r>
      <w:r>
        <w:rPr>
          <w:rFonts w:hint="eastAsia" w:ascii="仿宋_GB2312" w:hAnsi="宋体" w:eastAsia="仿宋_GB2312"/>
          <w:color w:val="000000" w:themeColor="text1"/>
          <w:sz w:val="28"/>
          <w:szCs w:val="28"/>
          <w:lang w:val="en-US" w:eastAsia="zh-CN"/>
          <w14:textFill>
            <w14:solidFill>
              <w14:schemeClr w14:val="tx1"/>
            </w14:solidFill>
          </w14:textFill>
        </w:rPr>
        <w:t>100%</w:t>
      </w:r>
      <w:r>
        <w:rPr>
          <w:rFonts w:hint="eastAsia" w:ascii="仿宋_GB2312" w:hAnsi="宋体" w:eastAsia="仿宋_GB2312"/>
          <w:color w:val="000000" w:themeColor="text1"/>
          <w:sz w:val="28"/>
          <w:szCs w:val="28"/>
          <w:lang w:eastAsia="zh-CN"/>
          <w14:textFill>
            <w14:solidFill>
              <w14:schemeClr w14:val="tx1"/>
            </w14:solidFill>
          </w14:textFill>
        </w:rPr>
        <w:t>费用</w:t>
      </w:r>
      <w:r>
        <w:rPr>
          <w:rFonts w:hint="eastAsia" w:ascii="仿宋_GB2312" w:hAnsi="宋体" w:eastAsia="仿宋_GB2312"/>
          <w:color w:val="000000" w:themeColor="text1"/>
          <w:sz w:val="28"/>
          <w:szCs w:val="28"/>
          <w:lang w:val="en-US" w:eastAsia="zh-CN"/>
          <w14:textFill>
            <w14:solidFill>
              <w14:schemeClr w14:val="tx1"/>
            </w14:solidFill>
          </w14:textFill>
        </w:rPr>
        <w:t>。</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付款前承揽方需开具发票，若承揽方提供增值税普通发票，甲方支付不含增值税金额，若承揽方提供增值税专用发票，甲方实际支付金额=不含增值税金额+增值税税额。</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依法注册的独立法人，具备有效的营业执照。（须提供营业执照复印件并加盖公章）</w:t>
      </w:r>
      <w:r>
        <w:rPr>
          <w:rFonts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具有广告及标识标牌设计、制作、安装资质，具备展板制作工艺和制作设备</w:t>
      </w:r>
      <w:r>
        <w:rPr>
          <w:rFonts w:hint="eastAsia" w:ascii="仿宋_GB2312" w:eastAsia="仿宋_GB2312"/>
          <w:color w:val="000000" w:themeColor="text1"/>
          <w:sz w:val="28"/>
          <w:szCs w:val="28"/>
          <w:lang w:eastAsia="zh-CN"/>
          <w14:textFill>
            <w14:solidFill>
              <w14:schemeClr w14:val="tx1"/>
            </w14:solidFill>
          </w14:textFill>
        </w:rPr>
        <w:t>。</w:t>
      </w:r>
    </w:p>
    <w:p>
      <w:pPr>
        <w:spacing w:line="500" w:lineRule="exact"/>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.本项目不接受联合体，不得分包、转包。</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w:t>
      </w:r>
      <w:r>
        <w:rPr>
          <w:rFonts w:hint="eastAsia" w:ascii="仿宋_GB2312" w:hAnsi="宋体" w:eastAsia="仿宋_GB2312"/>
          <w:bCs/>
          <w:sz w:val="28"/>
          <w:szCs w:val="28"/>
          <w:highlight w:val="none"/>
        </w:rPr>
        <w:t>（含增值税金额）为</w:t>
      </w:r>
      <w:r>
        <w:rPr>
          <w:rFonts w:ascii="仿宋_GB2312" w:hAnsi="宋体" w:eastAsia="仿宋_GB2312"/>
          <w:bCs/>
          <w:sz w:val="28"/>
          <w:szCs w:val="28"/>
          <w:highlight w:val="none"/>
          <w:u w:val="single"/>
        </w:rPr>
        <w:t xml:space="preserve"> </w:t>
      </w:r>
      <w:r>
        <w:rPr>
          <w:rFonts w:hint="eastAsia" w:ascii="仿宋_GB2312" w:hAnsi="宋体" w:eastAsia="仿宋_GB2312"/>
          <w:bCs/>
          <w:sz w:val="28"/>
          <w:szCs w:val="28"/>
          <w:highlight w:val="none"/>
          <w:u w:val="single"/>
          <w:lang w:val="en-US" w:eastAsia="zh-CN"/>
        </w:rPr>
        <w:t>5.3</w:t>
      </w:r>
      <w:r>
        <w:rPr>
          <w:rFonts w:hint="eastAsia" w:ascii="仿宋_GB2312" w:hAnsi="宋体" w:eastAsia="仿宋_GB2312"/>
          <w:bCs/>
          <w:sz w:val="28"/>
          <w:szCs w:val="28"/>
          <w:highlight w:val="none"/>
        </w:rPr>
        <w:t>万元（大写金额：</w:t>
      </w:r>
      <w:r>
        <w:rPr>
          <w:rFonts w:hint="eastAsia" w:ascii="仿宋_GB2312" w:hAnsi="宋体" w:eastAsia="仿宋_GB2312"/>
          <w:bCs/>
          <w:sz w:val="28"/>
          <w:szCs w:val="28"/>
          <w:highlight w:val="none"/>
          <w:lang w:eastAsia="zh-CN"/>
        </w:rPr>
        <w:t>伍万叁仟圆</w:t>
      </w:r>
      <w:r>
        <w:rPr>
          <w:rFonts w:hint="eastAsia" w:ascii="仿宋_GB2312" w:hAnsi="宋体" w:eastAsia="仿宋_GB2312"/>
          <w:bCs/>
          <w:sz w:val="28"/>
          <w:szCs w:val="28"/>
          <w:highlight w:val="none"/>
        </w:rPr>
        <w:t>整）</w:t>
      </w:r>
      <w:r>
        <w:rPr>
          <w:rFonts w:hint="eastAsia" w:ascii="仿宋_GB2312" w:hAnsi="宋体" w:eastAsia="仿宋_GB2312"/>
          <w:bCs/>
          <w:sz w:val="28"/>
          <w:szCs w:val="28"/>
        </w:rPr>
        <w:t>，报价超过最高限价，将取消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综合评估法：经评审满足条件的综合评分最高</w:t>
      </w:r>
      <w:r>
        <w:rPr>
          <w:rFonts w:hint="eastAsia" w:ascii="仿宋_GB2312" w:hAnsi="宋体" w:eastAsia="仿宋_GB2312"/>
          <w:bCs/>
          <w:sz w:val="28"/>
          <w:szCs w:val="28"/>
        </w:rPr>
        <w:t>成交。</w:t>
      </w: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lang w:eastAsia="zh-CN"/>
        </w:rPr>
        <w:t>综合评分最高</w:t>
      </w:r>
      <w:r>
        <w:rPr>
          <w:rFonts w:hint="eastAsia" w:ascii="仿宋_GB2312" w:hAnsi="宋体" w:eastAsia="仿宋_GB2312" w:cs="宋体"/>
          <w:kern w:val="0"/>
          <w:sz w:val="28"/>
          <w:szCs w:val="28"/>
          <w:lang w:eastAsia="zh-CN"/>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3.项目重新竞争性比选时，经评审有有效比选人的，</w:t>
      </w:r>
      <w:r>
        <w:rPr>
          <w:rFonts w:hint="eastAsia" w:ascii="仿宋_GB2312" w:hAnsi="宋体" w:eastAsia="仿宋_GB2312" w:cs="宋体"/>
          <w:kern w:val="0"/>
          <w:sz w:val="28"/>
          <w:szCs w:val="28"/>
        </w:rPr>
        <w:t>按规定程序确定成交候选人</w:t>
      </w:r>
      <w:r>
        <w:rPr>
          <w:rFonts w:hint="eastAsia" w:ascii="仿宋_GB2312" w:hAnsi="宋体" w:eastAsia="仿宋_GB2312" w:cs="宋体"/>
          <w:kern w:val="0"/>
          <w:sz w:val="28"/>
          <w:szCs w:val="28"/>
          <w:lang w:eastAsia="zh-CN"/>
        </w:rPr>
        <w:t>。</w:t>
      </w:r>
    </w:p>
    <w:p>
      <w:pPr>
        <w:adjustRightInd w:val="0"/>
        <w:snapToGrid w:val="0"/>
        <w:spacing w:line="360" w:lineRule="auto"/>
        <w:ind w:firstLine="560" w:firstLineChars="200"/>
        <w:rPr>
          <w:rFonts w:hint="eastAsia"/>
          <w:lang w:eastAsia="zh-CN"/>
        </w:rPr>
      </w:pPr>
      <w:r>
        <w:rPr>
          <w:rFonts w:hint="eastAsia" w:ascii="仿宋_GB2312" w:hAnsi="宋体" w:eastAsia="仿宋_GB2312" w:cs="宋体"/>
          <w:kern w:val="0"/>
          <w:sz w:val="28"/>
          <w:szCs w:val="28"/>
          <w:lang w:eastAsia="zh-CN"/>
        </w:rPr>
        <w:t>评分标准如下表所示：</w:t>
      </w:r>
    </w:p>
    <w:tbl>
      <w:tblPr>
        <w:tblStyle w:val="18"/>
        <w:tblW w:w="84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050"/>
        <w:gridCol w:w="969"/>
        <w:gridCol w:w="5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050"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评分因素</w:t>
            </w:r>
          </w:p>
        </w:tc>
        <w:tc>
          <w:tcPr>
            <w:tcW w:w="969"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分值</w:t>
            </w:r>
          </w:p>
        </w:tc>
        <w:tc>
          <w:tcPr>
            <w:tcW w:w="5505" w:type="dxa"/>
            <w:vAlign w:val="center"/>
          </w:tcPr>
          <w:p>
            <w:pPr>
              <w:spacing w:line="340" w:lineRule="exact"/>
              <w:ind w:firstLine="28"/>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948"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1050"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响应报价</w:t>
            </w:r>
          </w:p>
        </w:tc>
        <w:tc>
          <w:tcPr>
            <w:tcW w:w="969"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lang w:eastAsia="zh-CN"/>
              </w:rPr>
              <w:t>分</w:t>
            </w:r>
          </w:p>
        </w:tc>
        <w:tc>
          <w:tcPr>
            <w:tcW w:w="5505" w:type="dxa"/>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以各单位报价的平均价为评标基准价（评标基准价四舍五入，并取小数点后两位），</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按照以下标准计算分值：所有通过初步评审合格的响应单位报价每低于评标基准价1%扣</w:t>
            </w:r>
            <w:r>
              <w:rPr>
                <w:rFonts w:hint="eastAsia" w:ascii="仿宋_GB2312" w:hAnsi="仿宋_GB2312" w:eastAsia="仿宋_GB2312" w:cs="仿宋_GB2312"/>
                <w:sz w:val="24"/>
                <w:lang w:val="en-US" w:eastAsia="zh-CN"/>
              </w:rPr>
              <w:t>0.5</w:t>
            </w:r>
            <w:r>
              <w:rPr>
                <w:rFonts w:hint="eastAsia" w:ascii="仿宋_GB2312" w:hAnsi="仿宋_GB2312" w:eastAsia="仿宋_GB2312" w:cs="仿宋_GB2312"/>
                <w:sz w:val="24"/>
                <w:lang w:eastAsia="zh-CN"/>
              </w:rPr>
              <w:t>分，每高于评标基准价1%扣1分，扣完为止。（投标报价四舍五入，并取小数点后两位。若响应单位的投标总报价与评标基准价相比百分比出现小数点，则四舍五入取整值）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33" w:hRule="atLeast"/>
          <w:jc w:val="center"/>
        </w:trPr>
        <w:tc>
          <w:tcPr>
            <w:tcW w:w="948" w:type="dxa"/>
            <w:vMerge w:val="restart"/>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050" w:type="dxa"/>
            <w:vMerge w:val="restart"/>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技术部分</w:t>
            </w:r>
          </w:p>
        </w:tc>
        <w:tc>
          <w:tcPr>
            <w:tcW w:w="969" w:type="dxa"/>
            <w:tcBorders>
              <w:bottom w:val="single" w:color="auto" w:sz="4" w:space="0"/>
            </w:tcBorders>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lang w:eastAsia="zh-CN"/>
              </w:rPr>
              <w:t>0分</w:t>
            </w:r>
          </w:p>
        </w:tc>
        <w:tc>
          <w:tcPr>
            <w:tcW w:w="5505" w:type="dxa"/>
            <w:tcBorders>
              <w:bottom w:val="single" w:color="auto" w:sz="4" w:space="0"/>
            </w:tcBorders>
            <w:vAlign w:val="top"/>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设计方案</w:t>
            </w: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①独创性：贴近部门文化特色，别出心裁、独树一帜，</w:t>
            </w:r>
            <w:r>
              <w:rPr>
                <w:rFonts w:hint="eastAsia" w:ascii="仿宋_GB2312" w:hAnsi="仿宋_GB2312" w:eastAsia="仿宋_GB2312" w:cs="仿宋_GB2312"/>
                <w:sz w:val="24"/>
                <w:lang w:val="en-US" w:eastAsia="zh-CN"/>
              </w:rPr>
              <w:t>突出设计主题，</w:t>
            </w:r>
            <w:r>
              <w:rPr>
                <w:rFonts w:hint="eastAsia" w:ascii="仿宋_GB2312" w:hAnsi="仿宋_GB2312" w:eastAsia="仿宋_GB2312" w:cs="仿宋_GB2312"/>
                <w:sz w:val="24"/>
                <w:lang w:eastAsia="zh-CN"/>
              </w:rPr>
              <w:t>由评委进行评议，最高分值</w:t>
            </w:r>
            <w:r>
              <w:rPr>
                <w:rFonts w:hint="eastAsia" w:ascii="仿宋_GB2312" w:hAnsi="仿宋_GB2312" w:eastAsia="仿宋_GB2312" w:cs="仿宋_GB2312"/>
                <w:sz w:val="24"/>
                <w:lang w:val="en-US" w:eastAsia="zh-CN"/>
              </w:rPr>
              <w:t>10分</w:t>
            </w:r>
            <w:r>
              <w:rPr>
                <w:rFonts w:hint="eastAsia" w:ascii="仿宋_GB2312" w:hAnsi="仿宋_GB2312" w:eastAsia="仿宋_GB2312" w:cs="仿宋_GB2312"/>
                <w:sz w:val="24"/>
                <w:lang w:eastAsia="zh-CN"/>
              </w:rPr>
              <w:t>;（很贴近得</w:t>
            </w:r>
            <w:r>
              <w:rPr>
                <w:rFonts w:hint="eastAsia" w:ascii="仿宋_GB2312" w:hAnsi="仿宋_GB2312" w:eastAsia="仿宋_GB2312" w:cs="仿宋_GB2312"/>
                <w:sz w:val="24"/>
                <w:lang w:val="en-US" w:eastAsia="zh-CN"/>
              </w:rPr>
              <w:t>7-10</w:t>
            </w:r>
            <w:r>
              <w:rPr>
                <w:rFonts w:hint="eastAsia" w:ascii="仿宋_GB2312" w:hAnsi="仿宋_GB2312" w:eastAsia="仿宋_GB2312" w:cs="仿宋_GB2312"/>
                <w:sz w:val="24"/>
                <w:lang w:eastAsia="zh-CN"/>
              </w:rPr>
              <w:t>分，较贴近得</w:t>
            </w:r>
            <w:r>
              <w:rPr>
                <w:rFonts w:hint="eastAsia" w:ascii="仿宋_GB2312" w:hAnsi="仿宋_GB2312" w:eastAsia="仿宋_GB2312" w:cs="仿宋_GB2312"/>
                <w:sz w:val="24"/>
                <w:lang w:val="en-US" w:eastAsia="zh-CN"/>
              </w:rPr>
              <w:t>4-6</w:t>
            </w:r>
            <w:r>
              <w:rPr>
                <w:rFonts w:hint="eastAsia" w:ascii="仿宋_GB2312" w:hAnsi="仿宋_GB2312" w:eastAsia="仿宋_GB2312" w:cs="仿宋_GB2312"/>
                <w:sz w:val="24"/>
                <w:lang w:eastAsia="zh-CN"/>
              </w:rPr>
              <w:t>分，一般贴近得</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lang w:eastAsia="zh-CN"/>
              </w:rPr>
              <w:t>分。）</w:t>
            </w: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②整体性：形式与内容和谐统一，排版构图合理，强化整体布局，</w:t>
            </w:r>
            <w:r>
              <w:rPr>
                <w:rFonts w:hint="eastAsia" w:ascii="仿宋_GB2312" w:hAnsi="仿宋_GB2312" w:eastAsia="仿宋_GB2312" w:cs="仿宋_GB2312"/>
                <w:sz w:val="24"/>
                <w:lang w:eastAsia="zh-CN"/>
              </w:rPr>
              <w:t>由评委进行评议，</w:t>
            </w:r>
            <w:r>
              <w:rPr>
                <w:rFonts w:hint="eastAsia" w:ascii="仿宋_GB2312" w:hAnsi="仿宋_GB2312" w:eastAsia="仿宋_GB2312" w:cs="仿宋_GB2312"/>
                <w:sz w:val="24"/>
                <w:lang w:val="en-US" w:eastAsia="zh-CN"/>
              </w:rPr>
              <w:t>最高分值10分；</w:t>
            </w:r>
            <w:r>
              <w:rPr>
                <w:rFonts w:hint="eastAsia" w:ascii="仿宋_GB2312" w:hAnsi="仿宋_GB2312" w:eastAsia="仿宋_GB2312" w:cs="仿宋_GB2312"/>
                <w:sz w:val="24"/>
                <w:lang w:eastAsia="zh-CN"/>
              </w:rPr>
              <w:t>（很合理得</w:t>
            </w:r>
            <w:r>
              <w:rPr>
                <w:rFonts w:hint="eastAsia" w:ascii="仿宋_GB2312" w:hAnsi="仿宋_GB2312" w:eastAsia="仿宋_GB2312" w:cs="仿宋_GB2312"/>
                <w:sz w:val="24"/>
                <w:lang w:val="en-US" w:eastAsia="zh-CN"/>
              </w:rPr>
              <w:t>7-10</w:t>
            </w:r>
            <w:r>
              <w:rPr>
                <w:rFonts w:hint="eastAsia" w:ascii="仿宋_GB2312" w:hAnsi="仿宋_GB2312" w:eastAsia="仿宋_GB2312" w:cs="仿宋_GB2312"/>
                <w:sz w:val="24"/>
                <w:lang w:eastAsia="zh-CN"/>
              </w:rPr>
              <w:t>分，较合理得</w:t>
            </w:r>
            <w:r>
              <w:rPr>
                <w:rFonts w:hint="eastAsia" w:ascii="仿宋_GB2312" w:hAnsi="仿宋_GB2312" w:eastAsia="仿宋_GB2312" w:cs="仿宋_GB2312"/>
                <w:sz w:val="24"/>
                <w:lang w:val="en-US" w:eastAsia="zh-CN"/>
              </w:rPr>
              <w:t>4-6</w:t>
            </w:r>
            <w:r>
              <w:rPr>
                <w:rFonts w:hint="eastAsia" w:ascii="仿宋_GB2312" w:hAnsi="仿宋_GB2312" w:eastAsia="仿宋_GB2312" w:cs="仿宋_GB2312"/>
                <w:sz w:val="24"/>
                <w:lang w:eastAsia="zh-CN"/>
              </w:rPr>
              <w:t>分，一般合理得</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lang w:eastAsia="zh-CN"/>
              </w:rPr>
              <w:t>分。）</w:t>
            </w:r>
          </w:p>
          <w:p>
            <w:pPr>
              <w:rPr>
                <w:rFonts w:hint="eastAsia" w:ascii="仿宋_GB2312" w:hAnsi="仿宋_GB2312" w:eastAsia="仿宋_GB2312" w:cs="仿宋_GB2312"/>
                <w:sz w:val="24"/>
                <w:lang w:val="en-US" w:eastAsia="zh-CN"/>
              </w:rPr>
            </w:pP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③艺术性：以文字、图形、色彩等通过点、线、面的组合排列构成，造型与色彩和谐，由评委进行评议，</w:t>
            </w:r>
            <w:r>
              <w:rPr>
                <w:rFonts w:hint="eastAsia" w:ascii="仿宋_GB2312" w:hAnsi="仿宋_GB2312" w:eastAsia="仿宋_GB2312" w:cs="仿宋_GB2312"/>
                <w:sz w:val="24"/>
                <w:lang w:val="en-US" w:eastAsia="zh-CN"/>
              </w:rPr>
              <w:t>最高分值10分</w:t>
            </w:r>
            <w:r>
              <w:rPr>
                <w:rFonts w:hint="eastAsia" w:ascii="仿宋_GB2312" w:hAnsi="仿宋_GB2312" w:eastAsia="仿宋_GB2312" w:cs="仿宋_GB2312"/>
                <w:sz w:val="24"/>
                <w:lang w:eastAsia="zh-CN"/>
              </w:rPr>
              <w:t>（很和谐得</w:t>
            </w:r>
            <w:r>
              <w:rPr>
                <w:rFonts w:hint="eastAsia" w:ascii="仿宋_GB2312" w:hAnsi="仿宋_GB2312" w:eastAsia="仿宋_GB2312" w:cs="仿宋_GB2312"/>
                <w:sz w:val="24"/>
                <w:lang w:val="en-US" w:eastAsia="zh-CN"/>
              </w:rPr>
              <w:t>7-10</w:t>
            </w:r>
            <w:r>
              <w:rPr>
                <w:rFonts w:hint="eastAsia" w:ascii="仿宋_GB2312" w:hAnsi="仿宋_GB2312" w:eastAsia="仿宋_GB2312" w:cs="仿宋_GB2312"/>
                <w:sz w:val="24"/>
                <w:lang w:eastAsia="zh-CN"/>
              </w:rPr>
              <w:t>分，较和谐得</w:t>
            </w:r>
            <w:r>
              <w:rPr>
                <w:rFonts w:hint="eastAsia" w:ascii="仿宋_GB2312" w:hAnsi="仿宋_GB2312" w:eastAsia="仿宋_GB2312" w:cs="仿宋_GB2312"/>
                <w:sz w:val="24"/>
                <w:lang w:val="en-US" w:eastAsia="zh-CN"/>
              </w:rPr>
              <w:t>4-6</w:t>
            </w:r>
            <w:r>
              <w:rPr>
                <w:rFonts w:hint="eastAsia" w:ascii="仿宋_GB2312" w:hAnsi="仿宋_GB2312" w:eastAsia="仿宋_GB2312" w:cs="仿宋_GB2312"/>
                <w:sz w:val="24"/>
                <w:lang w:eastAsia="zh-CN"/>
              </w:rPr>
              <w:t>分，一般和谐得</w:t>
            </w:r>
            <w:r>
              <w:rPr>
                <w:rFonts w:hint="eastAsia" w:ascii="仿宋_GB2312" w:hAnsi="仿宋_GB2312" w:eastAsia="仿宋_GB2312" w:cs="仿宋_GB2312"/>
                <w:sz w:val="24"/>
                <w:lang w:val="en-US" w:eastAsia="zh-CN"/>
              </w:rPr>
              <w:t>1-3</w:t>
            </w:r>
            <w:r>
              <w:rPr>
                <w:rFonts w:hint="eastAsia" w:ascii="仿宋_GB2312" w:hAnsi="仿宋_GB2312" w:eastAsia="仿宋_GB2312" w:cs="仿宋_GB2312"/>
                <w:sz w:val="24"/>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 w:hRule="atLeast"/>
          <w:jc w:val="center"/>
        </w:trPr>
        <w:tc>
          <w:tcPr>
            <w:tcW w:w="948" w:type="dxa"/>
            <w:vMerge w:val="continue"/>
            <w:vAlign w:val="center"/>
          </w:tcPr>
          <w:p>
            <w:pPr>
              <w:rPr>
                <w:rFonts w:hint="eastAsia" w:ascii="仿宋_GB2312" w:hAnsi="仿宋_GB2312" w:eastAsia="仿宋_GB2312" w:cs="仿宋_GB2312"/>
                <w:sz w:val="24"/>
                <w:lang w:eastAsia="zh-CN"/>
              </w:rPr>
            </w:pPr>
          </w:p>
        </w:tc>
        <w:tc>
          <w:tcPr>
            <w:tcW w:w="1050" w:type="dxa"/>
            <w:vMerge w:val="continue"/>
            <w:vAlign w:val="center"/>
          </w:tcPr>
          <w:p>
            <w:pPr>
              <w:rPr>
                <w:rFonts w:hint="eastAsia" w:ascii="仿宋_GB2312" w:hAnsi="仿宋_GB2312" w:eastAsia="仿宋_GB2312" w:cs="仿宋_GB2312"/>
                <w:sz w:val="24"/>
                <w:lang w:eastAsia="zh-CN"/>
              </w:rPr>
            </w:pPr>
          </w:p>
        </w:tc>
        <w:tc>
          <w:tcPr>
            <w:tcW w:w="969" w:type="dxa"/>
            <w:tcBorders>
              <w:top w:val="single" w:color="auto" w:sz="4" w:space="0"/>
              <w:bottom w:val="single" w:color="auto" w:sz="4" w:space="0"/>
            </w:tcBorders>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lang w:eastAsia="zh-CN"/>
              </w:rPr>
              <w:t>分</w:t>
            </w:r>
          </w:p>
        </w:tc>
        <w:tc>
          <w:tcPr>
            <w:tcW w:w="5505" w:type="dxa"/>
            <w:tcBorders>
              <w:top w:val="single" w:color="auto" w:sz="4" w:space="0"/>
              <w:bottom w:val="single" w:color="auto" w:sz="4" w:space="0"/>
            </w:tcBorders>
            <w:vAlign w:val="top"/>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人员配置</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①提供时间安排表，如设计、修改、制作、安装等步骤，</w:t>
            </w:r>
            <w:r>
              <w:rPr>
                <w:rFonts w:hint="eastAsia" w:ascii="仿宋_GB2312" w:hAnsi="仿宋_GB2312" w:eastAsia="仿宋_GB2312" w:cs="仿宋_GB2312"/>
                <w:sz w:val="24"/>
                <w:lang w:val="en-US" w:eastAsia="zh-CN"/>
              </w:rPr>
              <w:t>最高分值5分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视情况给予</w:t>
            </w:r>
            <w:r>
              <w:rPr>
                <w:rFonts w:hint="eastAsia" w:ascii="仿宋_GB2312" w:hAnsi="仿宋_GB2312" w:eastAsia="仿宋_GB2312" w:cs="仿宋_GB2312"/>
                <w:sz w:val="24"/>
                <w:lang w:val="en-US" w:eastAsia="zh-CN"/>
              </w:rPr>
              <w:t>0-5分</w:t>
            </w:r>
            <w:r>
              <w:rPr>
                <w:rFonts w:hint="eastAsia" w:ascii="仿宋_GB2312" w:hAnsi="仿宋_GB2312" w:eastAsia="仿宋_GB2312" w:cs="仿宋_GB2312"/>
                <w:sz w:val="24"/>
                <w:lang w:eastAsia="zh-CN"/>
              </w:rPr>
              <w:t>，未提供的不得分。</w:t>
            </w:r>
            <w:r>
              <w:rPr>
                <w:rFonts w:hint="eastAsia" w:ascii="仿宋_GB2312" w:hAnsi="仿宋_GB2312" w:eastAsia="仿宋_GB2312" w:cs="仿宋_GB2312"/>
                <w:sz w:val="24"/>
                <w:lang w:val="en-US" w:eastAsia="zh-CN"/>
              </w:rPr>
              <w:t>）</w:t>
            </w:r>
          </w:p>
          <w:p>
            <w:pPr>
              <w:rPr>
                <w:rFonts w:hint="eastAsia" w:ascii="仿宋_GB2312" w:hAnsi="仿宋_GB2312" w:eastAsia="仿宋_GB2312" w:cs="仿宋_GB2312"/>
                <w:sz w:val="24"/>
                <w:lang w:eastAsia="zh-CN"/>
              </w:rPr>
            </w:pPr>
          </w:p>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②提供人员安排表，</w:t>
            </w:r>
            <w:r>
              <w:rPr>
                <w:rFonts w:hint="eastAsia" w:ascii="仿宋_GB2312" w:hAnsi="仿宋_GB2312" w:eastAsia="仿宋_GB2312" w:cs="仿宋_GB2312"/>
                <w:sz w:val="24"/>
                <w:lang w:val="en-US" w:eastAsia="zh-CN"/>
              </w:rPr>
              <w:t>最高分值5分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lang w:eastAsia="zh-CN"/>
              </w:rPr>
              <w:t>视情况给予</w:t>
            </w:r>
            <w:r>
              <w:rPr>
                <w:rFonts w:hint="eastAsia" w:ascii="仿宋_GB2312" w:hAnsi="仿宋_GB2312" w:eastAsia="仿宋_GB2312" w:cs="仿宋_GB2312"/>
                <w:sz w:val="24"/>
                <w:lang w:val="en-US" w:eastAsia="zh-CN"/>
              </w:rPr>
              <w:t>0-5分</w:t>
            </w:r>
            <w:r>
              <w:rPr>
                <w:rFonts w:hint="eastAsia" w:ascii="仿宋_GB2312" w:hAnsi="仿宋_GB2312" w:eastAsia="仿宋_GB2312" w:cs="仿宋_GB2312"/>
                <w:sz w:val="24"/>
                <w:lang w:eastAsia="zh-CN"/>
              </w:rPr>
              <w:t>，未提供的不得分。</w:t>
            </w:r>
            <w:r>
              <w:rPr>
                <w:rFonts w:hint="eastAsia" w:ascii="仿宋_GB2312" w:hAnsi="仿宋_GB2312" w:eastAsia="仿宋_GB2312" w:cs="仿宋_GB2312"/>
                <w:sz w:val="24"/>
                <w:lang w:val="en-US" w:eastAsia="zh-CN"/>
              </w:rPr>
              <w:t>）</w:t>
            </w:r>
          </w:p>
        </w:tc>
      </w:tr>
    </w:tbl>
    <w:p>
      <w:pPr>
        <w:adjustRightInd w:val="0"/>
        <w:snapToGrid w:val="0"/>
        <w:spacing w:line="360" w:lineRule="auto"/>
        <w:ind w:firstLine="480" w:firstLineChars="200"/>
        <w:rPr>
          <w:rFonts w:hint="eastAsia" w:ascii="仿宋_GB2312" w:hAnsi="宋体" w:eastAsia="仿宋_GB2312" w:cs="宋体"/>
          <w:color w:val="000000" w:themeColor="text1"/>
          <w:kern w:val="0"/>
          <w:sz w:val="24"/>
          <w:szCs w:val="24"/>
          <w:highlight w:val="yellow"/>
          <w:lang w:val="en-US" w:eastAsia="zh-CN"/>
          <w14:textFill>
            <w14:solidFill>
              <w14:schemeClr w14:val="tx1"/>
            </w14:solidFill>
          </w14:textFill>
        </w:rPr>
      </w:pPr>
    </w:p>
    <w:p>
      <w:pPr>
        <w:pStyle w:val="3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r>
        <w:rPr>
          <w:rFonts w:hint="eastAsia" w:ascii="仿宋_GB2312" w:hAnsi="仿宋" w:eastAsia="仿宋_GB2312"/>
          <w:kern w:val="0"/>
          <w:sz w:val="28"/>
          <w:szCs w:val="28"/>
          <w:lang w:eastAsia="zh-CN"/>
        </w:rPr>
        <w:t>。</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9</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9</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 xml:space="preserve"> 10:00 </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hint="eastAsia"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21</w:t>
      </w:r>
      <w:r>
        <w:rPr>
          <w:rFonts w:hint="eastAsia" w:ascii="仿宋_GB2312" w:hAnsi="宋体" w:eastAsia="仿宋_GB2312"/>
          <w:b/>
          <w:sz w:val="28"/>
          <w:szCs w:val="28"/>
          <w:u w:val="single"/>
        </w:rPr>
        <w:t xml:space="preserve">年 </w:t>
      </w:r>
      <w:r>
        <w:rPr>
          <w:rFonts w:hint="eastAsia" w:ascii="仿宋_GB2312" w:hAnsi="宋体" w:eastAsia="仿宋_GB2312"/>
          <w:b/>
          <w:sz w:val="28"/>
          <w:szCs w:val="28"/>
          <w:u w:val="single"/>
          <w:lang w:val="en-US" w:eastAsia="zh-CN"/>
        </w:rPr>
        <w:t>9</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月 </w:t>
      </w:r>
      <w:r>
        <w:rPr>
          <w:rFonts w:hint="eastAsia" w:ascii="仿宋_GB2312" w:hAnsi="宋体" w:eastAsia="仿宋_GB2312"/>
          <w:b/>
          <w:sz w:val="28"/>
          <w:szCs w:val="28"/>
          <w:u w:val="single"/>
          <w:lang w:val="en-US" w:eastAsia="zh-CN"/>
        </w:rPr>
        <w:t>10</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 xml:space="preserve">日 </w:t>
      </w:r>
      <w:r>
        <w:rPr>
          <w:rFonts w:hint="eastAsia" w:ascii="仿宋_GB2312" w:hAnsi="宋体" w:eastAsia="仿宋_GB2312"/>
          <w:b/>
          <w:sz w:val="28"/>
          <w:szCs w:val="28"/>
          <w:u w:val="single"/>
          <w:lang w:val="en-US" w:eastAsia="zh-CN"/>
        </w:rPr>
        <w:t>14:30</w:t>
      </w:r>
      <w:r>
        <w:rPr>
          <w:rFonts w:ascii="仿宋_GB2312" w:hAnsi="宋体" w:eastAsia="仿宋_GB2312"/>
          <w:b/>
          <w:sz w:val="28"/>
          <w:szCs w:val="28"/>
          <w:u w:val="single"/>
        </w:rPr>
        <w:t xml:space="preserve"> </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6"/>
        <w:rPr>
          <w:rFonts w:hint="eastAsia" w:ascii="仿宋_GB2312" w:hAnsi="宋体" w:eastAsia="仿宋_GB2312" w:cs="Times New Roman"/>
          <w:b/>
          <w:kern w:val="2"/>
          <w:sz w:val="28"/>
          <w:szCs w:val="28"/>
          <w:lang w:val="en-US" w:eastAsia="zh-CN" w:bidi="ar-SA"/>
        </w:rPr>
      </w:pPr>
      <w:r>
        <w:rPr>
          <w:rFonts w:hint="eastAsia" w:ascii="仿宋_GB2312" w:hAnsi="宋体" w:eastAsia="仿宋_GB2312" w:cs="Times New Roman"/>
          <w:b/>
          <w:kern w:val="2"/>
          <w:sz w:val="28"/>
          <w:szCs w:val="28"/>
          <w:lang w:val="en-US" w:eastAsia="zh-CN" w:bidi="ar-SA"/>
        </w:rPr>
        <w:t>勘察联系人：夏涵，联系电话67152663。</w:t>
      </w:r>
    </w:p>
    <w:p>
      <w:pPr>
        <w:pStyle w:val="30"/>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color w:val="auto"/>
          <w:kern w:val="0"/>
          <w:sz w:val="28"/>
          <w:szCs w:val="28"/>
        </w:rPr>
        <w:t>：</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r>
        <w:rPr>
          <w:rFonts w:hint="eastAsia" w:ascii="仿宋" w:hAnsi="仿宋" w:eastAsia="仿宋"/>
          <w:b/>
          <w:bCs/>
          <w:color w:val="auto"/>
          <w:kern w:val="0"/>
          <w:sz w:val="28"/>
          <w:szCs w:val="28"/>
          <w:lang w:eastAsia="zh-CN"/>
        </w:rPr>
        <w:t>。</w:t>
      </w:r>
      <w:r>
        <w:rPr>
          <w:rFonts w:hint="eastAsia" w:ascii="仿宋" w:hAnsi="仿宋" w:eastAsia="仿宋"/>
          <w:b/>
          <w:bCs/>
          <w:color w:val="auto"/>
          <w:kern w:val="0"/>
          <w:sz w:val="28"/>
          <w:szCs w:val="28"/>
        </w:rPr>
        <w:t>（根据实际需求确定）</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numPr>
          <w:ilvl w:val="0"/>
          <w:numId w:val="4"/>
        </w:numPr>
        <w:adjustRightInd w:val="0"/>
        <w:snapToGrid w:val="0"/>
        <w:spacing w:line="360" w:lineRule="auto"/>
        <w:ind w:firstLine="560" w:firstLineChars="200"/>
        <w:jc w:val="left"/>
        <w:textAlignment w:val="bottom"/>
        <w:rPr>
          <w:rFonts w:ascii="仿宋" w:hAnsi="仿宋" w:eastAsia="仿宋"/>
          <w:kern w:val="0"/>
          <w:sz w:val="28"/>
          <w:szCs w:val="28"/>
        </w:rPr>
      </w:pPr>
      <w:r>
        <w:rPr>
          <w:rFonts w:hint="eastAsia" w:ascii="仿宋" w:hAnsi="仿宋" w:eastAsia="仿宋"/>
          <w:sz w:val="28"/>
          <w:szCs w:val="28"/>
          <w:u w:val="single"/>
          <w:lang w:val="en-US" w:eastAsia="zh-CN"/>
        </w:rPr>
        <w:t>2021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9</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15</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 xml:space="preserve"> </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0"/>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lang w:eastAsia="zh-CN"/>
          <w14:textFill>
            <w14:solidFill>
              <w14:schemeClr w14:val="tx1"/>
            </w14:solidFill>
          </w14:textFill>
        </w:rPr>
        <w:t>竞争性比选</w:t>
      </w:r>
      <w:r>
        <w:rPr>
          <w:rFonts w:hint="eastAsia" w:ascii="仿宋" w:hAnsi="仿宋" w:eastAsia="仿宋"/>
          <w:b/>
          <w:bCs/>
          <w:color w:val="000000" w:themeColor="text1"/>
          <w:kern w:val="0"/>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保证金：无。</w:t>
      </w:r>
    </w:p>
    <w:p>
      <w:pPr>
        <w:snapToGrid w:val="0"/>
        <w:spacing w:line="360" w:lineRule="auto"/>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w:t>
      </w:r>
      <w:r>
        <w:rPr>
          <w:rFonts w:hint="eastAsia" w:ascii="仿宋" w:hAnsi="仿宋" w:eastAsia="仿宋"/>
          <w:color w:val="000000" w:themeColor="text1"/>
          <w:sz w:val="28"/>
          <w:szCs w:val="28"/>
          <w:lang w:val="en-US" w:eastAsia="zh-CN"/>
          <w14:textFill>
            <w14:solidFill>
              <w14:schemeClr w14:val="tx1"/>
            </w14:solidFill>
          </w14:textFill>
        </w:rPr>
        <w:t>无。</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报价及</w:t>
      </w:r>
      <w:r>
        <w:rPr>
          <w:rFonts w:hint="eastAsia" w:ascii="仿宋" w:hAnsi="仿宋" w:eastAsia="仿宋"/>
          <w:b/>
          <w:bCs/>
          <w:kern w:val="0"/>
          <w:sz w:val="28"/>
          <w:szCs w:val="28"/>
          <w:lang w:eastAsia="zh-CN"/>
        </w:rPr>
        <w:t>竞争性</w:t>
      </w:r>
      <w:r>
        <w:rPr>
          <w:rFonts w:hint="eastAsia" w:ascii="仿宋" w:hAnsi="仿宋" w:eastAsia="仿宋"/>
          <w:b/>
          <w:bCs/>
          <w:kern w:val="0"/>
          <w:sz w:val="28"/>
          <w:szCs w:val="28"/>
        </w:rPr>
        <w:t>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5"/>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文件所确定的全部工作内容的价格体现，报价一次性全额包干、包死，参与</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的</w:t>
      </w:r>
      <w:r>
        <w:rPr>
          <w:rFonts w:hint="eastAsia" w:ascii="仿宋" w:hAnsi="仿宋" w:eastAsia="仿宋" w:cs="楷体"/>
          <w:color w:val="000000" w:themeColor="text1"/>
          <w:sz w:val="28"/>
          <w:szCs w:val="28"/>
          <w:lang w:eastAsia="zh-CN"/>
          <w14:textFill>
            <w14:solidFill>
              <w14:schemeClr w14:val="tx1"/>
            </w14:solidFill>
          </w14:textFill>
        </w:rPr>
        <w:t>承揽</w:t>
      </w:r>
      <w:r>
        <w:rPr>
          <w:rFonts w:hint="eastAsia" w:ascii="仿宋" w:hAnsi="仿宋" w:eastAsia="仿宋" w:cs="楷体"/>
          <w:color w:val="000000" w:themeColor="text1"/>
          <w:sz w:val="28"/>
          <w:szCs w:val="28"/>
          <w14:textFill>
            <w14:solidFill>
              <w14:schemeClr w14:val="tx1"/>
            </w14:solidFill>
          </w14:textFill>
        </w:rPr>
        <w:t>人报价时须充分考虑人工及材料的涨价因素及履行本项目合同有关的其他风险。</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autoSpaceDN/>
        <w:adjustRightInd/>
        <w:spacing w:line="500" w:lineRule="exact"/>
        <w:ind w:firstLine="560" w:firstLineChars="200"/>
        <w:rPr>
          <w:rFonts w:hint="eastAsia"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000000" w:themeColor="text1"/>
          <w:sz w:val="28"/>
          <w:szCs w:val="28"/>
          <w:highlight w:val="none"/>
          <w:lang w:val="zh-CN"/>
          <w14:textFill>
            <w14:solidFill>
              <w14:schemeClr w14:val="tx1"/>
            </w14:solidFill>
          </w14:textFill>
        </w:rPr>
        <w:t>主要包括设计方案、展板的工艺、详细说明和人员配置等。如果提供的材料和服务与竞争性比选采购文件要求有偏差，必须详细说明。须经竞争性比选小组评定和采购人许可，才能作为承揽方实质性响应。</w:t>
      </w:r>
      <w:r>
        <w:rPr>
          <w:rFonts w:hint="eastAsia" w:ascii="仿宋_GB2312" w:hAnsi="Times New Roman" w:eastAsia="仿宋_GB2312" w:cs="Times New Roman"/>
          <w:color w:val="000000" w:themeColor="text1"/>
          <w:sz w:val="28"/>
          <w:szCs w:val="28"/>
          <w:highlight w:val="none"/>
          <w:lang w:val="zh-CN"/>
          <w14:textFill>
            <w14:solidFill>
              <w14:schemeClr w14:val="tx1"/>
            </w14:solidFill>
          </w14:textFill>
        </w:rPr>
        <w:t>（表格自制）</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000000" w:themeColor="text1"/>
          <w:sz w:val="28"/>
          <w:szCs w:val="28"/>
          <w:lang w:val="zh-CN"/>
          <w14:textFill>
            <w14:solidFill>
              <w14:schemeClr w14:val="tx1"/>
            </w14:solidFill>
          </w14:textFill>
        </w:rPr>
        <w:t>竞争性比选响应方应按照竞争性比选采购文件要求报出拟提供服务的单价、总价、相关税金等详细内容，报价为含税报价，增值税税率单列。</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ascii="仿宋_GB2312" w:eastAsia="仿宋_GB2312"/>
          <w:sz w:val="28"/>
          <w:szCs w:val="28"/>
        </w:rPr>
        <w:t>5.</w:t>
      </w:r>
      <w:r>
        <w:rPr>
          <w:rFonts w:hint="eastAsia" w:ascii="仿宋_GB2312" w:eastAsia="仿宋_GB2312"/>
          <w:sz w:val="28"/>
          <w:szCs w:val="28"/>
          <w:lang w:val="zh-CN"/>
        </w:rPr>
        <w:t>商务部分：（1）必备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000000" w:themeColor="text1"/>
          <w:sz w:val="28"/>
          <w:szCs w:val="28"/>
          <w14:textFill>
            <w14:solidFill>
              <w14:schemeClr w14:val="tx1"/>
            </w14:solidFill>
          </w14:textFill>
        </w:rPr>
        <w:t>广告及标识标牌设计、制作、安装</w:t>
      </w:r>
      <w:r>
        <w:rPr>
          <w:rFonts w:hint="eastAsia" w:ascii="仿宋_GB2312" w:eastAsia="仿宋_GB2312"/>
          <w:color w:val="000000" w:themeColor="text1"/>
          <w:sz w:val="28"/>
          <w:szCs w:val="28"/>
          <w:lang w:val="en-US" w:eastAsia="zh-CN"/>
          <w14:textFill>
            <w14:solidFill>
              <w14:schemeClr w14:val="tx1"/>
            </w14:solidFill>
          </w14:textFill>
        </w:rPr>
        <w:t>相关</w:t>
      </w:r>
      <w:r>
        <w:rPr>
          <w:rFonts w:hint="eastAsia" w:ascii="仿宋_GB2312" w:eastAsia="仿宋_GB2312"/>
          <w:color w:val="000000" w:themeColor="text1"/>
          <w:sz w:val="28"/>
          <w:szCs w:val="28"/>
          <w14:textFill>
            <w14:solidFill>
              <w14:schemeClr w14:val="tx1"/>
            </w14:solidFill>
          </w14:textFill>
        </w:rPr>
        <w:t>资</w:t>
      </w:r>
      <w:r>
        <w:rPr>
          <w:rFonts w:hint="eastAsia" w:ascii="仿宋_GB2312" w:eastAsia="仿宋_GB2312"/>
          <w:color w:val="auto"/>
          <w:sz w:val="28"/>
          <w:szCs w:val="28"/>
        </w:rPr>
        <w:t>质</w:t>
      </w:r>
      <w:r>
        <w:rPr>
          <w:rFonts w:hint="eastAsia" w:ascii="仿宋_GB2312" w:eastAsia="仿宋_GB2312"/>
          <w:color w:val="auto"/>
          <w:sz w:val="28"/>
          <w:szCs w:val="28"/>
          <w:lang w:val="zh-CN"/>
        </w:rPr>
        <w:t>（复印件）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eastAsia="zh-CN"/>
        </w:rPr>
        <w:t>6.响应文件可合并装订成册，纸质文件一式3份，其中正本1份，副本2份，正本文件内签字和盖章须为原件。副本可为正本的复印件。</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30"/>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hint="eastAsia" w:ascii="仿宋" w:hAnsi="仿宋" w:eastAsia="仿宋"/>
          <w:b/>
          <w:kern w:val="0"/>
          <w:sz w:val="28"/>
          <w:szCs w:val="28"/>
          <w:u w:val="single"/>
          <w:lang w:val="en-US" w:eastAsia="zh-CN"/>
        </w:rPr>
        <w:t xml:space="preserve"> 2021 </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 xml:space="preserve">9 </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15</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w:t>
      </w:r>
      <w:r>
        <w:rPr>
          <w:rFonts w:hint="eastAsia" w:ascii="仿宋" w:hAnsi="仿宋" w:eastAsia="仿宋"/>
          <w:b/>
          <w:kern w:val="0"/>
          <w:sz w:val="28"/>
          <w:szCs w:val="28"/>
        </w:rPr>
        <w:t>密封</w:t>
      </w:r>
      <w:r>
        <w:rPr>
          <w:rFonts w:hint="eastAsia" w:ascii="仿宋" w:hAnsi="仿宋" w:eastAsia="仿宋"/>
          <w:b/>
          <w:kern w:val="0"/>
          <w:sz w:val="28"/>
          <w:szCs w:val="28"/>
          <w:lang w:eastAsia="zh-CN"/>
        </w:rPr>
        <w:t>并</w:t>
      </w:r>
      <w:r>
        <w:rPr>
          <w:rFonts w:hint="eastAsia" w:ascii="仿宋" w:hAnsi="仿宋" w:eastAsia="仿宋"/>
          <w:b/>
          <w:kern w:val="0"/>
          <w:sz w:val="28"/>
          <w:szCs w:val="28"/>
        </w:rPr>
        <w:t>在袋上加盖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简</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5259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20"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9"/>
        <w:spacing w:line="360" w:lineRule="auto"/>
        <w:rPr>
          <w:rFonts w:hAnsi="宋体" w:cs="宋体"/>
          <w:sz w:val="28"/>
          <w:szCs w:val="28"/>
        </w:rPr>
      </w:pPr>
    </w:p>
    <w:p>
      <w:pPr>
        <w:pStyle w:val="9"/>
        <w:spacing w:line="360" w:lineRule="auto"/>
        <w:rPr>
          <w:rFonts w:hAnsi="宋体" w:cs="宋体"/>
          <w:sz w:val="28"/>
          <w:szCs w:val="28"/>
        </w:rPr>
      </w:pPr>
    </w:p>
    <w:p>
      <w:pPr>
        <w:pStyle w:val="9"/>
        <w:spacing w:line="360" w:lineRule="auto"/>
        <w:rPr>
          <w:rFonts w:hAnsi="宋体" w:cs="宋体"/>
          <w:sz w:val="28"/>
          <w:szCs w:val="28"/>
        </w:rPr>
      </w:pPr>
    </w:p>
    <w:p>
      <w:pPr>
        <w:pStyle w:val="9"/>
        <w:spacing w:line="360" w:lineRule="auto"/>
        <w:rPr>
          <w:rFonts w:hAnsi="宋体" w:cs="宋体"/>
          <w:sz w:val="28"/>
          <w:szCs w:val="28"/>
        </w:rPr>
      </w:pPr>
    </w:p>
    <w:p>
      <w:pPr>
        <w:pStyle w:val="9"/>
        <w:spacing w:line="360" w:lineRule="auto"/>
        <w:rPr>
          <w:rFonts w:hAnsi="宋体" w:cs="宋体"/>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9"/>
        <w:spacing w:line="360" w:lineRule="auto"/>
        <w:rPr>
          <w:rFonts w:hAnsi="宋体" w:cs="宋体"/>
          <w:sz w:val="28"/>
          <w:szCs w:val="28"/>
        </w:rPr>
      </w:pPr>
    </w:p>
    <w:p>
      <w:pPr>
        <w:pStyle w:val="9"/>
        <w:spacing w:line="360" w:lineRule="auto"/>
        <w:rPr>
          <w:rFonts w:hAnsi="宋体" w:cs="宋体"/>
          <w:sz w:val="28"/>
          <w:szCs w:val="28"/>
        </w:rPr>
      </w:pPr>
    </w:p>
    <w:p>
      <w:pPr>
        <w:snapToGrid w:val="0"/>
        <w:spacing w:line="360" w:lineRule="auto"/>
        <w:rPr>
          <w:rFonts w:ascii="仿宋" w:hAnsi="仿宋" w:eastAsia="仿宋"/>
          <w:sz w:val="28"/>
          <w:szCs w:val="28"/>
        </w:rPr>
      </w:pPr>
    </w:p>
    <w:p>
      <w:pPr>
        <w:wordWrap w:val="0"/>
        <w:spacing w:line="300" w:lineRule="exact"/>
        <w:ind w:firstLine="883" w:firstLineChars="200"/>
        <w:jc w:val="right"/>
        <w:rPr>
          <w:rFonts w:ascii="仿宋" w:hAnsi="仿宋" w:eastAsia="仿宋"/>
          <w:b/>
          <w:color w:val="000000"/>
        </w:rPr>
      </w:pPr>
      <w:r>
        <w:rPr>
          <w:rFonts w:ascii="仿宋_GB2312" w:eastAsia="仿宋_GB2312"/>
          <w:b/>
          <w:sz w:val="44"/>
          <w:szCs w:val="44"/>
        </w:rPr>
        <w:br w:type="page"/>
      </w:r>
      <w:r>
        <w:rPr>
          <w:rFonts w:hint="eastAsia" w:ascii="仿宋" w:hAnsi="仿宋" w:eastAsia="仿宋"/>
          <w:b/>
          <w:color w:val="000000"/>
        </w:rPr>
        <w:t xml:space="preserve"> </w:t>
      </w:r>
      <w:r>
        <w:rPr>
          <w:rFonts w:ascii="仿宋" w:hAnsi="仿宋" w:eastAsia="仿宋"/>
          <w:b/>
          <w:color w:val="000000"/>
        </w:rPr>
        <w:t xml:space="preserve">           </w:t>
      </w:r>
    </w:p>
    <w:p>
      <w:pPr>
        <w:pStyle w:val="33"/>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4"/>
        <w:jc w:val="both"/>
        <w:rPr>
          <w:rFonts w:hint="eastAsia"/>
        </w:rPr>
      </w:pPr>
      <w:r>
        <w:rPr>
          <w:rFonts w:hint="eastAsia"/>
        </w:rPr>
        <w:t>重庆江北国际机场</w:t>
      </w:r>
    </w:p>
    <w:p>
      <w:pPr>
        <w:pStyle w:val="34"/>
        <w:ind w:left="0" w:leftChars="0" w:firstLine="0" w:firstLineChars="0"/>
        <w:jc w:val="center"/>
        <w:rPr>
          <w:sz w:val="44"/>
        </w:rPr>
      </w:pPr>
      <w:r>
        <w:rPr>
          <w:rFonts w:hint="eastAsia"/>
        </w:rPr>
        <w:t>承揽合同</w:t>
      </w:r>
    </w:p>
    <w:p>
      <w:pPr>
        <w:jc w:val="center"/>
        <w:rPr>
          <w:rFonts w:hint="eastAsia" w:cs="Times New Roman"/>
          <w:b/>
          <w:sz w:val="44"/>
          <w:u w:val="single"/>
          <w:lang w:eastAsia="zh-CN"/>
        </w:rPr>
      </w:pPr>
      <w:r>
        <w:rPr>
          <w:rFonts w:hint="eastAsia" w:cs="Times New Roman"/>
          <w:b/>
          <w:sz w:val="44"/>
          <w:u w:val="single"/>
          <w:lang w:eastAsia="zh-CN"/>
        </w:rPr>
        <w:t>动力能源保障部党委阵地建设</w:t>
      </w:r>
    </w:p>
    <w:p>
      <w:pPr>
        <w:jc w:val="center"/>
        <w:rPr>
          <w:b/>
          <w:sz w:val="44"/>
        </w:rPr>
      </w:pPr>
      <w:r>
        <w:rPr>
          <w:rFonts w:hint="eastAsia" w:ascii="Times New Roman" w:hAnsi="Times New Roman" w:cs="Times New Roman"/>
          <w:b/>
          <w:sz w:val="44"/>
          <w:u w:val="single"/>
        </w:rPr>
        <w:t>展板制作项目</w:t>
      </w: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w:t>
      </w:r>
      <w:r>
        <w:rPr>
          <w:rFonts w:hint="eastAsia"/>
          <w:b/>
          <w:sz w:val="32"/>
          <w:szCs w:val="32"/>
          <w:lang w:eastAsia="zh-CN"/>
        </w:rPr>
        <w:t>中国共产党重庆机场集团有限公司委员会党群工作部</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6" w:type="first"/>
          <w:headerReference r:id="rId4" w:type="default"/>
          <w:footerReference r:id="rId5"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5"/>
            <w:jc w:val="center"/>
            <w:rPr>
              <w:rFonts w:ascii="仿宋_GB2312" w:eastAsia="仿宋_GB2312"/>
              <w:sz w:val="30"/>
              <w:szCs w:val="30"/>
            </w:rPr>
          </w:pPr>
          <w:r>
            <w:rPr>
              <w:rFonts w:hint="eastAsia" w:ascii="仿宋_GB2312" w:eastAsia="仿宋_GB2312"/>
              <w:color w:val="auto"/>
              <w:sz w:val="30"/>
              <w:szCs w:val="30"/>
              <w:lang w:val="zh-CN"/>
            </w:rPr>
            <w:t>目录</w:t>
          </w:r>
        </w:p>
        <w:p>
          <w:pPr>
            <w:pStyle w:val="14"/>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4"/>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pStyle w:val="33"/>
        <w:ind w:firstLine="602"/>
        <w:rPr>
          <w:rFonts w:hint="eastAsia"/>
          <w:b/>
          <w:bCs/>
        </w:rPr>
      </w:pPr>
    </w:p>
    <w:p>
      <w:pPr>
        <w:pStyle w:val="33"/>
        <w:ind w:firstLine="602"/>
        <w:rPr>
          <w:rFonts w:hint="eastAsia"/>
          <w:b/>
          <w:bCs/>
          <w:lang w:eastAsia="zh-CN"/>
        </w:rPr>
      </w:pPr>
      <w:r>
        <w:rPr>
          <w:rFonts w:hint="eastAsia"/>
          <w:b/>
          <w:bCs/>
        </w:rPr>
        <w:t>甲方:</w:t>
      </w:r>
      <w:r>
        <w:rPr>
          <w:rFonts w:hint="eastAsia"/>
          <w:b/>
          <w:bCs/>
          <w:lang w:eastAsia="zh-CN"/>
        </w:rPr>
        <w:t>中国共产党重庆机场集团有限公司委员会党群工作部</w:t>
      </w:r>
    </w:p>
    <w:p>
      <w:pPr>
        <w:pStyle w:val="33"/>
        <w:ind w:firstLine="602"/>
        <w:rPr>
          <w:rFonts w:hint="eastAsia"/>
          <w:b/>
          <w:bCs/>
        </w:rPr>
      </w:pPr>
      <w:r>
        <w:rPr>
          <w:rFonts w:hint="eastAsia"/>
          <w:b/>
          <w:bCs/>
        </w:rPr>
        <w:t>统一社会信用代码：91500000756209971P</w:t>
      </w:r>
    </w:p>
    <w:p>
      <w:pPr>
        <w:pStyle w:val="33"/>
        <w:ind w:firstLine="602"/>
        <w:rPr>
          <w:rFonts w:hint="eastAsia"/>
          <w:b/>
          <w:bCs/>
        </w:rPr>
      </w:pPr>
      <w:r>
        <w:rPr>
          <w:rFonts w:hint="eastAsia"/>
          <w:b/>
          <w:bCs/>
        </w:rPr>
        <w:t xml:space="preserve">通讯地址：重庆市渝北区两路镇江北国际机场内 </w:t>
      </w:r>
    </w:p>
    <w:p>
      <w:pPr>
        <w:pStyle w:val="33"/>
        <w:ind w:firstLine="602"/>
        <w:rPr>
          <w:rFonts w:hint="eastAsia"/>
          <w:b/>
          <w:bCs/>
        </w:rPr>
      </w:pPr>
      <w:r>
        <w:rPr>
          <w:rFonts w:hint="eastAsia"/>
          <w:b/>
          <w:bCs/>
        </w:rPr>
        <w:t>法定代表人或委托代理人：</w:t>
      </w:r>
      <w:r>
        <w:rPr>
          <w:rFonts w:hint="eastAsia"/>
          <w:b/>
          <w:bCs/>
          <w:lang w:eastAsia="zh-CN"/>
        </w:rPr>
        <w:t>谭平川</w:t>
      </w:r>
      <w:r>
        <w:rPr>
          <w:rFonts w:hint="eastAsia"/>
          <w:b/>
          <w:bCs/>
        </w:rPr>
        <w:t xml:space="preserve"> </w:t>
      </w:r>
    </w:p>
    <w:p>
      <w:pPr>
        <w:pStyle w:val="33"/>
        <w:ind w:firstLine="602"/>
        <w:rPr>
          <w:rFonts w:hint="eastAsia"/>
          <w:b/>
          <w:bCs/>
        </w:rPr>
      </w:pPr>
      <w:r>
        <w:rPr>
          <w:rFonts w:hint="eastAsia"/>
          <w:b/>
          <w:bCs/>
        </w:rPr>
        <w:t xml:space="preserve">邮政编码： </w:t>
      </w:r>
      <w:r>
        <w:rPr>
          <w:rFonts w:hint="eastAsia"/>
          <w:b/>
          <w:bCs/>
          <w:lang w:val="en-US" w:eastAsia="zh-CN"/>
        </w:rPr>
        <w:t>401120</w:t>
      </w:r>
      <w:r>
        <w:rPr>
          <w:rFonts w:hint="eastAsia"/>
          <w:b/>
          <w:bCs/>
        </w:rPr>
        <w:t xml:space="preserve">                       </w:t>
      </w:r>
    </w:p>
    <w:p>
      <w:pPr>
        <w:pStyle w:val="33"/>
        <w:ind w:firstLine="602"/>
        <w:rPr>
          <w:rFonts w:hint="eastAsia"/>
          <w:b/>
          <w:bCs/>
          <w:lang w:val="en-US" w:eastAsia="zh-CN"/>
        </w:rPr>
      </w:pPr>
      <w:r>
        <w:rPr>
          <w:rFonts w:hint="eastAsia"/>
          <w:b/>
          <w:bCs/>
        </w:rPr>
        <w:t>联系电话：6715</w:t>
      </w:r>
      <w:r>
        <w:rPr>
          <w:rFonts w:hint="eastAsia"/>
          <w:b/>
          <w:bCs/>
          <w:lang w:val="en-US" w:eastAsia="zh-CN"/>
        </w:rPr>
        <w:t>5178</w:t>
      </w:r>
    </w:p>
    <w:p>
      <w:pPr>
        <w:pStyle w:val="33"/>
        <w:ind w:firstLine="602"/>
        <w:rPr>
          <w:rFonts w:hint="eastAsia"/>
          <w:b/>
          <w:bCs/>
        </w:rPr>
      </w:pPr>
      <w:r>
        <w:rPr>
          <w:rFonts w:hint="eastAsia"/>
          <w:b/>
          <w:bCs/>
        </w:rPr>
        <w:t>邮箱地址：</w:t>
      </w:r>
    </w:p>
    <w:p>
      <w:pPr>
        <w:pStyle w:val="33"/>
        <w:ind w:firstLine="602"/>
        <w:rPr>
          <w:rFonts w:hint="eastAsia"/>
          <w:b/>
          <w:bCs/>
        </w:rPr>
      </w:pPr>
      <w:r>
        <w:rPr>
          <w:rFonts w:hint="eastAsia"/>
          <w:b/>
          <w:bCs/>
        </w:rPr>
        <w:t xml:space="preserve">开户银行：建行重庆渝北机场支行  </w:t>
      </w:r>
    </w:p>
    <w:p>
      <w:pPr>
        <w:pStyle w:val="33"/>
        <w:ind w:firstLine="602"/>
        <w:rPr>
          <w:rFonts w:hint="eastAsia"/>
          <w:b/>
          <w:bCs/>
          <w:lang w:eastAsia="zh-CN"/>
        </w:rPr>
      </w:pPr>
      <w:r>
        <w:rPr>
          <w:rFonts w:hint="eastAsia"/>
          <w:b/>
          <w:bCs/>
        </w:rPr>
        <w:t>开户名称：</w:t>
      </w:r>
      <w:r>
        <w:rPr>
          <w:rFonts w:hint="eastAsia"/>
          <w:b/>
          <w:bCs/>
          <w:lang w:eastAsia="zh-CN"/>
        </w:rPr>
        <w:t>中国共产党重庆机场集团有限公司委员会党群工作部</w:t>
      </w:r>
    </w:p>
    <w:p>
      <w:pPr>
        <w:pStyle w:val="33"/>
        <w:ind w:firstLine="602"/>
        <w:rPr>
          <w:b/>
          <w:bCs/>
          <w:color w:val="auto"/>
        </w:rPr>
      </w:pPr>
      <w:r>
        <w:rPr>
          <w:b/>
          <w:bCs/>
          <w:color w:val="auto"/>
        </w:rPr>
        <w:t>账号：</w:t>
      </w:r>
      <w:r>
        <w:rPr>
          <w:rFonts w:hint="eastAsia"/>
          <w:b/>
          <w:bCs/>
          <w:color w:val="auto"/>
        </w:rPr>
        <w:t xml:space="preserve">50001083800050000447 </w:t>
      </w:r>
      <w:r>
        <w:rPr>
          <w:b/>
          <w:bCs/>
          <w:color w:val="auto"/>
        </w:rPr>
        <w:t xml:space="preserve"> </w:t>
      </w:r>
    </w:p>
    <w:p>
      <w:pPr>
        <w:pStyle w:val="33"/>
        <w:ind w:firstLine="602"/>
        <w:rPr>
          <w:b/>
          <w:bCs/>
        </w:rPr>
      </w:pPr>
    </w:p>
    <w:p>
      <w:pPr>
        <w:pStyle w:val="33"/>
        <w:ind w:firstLine="602"/>
        <w:rPr>
          <w:b/>
          <w:bCs/>
        </w:rPr>
      </w:pPr>
      <w:r>
        <w:rPr>
          <w:rFonts w:hint="eastAsia"/>
          <w:b/>
          <w:bCs/>
        </w:rPr>
        <w:t>乙方：</w:t>
      </w:r>
      <w:r>
        <w:rPr>
          <w:b/>
          <w:bCs/>
        </w:rPr>
        <w:t xml:space="preserve"> </w:t>
      </w:r>
    </w:p>
    <w:p>
      <w:pPr>
        <w:pStyle w:val="33"/>
        <w:ind w:firstLine="602"/>
        <w:rPr>
          <w:b/>
          <w:bCs/>
        </w:rPr>
      </w:pPr>
      <w:r>
        <w:rPr>
          <w:rFonts w:hint="eastAsia"/>
          <w:b/>
          <w:bCs/>
        </w:rPr>
        <w:t>统一社会信用代码：</w:t>
      </w:r>
    </w:p>
    <w:p>
      <w:pPr>
        <w:pStyle w:val="33"/>
        <w:ind w:firstLine="602"/>
        <w:rPr>
          <w:b/>
          <w:bCs/>
        </w:rPr>
      </w:pPr>
      <w:r>
        <w:rPr>
          <w:b/>
          <w:bCs/>
        </w:rPr>
        <w:t>通讯地址：</w:t>
      </w:r>
    </w:p>
    <w:p>
      <w:pPr>
        <w:pStyle w:val="33"/>
        <w:ind w:firstLine="602"/>
        <w:rPr>
          <w:b/>
          <w:bCs/>
        </w:rPr>
      </w:pPr>
      <w:r>
        <w:rPr>
          <w:b/>
          <w:bCs/>
        </w:rPr>
        <w:t xml:space="preserve">法定代表人或委托代理人： </w:t>
      </w:r>
    </w:p>
    <w:p>
      <w:pPr>
        <w:pStyle w:val="33"/>
        <w:ind w:firstLine="602"/>
        <w:rPr>
          <w:b/>
          <w:bCs/>
        </w:rPr>
      </w:pPr>
      <w:r>
        <w:rPr>
          <w:b/>
          <w:bCs/>
        </w:rPr>
        <w:t>邮政编码：</w:t>
      </w:r>
    </w:p>
    <w:p>
      <w:pPr>
        <w:pStyle w:val="33"/>
        <w:ind w:firstLine="602"/>
        <w:rPr>
          <w:b/>
          <w:bCs/>
        </w:rPr>
      </w:pPr>
      <w:r>
        <w:rPr>
          <w:b/>
          <w:bCs/>
        </w:rPr>
        <w:t>联系电话：</w:t>
      </w:r>
    </w:p>
    <w:p>
      <w:pPr>
        <w:pStyle w:val="33"/>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hint="eastAsia" w:ascii="仿宋_GB2312" w:hAnsi="仿宋" w:eastAsia="仿宋_GB2312" w:cs="宋体"/>
          <w:shd w:val="clear" w:color="auto" w:fill="auto"/>
        </w:rPr>
      </w:pP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依照《中华人民共和国合同法》等有关法律、法规，就乙方承揽甲方</w:t>
      </w:r>
      <w:r>
        <w:rPr>
          <w:rStyle w:val="29"/>
          <w:rFonts w:hint="eastAsia" w:ascii="Times New Roman" w:hAnsi="Times New Roman" w:eastAsia="仿宋_GB2312" w:cs="Times New Roman"/>
          <w:u w:val="single"/>
          <w:shd w:val="clear" w:color="auto" w:fill="auto"/>
          <w:lang w:eastAsia="zh-CN"/>
        </w:rPr>
        <w:t>动力能源保障部党委阵地建设</w:t>
      </w:r>
      <w:r>
        <w:rPr>
          <w:rStyle w:val="29"/>
          <w:rFonts w:hint="eastAsia" w:ascii="Times New Roman" w:hAnsi="Times New Roman" w:eastAsia="仿宋_GB2312" w:cs="Times New Roman"/>
          <w:u w:val="single"/>
          <w:shd w:val="clear" w:color="auto" w:fill="auto"/>
        </w:rPr>
        <w:t>展板制作项目</w:t>
      </w:r>
      <w:r>
        <w:rPr>
          <w:rStyle w:val="29"/>
          <w:rFonts w:hint="eastAsia" w:ascii="仿宋_GB2312" w:hAnsi="仿宋" w:eastAsia="仿宋_GB2312" w:cs="宋体"/>
          <w:shd w:val="clear" w:color="auto" w:fill="auto"/>
        </w:rPr>
        <w:t>事宜（以下称项目），双方经充分平等协商，达成本协议。</w:t>
      </w:r>
    </w:p>
    <w:p>
      <w:pPr>
        <w:pStyle w:val="4"/>
        <w:ind w:firstLine="640"/>
        <w:rPr>
          <w:rStyle w:val="29"/>
          <w:rFonts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第一条 项目名称</w:t>
      </w:r>
      <w:bookmarkEnd w:id="0"/>
      <w:bookmarkStart w:id="1" w:name="_Hlk9437057"/>
    </w:p>
    <w:p>
      <w:pPr>
        <w:spacing w:line="360" w:lineRule="auto"/>
        <w:ind w:firstLine="600" w:firstLineChars="200"/>
      </w:pPr>
      <w:r>
        <w:rPr>
          <w:rFonts w:hint="eastAsia" w:ascii="仿宋" w:hAnsi="仿宋" w:eastAsia="仿宋" w:cs="仿宋"/>
          <w:color w:val="000000" w:themeColor="text1"/>
          <w:sz w:val="30"/>
          <w:szCs w:val="30"/>
          <w:lang w:val="en-US" w:eastAsia="zh-CN"/>
          <w14:textFill>
            <w14:solidFill>
              <w14:schemeClr w14:val="tx1"/>
            </w14:solidFill>
          </w14:textFill>
        </w:rPr>
        <w:t>对动力能源保障部党委阵地进行展板制作</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3"/>
        <w:ind w:firstLine="6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重庆机场集团有限公司动力能源保障部能源一号楼一楼会议室。</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Fonts w:hint="eastAsia"/>
        </w:rPr>
        <w:t>项目内容和范围</w:t>
      </w:r>
      <w:bookmarkEnd w:id="3"/>
    </w:p>
    <w:tbl>
      <w:tblPr>
        <w:tblStyle w:val="18"/>
        <w:tblpPr w:leftFromText="180" w:rightFromText="180" w:vertAnchor="text" w:horzAnchor="page" w:tblpXSpec="center" w:tblpY="397"/>
        <w:tblOverlap w:val="never"/>
        <w:tblW w:w="9050" w:type="dxa"/>
        <w:jc w:val="center"/>
        <w:tblInd w:w="0" w:type="dxa"/>
        <w:shd w:val="clear" w:color="auto" w:fill="auto"/>
        <w:tblLayout w:type="fixed"/>
        <w:tblCellMar>
          <w:top w:w="0" w:type="dxa"/>
          <w:left w:w="0" w:type="dxa"/>
          <w:bottom w:w="0" w:type="dxa"/>
          <w:right w:w="0" w:type="dxa"/>
        </w:tblCellMar>
      </w:tblPr>
      <w:tblGrid>
        <w:gridCol w:w="441"/>
        <w:gridCol w:w="1211"/>
        <w:gridCol w:w="2380"/>
        <w:gridCol w:w="1526"/>
        <w:gridCol w:w="749"/>
        <w:gridCol w:w="842"/>
        <w:gridCol w:w="1901"/>
      </w:tblGrid>
      <w:tr>
        <w:tblPrEx>
          <w:shd w:val="clear" w:color="auto" w:fill="auto"/>
          <w:tblLayout w:type="fixed"/>
          <w:tblCellMar>
            <w:top w:w="0" w:type="dxa"/>
            <w:left w:w="0" w:type="dxa"/>
            <w:bottom w:w="0" w:type="dxa"/>
            <w:right w:w="0" w:type="dxa"/>
          </w:tblCellMar>
        </w:tblPrEx>
        <w:trPr>
          <w:trHeight w:val="7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bookmarkStart w:id="4" w:name="_Toc24707258"/>
            <w:r>
              <w:rPr>
                <w:rFonts w:hint="eastAsia" w:ascii="仿宋" w:hAnsi="仿宋" w:eastAsia="仿宋" w:cs="仿宋"/>
                <w:color w:val="000000" w:themeColor="text1"/>
                <w:kern w:val="2"/>
                <w:sz w:val="30"/>
                <w:szCs w:val="30"/>
                <w:lang w:val="en-US" w:eastAsia="zh-CN" w:bidi="ar-SA"/>
                <w14:textFill>
                  <w14:solidFill>
                    <w14:schemeClr w14:val="tx1"/>
                  </w14:solidFill>
                </w14:textFill>
              </w:rPr>
              <w:t>序号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项目</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材质及要求</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规格</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单位</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数量</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备注</w:t>
            </w: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1</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基层+橱窗</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50方钢骨架+1.2mm不锈钢折型打磨烤漆，不锈钢折边+亚克力面板+PVC基层，螺丝固定</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7.8m*1.9m（单块0.55m*1.9m）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五星装饰柱</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50方钢骨架+1.2mm不锈钢折型打磨烤漆，不锈钢烤漆装饰五星，螺丝固定</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0.22m*1.9m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块</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基座套管</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60方钢骨架防锈处理+混凝土浇灌</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7.8m*0.35m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党徽</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1.2mm不锈钢折型打磨烤漆，螺丝固定</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厘米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5</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红色记忆</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1.2mm不锈钢折型打磨烤漆</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32+24+18+18cm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厘米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6</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中国共产党的光辉历程+记忆+英文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5毫米亚克力激光雕刻</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40+15+15+100cm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厘米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170</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7</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画面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户外背胶裱哑膜</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45cm*135cm*11张</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平米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6.7</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8</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围挡看板</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20毫米PVC</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200*100cm*6张</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平米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r>
        <w:tblPrEx>
          <w:tblLayout w:type="fixed"/>
          <w:tblCellMar>
            <w:top w:w="0" w:type="dxa"/>
            <w:left w:w="0" w:type="dxa"/>
            <w:bottom w:w="0" w:type="dxa"/>
            <w:right w:w="0" w:type="dxa"/>
          </w:tblCellMar>
        </w:tblPrEx>
        <w:trPr>
          <w:trHeight w:val="100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9</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廉字墙</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不锈钢立体字，机理真石漆</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7.5m*2.6m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平米</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19.5</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30"/>
                <w:szCs w:val="30"/>
                <w:lang w:val="en-US" w:eastAsia="zh-CN" w:bidi="ar-SA"/>
                <w14:textFill>
                  <w14:solidFill>
                    <w14:schemeClr w14:val="tx1"/>
                  </w14:solidFill>
                </w14:textFill>
              </w:rPr>
            </w:pPr>
          </w:p>
        </w:tc>
      </w:tr>
    </w:tbl>
    <w:p>
      <w:pPr>
        <w:pStyle w:val="4"/>
        <w:ind w:left="0" w:leftChars="0" w:firstLine="0" w:firstLineChars="0"/>
        <w:rPr>
          <w:rStyle w:val="29"/>
          <w:rFonts w:hint="eastAsia" w:ascii="仿宋" w:hAnsi="仿宋" w:eastAsia="黑体" w:cs="Times New Roman"/>
          <w:sz w:val="32"/>
          <w:szCs w:val="24"/>
          <w:shd w:val="clear" w:color="auto" w:fill="auto"/>
        </w:rPr>
      </w:pP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w:t>
      </w:r>
      <w:r>
        <w:rPr>
          <w:rFonts w:hint="eastAsia" w:ascii="仿宋_GB2312" w:hAnsi="宋体" w:eastAsia="仿宋_GB2312" w:cs="Arial"/>
          <w:bCs/>
          <w:color w:val="000000" w:themeColor="text1"/>
          <w:sz w:val="28"/>
          <w:szCs w:val="28"/>
          <w:lang w:val="en-US" w:eastAsia="zh-CN"/>
          <w14:textFill>
            <w14:solidFill>
              <w14:schemeClr w14:val="tx1"/>
            </w14:solidFill>
          </w14:textFill>
        </w:rPr>
        <w:t>工期为</w:t>
      </w:r>
      <w:r>
        <w:rPr>
          <w:rFonts w:hint="eastAsia" w:ascii="仿宋_GB2312" w:hAnsi="宋体" w:eastAsia="仿宋_GB2312" w:cs="Arial"/>
          <w:bCs/>
          <w:color w:val="000000" w:themeColor="text1"/>
          <w:sz w:val="28"/>
          <w:szCs w:val="28"/>
          <w:highlight w:val="none"/>
          <w:lang w:val="en-US" w:eastAsia="zh-CN"/>
          <w14:textFill>
            <w14:solidFill>
              <w14:schemeClr w14:val="tx1"/>
            </w14:solidFill>
          </w14:textFill>
        </w:rPr>
        <w:t>设计方案通过审核之日起30日历天</w:t>
      </w:r>
      <w:r>
        <w:rPr>
          <w:rStyle w:val="29"/>
          <w:rFonts w:ascii="仿宋_GB2312" w:hAnsi="仿宋" w:eastAsia="仿宋_GB2312" w:cs="宋体"/>
          <w:shd w:val="clear" w:color="auto" w:fill="auto"/>
        </w:rPr>
        <w:t>。</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numPr>
          <w:ilvl w:val="0"/>
          <w:numId w:val="7"/>
        </w:numPr>
        <w:ind w:firstLine="640"/>
        <w:rPr>
          <w:rStyle w:val="29"/>
          <w:rFonts w:hint="eastAsia"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 xml:space="preserve"> 履约担保、质量保证</w:t>
      </w:r>
      <w:bookmarkEnd w:id="5"/>
    </w:p>
    <w:p>
      <w:pPr>
        <w:numPr>
          <w:ilvl w:val="0"/>
          <w:numId w:val="0"/>
        </w:numPr>
        <w:ind w:firstLine="600" w:firstLineChars="200"/>
        <w:rPr>
          <w:rStyle w:val="29"/>
          <w:rFonts w:hint="eastAsia" w:ascii="仿宋_GB2312" w:hAnsi="仿宋" w:eastAsia="仿宋_GB2312" w:cs="宋体"/>
          <w:color w:val="000000"/>
          <w:kern w:val="2"/>
          <w:shd w:val="clear" w:fill="auto"/>
          <w:lang w:val="en-US" w:eastAsia="zh-CN" w:bidi="ar-SA"/>
        </w:rPr>
      </w:pPr>
      <w:r>
        <w:rPr>
          <w:rStyle w:val="29"/>
          <w:rFonts w:hint="eastAsia" w:ascii="仿宋_GB2312" w:hAnsi="仿宋" w:eastAsia="仿宋_GB2312" w:cs="宋体"/>
          <w:color w:val="000000"/>
          <w:kern w:val="2"/>
          <w:shd w:val="clear" w:fill="auto"/>
          <w:lang w:val="en-US" w:eastAsia="zh-CN" w:bidi="ar-SA"/>
        </w:rPr>
        <w:t>无</w:t>
      </w:r>
    </w:p>
    <w:p>
      <w:pPr>
        <w:pStyle w:val="4"/>
        <w:ind w:firstLine="640"/>
        <w:rPr>
          <w:rStyle w:val="29"/>
          <w:rFonts w:ascii="仿宋" w:hAnsi="仿宋" w:eastAsia="黑体" w:cs="Times New Roman"/>
          <w:sz w:val="32"/>
          <w:szCs w:val="24"/>
          <w:shd w:val="clear" w:color="auto" w:fill="auto"/>
        </w:rPr>
      </w:pPr>
      <w:bookmarkStart w:id="6" w:name="_Toc24707260"/>
      <w:r>
        <w:rPr>
          <w:rStyle w:val="29"/>
          <w:rFonts w:hint="eastAsia" w:ascii="仿宋" w:hAnsi="仿宋" w:eastAsia="黑体" w:cs="Times New Roman"/>
          <w:sz w:val="32"/>
          <w:szCs w:val="24"/>
          <w:shd w:val="clear" w:color="auto" w:fill="auto"/>
        </w:rPr>
        <w:t>第六条  合同价款</w:t>
      </w:r>
      <w:bookmarkEnd w:id="6"/>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lang w:val="en-US" w:eastAsia="zh-CN"/>
        </w:rPr>
        <w:t>合同</w:t>
      </w:r>
      <w:r>
        <w:rPr>
          <w:rStyle w:val="29"/>
          <w:rFonts w:hint="eastAsia" w:ascii="仿宋_GB2312" w:hAnsi="仿宋" w:eastAsia="仿宋_GB2312" w:cs="宋体"/>
          <w:shd w:val="clear" w:color="auto" w:fill="auto"/>
        </w:rPr>
        <w:t>金额</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含</w:t>
      </w:r>
      <w:r>
        <w:rPr>
          <w:rStyle w:val="29"/>
          <w:rFonts w:hint="eastAsia" w:ascii="仿宋_GB2312" w:hAnsi="仿宋" w:eastAsia="仿宋_GB2312" w:cs="宋体"/>
          <w:shd w:val="clear" w:color="auto" w:fill="auto"/>
          <w:lang w:val="en-US" w:eastAsia="zh-CN"/>
        </w:rPr>
        <w:t>增值</w:t>
      </w:r>
      <w:r>
        <w:rPr>
          <w:rStyle w:val="29"/>
          <w:rFonts w:hint="eastAsia" w:ascii="仿宋_GB2312" w:hAnsi="仿宋" w:eastAsia="仿宋_GB2312" w:cs="宋体"/>
          <w:shd w:val="clear" w:color="auto" w:fill="auto"/>
        </w:rPr>
        <w:t>税</w:t>
      </w:r>
      <w:r>
        <w:rPr>
          <w:rStyle w:val="29"/>
          <w:rFonts w:hint="eastAsia" w:ascii="仿宋_GB2312" w:hAnsi="仿宋" w:eastAsia="仿宋_GB2312" w:cs="宋体"/>
          <w:shd w:val="clear" w:color="auto" w:fill="auto"/>
          <w:lang w:eastAsia="zh-CN"/>
        </w:rPr>
        <w:t>）</w:t>
      </w:r>
      <w:r>
        <w:rPr>
          <w:rStyle w:val="29"/>
          <w:rFonts w:hint="eastAsia" w:ascii="仿宋_GB2312" w:hAnsi="仿宋" w:eastAsia="仿宋_GB2312" w:cs="宋体"/>
          <w:shd w:val="clear" w:color="auto" w:fill="auto"/>
        </w:rPr>
        <w:t>：</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元（大写：</w:t>
      </w:r>
      <w:r>
        <w:rPr>
          <w:rStyle w:val="29"/>
          <w:rFonts w:hint="eastAsia"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r>
        <w:rPr>
          <w:rStyle w:val="29"/>
          <w:rFonts w:hint="eastAsia" w:ascii="仿宋_GB2312" w:hAnsi="仿宋" w:eastAsia="仿宋_GB2312" w:cs="宋体"/>
          <w:shd w:val="clear" w:color="auto" w:fill="auto"/>
          <w:lang w:val="en-US" w:eastAsia="zh-CN"/>
        </w:rPr>
        <w:t>增值税税率为</w:t>
      </w:r>
      <w:r>
        <w:rPr>
          <w:rStyle w:val="29"/>
          <w:rFonts w:hint="eastAsia" w:cs="宋体"/>
          <w:u w:val="single"/>
          <w:shd w:val="clear" w:color="auto" w:fill="auto"/>
          <w:lang w:val="en-US" w:eastAsia="zh-CN"/>
        </w:rPr>
        <w:t xml:space="preserve">  </w:t>
      </w:r>
      <w:r>
        <w:rPr>
          <w:rStyle w:val="29"/>
          <w:rFonts w:hint="eastAsia" w:ascii="仿宋_GB2312" w:hAnsi="仿宋" w:eastAsia="仿宋_GB2312" w:cs="宋体"/>
          <w:shd w:val="clear" w:color="auto" w:fill="auto"/>
          <w:lang w:val="en-US" w:eastAsia="zh-CN"/>
        </w:rPr>
        <w:t>%。</w:t>
      </w:r>
      <w:r>
        <w:rPr>
          <w:rStyle w:val="29"/>
          <w:rFonts w:hint="eastAsia" w:ascii="仿宋_GB2312" w:hAnsi="仿宋" w:eastAsia="仿宋_GB2312" w:cs="宋体"/>
          <w:shd w:val="clear" w:color="auto" w:fill="auto"/>
        </w:rPr>
        <w:t>本合同价格为 “总价包干”，包括但不限于材料购买、人工、运输、保险、风险措施费用等一切与项目内容相关的费用。</w:t>
      </w:r>
    </w:p>
    <w:p>
      <w:pPr>
        <w:pStyle w:val="4"/>
        <w:ind w:firstLine="640"/>
        <w:rPr>
          <w:rStyle w:val="29"/>
          <w:rFonts w:ascii="仿宋" w:hAnsi="仿宋" w:eastAsia="黑体" w:cs="Times New Roman"/>
          <w:sz w:val="32"/>
          <w:szCs w:val="24"/>
          <w:shd w:val="clear" w:color="auto" w:fill="auto"/>
        </w:rPr>
      </w:pPr>
      <w:bookmarkStart w:id="7" w:name="_Toc24707261"/>
      <w:r>
        <w:rPr>
          <w:rStyle w:val="29"/>
          <w:rFonts w:hint="eastAsia" w:ascii="仿宋" w:hAnsi="仿宋" w:eastAsia="黑体" w:cs="Times New Roman"/>
          <w:sz w:val="32"/>
          <w:szCs w:val="24"/>
          <w:shd w:val="clear" w:color="auto" w:fill="auto"/>
        </w:rPr>
        <w:t>第七条 付款方式</w:t>
      </w:r>
      <w:bookmarkEnd w:id="7"/>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7.1项目完工验收合格后，乙方</w:t>
      </w:r>
      <w:r>
        <w:rPr>
          <w:rStyle w:val="29"/>
          <w:rFonts w:hint="eastAsia" w:ascii="仿宋_GB2312" w:hAnsi="仿宋" w:eastAsia="仿宋_GB2312" w:cs="宋体"/>
          <w:shd w:val="clear" w:color="auto" w:fill="auto"/>
          <w:lang w:val="en-US" w:eastAsia="zh-CN"/>
        </w:rPr>
        <w:t>向甲方</w:t>
      </w:r>
      <w:r>
        <w:rPr>
          <w:rStyle w:val="29"/>
          <w:rFonts w:hint="eastAsia" w:ascii="仿宋_GB2312" w:hAnsi="仿宋" w:eastAsia="仿宋_GB2312" w:cs="宋体"/>
          <w:shd w:val="clear" w:color="auto" w:fill="auto"/>
        </w:rPr>
        <w:t>开具</w:t>
      </w:r>
      <w:r>
        <w:rPr>
          <w:rStyle w:val="29"/>
          <w:rFonts w:hint="eastAsia" w:ascii="仿宋_GB2312" w:hAnsi="仿宋" w:eastAsia="仿宋_GB2312" w:cs="宋体"/>
          <w:shd w:val="clear" w:color="auto" w:fill="auto"/>
          <w:lang w:val="en-US" w:eastAsia="zh-CN"/>
        </w:rPr>
        <w:t>合同金额的正规增值税发票。甲方在收到</w:t>
      </w:r>
      <w:r>
        <w:rPr>
          <w:rStyle w:val="29"/>
          <w:rFonts w:hint="eastAsia" w:ascii="仿宋_GB2312" w:hAnsi="仿宋" w:eastAsia="仿宋_GB2312" w:cs="宋体"/>
          <w:shd w:val="clear" w:color="auto" w:fill="auto"/>
        </w:rPr>
        <w:t>增值税发票后30个工作日内，向乙方支付合同价款的</w:t>
      </w:r>
      <w:r>
        <w:rPr>
          <w:rStyle w:val="29"/>
          <w:rFonts w:hint="eastAsia" w:ascii="仿宋_GB2312" w:hAnsi="仿宋" w:eastAsia="仿宋_GB2312" w:cs="宋体"/>
          <w:shd w:val="clear" w:color="auto" w:fill="auto"/>
          <w:lang w:val="en-US" w:eastAsia="zh-CN"/>
        </w:rPr>
        <w:t>100</w:t>
      </w:r>
      <w:r>
        <w:rPr>
          <w:rStyle w:val="29"/>
          <w:rFonts w:hint="eastAsia" w:ascii="仿宋_GB2312" w:hAnsi="仿宋" w:eastAsia="仿宋_GB2312" w:cs="宋体"/>
          <w:shd w:val="clear" w:color="auto" w:fill="auto"/>
        </w:rPr>
        <w:t>％。</w:t>
      </w:r>
    </w:p>
    <w:p>
      <w:pPr>
        <w:pStyle w:val="33"/>
        <w:ind w:firstLine="600"/>
        <w:rPr>
          <w:rStyle w:val="36"/>
          <w:color w:val="000000" w:themeColor="text1"/>
          <w:lang w:eastAsia="zh-CN"/>
          <w14:textFill>
            <w14:solidFill>
              <w14:schemeClr w14:val="tx1"/>
            </w14:solidFill>
          </w14:textFill>
        </w:rPr>
      </w:pPr>
      <w:r>
        <w:rPr>
          <w:rStyle w:val="36"/>
          <w:rFonts w:hint="eastAsia"/>
          <w:color w:val="000000" w:themeColor="text1"/>
          <w:lang w:eastAsia="zh-CN"/>
          <w14:textFill>
            <w14:solidFill>
              <w14:schemeClr w14:val="tx1"/>
            </w14:solidFill>
          </w14:textFill>
        </w:rPr>
        <w:t>如果乙方提供增值税普通发票，甲方支付金额为不含增值税金额；如果乙方提供增值税专用发票，甲方支付金额</w:t>
      </w:r>
      <w:r>
        <w:rPr>
          <w:rStyle w:val="36"/>
          <w:color w:val="000000" w:themeColor="text1"/>
          <w:lang w:eastAsia="zh-CN"/>
          <w14:textFill>
            <w14:solidFill>
              <w14:schemeClr w14:val="tx1"/>
            </w14:solidFill>
          </w14:textFill>
        </w:rPr>
        <w:t>=不含增值税金额+增值税税额。</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7.2 支付方式：银行转账。</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7.3 乙方</w:t>
      </w:r>
      <w:r>
        <w:rPr>
          <w:rStyle w:val="29"/>
          <w:rFonts w:hint="eastAsia" w:ascii="仿宋_GB2312" w:hAnsi="仿宋" w:eastAsia="仿宋_GB2312" w:cs="宋体"/>
          <w:shd w:val="clear" w:color="auto" w:fill="auto"/>
          <w:lang w:eastAsia="zh-CN"/>
        </w:rPr>
        <w:t>账户</w:t>
      </w:r>
      <w:r>
        <w:rPr>
          <w:rStyle w:val="29"/>
          <w:rFonts w:hint="eastAsia" w:ascii="仿宋_GB2312" w:hAnsi="仿宋" w:eastAsia="仿宋_GB2312" w:cs="宋体"/>
          <w:shd w:val="clear" w:color="auto" w:fill="auto"/>
        </w:rPr>
        <w:t>信息：</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开户行：</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账号：</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8.1 项目所需材料的提供和使用由乙方负责；</w:t>
      </w:r>
    </w:p>
    <w:p>
      <w:pPr>
        <w:pStyle w:val="33"/>
        <w:ind w:firstLine="600"/>
        <w:rPr>
          <w:rStyle w:val="29"/>
          <w:rFonts w:hint="eastAsia" w:ascii="仿宋_GB2312" w:hAnsi="仿宋" w:eastAsia="仿宋_GB2312" w:cs="宋体"/>
          <w:shd w:val="clear" w:color="auto" w:fill="auto"/>
        </w:rPr>
      </w:pPr>
      <w:r>
        <w:rPr>
          <w:rStyle w:val="29"/>
          <w:rFonts w:hint="eastAsia" w:ascii="仿宋_GB2312" w:hAnsi="仿宋" w:eastAsia="仿宋_GB2312" w:cs="宋体"/>
          <w:shd w:val="clear" w:color="auto" w:fill="auto"/>
        </w:rPr>
        <w:t>8.2 未经甲方书面同意，乙方不得擅自改变合同约定材料，也不得转包、分包；</w:t>
      </w:r>
    </w:p>
    <w:p>
      <w:pPr>
        <w:pStyle w:val="33"/>
        <w:ind w:firstLine="600"/>
        <w:rPr>
          <w:rStyle w:val="29"/>
          <w:rFonts w:hint="default"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lang w:val="en-US" w:eastAsia="zh-CN"/>
        </w:rPr>
        <w:t>8.3展板安装过程中或质保期内甲方发现任务展板质量问题，乙方需无理由免费更换。</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3"/>
        <w:ind w:firstLine="600"/>
      </w:pPr>
      <w:r>
        <w:rPr>
          <w:rStyle w:val="29"/>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29"/>
          <w:rFonts w:ascii="仿宋" w:hAnsi="仿宋" w:eastAsia="黑体" w:cs="Times New Roman"/>
          <w:sz w:val="32"/>
          <w:szCs w:val="24"/>
          <w:shd w:val="clear" w:color="auto" w:fill="auto"/>
        </w:rPr>
      </w:pPr>
      <w:bookmarkStart w:id="12" w:name="_Toc24707266"/>
      <w:r>
        <w:rPr>
          <w:rStyle w:val="29"/>
          <w:rFonts w:hint="eastAsia" w:ascii="仿宋" w:hAnsi="仿宋" w:eastAsia="黑体" w:cs="Times New Roman"/>
          <w:sz w:val="32"/>
          <w:szCs w:val="24"/>
          <w:shd w:val="clear" w:color="auto" w:fill="auto"/>
        </w:rPr>
        <w:t>第十条  成果验收标准和方法</w:t>
      </w:r>
      <w:bookmarkEnd w:id="12"/>
    </w:p>
    <w:p>
      <w:pPr>
        <w:pStyle w:val="33"/>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项目完工后，由乙方向甲方提出验收申请，甲方按</w:t>
      </w:r>
      <w:r>
        <w:rPr>
          <w:rFonts w:hint="eastAsia" w:ascii="Times New Roman" w:hAnsi="Times New Roman"/>
        </w:rPr>
        <w:t>第三条项目内容及范围</w:t>
      </w:r>
      <w:r>
        <w:rPr>
          <w:rStyle w:val="29"/>
          <w:rFonts w:hint="eastAsia" w:ascii="仿宋_GB2312" w:hAnsi="仿宋" w:eastAsia="仿宋_GB2312" w:cs="宋体"/>
          <w:shd w:val="clear" w:color="auto" w:fill="auto"/>
        </w:rPr>
        <w:t>进行验收。</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3"/>
        <w:ind w:firstLine="600"/>
        <w:rPr>
          <w:rStyle w:val="29"/>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29"/>
          <w:rFonts w:hint="eastAsia" w:ascii="仿宋_GB2312" w:hAnsi="仿宋" w:eastAsia="仿宋_GB2312" w:cs="宋体"/>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shd w:val="clear" w:color="auto" w:fill="auto"/>
          <w:lang w:val="en-US" w:eastAsia="zh-CN"/>
        </w:rPr>
        <w:t>30</w:t>
      </w:r>
      <w:r>
        <w:rPr>
          <w:rStyle w:val="29"/>
          <w:rFonts w:hint="eastAsia" w:ascii="仿宋_GB2312" w:hAnsi="仿宋" w:eastAsia="仿宋_GB2312" w:cs="宋体"/>
          <w:shd w:val="clear" w:color="auto" w:fill="auto"/>
        </w:rPr>
        <w:t>天的，甲方有权解除合同。</w:t>
      </w:r>
    </w:p>
    <w:p>
      <w:pPr>
        <w:pStyle w:val="33"/>
        <w:ind w:firstLine="600"/>
      </w:pPr>
      <w:r>
        <w:rPr>
          <w:rStyle w:val="29"/>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15" w:name="_Toc24707269"/>
      <w:r>
        <w:rPr>
          <w:rFonts w:hint="eastAsia"/>
        </w:rPr>
        <w:t>第十三条  争议解决方式</w:t>
      </w:r>
      <w:bookmarkEnd w:id="15"/>
    </w:p>
    <w:p>
      <w:pPr>
        <w:pStyle w:val="33"/>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33"/>
        <w:ind w:firstLine="600"/>
      </w:pPr>
      <w:r>
        <w:rPr>
          <w:rFonts w:hint="eastAsia"/>
        </w:rPr>
        <w:t>（一）提交重庆仲裁委员会，按照申请仲裁时该会现行有效的仲裁规则进行仲裁。</w:t>
      </w:r>
    </w:p>
    <w:p>
      <w:pPr>
        <w:pStyle w:val="33"/>
        <w:ind w:firstLine="600"/>
      </w:pPr>
      <w:r>
        <w:rPr>
          <w:rFonts w:hint="eastAsia"/>
        </w:rPr>
        <w:t>（二）向甲方所在地有管辖权的人民法院起诉。</w:t>
      </w:r>
    </w:p>
    <w:p>
      <w:pPr>
        <w:pStyle w:val="4"/>
        <w:ind w:firstLine="640"/>
      </w:pPr>
      <w:bookmarkStart w:id="16" w:name="_Toc24707270"/>
      <w:r>
        <w:rPr>
          <w:rFonts w:hint="eastAsia"/>
        </w:rPr>
        <w:t>第十四条  通知与送达</w:t>
      </w:r>
      <w:bookmarkEnd w:id="16"/>
    </w:p>
    <w:p>
      <w:pPr>
        <w:pStyle w:val="33"/>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3"/>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3"/>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3"/>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3"/>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3"/>
        <w:ind w:firstLine="600"/>
      </w:pPr>
      <w:r>
        <w:rPr>
          <w:rFonts w:hint="eastAsia"/>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3"/>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3"/>
        <w:ind w:firstLine="600"/>
      </w:pPr>
      <w:r>
        <w:rPr>
          <w:rFonts w:hint="eastAsia"/>
        </w:rPr>
        <w:t>本合同履行过程中，如果合同履行条件发生变化，由双方进行协商，并以签订补充合同的方式加以确认，补充合同与本合同具有同等效力。</w:t>
      </w:r>
    </w:p>
    <w:p>
      <w:pPr>
        <w:pStyle w:val="33"/>
        <w:ind w:firstLine="600"/>
      </w:pPr>
      <w:r>
        <w:rPr>
          <w:rFonts w:hint="eastAsia"/>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33"/>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3"/>
        <w:ind w:firstLine="600"/>
      </w:pPr>
      <w:r>
        <w:rPr>
          <w:rFonts w:hint="eastAsia"/>
        </w:rPr>
        <w:t>18.1本合同自双方法定代表人或委托代理人签字并加盖公司公章或合同专用章后生效。</w:t>
      </w:r>
    </w:p>
    <w:p>
      <w:pPr>
        <w:pStyle w:val="33"/>
        <w:ind w:firstLine="600"/>
      </w:pPr>
      <w:r>
        <w:rPr>
          <w:rFonts w:hint="eastAsia"/>
        </w:rPr>
        <w:t>18.2本合同一式</w:t>
      </w:r>
      <w:r>
        <w:rPr>
          <w:rFonts w:hint="eastAsia"/>
          <w:lang w:eastAsia="zh-CN"/>
        </w:rPr>
        <w:t>柒</w:t>
      </w:r>
      <w:r>
        <w:rPr>
          <w:rFonts w:hint="eastAsia"/>
        </w:rPr>
        <w:t>份，正本</w:t>
      </w:r>
      <w:r>
        <w:rPr>
          <w:rFonts w:hint="eastAsia"/>
          <w:lang w:eastAsia="zh-CN"/>
        </w:rPr>
        <w:t>两</w:t>
      </w:r>
      <w:r>
        <w:rPr>
          <w:rFonts w:hint="eastAsia"/>
        </w:rPr>
        <w:t>份，由甲乙双方各执</w:t>
      </w:r>
      <w:r>
        <w:rPr>
          <w:rFonts w:hint="eastAsia"/>
          <w:lang w:eastAsia="zh-CN"/>
        </w:rPr>
        <w:t>一</w:t>
      </w:r>
      <w:r>
        <w:rPr>
          <w:rFonts w:hint="eastAsia"/>
        </w:rPr>
        <w:t>份，副本</w:t>
      </w:r>
      <w:r>
        <w:rPr>
          <w:rFonts w:hint="eastAsia"/>
          <w:lang w:eastAsia="zh-CN"/>
        </w:rPr>
        <w:t>五</w:t>
      </w:r>
      <w:r>
        <w:rPr>
          <w:rFonts w:hint="eastAsia"/>
        </w:rPr>
        <w:t>份，由甲方执</w:t>
      </w:r>
      <w:r>
        <w:rPr>
          <w:rFonts w:hint="eastAsia"/>
          <w:lang w:eastAsia="zh-CN"/>
        </w:rPr>
        <w:t>四</w:t>
      </w:r>
      <w:r>
        <w:rPr>
          <w:rFonts w:hint="eastAsia"/>
        </w:rPr>
        <w:t>份，乙方执</w:t>
      </w:r>
      <w:r>
        <w:rPr>
          <w:rFonts w:hint="eastAsia"/>
          <w:lang w:eastAsia="zh-CN"/>
        </w:rPr>
        <w:t>一</w:t>
      </w:r>
      <w:r>
        <w:rPr>
          <w:rFonts w:hint="eastAsia"/>
        </w:rPr>
        <w:t>份，正副本均具同等法律效力。</w:t>
      </w:r>
    </w:p>
    <w:p>
      <w:pPr>
        <w:pStyle w:val="33"/>
        <w:ind w:firstLine="600"/>
      </w:pPr>
    </w:p>
    <w:p>
      <w:pPr>
        <w:pStyle w:val="33"/>
        <w:ind w:firstLine="600"/>
      </w:pPr>
      <w:r>
        <w:rPr>
          <w:rFonts w:hint="eastAsia"/>
        </w:rPr>
        <w:t>（以下无正文）</w:t>
      </w:r>
    </w:p>
    <w:p>
      <w:pPr>
        <w:pStyle w:val="33"/>
        <w:ind w:firstLine="0" w:firstLineChars="0"/>
        <w:rPr>
          <w:rStyle w:val="29"/>
          <w:rFonts w:ascii="仿宋" w:eastAsia="仿宋"/>
          <w:sz w:val="24"/>
          <w:szCs w:val="24"/>
          <w:lang w:val="zh-CN"/>
        </w:rPr>
      </w:pPr>
    </w:p>
    <w:p>
      <w:pPr>
        <w:pStyle w:val="33"/>
        <w:ind w:firstLine="0" w:firstLineChars="0"/>
        <w:rPr>
          <w:rStyle w:val="29"/>
          <w:rFonts w:ascii="仿宋" w:eastAsia="仿宋"/>
          <w:sz w:val="24"/>
          <w:szCs w:val="24"/>
          <w:lang w:val="zh-CN"/>
        </w:rPr>
      </w:pPr>
    </w:p>
    <w:p>
      <w:pPr>
        <w:pStyle w:val="33"/>
        <w:ind w:firstLine="0" w:firstLineChars="0"/>
        <w:rPr>
          <w:rStyle w:val="29"/>
          <w:rFonts w:hint="eastAsia" w:ascii="仿宋" w:eastAsia="仿宋"/>
          <w:sz w:val="24"/>
          <w:szCs w:val="24"/>
          <w:lang w:val="zh-CN"/>
        </w:rPr>
      </w:pP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3"/>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3"/>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3"/>
        <w:ind w:firstLine="0" w:firstLineChars="0"/>
      </w:pPr>
      <w:r>
        <w:rPr>
          <w:rFonts w:hint="eastAsia"/>
        </w:rPr>
        <w:t>通讯地址：</w:t>
      </w:r>
      <w:r>
        <w:t xml:space="preserve">                        </w:t>
      </w:r>
      <w:r>
        <w:rPr>
          <w:rFonts w:hint="eastAsia"/>
        </w:rPr>
        <w:t>通讯地址：</w:t>
      </w:r>
    </w:p>
    <w:p>
      <w:pPr>
        <w:pStyle w:val="33"/>
        <w:ind w:firstLine="0" w:firstLineChars="0"/>
      </w:pPr>
      <w:r>
        <w:rPr>
          <w:rFonts w:hint="eastAsia"/>
        </w:rPr>
        <w:t>邮箱：</w:t>
      </w:r>
      <w:r>
        <w:t xml:space="preserve">                            </w:t>
      </w:r>
      <w:r>
        <w:rPr>
          <w:rFonts w:hint="eastAsia"/>
        </w:rPr>
        <w:t>邮箱：</w:t>
      </w:r>
    </w:p>
    <w:p>
      <w:pPr>
        <w:pStyle w:val="33"/>
        <w:ind w:firstLine="0" w:firstLineChars="0"/>
      </w:pPr>
      <w:r>
        <w:rPr>
          <w:rFonts w:hint="eastAsia"/>
        </w:rPr>
        <w:t>联系人：</w:t>
      </w:r>
      <w:r>
        <w:t xml:space="preserve">                          联系人： </w:t>
      </w:r>
    </w:p>
    <w:p>
      <w:pPr>
        <w:pStyle w:val="33"/>
        <w:ind w:firstLine="0" w:firstLineChars="0"/>
      </w:pPr>
      <w:r>
        <w:rPr>
          <w:rFonts w:hint="eastAsia"/>
        </w:rPr>
        <w:t>联系电话及传真：</w:t>
      </w:r>
      <w:r>
        <w:t xml:space="preserve">                  联系电话及传真： </w:t>
      </w:r>
    </w:p>
    <w:p>
      <w:pPr>
        <w:pStyle w:val="33"/>
        <w:ind w:firstLine="0" w:firstLineChars="0"/>
      </w:pPr>
      <w:r>
        <w:rPr>
          <w:rFonts w:hint="eastAsia"/>
        </w:rPr>
        <w:t>开户银行：</w:t>
      </w:r>
      <w:r>
        <w:t xml:space="preserve">                        开户银行： </w:t>
      </w:r>
    </w:p>
    <w:p>
      <w:pPr>
        <w:pStyle w:val="33"/>
        <w:ind w:firstLine="0" w:firstLineChars="0"/>
      </w:pPr>
      <w:r>
        <w:rPr>
          <w:rFonts w:hint="eastAsia"/>
        </w:rPr>
        <w:t>账</w:t>
      </w:r>
      <w:r>
        <w:t xml:space="preserve">    号：                        </w:t>
      </w:r>
      <w:r>
        <w:rPr>
          <w:rFonts w:hint="eastAsia"/>
        </w:rPr>
        <w:t>账</w:t>
      </w:r>
      <w:r>
        <w:t xml:space="preserve">    号：</w:t>
      </w:r>
    </w:p>
    <w:p>
      <w:pPr>
        <w:pStyle w:val="33"/>
        <w:ind w:firstLine="480"/>
        <w:rPr>
          <w:rStyle w:val="29"/>
          <w:rFonts w:ascii="仿宋" w:eastAsia="仿宋"/>
          <w:sz w:val="24"/>
          <w:szCs w:val="24"/>
          <w:lang w:val="zh-CN"/>
        </w:rPr>
      </w:pPr>
      <w:r>
        <w:rPr>
          <w:rStyle w:val="29"/>
          <w:rFonts w:hint="eastAsia" w:ascii="仿宋" w:eastAsia="仿宋"/>
          <w:sz w:val="24"/>
          <w:szCs w:val="24"/>
          <w:lang w:val="zh-CN"/>
        </w:rPr>
        <w:t xml:space="preserve">   </w:t>
      </w:r>
      <w:bookmarkStart w:id="21" w:name="_GoBack"/>
      <w:bookmarkEnd w:id="21"/>
    </w:p>
    <w:p>
      <w:pPr>
        <w:pStyle w:val="33"/>
        <w:ind w:left="0" w:leftChars="0" w:firstLine="0" w:firstLineChars="0"/>
        <w:rPr>
          <w:rStyle w:val="29"/>
          <w:rFonts w:ascii="仿宋" w:eastAsia="仿宋"/>
          <w:sz w:val="24"/>
          <w:szCs w:val="24"/>
          <w:lang w:val="zh-CN"/>
        </w:rPr>
      </w:pPr>
    </w:p>
    <w:p>
      <w:pPr>
        <w:pStyle w:val="33"/>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3"/>
        <w:ind w:firstLine="0" w:firstLineChars="0"/>
        <w:rPr>
          <w:rFonts w:ascii="仿宋" w:hAnsi="仿宋" w:eastAsia="仿宋"/>
          <w:sz w:val="28"/>
          <w:szCs w:val="28"/>
        </w:rPr>
      </w:pPr>
      <w:r>
        <w:rPr>
          <w:rStyle w:val="29"/>
          <w:rFonts w:hint="eastAsia" w:ascii="仿宋_GB2312" w:hAnsi="仿宋" w:eastAsia="仿宋_GB2312" w:cs="宋体"/>
          <w:shd w:val="clear" w:color="auto" w:fill="auto"/>
        </w:rPr>
        <w:t>合同签订地点：重庆江北国际机场</w:t>
      </w:r>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06504C2"/>
    <w:multiLevelType w:val="singleLevel"/>
    <w:tmpl w:val="306504C2"/>
    <w:lvl w:ilvl="0" w:tentative="0">
      <w:start w:val="5"/>
      <w:numFmt w:val="chineseCounting"/>
      <w:suff w:val="space"/>
      <w:lvlText w:val="第%1条"/>
      <w:lvlJc w:val="left"/>
      <w:rPr>
        <w:rFonts w:hint="eastAsia"/>
      </w:rPr>
    </w:lvl>
  </w:abstractNum>
  <w:abstractNum w:abstractNumId="4">
    <w:nsid w:val="31CAE1A1"/>
    <w:multiLevelType w:val="singleLevel"/>
    <w:tmpl w:val="31CAE1A1"/>
    <w:lvl w:ilvl="0" w:tentative="0">
      <w:start w:val="1"/>
      <w:numFmt w:val="decimal"/>
      <w:suff w:val="space"/>
      <w:lvlText w:val="%1."/>
      <w:lvlJc w:val="left"/>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C3FC2"/>
    <w:rsid w:val="018E717F"/>
    <w:rsid w:val="02181EC4"/>
    <w:rsid w:val="02A46E6D"/>
    <w:rsid w:val="02B3063D"/>
    <w:rsid w:val="03802094"/>
    <w:rsid w:val="03E7101D"/>
    <w:rsid w:val="04665771"/>
    <w:rsid w:val="05A85490"/>
    <w:rsid w:val="05C348AA"/>
    <w:rsid w:val="06303ADD"/>
    <w:rsid w:val="06C224D8"/>
    <w:rsid w:val="06EA53BE"/>
    <w:rsid w:val="078C7E49"/>
    <w:rsid w:val="079018FC"/>
    <w:rsid w:val="08055B79"/>
    <w:rsid w:val="089F2064"/>
    <w:rsid w:val="09784596"/>
    <w:rsid w:val="0A4128CC"/>
    <w:rsid w:val="0ABE596D"/>
    <w:rsid w:val="0B8E1510"/>
    <w:rsid w:val="0C602DAE"/>
    <w:rsid w:val="0CA73612"/>
    <w:rsid w:val="0CE4660F"/>
    <w:rsid w:val="0CE916B0"/>
    <w:rsid w:val="0D0C014F"/>
    <w:rsid w:val="0DFF1D94"/>
    <w:rsid w:val="0E111F50"/>
    <w:rsid w:val="0E1A37EC"/>
    <w:rsid w:val="0F163E4A"/>
    <w:rsid w:val="0FAE70DB"/>
    <w:rsid w:val="0FDF27F8"/>
    <w:rsid w:val="10A9293F"/>
    <w:rsid w:val="10D558E9"/>
    <w:rsid w:val="10F6426C"/>
    <w:rsid w:val="11062AE5"/>
    <w:rsid w:val="11361A20"/>
    <w:rsid w:val="11B5427A"/>
    <w:rsid w:val="11BA6016"/>
    <w:rsid w:val="121C516C"/>
    <w:rsid w:val="123011DC"/>
    <w:rsid w:val="1231040E"/>
    <w:rsid w:val="13153DCE"/>
    <w:rsid w:val="13D54915"/>
    <w:rsid w:val="14986B18"/>
    <w:rsid w:val="14F252F4"/>
    <w:rsid w:val="153B1B31"/>
    <w:rsid w:val="161A41D1"/>
    <w:rsid w:val="162D1A17"/>
    <w:rsid w:val="16706AA1"/>
    <w:rsid w:val="173E08D2"/>
    <w:rsid w:val="179557FD"/>
    <w:rsid w:val="17987612"/>
    <w:rsid w:val="17C1228E"/>
    <w:rsid w:val="17E30F01"/>
    <w:rsid w:val="18211F2F"/>
    <w:rsid w:val="1866312B"/>
    <w:rsid w:val="18C630DC"/>
    <w:rsid w:val="19010836"/>
    <w:rsid w:val="191B6516"/>
    <w:rsid w:val="197C4F26"/>
    <w:rsid w:val="19E0001D"/>
    <w:rsid w:val="1A382BA3"/>
    <w:rsid w:val="1B1B12CE"/>
    <w:rsid w:val="1B604E10"/>
    <w:rsid w:val="1B686E8D"/>
    <w:rsid w:val="1BB26125"/>
    <w:rsid w:val="1C2D30C9"/>
    <w:rsid w:val="1C396B78"/>
    <w:rsid w:val="1CDA02E6"/>
    <w:rsid w:val="1D001212"/>
    <w:rsid w:val="1E371DA8"/>
    <w:rsid w:val="1E7F37CE"/>
    <w:rsid w:val="1E807EE5"/>
    <w:rsid w:val="1F2A1286"/>
    <w:rsid w:val="1F344700"/>
    <w:rsid w:val="1F7F0AA4"/>
    <w:rsid w:val="1FDA40DD"/>
    <w:rsid w:val="1FEB26DF"/>
    <w:rsid w:val="20871E46"/>
    <w:rsid w:val="20B03662"/>
    <w:rsid w:val="212D69FF"/>
    <w:rsid w:val="22372DAB"/>
    <w:rsid w:val="22436F24"/>
    <w:rsid w:val="22954336"/>
    <w:rsid w:val="22BD2EC0"/>
    <w:rsid w:val="233E5E03"/>
    <w:rsid w:val="23783B82"/>
    <w:rsid w:val="23F44062"/>
    <w:rsid w:val="248A0F69"/>
    <w:rsid w:val="24FF0154"/>
    <w:rsid w:val="250D6816"/>
    <w:rsid w:val="25F65132"/>
    <w:rsid w:val="25F9380B"/>
    <w:rsid w:val="26495518"/>
    <w:rsid w:val="26642C2D"/>
    <w:rsid w:val="273A061B"/>
    <w:rsid w:val="27A53421"/>
    <w:rsid w:val="28195BA6"/>
    <w:rsid w:val="28B8002B"/>
    <w:rsid w:val="28B8621D"/>
    <w:rsid w:val="29AF216D"/>
    <w:rsid w:val="2A230E1B"/>
    <w:rsid w:val="2A54084B"/>
    <w:rsid w:val="2AB651E5"/>
    <w:rsid w:val="2AF4532D"/>
    <w:rsid w:val="2B367F3A"/>
    <w:rsid w:val="2D3F3389"/>
    <w:rsid w:val="2D864F87"/>
    <w:rsid w:val="301B3F4E"/>
    <w:rsid w:val="31577B3D"/>
    <w:rsid w:val="31D66A4E"/>
    <w:rsid w:val="31F72331"/>
    <w:rsid w:val="320B6C86"/>
    <w:rsid w:val="32DD25AA"/>
    <w:rsid w:val="33885122"/>
    <w:rsid w:val="33B57AF6"/>
    <w:rsid w:val="34A80DC4"/>
    <w:rsid w:val="356E76FF"/>
    <w:rsid w:val="360E3DFD"/>
    <w:rsid w:val="38004A1C"/>
    <w:rsid w:val="3848196C"/>
    <w:rsid w:val="38C03DD3"/>
    <w:rsid w:val="3976345B"/>
    <w:rsid w:val="39D17654"/>
    <w:rsid w:val="39EB1183"/>
    <w:rsid w:val="3A6050BC"/>
    <w:rsid w:val="3A7A2A0F"/>
    <w:rsid w:val="3AB17D79"/>
    <w:rsid w:val="3B0E1741"/>
    <w:rsid w:val="3B552005"/>
    <w:rsid w:val="3B747DBD"/>
    <w:rsid w:val="3BDB2171"/>
    <w:rsid w:val="3C3B6390"/>
    <w:rsid w:val="3C5073DC"/>
    <w:rsid w:val="3CB052D8"/>
    <w:rsid w:val="3D185DAE"/>
    <w:rsid w:val="3D6876D5"/>
    <w:rsid w:val="3F0639EB"/>
    <w:rsid w:val="3F1E793B"/>
    <w:rsid w:val="3F203902"/>
    <w:rsid w:val="3F2C7E18"/>
    <w:rsid w:val="3F9D7BA8"/>
    <w:rsid w:val="3FD20193"/>
    <w:rsid w:val="408B511D"/>
    <w:rsid w:val="409E27CE"/>
    <w:rsid w:val="412E42F8"/>
    <w:rsid w:val="41B65EC5"/>
    <w:rsid w:val="425F1F43"/>
    <w:rsid w:val="428C0DE7"/>
    <w:rsid w:val="435035D8"/>
    <w:rsid w:val="43AC5AF0"/>
    <w:rsid w:val="43DC60EF"/>
    <w:rsid w:val="4410450A"/>
    <w:rsid w:val="44AE284D"/>
    <w:rsid w:val="44AF5A4F"/>
    <w:rsid w:val="45004613"/>
    <w:rsid w:val="45922750"/>
    <w:rsid w:val="45B67D59"/>
    <w:rsid w:val="45C16F0F"/>
    <w:rsid w:val="45FB0E31"/>
    <w:rsid w:val="464C30F1"/>
    <w:rsid w:val="464F71B1"/>
    <w:rsid w:val="46E0157B"/>
    <w:rsid w:val="47545A08"/>
    <w:rsid w:val="481A0AB7"/>
    <w:rsid w:val="48296430"/>
    <w:rsid w:val="482F185E"/>
    <w:rsid w:val="4872612F"/>
    <w:rsid w:val="489B5E93"/>
    <w:rsid w:val="48B94489"/>
    <w:rsid w:val="48D42B38"/>
    <w:rsid w:val="490F6DC9"/>
    <w:rsid w:val="49270B4E"/>
    <w:rsid w:val="497F4582"/>
    <w:rsid w:val="4A981808"/>
    <w:rsid w:val="4B116AA8"/>
    <w:rsid w:val="4B13154B"/>
    <w:rsid w:val="4B3E6C8C"/>
    <w:rsid w:val="4C3F20F8"/>
    <w:rsid w:val="4CE4227D"/>
    <w:rsid w:val="4D6B0605"/>
    <w:rsid w:val="4EA5147F"/>
    <w:rsid w:val="4EEF7B4A"/>
    <w:rsid w:val="4F0F3BCD"/>
    <w:rsid w:val="4F8662CB"/>
    <w:rsid w:val="4F99713F"/>
    <w:rsid w:val="50941A1E"/>
    <w:rsid w:val="50A547D7"/>
    <w:rsid w:val="50AF54C6"/>
    <w:rsid w:val="50D34CF2"/>
    <w:rsid w:val="51575F2A"/>
    <w:rsid w:val="5162688D"/>
    <w:rsid w:val="51BD7E67"/>
    <w:rsid w:val="51D01CED"/>
    <w:rsid w:val="521C4028"/>
    <w:rsid w:val="52392F68"/>
    <w:rsid w:val="52787D79"/>
    <w:rsid w:val="52A04BF7"/>
    <w:rsid w:val="52DB4270"/>
    <w:rsid w:val="530A1FAD"/>
    <w:rsid w:val="533066E0"/>
    <w:rsid w:val="559E539F"/>
    <w:rsid w:val="55E43E22"/>
    <w:rsid w:val="55F9159D"/>
    <w:rsid w:val="57A71AC0"/>
    <w:rsid w:val="580E4C35"/>
    <w:rsid w:val="59201D64"/>
    <w:rsid w:val="592C572C"/>
    <w:rsid w:val="59B118A3"/>
    <w:rsid w:val="59E7564B"/>
    <w:rsid w:val="5B045400"/>
    <w:rsid w:val="5B263B94"/>
    <w:rsid w:val="5BD822A2"/>
    <w:rsid w:val="5C07659D"/>
    <w:rsid w:val="5C81179D"/>
    <w:rsid w:val="5CA02972"/>
    <w:rsid w:val="5CA1620D"/>
    <w:rsid w:val="5CAD2788"/>
    <w:rsid w:val="5DE153CD"/>
    <w:rsid w:val="5E0602B3"/>
    <w:rsid w:val="5EDB1DE2"/>
    <w:rsid w:val="5F847D27"/>
    <w:rsid w:val="5FB06356"/>
    <w:rsid w:val="5FB1564D"/>
    <w:rsid w:val="60681418"/>
    <w:rsid w:val="60E40975"/>
    <w:rsid w:val="61B940D2"/>
    <w:rsid w:val="61BC02CC"/>
    <w:rsid w:val="62A42FFB"/>
    <w:rsid w:val="62E51B8E"/>
    <w:rsid w:val="637E39F9"/>
    <w:rsid w:val="63830813"/>
    <w:rsid w:val="63D4533E"/>
    <w:rsid w:val="63F36A66"/>
    <w:rsid w:val="641C40B3"/>
    <w:rsid w:val="659D1B2C"/>
    <w:rsid w:val="66485044"/>
    <w:rsid w:val="665F5050"/>
    <w:rsid w:val="66D87FC4"/>
    <w:rsid w:val="67145425"/>
    <w:rsid w:val="67427EDF"/>
    <w:rsid w:val="67735F4F"/>
    <w:rsid w:val="679954FE"/>
    <w:rsid w:val="67A54B70"/>
    <w:rsid w:val="689564E5"/>
    <w:rsid w:val="69750E21"/>
    <w:rsid w:val="6AC764AF"/>
    <w:rsid w:val="6B486D6E"/>
    <w:rsid w:val="6B6009AB"/>
    <w:rsid w:val="6B823BFF"/>
    <w:rsid w:val="6B827130"/>
    <w:rsid w:val="6BE72370"/>
    <w:rsid w:val="6CBB1003"/>
    <w:rsid w:val="6CF73FDD"/>
    <w:rsid w:val="6D304977"/>
    <w:rsid w:val="6D3F2877"/>
    <w:rsid w:val="6E0932FE"/>
    <w:rsid w:val="6E13339B"/>
    <w:rsid w:val="6E330B54"/>
    <w:rsid w:val="6E6322D0"/>
    <w:rsid w:val="6E7578B1"/>
    <w:rsid w:val="6EFF2EBA"/>
    <w:rsid w:val="6F12208A"/>
    <w:rsid w:val="6F221C48"/>
    <w:rsid w:val="6F2269C8"/>
    <w:rsid w:val="6FB252E1"/>
    <w:rsid w:val="701B4627"/>
    <w:rsid w:val="70FC70D9"/>
    <w:rsid w:val="711C32B6"/>
    <w:rsid w:val="71691C92"/>
    <w:rsid w:val="71770C0D"/>
    <w:rsid w:val="718158EC"/>
    <w:rsid w:val="71C205AB"/>
    <w:rsid w:val="73D87AE5"/>
    <w:rsid w:val="74190DDA"/>
    <w:rsid w:val="74277064"/>
    <w:rsid w:val="74370548"/>
    <w:rsid w:val="74C15EB9"/>
    <w:rsid w:val="74DA6FAD"/>
    <w:rsid w:val="75391A72"/>
    <w:rsid w:val="757252C3"/>
    <w:rsid w:val="758D0F38"/>
    <w:rsid w:val="75DD22A0"/>
    <w:rsid w:val="769E5974"/>
    <w:rsid w:val="76B5538F"/>
    <w:rsid w:val="76FA00CF"/>
    <w:rsid w:val="772D00BF"/>
    <w:rsid w:val="77D5047C"/>
    <w:rsid w:val="78285CF0"/>
    <w:rsid w:val="78421E77"/>
    <w:rsid w:val="78C37FE4"/>
    <w:rsid w:val="78F15EC0"/>
    <w:rsid w:val="78FC4B3F"/>
    <w:rsid w:val="79D824D6"/>
    <w:rsid w:val="79E43803"/>
    <w:rsid w:val="7A415C17"/>
    <w:rsid w:val="7A433BB5"/>
    <w:rsid w:val="7AC21D09"/>
    <w:rsid w:val="7BD931CA"/>
    <w:rsid w:val="7C6D73B3"/>
    <w:rsid w:val="7C8C462F"/>
    <w:rsid w:val="7CCC022A"/>
    <w:rsid w:val="7D6110D0"/>
    <w:rsid w:val="7DF61BB7"/>
    <w:rsid w:val="7E1E6164"/>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unhideWhenUsed/>
    <w:qFormat/>
    <w:uiPriority w:val="99"/>
    <w:pPr>
      <w:spacing w:after="120"/>
    </w:pPr>
  </w:style>
  <w:style w:type="paragraph" w:styleId="7">
    <w:name w:val="Body Text Indent"/>
    <w:basedOn w:val="1"/>
    <w:qFormat/>
    <w:uiPriority w:val="0"/>
    <w:pPr>
      <w:spacing w:after="120"/>
      <w:ind w:left="420" w:leftChars="200"/>
    </w:pPr>
  </w:style>
  <w:style w:type="paragraph" w:styleId="8">
    <w:name w:val="toc 3"/>
    <w:basedOn w:val="1"/>
    <w:next w:val="1"/>
    <w:unhideWhenUsed/>
    <w:qFormat/>
    <w:locked/>
    <w:uiPriority w:val="39"/>
    <w:pPr>
      <w:ind w:left="840" w:leftChars="400"/>
    </w:pPr>
  </w:style>
  <w:style w:type="paragraph" w:styleId="9">
    <w:name w:val="Plain Text"/>
    <w:basedOn w:val="1"/>
    <w:link w:val="31"/>
    <w:qFormat/>
    <w:uiPriority w:val="0"/>
    <w:rPr>
      <w:rFonts w:ascii="宋体" w:hAnsi="Courier New" w:cs="金山简魏碑"/>
      <w:szCs w:val="21"/>
    </w:rPr>
  </w:style>
  <w:style w:type="paragraph" w:styleId="10">
    <w:name w:val="Balloon Text"/>
    <w:basedOn w:val="1"/>
    <w:link w:val="20"/>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10"/>
    <w:semiHidden/>
    <w:qFormat/>
    <w:locked/>
    <w:uiPriority w:val="99"/>
    <w:rPr>
      <w:rFonts w:ascii="Times New Roman" w:hAnsi="Times New Roman"/>
      <w:kern w:val="2"/>
      <w:sz w:val="18"/>
    </w:rPr>
  </w:style>
  <w:style w:type="character" w:customStyle="1" w:styleId="21">
    <w:name w:val="页脚 字符"/>
    <w:basedOn w:val="16"/>
    <w:link w:val="11"/>
    <w:qFormat/>
    <w:locked/>
    <w:uiPriority w:val="99"/>
    <w:rPr>
      <w:sz w:val="18"/>
    </w:rPr>
  </w:style>
  <w:style w:type="character" w:customStyle="1" w:styleId="22">
    <w:name w:val="页眉 字符"/>
    <w:basedOn w:val="16"/>
    <w:link w:val="12"/>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6"/>
    <w:link w:val="9"/>
    <w:qFormat/>
    <w:uiPriority w:val="0"/>
    <w:rPr>
      <w:rFonts w:ascii="宋体" w:hAnsi="Courier New" w:cs="金山简魏碑"/>
      <w:kern w:val="2"/>
      <w:sz w:val="21"/>
      <w:szCs w:val="21"/>
    </w:rPr>
  </w:style>
  <w:style w:type="paragraph" w:customStyle="1" w:styleId="32">
    <w:name w:val="图例"/>
    <w:basedOn w:val="1"/>
    <w:qFormat/>
    <w:uiPriority w:val="0"/>
    <w:pPr>
      <w:spacing w:before="120" w:after="120" w:line="360" w:lineRule="auto"/>
      <w:jc w:val="center"/>
    </w:pPr>
    <w:rPr>
      <w:rFonts w:eastAsia="仿宋_GB2312"/>
      <w:b/>
      <w:sz w:val="24"/>
      <w:szCs w:val="20"/>
    </w:rPr>
  </w:style>
  <w:style w:type="paragraph" w:customStyle="1" w:styleId="33">
    <w:name w:val="zjb正文"/>
    <w:basedOn w:val="1"/>
    <w:link w:val="3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zjb正文 字符"/>
    <w:basedOn w:val="16"/>
    <w:link w:val="3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7</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2021-09-09T01:42:56Z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