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highlight w:val="none"/>
        </w:rPr>
      </w:pPr>
    </w:p>
    <w:p>
      <w:pPr>
        <w:jc w:val="center"/>
        <w:rPr>
          <w:rFonts w:ascii="仿宋" w:hAnsi="仿宋" w:eastAsia="仿宋"/>
          <w:b/>
          <w:sz w:val="36"/>
          <w:szCs w:val="36"/>
          <w:highlight w:val="none"/>
        </w:rPr>
      </w:pPr>
      <w:r>
        <w:rPr>
          <w:rFonts w:hint="eastAsia" w:ascii="仿宋" w:hAnsi="仿宋" w:eastAsia="仿宋"/>
          <w:b/>
          <w:sz w:val="36"/>
          <w:szCs w:val="36"/>
          <w:highlight w:val="none"/>
        </w:rPr>
        <w:t>重庆机场集团展览馆（弱电）项目设备采购部分</w:t>
      </w:r>
    </w:p>
    <w:p>
      <w:pPr>
        <w:jc w:val="center"/>
        <w:rPr>
          <w:rFonts w:ascii="仿宋" w:hAnsi="仿宋" w:eastAsia="仿宋"/>
          <w:b/>
          <w:sz w:val="36"/>
          <w:szCs w:val="36"/>
          <w:highlight w:val="none"/>
        </w:rPr>
      </w:pPr>
      <w:r>
        <w:rPr>
          <w:rFonts w:hint="eastAsia" w:ascii="仿宋" w:hAnsi="仿宋" w:eastAsia="仿宋"/>
          <w:b/>
          <w:sz w:val="36"/>
          <w:szCs w:val="36"/>
          <w:highlight w:val="none"/>
        </w:rPr>
        <w:t>比选文件</w:t>
      </w:r>
    </w:p>
    <w:p>
      <w:pPr>
        <w:jc w:val="center"/>
        <w:rPr>
          <w:rFonts w:ascii="仿宋" w:hAnsi="仿宋" w:eastAsia="仿宋"/>
          <w:b/>
          <w:sz w:val="32"/>
          <w:highlight w:val="none"/>
        </w:rPr>
      </w:pPr>
    </w:p>
    <w:p>
      <w:pPr>
        <w:jc w:val="center"/>
        <w:rPr>
          <w:rFonts w:hint="eastAsia" w:ascii="仿宋" w:hAnsi="仿宋" w:eastAsia="仿宋"/>
          <w:b/>
          <w:sz w:val="52"/>
          <w:highlight w:val="none"/>
          <w:lang w:val="en-US" w:eastAsia="zh-CN"/>
        </w:rPr>
      </w:pPr>
      <w:r>
        <w:rPr>
          <w:rFonts w:hint="eastAsia" w:ascii="仿宋" w:hAnsi="仿宋" w:eastAsia="仿宋"/>
          <w:b/>
          <w:sz w:val="32"/>
          <w:highlight w:val="none"/>
        </w:rPr>
        <w:t>编号：采购202100</w:t>
      </w:r>
      <w:r>
        <w:rPr>
          <w:rFonts w:hint="eastAsia" w:ascii="仿宋" w:hAnsi="仿宋" w:eastAsia="仿宋"/>
          <w:b/>
          <w:sz w:val="32"/>
          <w:highlight w:val="none"/>
          <w:lang w:val="en-US" w:eastAsia="zh-CN"/>
        </w:rPr>
        <w:t>8</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二〇二一年八月</w:t>
      </w:r>
    </w:p>
    <w:p>
      <w:pPr>
        <w:jc w:val="center"/>
        <w:rPr>
          <w:rFonts w:ascii="仿宋" w:hAnsi="仿宋" w:eastAsia="仿宋"/>
          <w:b/>
          <w:sz w:val="36"/>
          <w:szCs w:val="36"/>
        </w:rPr>
      </w:pPr>
      <w:r>
        <w:rPr>
          <w:rFonts w:ascii="仿宋" w:hAnsi="仿宋" w:eastAsia="仿宋"/>
          <w:b/>
          <w:sz w:val="52"/>
        </w:rPr>
        <w:br w:type="page"/>
      </w:r>
      <w:r>
        <w:rPr>
          <w:rFonts w:hint="eastAsia" w:ascii="仿宋" w:hAnsi="仿宋" w:eastAsia="仿宋"/>
          <w:b/>
          <w:sz w:val="36"/>
          <w:szCs w:val="36"/>
        </w:rPr>
        <w:t>重庆机场集团展览馆(弱电）项目设备采购部分</w:t>
      </w:r>
    </w:p>
    <w:p>
      <w:pPr>
        <w:jc w:val="center"/>
        <w:rPr>
          <w:rFonts w:ascii="仿宋" w:hAnsi="仿宋" w:eastAsia="仿宋"/>
          <w:b/>
          <w:sz w:val="44"/>
          <w:szCs w:val="44"/>
        </w:rPr>
      </w:pPr>
      <w:r>
        <w:rPr>
          <w:rFonts w:hint="eastAsia" w:ascii="仿宋" w:hAnsi="仿宋" w:eastAsia="仿宋"/>
          <w:b/>
          <w:sz w:val="36"/>
          <w:szCs w:val="36"/>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我司决定于近期将对重庆机场集团展览馆(弱电）项目设备采购部分邀请符合相应条件的供应商就本项目进行比选。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1.1.3具有有效营业执照（须提供营业执照复印件加盖鲜章）；</w:t>
      </w:r>
    </w:p>
    <w:p>
      <w:pPr>
        <w:widowControl/>
        <w:spacing w:line="360" w:lineRule="auto"/>
        <w:ind w:firstLine="570"/>
      </w:pPr>
      <w:r>
        <w:rPr>
          <w:rFonts w:hint="eastAsia" w:ascii="仿宋" w:hAnsi="仿宋" w:eastAsia="仿宋"/>
          <w:sz w:val="28"/>
          <w:szCs w:val="28"/>
        </w:rPr>
        <w:t>1.1.4信誉要求：响应单位未被“信用中国”网站（www.creditchina.gov.cn）列为失信被执行人,在投标文件中提供相关查询截图并加盖鲜章；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（须为响应单位在职员工）</w:t>
      </w:r>
      <w:r>
        <w:rPr>
          <w:rFonts w:hint="eastAsia" w:ascii="仿宋" w:hAnsi="仿宋" w:eastAsia="仿宋"/>
          <w:sz w:val="28"/>
          <w:szCs w:val="28"/>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1.2.1本项目拟在重庆机场集团展览馆内安装1套LED屏、15块触摸一体机、5台投影机及2套音箱、1套灯光控制系统、1套WIFI系统、4套监控摄像机等。在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以及完成本项目所需的其它所有费用，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highlight w:val="none"/>
        </w:rPr>
        <w:t>本项目最高限价为123.4万元（含税）（大写：壹佰贰拾叁万肆仟元整），报</w:t>
      </w:r>
      <w:r>
        <w:rPr>
          <w:rFonts w:hint="eastAsia" w:ascii="仿宋" w:hAnsi="仿宋" w:eastAsia="仿宋"/>
          <w:sz w:val="28"/>
          <w:szCs w:val="28"/>
        </w:rPr>
        <w:t>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2.1有效营业执照（须提供营业执照复印件加盖鲜章）；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2.2信誉要求：响应单位未被“信用中国”网站（www.creditchina.gov.cn）列为失信被执行人,在投标文件中提供相关查询截图并加盖鲜章；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2.5被授权人身份证复印件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（须为响应单位在职员工）</w:t>
      </w:r>
      <w:r>
        <w:rPr>
          <w:rFonts w:hint="eastAsia" w:ascii="仿宋" w:hAnsi="仿宋" w:eastAsia="仿宋"/>
          <w:sz w:val="28"/>
          <w:szCs w:val="28"/>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重庆机场集团展览馆(弱电）项目设备采购部分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具体比选成交标准如下：</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小组可以继续评审，根据符合采购需求、质量和服务，且报价最低的原则确定成交候选人。</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w:t>
      </w:r>
      <w:r>
        <w:rPr>
          <w:rFonts w:hint="eastAsia" w:ascii="仿宋" w:hAnsi="仿宋" w:eastAsia="仿宋"/>
          <w:kern w:val="0"/>
          <w:sz w:val="28"/>
          <w:szCs w:val="28"/>
          <w:highlight w:val="none"/>
        </w:rPr>
        <w:t>商，请于</w:t>
      </w:r>
      <w:r>
        <w:rPr>
          <w:rFonts w:hint="eastAsia" w:ascii="仿宋" w:hAnsi="仿宋" w:eastAsia="仿宋"/>
          <w:kern w:val="0"/>
          <w:sz w:val="28"/>
          <w:szCs w:val="28"/>
          <w:highlight w:val="none"/>
          <w:u w:val="single"/>
        </w:rPr>
        <w:t>2021年</w:t>
      </w:r>
      <w:r>
        <w:rPr>
          <w:rFonts w:hint="eastAsia" w:ascii="仿宋" w:hAnsi="仿宋" w:eastAsia="仿宋"/>
          <w:kern w:val="0"/>
          <w:sz w:val="28"/>
          <w:szCs w:val="28"/>
          <w:highlight w:val="none"/>
          <w:u w:val="single"/>
          <w:lang w:val="en-US" w:eastAsia="zh-CN"/>
        </w:rPr>
        <w:t>8</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27</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w:t>
      </w:r>
      <w:r>
        <w:rPr>
          <w:rFonts w:hint="eastAsia" w:ascii="仿宋" w:hAnsi="仿宋" w:eastAsia="仿宋"/>
          <w:kern w:val="0"/>
          <w:sz w:val="28"/>
          <w:szCs w:val="28"/>
        </w:rPr>
        <w:t>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设备到货验收合格后，甲方收到乙方开具的增值税发票后15个工作日内</w:t>
      </w:r>
      <w:r>
        <w:rPr>
          <w:rFonts w:ascii="仿宋" w:hAnsi="仿宋" w:eastAsia="仿宋"/>
          <w:sz w:val="28"/>
          <w:szCs w:val="28"/>
        </w:rPr>
        <w:t>支付到</w:t>
      </w:r>
      <w:r>
        <w:rPr>
          <w:rFonts w:hint="eastAsia" w:ascii="仿宋" w:hAnsi="仿宋" w:eastAsia="仿宋"/>
          <w:sz w:val="28"/>
          <w:szCs w:val="28"/>
        </w:rPr>
        <w:t>合同总额的97</w:t>
      </w:r>
      <w:r>
        <w:rPr>
          <w:rFonts w:ascii="仿宋" w:hAnsi="仿宋" w:eastAsia="仿宋"/>
          <w:sz w:val="28"/>
          <w:szCs w:val="28"/>
        </w:rPr>
        <w:t>%</w:t>
      </w:r>
      <w:r>
        <w:rPr>
          <w:rFonts w:hint="eastAsia" w:ascii="仿宋" w:hAnsi="仿宋" w:eastAsia="仿宋"/>
          <w:sz w:val="28"/>
          <w:szCs w:val="28"/>
        </w:rPr>
        <w:t>，质保期结束无质量问题后支付剩下3</w:t>
      </w:r>
      <w:r>
        <w:rPr>
          <w:rFonts w:ascii="仿宋" w:hAnsi="仿宋" w:eastAsia="仿宋"/>
          <w:sz w:val="28"/>
          <w:szCs w:val="28"/>
        </w:rPr>
        <w:t>%</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ascii="仿宋" w:hAnsi="仿宋" w:eastAsia="仿宋"/>
          <w:sz w:val="28"/>
          <w:szCs w:val="28"/>
          <w:highlight w:val="yellow"/>
          <w:u w:val="single"/>
        </w:rPr>
        <w:t>30</w:t>
      </w:r>
      <w:r>
        <w:rPr>
          <w:rFonts w:hint="eastAsia" w:ascii="仿宋" w:hAnsi="仿宋" w:eastAsia="仿宋"/>
          <w:sz w:val="28"/>
          <w:szCs w:val="28"/>
          <w:highlight w:val="yellow"/>
        </w:rPr>
        <w:t>个</w:t>
      </w:r>
      <w:r>
        <w:rPr>
          <w:rFonts w:ascii="仿宋" w:hAnsi="仿宋" w:eastAsia="仿宋"/>
          <w:sz w:val="28"/>
          <w:szCs w:val="28"/>
          <w:highlight w:val="yellow"/>
        </w:rPr>
        <w:t>日历</w:t>
      </w:r>
      <w:r>
        <w:rPr>
          <w:rFonts w:hint="eastAsia" w:ascii="仿宋" w:hAnsi="仿宋" w:eastAsia="仿宋"/>
          <w:sz w:val="28"/>
          <w:szCs w:val="28"/>
          <w:highlight w:val="yellow"/>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信誉记录、一般纳税人资格证明盖鲜章或者小规模纳税人资格证明盖鲜章、法定代表人授权书和法定代表人身份证复印件、被授权人身份证复印件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w:t>
      </w:r>
      <w:r>
        <w:rPr>
          <w:rFonts w:hint="eastAsia" w:ascii="仿宋" w:hAnsi="仿宋" w:eastAsia="仿宋" w:cs="仿宋"/>
          <w:b/>
          <w:bCs/>
          <w:sz w:val="28"/>
          <w:szCs w:val="28"/>
          <w:u w:val="single"/>
          <w:lang w:val="zh-CN"/>
        </w:rPr>
        <w:t>盖章后的扫描件</w:t>
      </w:r>
      <w:r>
        <w:rPr>
          <w:rFonts w:hint="eastAsia" w:ascii="仿宋" w:hAnsi="仿宋" w:eastAsia="仿宋" w:cs="仿宋"/>
          <w:b/>
          <w:bCs/>
          <w:sz w:val="28"/>
          <w:szCs w:val="28"/>
          <w:u w:val="single"/>
        </w:rPr>
        <w:t>PDF格式</w:t>
      </w:r>
      <w:r>
        <w:rPr>
          <w:rFonts w:hint="eastAsia" w:ascii="仿宋" w:hAnsi="仿宋" w:eastAsia="仿宋" w:cs="仿宋"/>
          <w:sz w:val="28"/>
          <w:szCs w:val="28"/>
          <w:u w:val="single"/>
          <w:lang w:val="zh-CN"/>
        </w:rPr>
        <w:t>）</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highlight w:val="yellow"/>
        </w:rPr>
        <w:t>在</w:t>
      </w:r>
      <w:r>
        <w:rPr>
          <w:rFonts w:hint="eastAsia" w:ascii="仿宋" w:hAnsi="仿宋" w:eastAsia="仿宋" w:cs="仿宋"/>
          <w:sz w:val="28"/>
          <w:szCs w:val="28"/>
          <w:highlight w:val="yellow"/>
          <w:u w:val="single"/>
        </w:rPr>
        <w:t>2021年</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月</w:t>
      </w:r>
      <w:r>
        <w:rPr>
          <w:rFonts w:hint="eastAsia" w:ascii="仿宋" w:hAnsi="仿宋" w:eastAsia="仿宋" w:cs="仿宋"/>
          <w:sz w:val="28"/>
          <w:szCs w:val="28"/>
          <w:highlight w:val="yellow"/>
          <w:u w:val="single"/>
          <w:lang w:val="en-US" w:eastAsia="zh-CN"/>
        </w:rPr>
        <w:t>2</w:t>
      </w:r>
      <w:r>
        <w:rPr>
          <w:rFonts w:hint="eastAsia" w:ascii="仿宋" w:hAnsi="仿宋" w:eastAsia="仿宋" w:cs="仿宋"/>
          <w:sz w:val="28"/>
          <w:szCs w:val="28"/>
          <w:highlight w:val="yellow"/>
          <w:u w:val="single"/>
        </w:rPr>
        <w:t>日9:00至9:30时</w:t>
      </w:r>
      <w:r>
        <w:rPr>
          <w:rFonts w:hint="eastAsia" w:ascii="仿宋" w:hAnsi="仿宋" w:eastAsia="仿宋"/>
          <w:sz w:val="28"/>
          <w:szCs w:val="28"/>
          <w:highlight w:val="yellow"/>
        </w:rPr>
        <w:t>前</w:t>
      </w:r>
      <w:r>
        <w:rPr>
          <w:rFonts w:hint="eastAsia" w:ascii="仿宋" w:hAnsi="仿宋" w:eastAsia="仿宋"/>
          <w:sz w:val="28"/>
          <w:szCs w:val="28"/>
        </w:rPr>
        <w:t>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2021</w:t>
      </w:r>
      <w:r>
        <w:rPr>
          <w:rFonts w:hint="eastAsia" w:ascii="仿宋" w:hAnsi="仿宋" w:eastAsia="仿宋" w:cs="仿宋"/>
          <w:sz w:val="28"/>
          <w:szCs w:val="28"/>
          <w:highlight w:val="yellow"/>
          <w:u w:val="single"/>
        </w:rPr>
        <w:t>年</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月</w:t>
      </w:r>
      <w:r>
        <w:rPr>
          <w:rFonts w:hint="eastAsia" w:ascii="仿宋" w:hAnsi="仿宋" w:eastAsia="仿宋" w:cs="仿宋"/>
          <w:sz w:val="28"/>
          <w:szCs w:val="28"/>
          <w:highlight w:val="yellow"/>
          <w:u w:val="single"/>
          <w:lang w:val="en-US" w:eastAsia="zh-CN"/>
        </w:rPr>
        <w:t>2</w:t>
      </w:r>
      <w:bookmarkStart w:id="0" w:name="_GoBack"/>
      <w:bookmarkEnd w:id="0"/>
      <w:r>
        <w:rPr>
          <w:rFonts w:hint="eastAsia" w:ascii="仿宋" w:hAnsi="仿宋" w:eastAsia="仿宋" w:cs="仿宋"/>
          <w:sz w:val="28"/>
          <w:szCs w:val="28"/>
          <w:highlight w:val="yellow"/>
          <w:u w:val="single"/>
        </w:rPr>
        <w:t>日9</w:t>
      </w:r>
      <w:r>
        <w:rPr>
          <w:rFonts w:hint="eastAsia" w:ascii="仿宋" w:hAnsi="仿宋" w:eastAsia="仿宋" w:cs="仿宋"/>
          <w:sz w:val="28"/>
          <w:szCs w:val="28"/>
          <w:u w:val="single"/>
        </w:rPr>
        <w:t>:30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rPr>
      </w:pPr>
      <w:r>
        <w:rPr>
          <w:rFonts w:hint="eastAsia" w:ascii="仿宋" w:hAnsi="仿宋" w:eastAsia="仿宋"/>
          <w:b/>
          <w:sz w:val="36"/>
          <w:szCs w:val="36"/>
        </w:rPr>
        <w:t>重庆机场集团展览馆(弱电）项目设备采购部分合同范本</w:t>
      </w:r>
    </w:p>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rPr>
        <w:t>重庆机场集团展览馆(弱电）项目设备采购部分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0"/>
        <w:tblW w:w="10126" w:type="dxa"/>
        <w:jc w:val="center"/>
        <w:tblLayout w:type="fixed"/>
        <w:tblCellMar>
          <w:top w:w="0" w:type="dxa"/>
          <w:left w:w="0" w:type="dxa"/>
          <w:bottom w:w="0" w:type="dxa"/>
          <w:right w:w="0" w:type="dxa"/>
        </w:tblCellMar>
      </w:tblPr>
      <w:tblGrid>
        <w:gridCol w:w="567"/>
        <w:gridCol w:w="1222"/>
        <w:gridCol w:w="4412"/>
        <w:gridCol w:w="600"/>
        <w:gridCol w:w="705"/>
        <w:gridCol w:w="660"/>
        <w:gridCol w:w="980"/>
        <w:gridCol w:w="980"/>
      </w:tblGrid>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12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材料名称</w:t>
            </w:r>
          </w:p>
        </w:tc>
        <w:tc>
          <w:tcPr>
            <w:tcW w:w="4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品牌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价格（元）（含税）</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服务器机柜</w:t>
            </w:r>
          </w:p>
        </w:tc>
        <w:tc>
          <w:tcPr>
            <w:tcW w:w="44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800×600×42U</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图腾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平板</w:t>
            </w:r>
          </w:p>
        </w:tc>
        <w:tc>
          <w:tcPr>
            <w:tcW w:w="44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6G+128G+10.4寸</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华为</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灯光微机处理通信控制器</w:t>
            </w:r>
          </w:p>
        </w:tc>
        <w:tc>
          <w:tcPr>
            <w:tcW w:w="44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8路、单通道、20A、网络式</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工业投影机</w:t>
            </w:r>
          </w:p>
        </w:tc>
        <w:tc>
          <w:tcPr>
            <w:tcW w:w="44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LU9245（含吊架1.技术：DLP，标准分辨率：1920×1200，亮度：7000流明，对比度：3000000:1；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2.光源系统：激光二极管；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3.光源寿命：20000小时（正常模式）；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4.投射比范围覆盖0.5-5.18，选配不小于7组镜头（同一品牌镜头）；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5.镜头支持移动功能(最大)水平：±5%，垂直：-15-55%；</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6.内置HDBaseT接收器，通过RJ45网线及选配的HDBaseT发射器，支持100米距离传送视频、音频及控制信号；</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7.四角校正功能（能够对四个角分别调整）；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8.梯形校正范围：2D 水平/垂直 ±30°；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9.支持蓝光3D/ IR 3D/ DLP-Link 3D；</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10.DICOM模拟模式能够再现高度清晰的X-线图像；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11.液冷散热统，内置9组散热风扇；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12.接口：VGA输入×1\VGA输出×1\DVI-D×1\HDMI×2\Video×1\5BNC×1\RJ45×1(支持网络远程控制)\ USB(Type A)×1\ USB(Type B)×1\12V电源输出×1\RS232×2(in/out)\有线遥控(Mini Jack)×2(in/out)\HDBaseT标准(RJ45)×1(独立接口)等；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13.支持一个遥控器分别独立控制不低于20台投影机（互不干扰）；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14.支持RS232串口环接、3D同步输入输出接口环接功能；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15.具有局域网分组定时开关机、预监投影机状态、远程设置投影机参数等功能；</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16.真空密封激光模组以及密封光引擎将DMD芯片和所有内部组件有效保护起来；</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明基</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功率放大器</w:t>
            </w:r>
          </w:p>
        </w:tc>
        <w:tc>
          <w:tcPr>
            <w:tcW w:w="44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MP1500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迪士普</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吸顶音箱</w:t>
            </w:r>
          </w:p>
        </w:tc>
        <w:tc>
          <w:tcPr>
            <w:tcW w:w="44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DSP916</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迪士普</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32寸触摸一体机</w:t>
            </w:r>
          </w:p>
        </w:tc>
        <w:tc>
          <w:tcPr>
            <w:tcW w:w="44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BGDR-32</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互视达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222"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43寸触摸一体机</w:t>
            </w:r>
          </w:p>
        </w:tc>
        <w:tc>
          <w:tcPr>
            <w:tcW w:w="4412"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BGDR-43</w:t>
            </w:r>
          </w:p>
        </w:tc>
        <w:tc>
          <w:tcPr>
            <w:tcW w:w="60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5"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互视达</w:t>
            </w:r>
          </w:p>
        </w:tc>
        <w:tc>
          <w:tcPr>
            <w:tcW w:w="66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9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55寸触摸一体机</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BGDR-55</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互视达</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65寸触控卧式一体机</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WSDR-65</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互视达</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视频融合工作站扬天系列</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（扬天P680），i5,8G，128G,1660显卡</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联想</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高清视频网络延长器</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PX-UHD2KM</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倾玄</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室内全彩LED屏P1.875</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模组尺寸 (W x H)(mm)：240×240、分辨率 (W x H)：128×128、点间距(mm)：1.875 、像素密度/模组：16384、驱动 IC：ICN2153 、LED封装：三合一标贴SMD1515</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扫描方式：1/32扫 、应用环境：户内 、箱体尺寸(W x H x D) (mm)：480×480、模组数量：2×2 、分辨率 (W x H)：256×256、像素密度/箱体：65536 、重量/单箱(Kg)：4.9 、箱体材料：压铸铝、像素密度（dots/㎡）：284444 dots/㎡、白平衡亮度：450 cd/㎡、视角（H/V°）：160°/140°、灰度等级（Bit）：14 bit</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刷新频率（Hz）：≦2880 Hz、交流输入功率最大值（W/m²）：565 W/㎡、交流输入功率平均值（W/m²）：200 W/㎡、交流输入频率（Hz）：50 ～ 60 Hz</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交流输入电压（V）：AC220V±10%、LED灯典型寿命（Hrs）：100000 Hrs产品防护等级（IP）：IP30/IP30、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工作温度（℃）：-10～40℃、工作湿度（RH）：10%～60%、安装维护方式：前后安装/前后维护</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输入信号源：YPbPr, PAL/NTSC, S-Video, HDMI, VGA, HD_SDI</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支持电源和控制系统双冗余设计：电源冗余自动切换,任意一个电源故障不影响产品正常显示,不黑屏；支持双控制系统，某一箱体系统卡出现故障，而不影响产品正常显示。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工频磁场抗扰度：3A/m磁场强度下，产品使用正常，通过产品测试A级标准；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射频场感应的传导骚扰抗扰度：在射频范围0.15MHz-80MHz，3V（r.m.s）,调制方式1kHzSine，80%AM的情况下，设备性能正常使用，依据 GB/T17626.6-2017，通过产品测试A级标准;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电压暂降、短时中断和电压变化抗扰度测试：电压降低100%时，持续时间10mS;电压降低100%时，持续时间20mS ，通过产品测试A级标准；HDMI/DVI 视频输入；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HDMI 音频输入/外部音频输入；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支持高位阶视频输入，12bit/10bit/8bit；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普通视频源带载能力：1920×1200，2048×1152，2560×960；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高位阶视频源带载能力：1440×900；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18bit 灰阶处理与显示；正系数和灯板信息,在更换灯板的时候 ，不需要通过手动切割数据，校正数据应用自如，简单方便，且支持一键flash还原功能。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用户权限分配设置，可实现多用户登陆，多用户之间支持分级分权限分区域管理,可细化至软件各项功能，板卡各接口，屏组各显示屏。支持信号预览功能；可实时预览输入信号画面。（提供CNAS机构认可的第三方权威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支持双卡备份，双电源备份，支持接收卡误码率的测试功能，固件程序回读，支持接收卡预存画面设置，支持校正系数双备份功能，支持接收卡参数备份与灰度功能。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一路光探头接口；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可级联多台进行统一控制；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支持视频格式：RGB，YCrCb4:2:2，YCrCb4:4:4；单卡最大带载 512×384 像素（8bit），最多支持 32 组并行数据，最多支持 128 组串行数据。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支持18bit+技术，使LED显示屏的灰度提升4倍，有效处理低灰丢失问题，使图像显示更细腻；</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支持色彩管理，将显示色域在各个色域之间转换，使显示的色域更加精准的独立调节技术，解决LED显示屏在低灰下不均匀的问题，以及解决白平衡漂移等问题，使LED显示效果更加真实。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支持LED显示屏行业的LVDS技术，可应用LVDS技术解决EMC问题及数据信号远距离传输的难题。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支持灯板flash,  Flash 可以存储校正系数和灯板信息,在更换灯板的时候 ，不需要通过手动切割数据，校正数据应用自如，简单方便，且支持一键flash还原功能。</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支持双卡备份，双电源备份，支持接收卡误码率的测试功能，固件程序回读，支持接收卡预存画面设置，支持校正系数双备份功能，支持接收卡参数备份与灰度功能。</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23.33</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艾比森</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含安装试 、</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箱体、视接</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收卡、发卡、</w:t>
            </w:r>
          </w:p>
          <w:p>
            <w:pPr>
              <w:jc w:val="center"/>
              <w:rPr>
                <w:rFonts w:ascii="宋体" w:hAnsi="宋体" w:cs="宋体"/>
                <w:color w:val="000000"/>
                <w:sz w:val="20"/>
                <w:szCs w:val="20"/>
              </w:rPr>
            </w:pPr>
            <w:r>
              <w:rPr>
                <w:rFonts w:hint="eastAsia" w:ascii="宋体" w:hAnsi="宋体" w:cs="宋体"/>
                <w:color w:val="000000"/>
                <w:kern w:val="0"/>
                <w:sz w:val="18"/>
                <w:szCs w:val="18"/>
                <w:lang w:bidi="ar"/>
              </w:rPr>
              <w:t>电源、配电系统、支架、线缆、包边装饰等所有内容</w:t>
            </w: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LED屏视频拼接处理服务器</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1.设备属于纯硬件架构，各个输入通道采用纯硬件处理技术。采用模块化插卡式设计，输入卡、输出卡、切换卡、控制卡、风扇、电源等全部采用模块化设计，便于系统的升级和维护，带电插拔不影响整机使用。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2.机箱支持输入输出混插，卡槽为双向数据通道槽位，单个卡槽即可支持输入板卡，也可支持输出板卡。（提供CNAS机构认可的第三方权威检测报告）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★3.支持大屏拼接开窗功能，支持在输出通道打开一个或多个窗口，显示图像内容，单屏可开8 个高清信号窗口，支持1、4、9、16 分割等布局</w:t>
            </w:r>
            <w:r>
              <w:rPr>
                <w:rFonts w:hint="eastAsia" w:ascii="宋体" w:hAnsi="宋体" w:cs="宋体"/>
                <w:b/>
                <w:bCs/>
                <w:color w:val="000000"/>
                <w:kern w:val="0"/>
                <w:sz w:val="18"/>
                <w:szCs w:val="18"/>
                <w:lang w:bidi="ar"/>
              </w:rPr>
              <w:t>（提供CNAS机构认可的第三方权威检测报告）</w:t>
            </w:r>
          </w:p>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4.内置矩阵功能，可实现不同信号的拼接显示，同时支持切换不同的信号到多个显示屏。</w:t>
            </w:r>
            <w:r>
              <w:rPr>
                <w:rFonts w:hint="eastAsia" w:ascii="宋体" w:hAnsi="宋体" w:cs="宋体"/>
                <w:b/>
                <w:bCs/>
                <w:color w:val="000000"/>
                <w:kern w:val="0"/>
                <w:sz w:val="18"/>
                <w:szCs w:val="18"/>
                <w:lang w:bidi="ar"/>
              </w:rPr>
              <w:t>（提供CNAS机构认可的第三方权威检测报告）</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★5.支持用户权限分配设置，可实现多用户登陆，多用户之间支持分级分权限分区域管理,可细化至软件各项功能，板卡各接口，屏组各显示屏。支持信号预览功能；可实时预览输入信号画面。</w:t>
            </w:r>
            <w:r>
              <w:rPr>
                <w:rFonts w:hint="eastAsia" w:ascii="宋体" w:hAnsi="宋体" w:cs="宋体"/>
                <w:b/>
                <w:bCs/>
                <w:color w:val="000000"/>
                <w:kern w:val="0"/>
                <w:sz w:val="18"/>
                <w:szCs w:val="18"/>
                <w:lang w:bidi="ar"/>
              </w:rPr>
              <w:t>（提供CNAS机构认可的第三方权威检测报告）</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艾比森</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ascii="宋体" w:hAnsi="宋体" w:cs="宋体"/>
                <w:color w:val="000000"/>
                <w:kern w:val="0"/>
                <w:sz w:val="18"/>
                <w:szCs w:val="18"/>
                <w:lang w:bidi="ar"/>
              </w:rPr>
              <w:t>含安装调试</w:t>
            </w: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交换机</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S5735S-L24P4X-A</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华为</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光模块</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千兆</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华为</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无线网关</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NS-ACG1000-BE-PWR+LIS-1</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新华三</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中央控制器</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控制投影开关、影片切换等，网络控制，8路COM、8个Relay，8个IO端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ZENO</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服务器</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SR550</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联想</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半球形摄像机</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HIC3621IR</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视频存储硬盘</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4T</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c>
          <w:tcPr>
            <w:tcW w:w="9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无线AP</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EWP-WA4320-ACN-SI-FIT</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新华三</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p>
        </w:tc>
      </w:tr>
    </w:tbl>
    <w:p>
      <w:pPr>
        <w:spacing w:line="360" w:lineRule="auto"/>
        <w:jc w:val="left"/>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设备到货验收合格后、完成付款签审手续且在收到乙方开具的符合要求的增值税发票和收到业主方工程款后15工作日内甲方支付合同总价</w:t>
      </w:r>
      <w:r>
        <w:rPr>
          <w:rFonts w:ascii="仿宋" w:hAnsi="仿宋" w:eastAsia="仿宋"/>
          <w:sz w:val="24"/>
        </w:rPr>
        <w:t>9</w:t>
      </w:r>
      <w:r>
        <w:rPr>
          <w:rFonts w:hint="eastAsia" w:ascii="仿宋" w:hAnsi="仿宋" w:eastAsia="仿宋"/>
          <w:sz w:val="24"/>
        </w:rPr>
        <w:t>7</w:t>
      </w:r>
      <w:r>
        <w:rPr>
          <w:rFonts w:ascii="仿宋" w:hAnsi="仿宋" w:eastAsia="仿宋"/>
          <w:sz w:val="24"/>
        </w:rPr>
        <w:t>%</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hint="eastAsia" w:ascii="仿宋" w:hAnsi="仿宋" w:eastAsia="仿宋"/>
          <w:sz w:val="24"/>
        </w:rPr>
        <w:t>3</w:t>
      </w:r>
      <w:r>
        <w:rPr>
          <w:rFonts w:ascii="仿宋" w:hAnsi="仿宋" w:eastAsia="仿宋"/>
          <w:sz w:val="24"/>
        </w:rPr>
        <w:t>%</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9"/>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w:t>
      </w:r>
      <w:r>
        <w:rPr>
          <w:rFonts w:hint="eastAsia" w:ascii="仿宋" w:hAnsi="仿宋" w:eastAsia="仿宋"/>
          <w:sz w:val="24"/>
          <w:highlight w:val="yellow"/>
          <w:u w:val="single"/>
        </w:rPr>
        <w:t>：25 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个日历天内进行确认，逾期未确认，视为乙方认可甲方的异议。并于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支付合同总金额万分之三的违约金。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仿宋" w:hAnsi="仿宋" w:eastAsia="仿宋"/>
          <w:sz w:val="24"/>
        </w:rPr>
      </w:pPr>
      <w:r>
        <w:rPr>
          <w:rFonts w:hint="eastAsia" w:ascii="仿宋" w:hAnsi="仿宋" w:eastAsia="仿宋"/>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ascii="仿宋" w:hAnsi="仿宋" w:eastAsia="仿宋"/>
          <w:b/>
          <w:bCs/>
          <w:sz w:val="28"/>
          <w:szCs w:val="28"/>
        </w:rPr>
      </w:pPr>
      <w:r>
        <w:rPr>
          <w:rFonts w:hint="eastAsia" w:ascii="仿宋" w:hAnsi="仿宋" w:eastAsia="仿宋"/>
          <w:b/>
          <w:bCs/>
          <w:sz w:val="28"/>
          <w:szCs w:val="28"/>
        </w:rPr>
        <w:br w:type="page"/>
      </w: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4"/>
        </w:rPr>
      </w:pPr>
      <w:r>
        <w:rPr>
          <w:rFonts w:hint="eastAsia" w:ascii="仿宋" w:hAnsi="仿宋" w:eastAsia="仿宋"/>
          <w:b/>
          <w:bCs/>
          <w:sz w:val="28"/>
          <w:szCs w:val="28"/>
        </w:rPr>
        <w:t>重庆机场集团展览馆(弱电）项目设备采购部分配置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10286" w:type="dxa"/>
        <w:jc w:val="center"/>
        <w:tblLayout w:type="fixed"/>
        <w:tblCellMar>
          <w:top w:w="0" w:type="dxa"/>
          <w:left w:w="0" w:type="dxa"/>
          <w:bottom w:w="0" w:type="dxa"/>
          <w:right w:w="0" w:type="dxa"/>
        </w:tblCellMar>
      </w:tblPr>
      <w:tblGrid>
        <w:gridCol w:w="567"/>
        <w:gridCol w:w="1914"/>
        <w:gridCol w:w="3900"/>
        <w:gridCol w:w="720"/>
        <w:gridCol w:w="855"/>
        <w:gridCol w:w="630"/>
        <w:gridCol w:w="1059"/>
        <w:gridCol w:w="641"/>
      </w:tblGrid>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材料名称</w:t>
            </w:r>
          </w:p>
        </w:tc>
        <w:tc>
          <w:tcPr>
            <w:tcW w:w="3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品牌</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1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单价控制价（元）（含税）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服务器机柜</w:t>
            </w:r>
          </w:p>
        </w:tc>
        <w:tc>
          <w:tcPr>
            <w:tcW w:w="3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800×600×42U</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图腾</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jc w:val="center"/>
              <w:rPr>
                <w:b w:val="0"/>
                <w:bCs w:val="0"/>
                <w:color w:val="000000"/>
                <w:kern w:val="2"/>
                <w:sz w:val="18"/>
                <w:szCs w:val="18"/>
              </w:rPr>
            </w:pPr>
            <w:r>
              <w:rPr>
                <w:rFonts w:hint="eastAsia"/>
                <w:b w:val="0"/>
                <w:bCs w:val="0"/>
                <w:color w:val="000000"/>
                <w:kern w:val="2"/>
                <w:sz w:val="18"/>
                <w:szCs w:val="18"/>
              </w:rPr>
              <w:t>3000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平板</w:t>
            </w:r>
          </w:p>
        </w:tc>
        <w:tc>
          <w:tcPr>
            <w:tcW w:w="3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6G+128G+10.4寸</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华为</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2489</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灯光微机处理通信控制器</w:t>
            </w:r>
          </w:p>
        </w:tc>
        <w:tc>
          <w:tcPr>
            <w:tcW w:w="3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8路、单通道、20A、网络式</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3700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工业投影机</w:t>
            </w:r>
          </w:p>
        </w:tc>
        <w:tc>
          <w:tcPr>
            <w:tcW w:w="3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LU9245（含吊架1.技术：DLP，标准分辨率：1920×1200，亮度：7000流明，对比度：3000000:1；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2.光源系统：激光二极管；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3.光源寿命：20000小时（正常模式）；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4.投射比范围覆盖0.5-5.18，选配不小于7组镜头（同一品牌镜头）；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5.镜头支持移动功能(最大)水平：±5%，垂直：-15-55%；</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6.内置HDBaseT接收器，通过RJ45网线及选配的HDBaseT发射器，支持100米距离传送视频、音频及控制信号；</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7.四角校正功能（能够对四个角分别调整）；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8.梯形校正范围：2D 水平/垂直 ±30°；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9.支持蓝光3D/ IR 3D/ DLP-Link 3D；</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10.DICOM模拟模式能够再现高度清晰的X-线图像；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11.液冷散热统，内置9组散热风扇；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12.接口：VGA输入×1\VGA输出×1\DVI-D×1\HDMI×2\Video×1\5BNC×1\RJ45×1(支持网络远程控制)\ USB(Type A)×1\ USB(Type B)×1\12V电源输出×1\RS232×2(in/out)\有线遥控(Mini Jack)×2(in/out)\HDBaseT标准(RJ45)×1(独立接口)等；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13.支持一个遥控器分别独立控制不低于20台投影机（互不干扰）；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14.支持RS232串口环接、3D同步输入输出接口环接功能；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15.具有局域网分组定时开关机、预监投影机状态、远程设置投影机参数等功能；</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16.真空密封激光模组以及密封光引擎将DMD芯片和所有内部组件有效保护起来；</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明基</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87000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功率放大器</w:t>
            </w:r>
          </w:p>
        </w:tc>
        <w:tc>
          <w:tcPr>
            <w:tcW w:w="3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MP1500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迪士普</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1450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吸顶音箱</w:t>
            </w:r>
          </w:p>
        </w:tc>
        <w:tc>
          <w:tcPr>
            <w:tcW w:w="3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DSP916</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迪士普</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550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32寸触摸一体机</w:t>
            </w:r>
          </w:p>
        </w:tc>
        <w:tc>
          <w:tcPr>
            <w:tcW w:w="3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BGDR-32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互视达</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3400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914"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43寸触摸一体机</w:t>
            </w:r>
          </w:p>
        </w:tc>
        <w:tc>
          <w:tcPr>
            <w:tcW w:w="390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BGDR-43</w:t>
            </w:r>
          </w:p>
        </w:tc>
        <w:tc>
          <w:tcPr>
            <w:tcW w:w="72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55"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互视达</w:t>
            </w:r>
          </w:p>
        </w:tc>
        <w:tc>
          <w:tcPr>
            <w:tcW w:w="63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4400</w:t>
            </w:r>
          </w:p>
        </w:tc>
        <w:tc>
          <w:tcPr>
            <w:tcW w:w="64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55寸触摸一体机</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BGDR-55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互视达</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6000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65寸触控卧式一体机</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WSDR-65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互视达</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11500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视频融合工作站扬天系列</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（扬天P680），i5,8G，128G,1660显卡</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联想</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5700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高清视频网络延长器</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PX-UHD2KM</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倾玄</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1600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室内全彩LED屏P1.875（含安装调试 、箱体、视频接收卡、发送卡、电源、配电系统、支架、线缆、包边装饰等所有内容）</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模组尺寸 (W x H)(mm)：240×240、分辨率 (W x H)：128×128、点间距(mm)：1.875 、像素密度/模组：16384、驱动 IC：ICN2153 、LED封装：三合一标贴SMD1515</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扫描方式：1/32扫 、应用环境：户内 、箱体尺寸(W x H x D) (mm)：480×480、模组数量：2×2 、分辨率 (W x H)：256×256、像素密度/箱体：65536 、重量/单箱(Kg)：4.9 、箱体材料：压铸铝、像素密度（dots/㎡）：284444 dots/㎡、白平衡亮度：450 cd/㎡、视角（H/V°）：160°/140°、灰度等级（Bit）：14 bit</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刷新频率（Hz）：≦2880 Hz、交流输入功率最大值（W/m²）：565 W/㎡、交流输入功率平均值（W/m²）：200 W/㎡、交流输入频率（Hz）：50 ～ 60 Hz</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交流输入电压（V）：AC220V±10%、LED灯典型寿命（Hrs）：100000 Hrs产品防护等级（IP）：IP30/IP30、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工作温度（℃）：-10～40℃、工作湿度（RH）：10%～60%、安装维护方式：前后安装/前后维护</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输入信号源：YPbPr, PAL/NTSC, S-Video, HDMI, VGA, HD_SDI</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支持电源和控制系统双冗余设计：电源冗余自动切换,任意一个电源故障不影响产品正常显示,不黑屏；支持双控制系统，某一箱体系统卡出现故障，而不影响产品正常显示。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工频磁场抗扰度：3A/m磁场强度下，产品使用正常，通过产品测试A级标准；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射频场感应的传导骚扰抗扰度：在射频范围0.15MHz-80MHz，3V（r.m.s）,调制方式1kHzSine，80%AM的情况下，设备性能正常使用，依据 GB/T17626.6-2017，通过产品测试A级标准;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电压暂降、短时中断和电压变化抗扰度测试：电压降低100%时，持续时间10mS;电压降低100%时，持续时间20mS ，通过产品测试A级标准；HDMI/DVI 视频输入；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HDMI 音频输入/外部音频输入；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支持高位阶视频输入，12bit/10bit/8bit；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普通视频源带载能力：1920×1200，2048×1152，2560×960；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高位阶视频源带载能力：1440×900；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18bit 灰阶处理与显示；正系数和灯板信息,在更换灯板的时候 ，不需要通过手动切割数据，校正数据应用自如，简单方便，且支持一键flash还原功能。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用户权限分配设置，可实现多用户登陆，多用户之间支持分级分权限分区域管理,可细化至软件各项功能，板卡各接口，屏组各显示屏。支持信号预览功能；可实时预览输入信号画面。（提供CNAS机构认可的第三方权威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支持双卡备份，双电源备份，支持接收卡误码率的测试功能，固件程序回读，支持接收卡预存画面设置，支持校正系数双备份功能，支持接收卡参数备份与灰度功能。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一路光探头接口；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可级联多台进行统一控制；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支持视频格式：RGB，YCrCb4:2:2，YCrCb4:4:4；单卡最大带载 512×384 像素（8bit），最多支持 32 组并行数据，最多支持 128 组串行数据。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支持18bit+技术，使LED显示屏的灰度提升4倍，有效处理低灰丢失问题，使图像显示更细腻；</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支持色彩管理，将显示色域在各个色域之间转换，使显示的色域更加精准的独立调节技术，解决LED显示屏在低灰下不均匀的问题，以及解决白平衡漂移等问题，使LED显示效果更加真实。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支持LED显示屏行业的LVDS技术，可应用LVDS技术解决EMC问题及数据信号远距离传输的难题。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支持灯板flash,  Flash 可以存储校正系数和灯板信息,在更换灯板的时候 ，不需要通过手动切割数据，校正数据应用自如，简单方便，且支持一键flash还原功能。</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支持双卡备份，双电源备份，支持接收卡误码率的测试功能，固件程序回读，支持接收卡预存画面设置，支持校正系数双备份功能，支持接收卡参数备份与灰度功能。</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23.33</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艾比森</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23500</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color w:val="000000"/>
                <w:kern w:val="0"/>
                <w:sz w:val="18"/>
                <w:szCs w:val="18"/>
                <w:lang w:bidi="ar"/>
              </w:rPr>
              <w:t>含安装调试 、箱体、视频接收卡、发送卡、电源、配电系统、支架、线缆、包边装饰等所有内容</w:t>
            </w: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LED屏视频拼接处理服务器（含安装调试）</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1.设备属于纯硬件架构，各个输入通道采用纯硬件处理技术。采用模块化插卡式设计，输入卡、输出卡、切换卡、控制卡、风扇、电源等全部采用模块化设计，便于系统的升级和维护，带电插拔不影响整机使用。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2.机箱支持输入输出混插，卡槽为双向数据通道槽位，单个卡槽即可支持输入板卡，也可支持输出板卡。（提供CNAS机构认可的第三方权威检测报告）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★3.支持大屏拼接开窗功能，支持在输出通道打开一个或多个窗口，显示图像内容，单屏可开8 个高清信号窗口，支持1、4、9、16 分割等布局</w:t>
            </w:r>
            <w:r>
              <w:rPr>
                <w:rFonts w:hint="eastAsia" w:ascii="宋体" w:hAnsi="宋体" w:cs="宋体"/>
                <w:b/>
                <w:bCs/>
                <w:color w:val="000000"/>
                <w:kern w:val="0"/>
                <w:sz w:val="18"/>
                <w:szCs w:val="18"/>
                <w:lang w:bidi="ar"/>
              </w:rPr>
              <w:t>（提供CNAS机构认可的第三方权威检测报告）</w:t>
            </w:r>
          </w:p>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4.内置矩阵功能，可实现不同信号的拼接显示，同时支持切换不同的信号到多个显示屏。</w:t>
            </w:r>
            <w:r>
              <w:rPr>
                <w:rFonts w:hint="eastAsia" w:ascii="宋体" w:hAnsi="宋体" w:cs="宋体"/>
                <w:b/>
                <w:bCs/>
                <w:color w:val="000000"/>
                <w:kern w:val="0"/>
                <w:sz w:val="18"/>
                <w:szCs w:val="18"/>
                <w:lang w:bidi="ar"/>
              </w:rPr>
              <w:t>（提供CNAS机构认可的第三方权威检测报告）</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★5.支持用户权限分配设置，可实现多用户登陆，多用户之间支持分级分权限分区域管理,可细化至软件各项功能，板卡各接口，屏组各显示屏。支持信号预览功能；可实时预览输入信号画面。</w:t>
            </w:r>
            <w:r>
              <w:rPr>
                <w:rFonts w:hint="eastAsia" w:ascii="宋体" w:hAnsi="宋体" w:cs="宋体"/>
                <w:b/>
                <w:bCs/>
                <w:color w:val="000000"/>
                <w:kern w:val="0"/>
                <w:sz w:val="18"/>
                <w:szCs w:val="18"/>
                <w:lang w:bidi="ar"/>
              </w:rPr>
              <w:t>（提供CNAS机构认可的第三方权威检测报告）</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艾比森</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40000</w:t>
            </w:r>
          </w:p>
        </w:tc>
        <w:tc>
          <w:tcPr>
            <w:tcW w:w="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ascii="宋体" w:hAnsi="宋体" w:cs="宋体"/>
                <w:color w:val="000000"/>
                <w:sz w:val="20"/>
                <w:szCs w:val="20"/>
              </w:rPr>
              <w:t>含安装调试</w:t>
            </w: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交换机</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S5735S-L24P4X-A</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华为</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3300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光模块</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千兆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华为</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750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无线网关</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NS-ACG1000-BE-PWR+LIS-1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新华三</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5500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中央控制器</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控制投影开关、影片切换等，网络控制，8路COM、8个Relay，8个IO端</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ZENO</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29000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服务器</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SR550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联想</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12000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半球形摄像机</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HIC3621IR</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4000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视频存储硬盘</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2800</w:t>
            </w:r>
          </w:p>
        </w:tc>
        <w:tc>
          <w:tcPr>
            <w:tcW w:w="64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6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无线AP</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EWP-WA4320-ACN-SI-FIT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新华三</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700</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p>
        </w:tc>
      </w:tr>
    </w:tbl>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C5C09"/>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D7A57"/>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4E8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00C3C"/>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533F"/>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375C"/>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2A7F"/>
    <w:rsid w:val="00E94D9E"/>
    <w:rsid w:val="00E96BE1"/>
    <w:rsid w:val="00E96F5C"/>
    <w:rsid w:val="00EB0F23"/>
    <w:rsid w:val="00EB3B49"/>
    <w:rsid w:val="00EB3E64"/>
    <w:rsid w:val="00EB496C"/>
    <w:rsid w:val="00EC1719"/>
    <w:rsid w:val="00EC4E18"/>
    <w:rsid w:val="00EE616E"/>
    <w:rsid w:val="00F02E67"/>
    <w:rsid w:val="00F1365F"/>
    <w:rsid w:val="00F172DB"/>
    <w:rsid w:val="00F206E1"/>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5E4F63"/>
    <w:rsid w:val="03880C48"/>
    <w:rsid w:val="03AE44CE"/>
    <w:rsid w:val="03BE5747"/>
    <w:rsid w:val="043D744D"/>
    <w:rsid w:val="044C5968"/>
    <w:rsid w:val="04675F2F"/>
    <w:rsid w:val="047235A8"/>
    <w:rsid w:val="0485516B"/>
    <w:rsid w:val="04915C33"/>
    <w:rsid w:val="04A226E2"/>
    <w:rsid w:val="04CD36F1"/>
    <w:rsid w:val="04DC49B4"/>
    <w:rsid w:val="04E173DC"/>
    <w:rsid w:val="05DD065B"/>
    <w:rsid w:val="05DE2A59"/>
    <w:rsid w:val="05DE45EA"/>
    <w:rsid w:val="05ED29B0"/>
    <w:rsid w:val="05EE3D5A"/>
    <w:rsid w:val="06D33FBE"/>
    <w:rsid w:val="06EE4464"/>
    <w:rsid w:val="07171C1B"/>
    <w:rsid w:val="079549E8"/>
    <w:rsid w:val="085B6EDE"/>
    <w:rsid w:val="08D45A74"/>
    <w:rsid w:val="08E160B8"/>
    <w:rsid w:val="08FF244A"/>
    <w:rsid w:val="091A596B"/>
    <w:rsid w:val="09246C1B"/>
    <w:rsid w:val="09BB7300"/>
    <w:rsid w:val="0A5F6882"/>
    <w:rsid w:val="0A6E7E51"/>
    <w:rsid w:val="0A8D264E"/>
    <w:rsid w:val="0AE0658D"/>
    <w:rsid w:val="0B5701A3"/>
    <w:rsid w:val="0B605A23"/>
    <w:rsid w:val="0C0609F0"/>
    <w:rsid w:val="0C162D45"/>
    <w:rsid w:val="0C401EE8"/>
    <w:rsid w:val="0C890AD3"/>
    <w:rsid w:val="0CEA1C82"/>
    <w:rsid w:val="0CFF1EB7"/>
    <w:rsid w:val="0D697EF1"/>
    <w:rsid w:val="0DB10572"/>
    <w:rsid w:val="0DFE280D"/>
    <w:rsid w:val="0E6A66D5"/>
    <w:rsid w:val="0E9C1A76"/>
    <w:rsid w:val="0EE204C1"/>
    <w:rsid w:val="0FDA4843"/>
    <w:rsid w:val="101F041B"/>
    <w:rsid w:val="10AC492F"/>
    <w:rsid w:val="113D1148"/>
    <w:rsid w:val="116F11BE"/>
    <w:rsid w:val="119D38B7"/>
    <w:rsid w:val="11C0011E"/>
    <w:rsid w:val="122825DB"/>
    <w:rsid w:val="12752C72"/>
    <w:rsid w:val="128A7F52"/>
    <w:rsid w:val="13FD21B1"/>
    <w:rsid w:val="14CD50D8"/>
    <w:rsid w:val="14D47EBD"/>
    <w:rsid w:val="15033FE0"/>
    <w:rsid w:val="152C06AE"/>
    <w:rsid w:val="15E20F91"/>
    <w:rsid w:val="160A5049"/>
    <w:rsid w:val="16165439"/>
    <w:rsid w:val="1625796D"/>
    <w:rsid w:val="1627241F"/>
    <w:rsid w:val="16363620"/>
    <w:rsid w:val="16432A7A"/>
    <w:rsid w:val="165A02FA"/>
    <w:rsid w:val="16971845"/>
    <w:rsid w:val="174A688F"/>
    <w:rsid w:val="175242C7"/>
    <w:rsid w:val="175544BB"/>
    <w:rsid w:val="17970D90"/>
    <w:rsid w:val="17F93F93"/>
    <w:rsid w:val="18D36EAE"/>
    <w:rsid w:val="19626BFD"/>
    <w:rsid w:val="1983044A"/>
    <w:rsid w:val="19A427A8"/>
    <w:rsid w:val="19C839E8"/>
    <w:rsid w:val="1A2228AF"/>
    <w:rsid w:val="1A420C07"/>
    <w:rsid w:val="1B0D7369"/>
    <w:rsid w:val="1BE077D8"/>
    <w:rsid w:val="1C2D30C9"/>
    <w:rsid w:val="1C745B34"/>
    <w:rsid w:val="1CCB75B8"/>
    <w:rsid w:val="1D0D0251"/>
    <w:rsid w:val="1D313898"/>
    <w:rsid w:val="1E15399E"/>
    <w:rsid w:val="1E3A1C99"/>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0D476C"/>
    <w:rsid w:val="245F09C8"/>
    <w:rsid w:val="247D595A"/>
    <w:rsid w:val="24C30826"/>
    <w:rsid w:val="25463B4F"/>
    <w:rsid w:val="254D7549"/>
    <w:rsid w:val="255D11DE"/>
    <w:rsid w:val="25F158C4"/>
    <w:rsid w:val="26581F98"/>
    <w:rsid w:val="26CF6D64"/>
    <w:rsid w:val="270C70B1"/>
    <w:rsid w:val="27A9007C"/>
    <w:rsid w:val="27B7543F"/>
    <w:rsid w:val="281D7786"/>
    <w:rsid w:val="284F5A9F"/>
    <w:rsid w:val="28661870"/>
    <w:rsid w:val="287862AC"/>
    <w:rsid w:val="28A554D9"/>
    <w:rsid w:val="28B96AA0"/>
    <w:rsid w:val="28BB26E9"/>
    <w:rsid w:val="28E8331B"/>
    <w:rsid w:val="292046DF"/>
    <w:rsid w:val="296910B0"/>
    <w:rsid w:val="2A1247C3"/>
    <w:rsid w:val="2A1F2030"/>
    <w:rsid w:val="2A335E2E"/>
    <w:rsid w:val="2A886A1F"/>
    <w:rsid w:val="2ACF6191"/>
    <w:rsid w:val="2AFB0753"/>
    <w:rsid w:val="2B0B1682"/>
    <w:rsid w:val="2B2C09E9"/>
    <w:rsid w:val="2B3A1A60"/>
    <w:rsid w:val="2B422B60"/>
    <w:rsid w:val="2B8C5FA1"/>
    <w:rsid w:val="2BC12875"/>
    <w:rsid w:val="2BE052F7"/>
    <w:rsid w:val="2C091D06"/>
    <w:rsid w:val="2C16541C"/>
    <w:rsid w:val="2C5A5444"/>
    <w:rsid w:val="2C7D3E37"/>
    <w:rsid w:val="2C8C24C3"/>
    <w:rsid w:val="2D322A9D"/>
    <w:rsid w:val="2DBC0AB8"/>
    <w:rsid w:val="2E351142"/>
    <w:rsid w:val="2E49193D"/>
    <w:rsid w:val="2E7956AC"/>
    <w:rsid w:val="2E975453"/>
    <w:rsid w:val="2F48389C"/>
    <w:rsid w:val="2F6E54F6"/>
    <w:rsid w:val="2F982E47"/>
    <w:rsid w:val="2FC560AA"/>
    <w:rsid w:val="2FEF6FF5"/>
    <w:rsid w:val="306E5AFE"/>
    <w:rsid w:val="30FA694C"/>
    <w:rsid w:val="3104791D"/>
    <w:rsid w:val="311650D9"/>
    <w:rsid w:val="318851A1"/>
    <w:rsid w:val="323334EC"/>
    <w:rsid w:val="328E28C7"/>
    <w:rsid w:val="32EA73D6"/>
    <w:rsid w:val="337B5382"/>
    <w:rsid w:val="33AF34D3"/>
    <w:rsid w:val="342B2ED6"/>
    <w:rsid w:val="34343A82"/>
    <w:rsid w:val="34595714"/>
    <w:rsid w:val="34F77126"/>
    <w:rsid w:val="35040C78"/>
    <w:rsid w:val="35130758"/>
    <w:rsid w:val="35BC4E16"/>
    <w:rsid w:val="3636118E"/>
    <w:rsid w:val="36672AD3"/>
    <w:rsid w:val="36FA784A"/>
    <w:rsid w:val="374C347F"/>
    <w:rsid w:val="377E3C13"/>
    <w:rsid w:val="37FF5031"/>
    <w:rsid w:val="3825428A"/>
    <w:rsid w:val="387706FF"/>
    <w:rsid w:val="38CD718B"/>
    <w:rsid w:val="3A1B3543"/>
    <w:rsid w:val="3A372BB0"/>
    <w:rsid w:val="3A5A1F4A"/>
    <w:rsid w:val="3BEC41B7"/>
    <w:rsid w:val="3D1A2308"/>
    <w:rsid w:val="3DEE00AE"/>
    <w:rsid w:val="3E2104AE"/>
    <w:rsid w:val="3E28650F"/>
    <w:rsid w:val="3ECE6689"/>
    <w:rsid w:val="3EDF26AA"/>
    <w:rsid w:val="4013435D"/>
    <w:rsid w:val="405115C1"/>
    <w:rsid w:val="40F800CF"/>
    <w:rsid w:val="417B2F54"/>
    <w:rsid w:val="41B11798"/>
    <w:rsid w:val="426725A7"/>
    <w:rsid w:val="42EF0351"/>
    <w:rsid w:val="440C1689"/>
    <w:rsid w:val="441B66C8"/>
    <w:rsid w:val="442842F0"/>
    <w:rsid w:val="44BE2617"/>
    <w:rsid w:val="44EC012D"/>
    <w:rsid w:val="45993F05"/>
    <w:rsid w:val="45DD005A"/>
    <w:rsid w:val="45EE6BF4"/>
    <w:rsid w:val="46F3618C"/>
    <w:rsid w:val="4793640D"/>
    <w:rsid w:val="47C86959"/>
    <w:rsid w:val="482F185E"/>
    <w:rsid w:val="48C26992"/>
    <w:rsid w:val="48FF297D"/>
    <w:rsid w:val="49553184"/>
    <w:rsid w:val="4AD13E29"/>
    <w:rsid w:val="4B1C463F"/>
    <w:rsid w:val="4B872194"/>
    <w:rsid w:val="4C712A40"/>
    <w:rsid w:val="4C792900"/>
    <w:rsid w:val="4C9D3B46"/>
    <w:rsid w:val="4D1C588A"/>
    <w:rsid w:val="4DBA5C06"/>
    <w:rsid w:val="4DD26B7B"/>
    <w:rsid w:val="4E14393B"/>
    <w:rsid w:val="4E476885"/>
    <w:rsid w:val="4E507EAE"/>
    <w:rsid w:val="4E603E20"/>
    <w:rsid w:val="50B2647B"/>
    <w:rsid w:val="521C4028"/>
    <w:rsid w:val="52345C4E"/>
    <w:rsid w:val="523B433E"/>
    <w:rsid w:val="52784E5F"/>
    <w:rsid w:val="52A714E5"/>
    <w:rsid w:val="530E6F63"/>
    <w:rsid w:val="539F3D8B"/>
    <w:rsid w:val="53FE7E67"/>
    <w:rsid w:val="54451B67"/>
    <w:rsid w:val="54E07F8D"/>
    <w:rsid w:val="558767ED"/>
    <w:rsid w:val="568323A8"/>
    <w:rsid w:val="568901A0"/>
    <w:rsid w:val="56BA6E44"/>
    <w:rsid w:val="56FE6682"/>
    <w:rsid w:val="57522FFD"/>
    <w:rsid w:val="57A71AC0"/>
    <w:rsid w:val="57D06864"/>
    <w:rsid w:val="582339D7"/>
    <w:rsid w:val="58C67090"/>
    <w:rsid w:val="59125AE4"/>
    <w:rsid w:val="59B61060"/>
    <w:rsid w:val="5A873CE0"/>
    <w:rsid w:val="5AE23BE3"/>
    <w:rsid w:val="5AF31BCD"/>
    <w:rsid w:val="5B087FB0"/>
    <w:rsid w:val="5B1F007F"/>
    <w:rsid w:val="5B322D41"/>
    <w:rsid w:val="5B91120A"/>
    <w:rsid w:val="5BDD2B05"/>
    <w:rsid w:val="5C006E51"/>
    <w:rsid w:val="5C0B5920"/>
    <w:rsid w:val="5C5A75D2"/>
    <w:rsid w:val="5CD130D9"/>
    <w:rsid w:val="5CD454F5"/>
    <w:rsid w:val="5D0237C2"/>
    <w:rsid w:val="5DA106F7"/>
    <w:rsid w:val="5DEF309A"/>
    <w:rsid w:val="5FBC3540"/>
    <w:rsid w:val="5FCD4126"/>
    <w:rsid w:val="5FF70ED4"/>
    <w:rsid w:val="603B6EC4"/>
    <w:rsid w:val="603C4BB5"/>
    <w:rsid w:val="603D59FA"/>
    <w:rsid w:val="60681418"/>
    <w:rsid w:val="60AD55DA"/>
    <w:rsid w:val="611048B5"/>
    <w:rsid w:val="613A160B"/>
    <w:rsid w:val="61CF24E8"/>
    <w:rsid w:val="61D61A41"/>
    <w:rsid w:val="62520716"/>
    <w:rsid w:val="62FD0C6A"/>
    <w:rsid w:val="639745D8"/>
    <w:rsid w:val="63AC2620"/>
    <w:rsid w:val="63FC7CE8"/>
    <w:rsid w:val="64435295"/>
    <w:rsid w:val="644C32C9"/>
    <w:rsid w:val="64D803FA"/>
    <w:rsid w:val="64E8040F"/>
    <w:rsid w:val="64E920F0"/>
    <w:rsid w:val="64FE3A61"/>
    <w:rsid w:val="661E6EFC"/>
    <w:rsid w:val="662413B5"/>
    <w:rsid w:val="66B54313"/>
    <w:rsid w:val="66C23895"/>
    <w:rsid w:val="66D64C57"/>
    <w:rsid w:val="67767AF4"/>
    <w:rsid w:val="67B745ED"/>
    <w:rsid w:val="67CE095C"/>
    <w:rsid w:val="67CF06BE"/>
    <w:rsid w:val="682F3039"/>
    <w:rsid w:val="6871545D"/>
    <w:rsid w:val="68AA6BC6"/>
    <w:rsid w:val="68C06B62"/>
    <w:rsid w:val="690C1EBD"/>
    <w:rsid w:val="6944057A"/>
    <w:rsid w:val="695D6CFD"/>
    <w:rsid w:val="69932B73"/>
    <w:rsid w:val="69F00887"/>
    <w:rsid w:val="6A292511"/>
    <w:rsid w:val="6B3B0E45"/>
    <w:rsid w:val="6BDD4A84"/>
    <w:rsid w:val="6C4B5799"/>
    <w:rsid w:val="6C5263B2"/>
    <w:rsid w:val="6C9C7DC5"/>
    <w:rsid w:val="6CAC0916"/>
    <w:rsid w:val="6CFF159A"/>
    <w:rsid w:val="6D732E3B"/>
    <w:rsid w:val="6DE02F70"/>
    <w:rsid w:val="6DEE7992"/>
    <w:rsid w:val="6E5A0E7F"/>
    <w:rsid w:val="6E5D2B20"/>
    <w:rsid w:val="6E902CB6"/>
    <w:rsid w:val="6ECA59F4"/>
    <w:rsid w:val="6ED329CF"/>
    <w:rsid w:val="6F501FC3"/>
    <w:rsid w:val="6F7529C5"/>
    <w:rsid w:val="70116847"/>
    <w:rsid w:val="709E666D"/>
    <w:rsid w:val="70F94FCC"/>
    <w:rsid w:val="716364D7"/>
    <w:rsid w:val="71C90491"/>
    <w:rsid w:val="72536C66"/>
    <w:rsid w:val="7349356E"/>
    <w:rsid w:val="73E57072"/>
    <w:rsid w:val="741E58EE"/>
    <w:rsid w:val="7433369D"/>
    <w:rsid w:val="74615A10"/>
    <w:rsid w:val="74917947"/>
    <w:rsid w:val="74A514E0"/>
    <w:rsid w:val="74EC065D"/>
    <w:rsid w:val="75573FE5"/>
    <w:rsid w:val="757D5DFC"/>
    <w:rsid w:val="757E5F28"/>
    <w:rsid w:val="75F12B83"/>
    <w:rsid w:val="765C752B"/>
    <w:rsid w:val="76DF07AC"/>
    <w:rsid w:val="76FC4C27"/>
    <w:rsid w:val="7704403C"/>
    <w:rsid w:val="773E08B1"/>
    <w:rsid w:val="77844343"/>
    <w:rsid w:val="77900EED"/>
    <w:rsid w:val="78AD40BA"/>
    <w:rsid w:val="796B60F9"/>
    <w:rsid w:val="79857E34"/>
    <w:rsid w:val="79865CE0"/>
    <w:rsid w:val="7A0B7B7F"/>
    <w:rsid w:val="7A3966FC"/>
    <w:rsid w:val="7A3F37FB"/>
    <w:rsid w:val="7A5D6BAB"/>
    <w:rsid w:val="7A5F6329"/>
    <w:rsid w:val="7A7B6549"/>
    <w:rsid w:val="7ADE5D8F"/>
    <w:rsid w:val="7B262855"/>
    <w:rsid w:val="7B813D7B"/>
    <w:rsid w:val="7C186EA8"/>
    <w:rsid w:val="7C7447E2"/>
    <w:rsid w:val="7CE329AD"/>
    <w:rsid w:val="7D3B2DAA"/>
    <w:rsid w:val="7DAB1BD6"/>
    <w:rsid w:val="7DC06B1E"/>
    <w:rsid w:val="7DC1580F"/>
    <w:rsid w:val="7DD63251"/>
    <w:rsid w:val="7E1D5B12"/>
    <w:rsid w:val="7E41449A"/>
    <w:rsid w:val="7E6459CD"/>
    <w:rsid w:val="7EBE2B49"/>
    <w:rsid w:val="7EC350EB"/>
    <w:rsid w:val="7F172317"/>
    <w:rsid w:val="7F341334"/>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C5387-016A-4826-B4AC-C05AC87E82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2417</Words>
  <Characters>13777</Characters>
  <Lines>114</Lines>
  <Paragraphs>32</Paragraphs>
  <TotalTime>0</TotalTime>
  <ScaleCrop>false</ScaleCrop>
  <LinksUpToDate>false</LinksUpToDate>
  <CharactersWithSpaces>16162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2020-12-14T09:04:00Z</dcterms:created>
  <dc:creator>李凯01</dc:creator>
  <cp:lastModifiedBy>遇见</cp:lastModifiedBy>
  <cp:lastPrinted>2021-08-27T01:05:00Z</cp:lastPrinted>
  <dcterms:modified xsi:type="dcterms:W3CDTF">2021-08-27T08:30:23Z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E9C8F3CF9DAD432198EBE055E36C7153</vt:lpwstr>
  </property>
</Properties>
</file>