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bCs/>
          <w:sz w:val="40"/>
          <w:szCs w:val="40"/>
        </w:rPr>
      </w:pPr>
      <w:r>
        <w:rPr>
          <w:rFonts w:hint="eastAsia" w:ascii="宋体" w:hAnsi="宋体" w:cs="宋体"/>
          <w:b/>
          <w:bCs/>
          <w:sz w:val="40"/>
          <w:szCs w:val="40"/>
        </w:rPr>
        <w:t>重庆机场信息通信网络公司小型弱电工程建设供应商库</w:t>
      </w:r>
    </w:p>
    <w:p>
      <w:pPr>
        <w:jc w:val="center"/>
        <w:rPr>
          <w:rFonts w:ascii="宋体" w:hAnsi="宋体" w:cs="宋体"/>
          <w:b/>
          <w:bCs/>
          <w:sz w:val="40"/>
          <w:szCs w:val="40"/>
        </w:rPr>
      </w:pPr>
      <w:r>
        <w:rPr>
          <w:rFonts w:hint="eastAsia" w:ascii="宋体" w:hAnsi="宋体" w:cs="宋体"/>
          <w:b/>
          <w:bCs/>
          <w:sz w:val="40"/>
          <w:szCs w:val="40"/>
        </w:rPr>
        <w:t>入库遴选项目比选文件</w:t>
      </w:r>
    </w:p>
    <w:p>
      <w:pPr>
        <w:jc w:val="center"/>
        <w:rPr>
          <w:rFonts w:ascii="宋体" w:hAnsi="宋体" w:cs="宋体"/>
          <w:b/>
          <w:sz w:val="32"/>
        </w:rPr>
      </w:pPr>
    </w:p>
    <w:p>
      <w:pPr>
        <w:jc w:val="center"/>
        <w:rPr>
          <w:rFonts w:ascii="宋体" w:hAnsi="宋体" w:cs="宋体"/>
          <w:b/>
          <w:sz w:val="32"/>
        </w:rPr>
      </w:pPr>
    </w:p>
    <w:p>
      <w:pPr>
        <w:jc w:val="center"/>
        <w:rPr>
          <w:rFonts w:ascii="宋体" w:hAnsi="宋体" w:cs="宋体"/>
          <w:b/>
          <w:sz w:val="32"/>
        </w:rPr>
      </w:pPr>
    </w:p>
    <w:p>
      <w:pPr>
        <w:jc w:val="center"/>
        <w:rPr>
          <w:rFonts w:hint="default" w:ascii="宋体" w:hAnsi="宋体" w:eastAsia="宋体" w:cs="宋体"/>
          <w:b/>
          <w:sz w:val="52"/>
          <w:lang w:val="en-US" w:eastAsia="zh-CN"/>
        </w:rPr>
      </w:pPr>
      <w:r>
        <w:rPr>
          <w:rFonts w:hint="eastAsia" w:ascii="宋体" w:hAnsi="宋体" w:cs="宋体"/>
          <w:b/>
          <w:sz w:val="32"/>
        </w:rPr>
        <w:t>编号：</w:t>
      </w:r>
      <w:r>
        <w:rPr>
          <w:rFonts w:hint="eastAsia" w:ascii="宋体" w:hAnsi="宋体" w:cs="宋体"/>
          <w:b/>
          <w:sz w:val="32"/>
          <w:lang w:eastAsia="zh-CN"/>
        </w:rPr>
        <w:t>服务</w:t>
      </w:r>
      <w:r>
        <w:rPr>
          <w:rFonts w:hint="eastAsia" w:ascii="宋体" w:hAnsi="宋体" w:cs="宋体"/>
          <w:b/>
          <w:sz w:val="32"/>
          <w:lang w:val="en-US" w:eastAsia="zh-CN"/>
        </w:rPr>
        <w:t>2021012</w:t>
      </w:r>
    </w:p>
    <w:p>
      <w:pPr>
        <w:jc w:val="center"/>
        <w:rPr>
          <w:rFonts w:ascii="宋体" w:hAnsi="宋体" w:cs="宋体"/>
          <w:b/>
          <w:sz w:val="52"/>
        </w:rPr>
      </w:pPr>
    </w:p>
    <w:p>
      <w:pPr>
        <w:pStyle w:val="2"/>
        <w:rPr>
          <w:rFonts w:ascii="宋体" w:hAnsi="宋体" w:eastAsia="宋体" w:cs="宋体"/>
          <w:sz w:val="52"/>
        </w:rPr>
      </w:pPr>
    </w:p>
    <w:p>
      <w:pPr>
        <w:rPr>
          <w:rFonts w:ascii="宋体" w:hAnsi="宋体" w:cs="宋体"/>
          <w:b/>
          <w:sz w:val="52"/>
        </w:rPr>
      </w:pPr>
    </w:p>
    <w:p>
      <w:pPr>
        <w:pStyle w:val="2"/>
        <w:rPr>
          <w:rFonts w:ascii="宋体" w:hAnsi="宋体" w:cs="宋体"/>
          <w:sz w:val="52"/>
        </w:rPr>
      </w:pPr>
    </w:p>
    <w:p>
      <w:pPr>
        <w:pStyle w:val="2"/>
        <w:jc w:val="both"/>
      </w:pPr>
    </w:p>
    <w:p>
      <w:pPr>
        <w:pStyle w:val="2"/>
      </w:pPr>
    </w:p>
    <w:p/>
    <w:p>
      <w:pPr>
        <w:jc w:val="center"/>
        <w:rPr>
          <w:rFonts w:ascii="宋体" w:hAnsi="宋体" w:cs="宋体"/>
          <w:b/>
          <w:sz w:val="32"/>
          <w:szCs w:val="32"/>
        </w:rPr>
      </w:pPr>
      <w:r>
        <w:rPr>
          <w:rFonts w:hint="eastAsia" w:ascii="宋体" w:hAnsi="宋体" w:cs="宋体"/>
          <w:b/>
          <w:sz w:val="32"/>
          <w:szCs w:val="32"/>
        </w:rPr>
        <w:t>重庆机场信息通信网络有限公司</w:t>
      </w:r>
    </w:p>
    <w:p>
      <w:pPr>
        <w:rPr>
          <w:rFonts w:ascii="宋体" w:hAnsi="宋体" w:cs="宋体"/>
          <w:b/>
          <w:sz w:val="32"/>
          <w:szCs w:val="32"/>
        </w:rPr>
      </w:pPr>
    </w:p>
    <w:p>
      <w:pPr>
        <w:ind w:firstLine="3052" w:firstLineChars="950"/>
        <w:rPr>
          <w:rFonts w:ascii="宋体" w:hAnsi="宋体" w:cs="宋体"/>
          <w:b/>
          <w:sz w:val="32"/>
          <w:szCs w:val="32"/>
        </w:rPr>
      </w:pPr>
      <w:r>
        <w:rPr>
          <w:rFonts w:hint="eastAsia" w:ascii="宋体" w:hAnsi="宋体" w:cs="宋体"/>
          <w:b/>
          <w:sz w:val="32"/>
          <w:szCs w:val="32"/>
        </w:rPr>
        <w:t>二〇二一年八月</w:t>
      </w:r>
    </w:p>
    <w:p>
      <w:pPr>
        <w:ind w:firstLine="3052" w:firstLineChars="950"/>
        <w:rPr>
          <w:rFonts w:ascii="宋体" w:hAnsi="宋体" w:cs="宋体"/>
          <w:b/>
          <w:sz w:val="32"/>
          <w:szCs w:val="32"/>
        </w:rPr>
      </w:pPr>
    </w:p>
    <w:p>
      <w:pPr>
        <w:rPr>
          <w:rFonts w:ascii="宋体" w:hAnsi="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宋体" w:hAnsi="宋体" w:cs="宋体"/>
          <w:sz w:val="40"/>
          <w:szCs w:val="40"/>
        </w:rPr>
      </w:pPr>
      <w:r>
        <w:rPr>
          <w:rFonts w:hint="eastAsia" w:ascii="宋体" w:hAnsi="宋体" w:cs="宋体"/>
          <w:sz w:val="40"/>
          <w:szCs w:val="40"/>
        </w:rPr>
        <w:t>重庆机场信息通信网络公司小型弱电工程建设</w:t>
      </w:r>
    </w:p>
    <w:p>
      <w:pPr>
        <w:jc w:val="center"/>
        <w:rPr>
          <w:rFonts w:ascii="宋体" w:hAnsi="宋体" w:cs="宋体"/>
          <w:sz w:val="40"/>
          <w:szCs w:val="40"/>
        </w:rPr>
      </w:pPr>
      <w:r>
        <w:rPr>
          <w:rFonts w:hint="eastAsia" w:ascii="宋体" w:hAnsi="宋体" w:cs="宋体"/>
          <w:sz w:val="40"/>
          <w:szCs w:val="40"/>
        </w:rPr>
        <w:t>供应商库入库遴选项目比选文件</w:t>
      </w:r>
    </w:p>
    <w:p>
      <w:pPr>
        <w:ind w:firstLine="56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我司决定于近期将对重庆机场信息通信网络公司小型弱电工程建设供应商库入库遴选项目，邀请符合响应条件的供应商就本项目进行比选。</w:t>
      </w:r>
    </w:p>
    <w:p>
      <w:pPr>
        <w:ind w:firstLine="562" w:firstLineChars="200"/>
        <w:rPr>
          <w:rFonts w:ascii="宋体" w:hAnsi="宋体" w:cs="宋体"/>
          <w:b/>
          <w:bCs/>
          <w:sz w:val="28"/>
          <w:szCs w:val="28"/>
        </w:rPr>
      </w:pPr>
      <w:r>
        <w:rPr>
          <w:rFonts w:hint="eastAsia" w:ascii="宋体" w:hAnsi="宋体" w:cs="宋体"/>
          <w:b/>
          <w:bCs/>
          <w:sz w:val="28"/>
          <w:szCs w:val="28"/>
        </w:rPr>
        <w:t>一、项目概况和比选范围</w:t>
      </w:r>
    </w:p>
    <w:p>
      <w:pPr>
        <w:ind w:firstLine="560" w:firstLineChars="200"/>
        <w:rPr>
          <w:rFonts w:ascii="宋体" w:hAnsi="宋体" w:cs="宋体"/>
          <w:sz w:val="28"/>
          <w:szCs w:val="28"/>
        </w:rPr>
      </w:pPr>
      <w:r>
        <w:rPr>
          <w:rFonts w:hint="eastAsia" w:ascii="宋体" w:hAnsi="宋体" w:cs="宋体"/>
          <w:sz w:val="28"/>
          <w:szCs w:val="28"/>
        </w:rPr>
        <w:t>（一）项目名称</w:t>
      </w:r>
    </w:p>
    <w:p>
      <w:pPr>
        <w:ind w:firstLine="560" w:firstLineChars="200"/>
        <w:rPr>
          <w:rFonts w:ascii="宋体" w:hAnsi="宋体" w:cs="宋体"/>
          <w:sz w:val="28"/>
          <w:szCs w:val="28"/>
        </w:rPr>
      </w:pPr>
      <w:r>
        <w:rPr>
          <w:rFonts w:hint="eastAsia" w:ascii="宋体" w:hAnsi="宋体" w:cs="宋体"/>
          <w:sz w:val="28"/>
          <w:szCs w:val="28"/>
        </w:rPr>
        <w:t>重庆机场信息通信网络公司小型弱电工程建设项目供应商库入库遴选项目。</w:t>
      </w:r>
    </w:p>
    <w:p>
      <w:pPr>
        <w:ind w:firstLine="560" w:firstLineChars="200"/>
        <w:rPr>
          <w:rFonts w:ascii="宋体" w:hAnsi="宋体" w:cs="宋体"/>
          <w:sz w:val="28"/>
          <w:szCs w:val="28"/>
        </w:rPr>
      </w:pPr>
      <w:r>
        <w:rPr>
          <w:rFonts w:hint="eastAsia" w:ascii="宋体" w:hAnsi="宋体" w:cs="宋体"/>
          <w:sz w:val="28"/>
          <w:szCs w:val="28"/>
        </w:rPr>
        <w:t>（二）项目地点</w:t>
      </w:r>
    </w:p>
    <w:p>
      <w:pPr>
        <w:ind w:firstLine="560" w:firstLineChars="200"/>
        <w:rPr>
          <w:rFonts w:ascii="宋体" w:hAnsi="宋体" w:cs="宋体"/>
          <w:sz w:val="28"/>
          <w:szCs w:val="28"/>
        </w:rPr>
      </w:pPr>
      <w:r>
        <w:rPr>
          <w:rFonts w:hint="eastAsia" w:ascii="宋体" w:hAnsi="宋体" w:cs="宋体"/>
          <w:sz w:val="28"/>
          <w:szCs w:val="28"/>
        </w:rPr>
        <w:t>重庆机场信息通信网络有限公司内。</w:t>
      </w:r>
    </w:p>
    <w:p>
      <w:pPr>
        <w:ind w:firstLine="560" w:firstLineChars="200"/>
        <w:rPr>
          <w:rFonts w:ascii="宋体" w:hAnsi="宋体" w:cs="宋体"/>
          <w:sz w:val="28"/>
          <w:szCs w:val="28"/>
        </w:rPr>
      </w:pPr>
      <w:r>
        <w:rPr>
          <w:rFonts w:hint="eastAsia" w:ascii="宋体" w:hAnsi="宋体" w:cs="宋体"/>
          <w:sz w:val="28"/>
          <w:szCs w:val="28"/>
        </w:rPr>
        <w:t>（三）项目概况</w:t>
      </w:r>
    </w:p>
    <w:p>
      <w:pPr>
        <w:ind w:firstLine="560" w:firstLineChars="200"/>
        <w:rPr>
          <w:rFonts w:ascii="宋体" w:hAnsi="宋体" w:cs="宋体"/>
          <w:sz w:val="28"/>
          <w:szCs w:val="28"/>
        </w:rPr>
      </w:pPr>
      <w:r>
        <w:rPr>
          <w:rFonts w:hint="eastAsia" w:ascii="宋体" w:hAnsi="宋体" w:cs="宋体"/>
          <w:sz w:val="28"/>
          <w:szCs w:val="28"/>
        </w:rPr>
        <w:t>根据重庆机场信息通信网络有限公司发展需要，建设各类新建、改扩建等相关智能建筑工程、小型弱电工程施工项目。为提高信息通信网络公司针对小型弱电工程工作效率，减少重复性招标选商工作，重庆机场信息通信网络有限公司拟定采用比选方式选择2021年至2023年小型弱电工程建设供应商入库。</w:t>
      </w:r>
    </w:p>
    <w:p>
      <w:pPr>
        <w:ind w:firstLine="560" w:firstLineChars="200"/>
        <w:rPr>
          <w:rFonts w:ascii="宋体" w:hAnsi="宋体" w:cs="宋体"/>
          <w:sz w:val="28"/>
          <w:szCs w:val="28"/>
        </w:rPr>
      </w:pPr>
      <w:r>
        <w:rPr>
          <w:rFonts w:hint="eastAsia" w:ascii="宋体" w:hAnsi="宋体" w:cs="宋体"/>
          <w:sz w:val="28"/>
          <w:szCs w:val="28"/>
        </w:rPr>
        <w:t>（四）比选范围</w:t>
      </w:r>
    </w:p>
    <w:p>
      <w:pPr>
        <w:spacing w:line="560" w:lineRule="exact"/>
        <w:ind w:firstLine="560" w:firstLineChars="200"/>
        <w:rPr>
          <w:rFonts w:ascii="宋体" w:hAnsi="宋体" w:cs="宋体"/>
          <w:sz w:val="28"/>
          <w:szCs w:val="28"/>
        </w:rPr>
      </w:pPr>
      <w:r>
        <w:rPr>
          <w:rFonts w:hint="eastAsia" w:ascii="宋体" w:hAnsi="宋体" w:cs="宋体"/>
          <w:sz w:val="28"/>
          <w:szCs w:val="28"/>
        </w:rPr>
        <w:t>比选人根据合格比选响应人，择优确定5家（含）以上至10家（含）以下供应商进入供应商库。</w:t>
      </w:r>
    </w:p>
    <w:p>
      <w:pPr>
        <w:spacing w:line="560" w:lineRule="exact"/>
        <w:ind w:firstLine="560" w:firstLineChars="200"/>
        <w:rPr>
          <w:rFonts w:ascii="宋体" w:hAnsi="宋体" w:cs="宋体"/>
          <w:sz w:val="28"/>
          <w:szCs w:val="28"/>
        </w:rPr>
      </w:pPr>
      <w:r>
        <w:rPr>
          <w:rFonts w:hint="eastAsia" w:ascii="宋体" w:hAnsi="宋体" w:cs="宋体"/>
          <w:sz w:val="28"/>
          <w:szCs w:val="28"/>
        </w:rPr>
        <w:t>重庆机场信息通信网络有限公司将2021年至2023年实施的施工单项合同估算价10万以下的小型弱电工程建设项目，比选人将编制人员、技术和投标限价等相关要求，发布并通知至各家入库供应商响应，由各供应商按单个工程建设项目人员、技术、限价等要求编制响应、报价等文件后，经评审确定实施单位，原则为最低价中标。</w:t>
      </w:r>
    </w:p>
    <w:p>
      <w:pPr>
        <w:spacing w:line="560" w:lineRule="exact"/>
        <w:ind w:firstLine="562" w:firstLineChars="200"/>
        <w:rPr>
          <w:rFonts w:ascii="宋体" w:hAnsi="宋体" w:cs="宋体"/>
          <w:b/>
          <w:bCs/>
          <w:sz w:val="28"/>
          <w:szCs w:val="28"/>
        </w:rPr>
      </w:pPr>
      <w:r>
        <w:rPr>
          <w:rFonts w:hint="eastAsia" w:ascii="宋体" w:hAnsi="宋体" w:cs="宋体"/>
          <w:b/>
          <w:bCs/>
          <w:sz w:val="28"/>
          <w:szCs w:val="28"/>
        </w:rPr>
        <w:t>二、合同期限</w:t>
      </w:r>
    </w:p>
    <w:p>
      <w:pPr>
        <w:spacing w:line="560" w:lineRule="exact"/>
        <w:ind w:firstLine="560" w:firstLineChars="200"/>
        <w:rPr>
          <w:rFonts w:ascii="宋体" w:hAnsi="宋体" w:cs="宋体"/>
          <w:sz w:val="28"/>
          <w:szCs w:val="28"/>
        </w:rPr>
      </w:pPr>
      <w:r>
        <w:rPr>
          <w:rFonts w:hint="eastAsia" w:ascii="宋体" w:hAnsi="宋体" w:cs="宋体"/>
          <w:sz w:val="28"/>
          <w:szCs w:val="28"/>
        </w:rPr>
        <w:t>（一）服务期限：2年。</w:t>
      </w:r>
    </w:p>
    <w:p>
      <w:pPr>
        <w:spacing w:line="560" w:lineRule="exact"/>
        <w:ind w:firstLine="560" w:firstLineChars="200"/>
        <w:rPr>
          <w:rFonts w:ascii="宋体" w:hAnsi="宋体" w:cs="宋体"/>
          <w:sz w:val="28"/>
          <w:szCs w:val="28"/>
        </w:rPr>
      </w:pPr>
      <w:r>
        <w:rPr>
          <w:rFonts w:hint="eastAsia" w:ascii="宋体" w:hAnsi="宋体" w:cs="宋体"/>
          <w:sz w:val="28"/>
          <w:szCs w:val="28"/>
        </w:rPr>
        <w:t>（二）合同顺延：供应入库服务合同到期前</w:t>
      </w:r>
      <w:r>
        <w:rPr>
          <w:rFonts w:ascii="宋体" w:hAnsi="宋体" w:cs="宋体"/>
          <w:sz w:val="28"/>
          <w:szCs w:val="28"/>
        </w:rPr>
        <w:t>2</w:t>
      </w:r>
      <w:r>
        <w:rPr>
          <w:rFonts w:hint="eastAsia" w:ascii="宋体" w:hAnsi="宋体" w:cs="宋体"/>
          <w:sz w:val="28"/>
          <w:szCs w:val="28"/>
        </w:rPr>
        <w:t>个月截止，若施工单位在此期间履约服务评价（至少完成两个（含）及以上的项目）均为“优秀”，且在合同到期前实施的项目，无重大过失。在供应商自愿的情况下，可自动成为下一轮入库供应单位（需重新签订协议）。</w:t>
      </w:r>
    </w:p>
    <w:p>
      <w:pPr>
        <w:spacing w:line="560" w:lineRule="exact"/>
        <w:ind w:firstLine="562" w:firstLineChars="200"/>
        <w:rPr>
          <w:rFonts w:ascii="宋体" w:hAnsi="宋体" w:cs="宋体"/>
          <w:b/>
          <w:bCs/>
          <w:sz w:val="28"/>
          <w:szCs w:val="28"/>
        </w:rPr>
      </w:pPr>
      <w:r>
        <w:rPr>
          <w:rFonts w:hint="eastAsia" w:ascii="宋体" w:hAnsi="宋体" w:cs="宋体"/>
          <w:b/>
          <w:bCs/>
          <w:sz w:val="28"/>
          <w:szCs w:val="28"/>
        </w:rPr>
        <w:t>三、供应商库管理</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（一）比选人不承诺具体的工程建设项目的工作量与工程费用，也不给予在服务期内订立具体工作量合同的承诺，如在上述期限内供应商实际未发生工作量，比选人不承担任何责任和给供应商带来的任何损失。 </w:t>
      </w:r>
    </w:p>
    <w:p>
      <w:pPr>
        <w:spacing w:line="560" w:lineRule="exact"/>
        <w:ind w:firstLine="560" w:firstLineChars="200"/>
        <w:rPr>
          <w:rFonts w:ascii="宋体" w:hAnsi="宋体" w:cs="宋体"/>
          <w:sz w:val="28"/>
          <w:szCs w:val="28"/>
        </w:rPr>
      </w:pPr>
      <w:r>
        <w:rPr>
          <w:rFonts w:hint="eastAsia" w:ascii="宋体" w:hAnsi="宋体" w:cs="宋体"/>
          <w:sz w:val="28"/>
          <w:szCs w:val="28"/>
        </w:rPr>
        <w:t>（二）服务期间比选人将施工单项合同估算价10万以下的单个工程建设项目（具体工程建设项目以发标人发出为准），编制人员、技术和投标限价等相关要求，发布并通知至各家入库供应商响应，由各供应商按单个工程建设项目人员、技术、限价等要求编制响应、报价等文件后，经评审确定实施单位，原则为最低价中标。</w:t>
      </w:r>
    </w:p>
    <w:p>
      <w:pPr>
        <w:spacing w:line="560" w:lineRule="exact"/>
        <w:ind w:firstLine="560" w:firstLineChars="200"/>
        <w:rPr>
          <w:rFonts w:ascii="宋体" w:hAnsi="宋体" w:cs="宋体"/>
          <w:sz w:val="28"/>
          <w:szCs w:val="28"/>
        </w:rPr>
      </w:pPr>
      <w:r>
        <w:rPr>
          <w:rFonts w:hint="eastAsia" w:ascii="宋体" w:hAnsi="宋体" w:cs="宋体"/>
          <w:sz w:val="28"/>
          <w:szCs w:val="28"/>
        </w:rPr>
        <w:t>（三）服务期间比选人将对供应商履约行为进行考核（详附件4），并对照考核相关条款进行处罚。</w:t>
      </w:r>
    </w:p>
    <w:p>
      <w:pPr>
        <w:ind w:firstLine="560" w:firstLineChars="200"/>
        <w:rPr>
          <w:rFonts w:ascii="宋体" w:hAnsi="宋体" w:cs="宋体"/>
          <w:sz w:val="28"/>
          <w:szCs w:val="28"/>
        </w:rPr>
      </w:pPr>
      <w:r>
        <w:rPr>
          <w:rFonts w:hint="eastAsia" w:ascii="宋体" w:hAnsi="宋体" w:cs="宋体"/>
          <w:sz w:val="28"/>
          <w:szCs w:val="28"/>
        </w:rPr>
        <w:t>（四）因供应商因竞价成功后不签订施工合同或签订施工合同后拒绝实施的，甲方有权终止入库合同，并将该供应商列入黑名单，从被确认之日起3年（36个月）内，取消其参与信息通信网络公司投标资格，并按标书、合同相关条款处理。</w:t>
      </w:r>
    </w:p>
    <w:p>
      <w:pPr>
        <w:spacing w:line="560" w:lineRule="exact"/>
        <w:ind w:firstLine="560" w:firstLineChars="200"/>
        <w:rPr>
          <w:rFonts w:ascii="宋体" w:hAnsi="宋体" w:cs="宋体"/>
          <w:sz w:val="28"/>
          <w:szCs w:val="28"/>
        </w:rPr>
      </w:pPr>
      <w:r>
        <w:rPr>
          <w:rFonts w:hint="eastAsia" w:ascii="宋体" w:hAnsi="宋体" w:cs="宋体"/>
          <w:sz w:val="28"/>
          <w:szCs w:val="28"/>
        </w:rPr>
        <w:t>（五）入库供应商连续三次不参加比选人发出的单个工程建设项目竞价，暂停其参与小型弱电工程竞价6个月。</w:t>
      </w:r>
    </w:p>
    <w:p>
      <w:pPr>
        <w:spacing w:line="560" w:lineRule="exact"/>
        <w:ind w:firstLine="560" w:firstLineChars="200"/>
        <w:rPr>
          <w:rFonts w:ascii="宋体" w:hAnsi="宋体" w:cs="宋体"/>
          <w:sz w:val="28"/>
          <w:szCs w:val="28"/>
        </w:rPr>
      </w:pPr>
      <w:r>
        <w:rPr>
          <w:rFonts w:hint="eastAsia" w:ascii="宋体" w:hAnsi="宋体" w:cs="宋体"/>
          <w:sz w:val="28"/>
          <w:szCs w:val="28"/>
        </w:rPr>
        <w:t>（六）服务期间内因入库供应商违反规定列入黑名单，导致供应库内供应商数量少于5家，比选人将启动补录程序。</w:t>
      </w:r>
    </w:p>
    <w:p>
      <w:pPr>
        <w:ind w:firstLine="562" w:firstLineChars="200"/>
        <w:rPr>
          <w:rFonts w:ascii="宋体" w:hAnsi="宋体" w:cs="宋体"/>
          <w:b/>
          <w:bCs/>
          <w:kern w:val="0"/>
          <w:sz w:val="28"/>
          <w:szCs w:val="28"/>
        </w:rPr>
      </w:pPr>
      <w:r>
        <w:rPr>
          <w:rFonts w:hint="eastAsia" w:ascii="宋体" w:hAnsi="宋体" w:cs="宋体"/>
          <w:b/>
          <w:bCs/>
          <w:kern w:val="0"/>
          <w:sz w:val="28"/>
          <w:szCs w:val="28"/>
        </w:rPr>
        <w:t>四、资格要求</w:t>
      </w:r>
    </w:p>
    <w:p>
      <w:pPr>
        <w:spacing w:line="560" w:lineRule="exact"/>
        <w:ind w:firstLine="560" w:firstLineChars="200"/>
        <w:rPr>
          <w:rFonts w:ascii="宋体" w:hAnsi="宋体" w:cs="宋体"/>
          <w:sz w:val="28"/>
          <w:szCs w:val="28"/>
        </w:rPr>
      </w:pPr>
      <w:r>
        <w:rPr>
          <w:rFonts w:hint="eastAsia" w:ascii="宋体" w:hAnsi="宋体" w:cs="宋体"/>
          <w:sz w:val="28"/>
          <w:szCs w:val="28"/>
        </w:rPr>
        <w:t>本次比选实行资格后审，投标人应满足下列资格条件要求：</w:t>
      </w:r>
    </w:p>
    <w:p>
      <w:pPr>
        <w:ind w:firstLine="560" w:firstLineChars="200"/>
        <w:rPr>
          <w:rFonts w:ascii="宋体" w:hAnsi="宋体" w:cs="宋体"/>
          <w:sz w:val="28"/>
          <w:szCs w:val="28"/>
        </w:rPr>
      </w:pPr>
      <w:r>
        <w:rPr>
          <w:rFonts w:hint="eastAsia" w:ascii="宋体" w:hAnsi="宋体" w:cs="宋体"/>
          <w:sz w:val="28"/>
          <w:szCs w:val="28"/>
        </w:rPr>
        <w:t>（一）资质条件</w:t>
      </w:r>
    </w:p>
    <w:p>
      <w:pPr>
        <w:ind w:firstLine="560" w:firstLineChars="200"/>
        <w:rPr>
          <w:rFonts w:ascii="宋体" w:hAnsi="宋体" w:cs="宋体"/>
          <w:sz w:val="28"/>
          <w:szCs w:val="28"/>
        </w:rPr>
      </w:pPr>
      <w:r>
        <w:rPr>
          <w:rFonts w:hint="eastAsia" w:ascii="宋体" w:hAnsi="宋体" w:cs="宋体"/>
          <w:sz w:val="28"/>
          <w:szCs w:val="28"/>
        </w:rPr>
        <w:t>公司具有安防工程从业资质二级以上（含二级）或电子与智能化工程</w:t>
      </w:r>
      <w:r>
        <w:rPr>
          <w:rFonts w:ascii="宋体" w:hAnsi="宋体" w:cs="宋体"/>
          <w:sz w:val="28"/>
          <w:szCs w:val="28"/>
        </w:rPr>
        <w:t>专业</w:t>
      </w:r>
      <w:r>
        <w:rPr>
          <w:rFonts w:hint="eastAsia" w:ascii="宋体" w:hAnsi="宋体" w:cs="宋体"/>
          <w:sz w:val="28"/>
          <w:szCs w:val="28"/>
        </w:rPr>
        <w:t>承包二级以上（含二级）证书。</w:t>
      </w:r>
    </w:p>
    <w:p>
      <w:pPr>
        <w:ind w:firstLine="560" w:firstLineChars="200"/>
        <w:rPr>
          <w:rFonts w:ascii="宋体" w:hAnsi="宋体" w:cs="宋体"/>
          <w:sz w:val="28"/>
          <w:szCs w:val="28"/>
        </w:rPr>
      </w:pPr>
      <w:r>
        <w:rPr>
          <w:rFonts w:hint="eastAsia" w:ascii="宋体" w:hAnsi="宋体" w:cs="宋体"/>
          <w:sz w:val="28"/>
          <w:szCs w:val="28"/>
        </w:rPr>
        <w:t>（二）营业执照</w:t>
      </w:r>
    </w:p>
    <w:p>
      <w:pPr>
        <w:ind w:firstLine="560" w:firstLineChars="200"/>
        <w:rPr>
          <w:rFonts w:ascii="宋体" w:hAnsi="宋体" w:cs="宋体"/>
          <w:sz w:val="28"/>
          <w:szCs w:val="28"/>
        </w:rPr>
      </w:pPr>
      <w:r>
        <w:rPr>
          <w:rFonts w:hint="eastAsia" w:ascii="宋体" w:hAnsi="宋体" w:cs="宋体"/>
          <w:sz w:val="28"/>
          <w:szCs w:val="28"/>
        </w:rPr>
        <w:t>营业执照要求：投标人须为在中国境内（不包括香港、澳门、台湾地区）注册且具有独立承担民事责任能力的增值税一般纳税人。（须提供有效的营业执照复印件）</w:t>
      </w:r>
    </w:p>
    <w:p>
      <w:pPr>
        <w:ind w:firstLine="560" w:firstLineChars="200"/>
        <w:rPr>
          <w:rFonts w:ascii="宋体" w:hAnsi="宋体" w:cs="宋体"/>
          <w:sz w:val="28"/>
          <w:szCs w:val="28"/>
        </w:rPr>
      </w:pPr>
      <w:r>
        <w:rPr>
          <w:rFonts w:hint="eastAsia" w:ascii="宋体" w:hAnsi="宋体" w:cs="宋体"/>
          <w:sz w:val="28"/>
          <w:szCs w:val="28"/>
        </w:rPr>
        <w:t>（三）一般纳税人资格：投标人须具有增值税一般纳税人资格。</w:t>
      </w:r>
    </w:p>
    <w:p>
      <w:pPr>
        <w:ind w:firstLine="560" w:firstLineChars="200"/>
        <w:rPr>
          <w:rFonts w:ascii="宋体" w:hAnsi="宋体" w:cs="宋体"/>
          <w:sz w:val="28"/>
          <w:szCs w:val="28"/>
        </w:rPr>
      </w:pPr>
      <w:r>
        <w:rPr>
          <w:rFonts w:hint="eastAsia" w:ascii="宋体" w:hAnsi="宋体" w:cs="宋体"/>
          <w:sz w:val="28"/>
          <w:szCs w:val="28"/>
        </w:rPr>
        <w:t>注：投标人须提供其拥有增值税一般纳税人资格的证明文件，提供以下①、②、③、④项之一证明文件均可：</w:t>
      </w:r>
    </w:p>
    <w:p>
      <w:pPr>
        <w:ind w:firstLine="560" w:firstLineChars="200"/>
        <w:rPr>
          <w:rFonts w:ascii="宋体" w:hAnsi="宋体" w:cs="宋体"/>
          <w:sz w:val="28"/>
          <w:szCs w:val="28"/>
        </w:rPr>
      </w:pPr>
      <w:r>
        <w:rPr>
          <w:rFonts w:hint="eastAsia" w:ascii="宋体" w:hAnsi="宋体" w:cs="宋体"/>
          <w:sz w:val="28"/>
          <w:szCs w:val="28"/>
        </w:rPr>
        <w:t>①《增值税一般纳税人资格登记表》或《一般纳税人资格证书》复印件；</w:t>
      </w:r>
    </w:p>
    <w:p>
      <w:pPr>
        <w:ind w:firstLine="560" w:firstLineChars="200"/>
        <w:rPr>
          <w:rFonts w:ascii="宋体" w:hAnsi="宋体" w:cs="宋体"/>
          <w:sz w:val="28"/>
          <w:szCs w:val="28"/>
        </w:rPr>
      </w:pPr>
      <w:r>
        <w:rPr>
          <w:rFonts w:hint="eastAsia" w:ascii="宋体" w:hAnsi="宋体" w:cs="宋体"/>
          <w:sz w:val="28"/>
          <w:szCs w:val="28"/>
        </w:rPr>
        <w:t>②加盖“增值税一般纳税人”章的《税务登记证》副本复印件；</w:t>
      </w:r>
    </w:p>
    <w:p>
      <w:pPr>
        <w:ind w:firstLine="560" w:firstLineChars="200"/>
        <w:rPr>
          <w:rFonts w:ascii="宋体" w:hAnsi="宋体" w:cs="宋体"/>
          <w:sz w:val="28"/>
          <w:szCs w:val="28"/>
        </w:rPr>
      </w:pPr>
      <w:r>
        <w:rPr>
          <w:rFonts w:hint="eastAsia" w:ascii="宋体" w:hAnsi="宋体" w:cs="宋体"/>
          <w:sz w:val="28"/>
          <w:szCs w:val="28"/>
        </w:rPr>
        <w:t>③已办理“三证合一”的企业需提供由其主管国税机关出具的一般纳税人税务事项通知书复印件；</w:t>
      </w:r>
    </w:p>
    <w:p>
      <w:pPr>
        <w:ind w:firstLine="560" w:firstLineChars="200"/>
        <w:rPr>
          <w:rFonts w:ascii="宋体" w:hAnsi="宋体" w:cs="宋体"/>
          <w:sz w:val="28"/>
          <w:szCs w:val="28"/>
        </w:rPr>
      </w:pPr>
      <w:r>
        <w:rPr>
          <w:rFonts w:hint="eastAsia" w:ascii="宋体" w:hAnsi="宋体" w:cs="宋体"/>
          <w:sz w:val="28"/>
          <w:szCs w:val="28"/>
        </w:rPr>
        <w:t>④税务机关官方网站上的查询结果截图或税务机关出具的其他证明材料。</w:t>
      </w:r>
    </w:p>
    <w:p>
      <w:pPr>
        <w:ind w:firstLine="560" w:firstLineChars="200"/>
        <w:rPr>
          <w:rFonts w:ascii="宋体" w:hAnsi="宋体" w:cs="宋体"/>
          <w:sz w:val="28"/>
          <w:szCs w:val="28"/>
        </w:rPr>
      </w:pPr>
      <w:r>
        <w:rPr>
          <w:rFonts w:hint="eastAsia" w:ascii="宋体" w:hAnsi="宋体" w:cs="宋体"/>
          <w:sz w:val="28"/>
          <w:szCs w:val="28"/>
        </w:rPr>
        <w:t>（四）业绩要求</w:t>
      </w:r>
    </w:p>
    <w:p>
      <w:pPr>
        <w:ind w:firstLine="560" w:firstLineChars="200"/>
        <w:rPr>
          <w:rFonts w:ascii="宋体" w:hAnsi="宋体" w:cs="宋体"/>
          <w:sz w:val="28"/>
          <w:szCs w:val="28"/>
        </w:rPr>
      </w:pPr>
      <w:r>
        <w:rPr>
          <w:rFonts w:hint="eastAsia" w:ascii="宋体" w:hAnsi="宋体" w:cs="宋体"/>
          <w:sz w:val="28"/>
          <w:szCs w:val="28"/>
        </w:rPr>
        <w:t>2019年1月1日（以合同签订时间为准）至今至少承担过1个单项合同金额10万元（含）及以上的弱电工程，业绩以合同签订金额和时间为准。</w:t>
      </w:r>
    </w:p>
    <w:p>
      <w:pPr>
        <w:ind w:firstLine="560" w:firstLineChars="200"/>
        <w:rPr>
          <w:rFonts w:ascii="宋体" w:hAnsi="宋体" w:cs="宋体"/>
          <w:sz w:val="28"/>
          <w:szCs w:val="28"/>
        </w:rPr>
      </w:pPr>
      <w:r>
        <w:rPr>
          <w:rFonts w:hint="eastAsia" w:ascii="宋体" w:hAnsi="宋体" w:cs="宋体"/>
          <w:sz w:val="28"/>
          <w:szCs w:val="28"/>
        </w:rPr>
        <w:t>（提供施工合同、竣工验收报告（或</w:t>
      </w:r>
      <w:r>
        <w:rPr>
          <w:rFonts w:ascii="宋体" w:hAnsi="宋体" w:cs="宋体"/>
          <w:sz w:val="28"/>
          <w:szCs w:val="28"/>
        </w:rPr>
        <w:t>相关证明材料</w:t>
      </w:r>
      <w:r>
        <w:rPr>
          <w:rFonts w:hint="eastAsia" w:ascii="宋体" w:hAnsi="宋体" w:cs="宋体"/>
          <w:sz w:val="28"/>
          <w:szCs w:val="28"/>
        </w:rPr>
        <w:t>）复印件并</w:t>
      </w:r>
      <w:r>
        <w:rPr>
          <w:rFonts w:ascii="宋体" w:hAnsi="宋体" w:cs="宋体"/>
          <w:sz w:val="28"/>
          <w:szCs w:val="28"/>
        </w:rPr>
        <w:t>加盖公司鲜章</w:t>
      </w:r>
      <w:r>
        <w:rPr>
          <w:rFonts w:hint="eastAsia" w:ascii="宋体" w:hAnsi="宋体" w:cs="宋体"/>
          <w:sz w:val="28"/>
          <w:szCs w:val="28"/>
        </w:rPr>
        <w:t>）。</w:t>
      </w:r>
    </w:p>
    <w:p>
      <w:pPr>
        <w:ind w:firstLine="560" w:firstLineChars="200"/>
        <w:rPr>
          <w:rFonts w:ascii="宋体" w:hAnsi="宋体" w:cs="宋体"/>
          <w:sz w:val="28"/>
          <w:szCs w:val="28"/>
        </w:rPr>
      </w:pPr>
      <w:r>
        <w:rPr>
          <w:rFonts w:hint="eastAsia" w:ascii="宋体" w:hAnsi="宋体" w:cs="宋体"/>
          <w:sz w:val="28"/>
          <w:szCs w:val="28"/>
        </w:rPr>
        <w:t>（五）信誉要求</w:t>
      </w:r>
    </w:p>
    <w:p>
      <w:pPr>
        <w:ind w:firstLine="560" w:firstLineChars="200"/>
        <w:rPr>
          <w:rFonts w:ascii="宋体" w:hAnsi="宋体" w:cs="宋体"/>
          <w:sz w:val="28"/>
          <w:szCs w:val="28"/>
        </w:rPr>
      </w:pPr>
      <w:r>
        <w:rPr>
          <w:rFonts w:hint="eastAsia" w:ascii="宋体" w:hAnsi="宋体" w:cs="宋体"/>
          <w:sz w:val="28"/>
          <w:szCs w:val="28"/>
        </w:rPr>
        <w:t>（1）投标人未被“信用中国”网站（www.creditchina.gov.cn）列为失信被执行人。</w:t>
      </w:r>
    </w:p>
    <w:p>
      <w:pPr>
        <w:ind w:firstLine="560" w:firstLineChars="200"/>
        <w:rPr>
          <w:rFonts w:ascii="宋体" w:hAnsi="宋体" w:cs="宋体"/>
          <w:sz w:val="28"/>
          <w:szCs w:val="28"/>
        </w:rPr>
      </w:pPr>
      <w:r>
        <w:rPr>
          <w:rFonts w:hint="eastAsia" w:ascii="宋体" w:hAnsi="宋体" w:cs="宋体"/>
          <w:sz w:val="28"/>
          <w:szCs w:val="28"/>
        </w:rPr>
        <w:t>（提供相关查询截图复印件）</w:t>
      </w:r>
    </w:p>
    <w:p>
      <w:pPr>
        <w:ind w:firstLine="560" w:firstLineChars="200"/>
        <w:rPr>
          <w:rFonts w:ascii="宋体" w:hAnsi="宋体" w:cs="宋体"/>
          <w:sz w:val="28"/>
          <w:szCs w:val="28"/>
        </w:rPr>
      </w:pPr>
      <w:r>
        <w:rPr>
          <w:rFonts w:hint="eastAsia" w:ascii="宋体" w:hAnsi="宋体" w:cs="宋体"/>
          <w:sz w:val="28"/>
          <w:szCs w:val="28"/>
        </w:rPr>
        <w:t>（2）2019年1月1日至今投标人或其法定代表人、拟委任的项目负责人无行贿犯罪行为。</w:t>
      </w:r>
    </w:p>
    <w:p>
      <w:pPr>
        <w:ind w:firstLine="560" w:firstLineChars="200"/>
        <w:rPr>
          <w:rFonts w:ascii="宋体" w:hAnsi="宋体" w:cs="宋体"/>
          <w:sz w:val="28"/>
          <w:szCs w:val="28"/>
        </w:rPr>
      </w:pPr>
      <w:r>
        <w:rPr>
          <w:rFonts w:hint="eastAsia" w:ascii="宋体" w:hAnsi="宋体" w:cs="宋体"/>
          <w:sz w:val="28"/>
          <w:szCs w:val="28"/>
        </w:rPr>
        <w:t>（提供书面承诺复印件，承诺书格式详附件1）</w:t>
      </w:r>
    </w:p>
    <w:p>
      <w:pPr>
        <w:ind w:firstLine="560" w:firstLineChars="200"/>
        <w:rPr>
          <w:rFonts w:ascii="宋体" w:hAnsi="宋体" w:cs="宋体"/>
          <w:sz w:val="28"/>
          <w:szCs w:val="28"/>
        </w:rPr>
      </w:pPr>
      <w:r>
        <w:rPr>
          <w:rFonts w:hint="eastAsia" w:ascii="宋体" w:hAnsi="宋体" w:cs="宋体"/>
          <w:sz w:val="28"/>
          <w:szCs w:val="28"/>
        </w:rPr>
        <w:t>备注：</w:t>
      </w:r>
    </w:p>
    <w:p>
      <w:pPr>
        <w:ind w:firstLine="560" w:firstLineChars="200"/>
        <w:rPr>
          <w:rFonts w:ascii="宋体" w:hAnsi="宋体" w:cs="宋体"/>
          <w:sz w:val="28"/>
          <w:szCs w:val="28"/>
        </w:rPr>
      </w:pPr>
      <w:r>
        <w:rPr>
          <w:rFonts w:hint="eastAsia" w:ascii="宋体" w:hAnsi="宋体" w:cs="宋体"/>
          <w:sz w:val="28"/>
          <w:szCs w:val="28"/>
        </w:rPr>
        <w:t>1、投标人须随身携带以上所有复印件（带二维码标识的营业执照、身份证、声明、承诺、截图除外）的原件备查，原件封装成一袋在开标会结束前一次性提交，过后不再补交，袋封面应附资料原件清单。评标委员会审查时需对有关证明和证件的原件核查，若复印件与原件不一致，则投标文件作否决投标处理。</w:t>
      </w:r>
    </w:p>
    <w:p>
      <w:pPr>
        <w:ind w:firstLine="562" w:firstLineChars="200"/>
        <w:rPr>
          <w:rFonts w:ascii="宋体" w:hAnsi="宋体" w:cs="宋体"/>
          <w:b/>
          <w:bCs/>
          <w:sz w:val="28"/>
          <w:szCs w:val="28"/>
        </w:rPr>
      </w:pPr>
      <w:r>
        <w:rPr>
          <w:rFonts w:hint="eastAsia" w:ascii="宋体" w:hAnsi="宋体" w:cs="宋体"/>
          <w:b/>
          <w:bCs/>
          <w:sz w:val="28"/>
          <w:szCs w:val="28"/>
        </w:rPr>
        <w:t>2、以上所有复印件需加盖投标人单位公章鲜章。</w:t>
      </w:r>
    </w:p>
    <w:p>
      <w:pPr>
        <w:ind w:firstLine="560" w:firstLineChars="200"/>
        <w:rPr>
          <w:rFonts w:ascii="宋体" w:hAnsi="宋体" w:cs="宋体"/>
          <w:sz w:val="28"/>
          <w:szCs w:val="28"/>
        </w:rPr>
      </w:pPr>
      <w:r>
        <w:rPr>
          <w:rFonts w:hint="eastAsia" w:ascii="宋体" w:hAnsi="宋体" w:cs="宋体"/>
          <w:sz w:val="28"/>
          <w:szCs w:val="28"/>
        </w:rPr>
        <w:t>3、投标人必须全部满足以上所有条件时才被视为资格审查合格，缺一项就视为资格审查不合格。投标人提供的资料必须是真实有效的。</w:t>
      </w:r>
    </w:p>
    <w:p>
      <w:pPr>
        <w:ind w:firstLine="560" w:firstLineChars="200"/>
        <w:rPr>
          <w:rFonts w:ascii="宋体" w:hAnsi="宋体" w:cs="宋体"/>
          <w:sz w:val="28"/>
          <w:szCs w:val="28"/>
        </w:rPr>
      </w:pPr>
      <w:r>
        <w:rPr>
          <w:rFonts w:hint="eastAsia" w:ascii="宋体" w:hAnsi="宋体" w:cs="宋体"/>
          <w:sz w:val="28"/>
          <w:szCs w:val="28"/>
        </w:rPr>
        <w:t>主要管理人员：</w:t>
      </w:r>
    </w:p>
    <w:p>
      <w:pPr>
        <w:ind w:firstLine="560" w:firstLineChars="200"/>
        <w:rPr>
          <w:rFonts w:ascii="宋体" w:hAnsi="宋体" w:cs="宋体"/>
        </w:rPr>
      </w:pPr>
      <w:r>
        <w:rPr>
          <w:rFonts w:hint="eastAsia" w:ascii="宋体" w:hAnsi="宋体" w:cs="宋体"/>
          <w:sz w:val="28"/>
          <w:szCs w:val="28"/>
        </w:rPr>
        <w:t>本次供应商入库比选不对项目现场负责人、技术负责人和主要管理人员进行资格审查，各供应商在承担重庆机场信息通信网络有限公司委托的小型弱电工程项目前应严格按照发标人编制的人员要求备项目现场负责人2名（互为AB角），配备管理人员</w:t>
      </w:r>
      <w:r>
        <w:rPr>
          <w:rFonts w:hint="eastAsia" w:ascii="宋体" w:hAnsi="宋体" w:cs="宋体"/>
          <w:sz w:val="28"/>
          <w:szCs w:val="28"/>
          <w:lang w:eastAsia="zh-CN"/>
        </w:rPr>
        <w:t>、</w:t>
      </w:r>
      <w:r>
        <w:rPr>
          <w:rFonts w:hint="eastAsia" w:ascii="宋体" w:hAnsi="宋体" w:cs="宋体"/>
          <w:sz w:val="28"/>
          <w:szCs w:val="28"/>
        </w:rPr>
        <w:t>安全员。</w:t>
      </w:r>
      <w:bookmarkStart w:id="44" w:name="_GoBack"/>
      <w:bookmarkEnd w:id="44"/>
    </w:p>
    <w:p>
      <w:pPr>
        <w:pStyle w:val="5"/>
        <w:ind w:firstLine="560" w:firstLineChars="200"/>
        <w:rPr>
          <w:rFonts w:ascii="宋体" w:hAnsi="宋体" w:cs="宋体"/>
          <w:b w:val="0"/>
          <w:bCs w:val="0"/>
          <w:color w:val="auto"/>
          <w:kern w:val="2"/>
          <w:lang w:val="en-US"/>
        </w:rPr>
      </w:pPr>
      <w:bookmarkStart w:id="0" w:name="_Toc14971"/>
      <w:r>
        <w:rPr>
          <w:rFonts w:hint="eastAsia" w:ascii="宋体" w:hAnsi="宋体" w:cs="宋体"/>
          <w:b w:val="0"/>
          <w:bCs w:val="0"/>
          <w:color w:val="auto"/>
          <w:kern w:val="2"/>
          <w:lang w:val="en-US"/>
        </w:rPr>
        <w:t>（八）报价要求</w:t>
      </w:r>
      <w:bookmarkEnd w:id="0"/>
    </w:p>
    <w:p>
      <w:pPr>
        <w:ind w:firstLine="560" w:firstLineChars="200"/>
        <w:rPr>
          <w:rFonts w:ascii="宋体" w:hAnsi="宋体" w:cs="宋体"/>
          <w:sz w:val="28"/>
          <w:szCs w:val="28"/>
        </w:rPr>
      </w:pPr>
      <w:r>
        <w:rPr>
          <w:rFonts w:hint="eastAsia" w:ascii="宋体" w:hAnsi="宋体" w:cs="宋体"/>
          <w:sz w:val="28"/>
          <w:szCs w:val="28"/>
        </w:rPr>
        <w:t>本次入库不进行报价评分，具体为各供应商在入库后，服务期间比选人将施工单项合同估算价10万以下的单个工程建设项目（具体工程建设项目以发标人委托为准），编制人员、技术和投标限价等相关要求，发布并通知至各家入库供应商响应，由各供应商按单个工程建设项目人员、技术、限价等要求编制响应文件、报价等文件后，经评审确定实施单位（原则为最低价中标）。</w:t>
      </w:r>
    </w:p>
    <w:p>
      <w:pPr>
        <w:widowControl/>
        <w:ind w:firstLine="560"/>
        <w:jc w:val="left"/>
        <w:rPr>
          <w:rFonts w:ascii="宋体" w:hAnsi="宋体" w:cs="宋体"/>
          <w:b/>
          <w:bCs/>
          <w:sz w:val="28"/>
          <w:szCs w:val="28"/>
        </w:rPr>
      </w:pPr>
      <w:r>
        <w:rPr>
          <w:rFonts w:hint="eastAsia" w:ascii="宋体" w:hAnsi="宋体" w:cs="宋体"/>
          <w:b/>
          <w:sz w:val="28"/>
          <w:szCs w:val="28"/>
        </w:rPr>
        <w:t>五、</w:t>
      </w:r>
      <w:r>
        <w:rPr>
          <w:rFonts w:hint="eastAsia" w:ascii="宋体" w:hAnsi="宋体" w:cs="宋体"/>
          <w:b/>
          <w:bCs/>
          <w:sz w:val="28"/>
          <w:szCs w:val="28"/>
        </w:rPr>
        <w:t>成交标准</w:t>
      </w:r>
    </w:p>
    <w:p>
      <w:pPr>
        <w:ind w:firstLine="560" w:firstLineChars="200"/>
        <w:rPr>
          <w:rFonts w:ascii="宋体" w:hAnsi="宋体" w:cs="宋体"/>
          <w:sz w:val="28"/>
          <w:szCs w:val="28"/>
        </w:rPr>
      </w:pPr>
      <w:r>
        <w:rPr>
          <w:rFonts w:hint="eastAsia" w:ascii="宋体" w:hAnsi="宋体" w:cs="宋体"/>
          <w:sz w:val="28"/>
          <w:szCs w:val="28"/>
        </w:rPr>
        <w:t>入库供应商数量采取“N-5”原则，N为经评审满足条件的比选响应单位数量。N大于15时，综合评分前10名入库；N小于等于15且大于等于10时，综合评分前N-5名入库；N小于10时，则需重新组织比选。</w:t>
      </w:r>
    </w:p>
    <w:p>
      <w:pPr>
        <w:ind w:firstLine="560" w:firstLineChars="200"/>
        <w:rPr>
          <w:rFonts w:ascii="宋体" w:hAnsi="宋体" w:cs="宋体"/>
          <w:sz w:val="28"/>
          <w:szCs w:val="28"/>
        </w:rPr>
      </w:pPr>
      <w:r>
        <w:rPr>
          <w:rFonts w:hint="eastAsia" w:ascii="宋体" w:hAnsi="宋体" w:cs="宋体"/>
          <w:sz w:val="28"/>
          <w:szCs w:val="28"/>
        </w:rPr>
        <w:t>（一）比选规则</w:t>
      </w:r>
    </w:p>
    <w:p>
      <w:pPr>
        <w:ind w:firstLine="560" w:firstLineChars="200"/>
        <w:rPr>
          <w:rFonts w:ascii="宋体" w:hAnsi="宋体" w:cs="宋体"/>
          <w:sz w:val="28"/>
          <w:szCs w:val="28"/>
        </w:rPr>
      </w:pPr>
      <w:r>
        <w:rPr>
          <w:rFonts w:hint="eastAsia" w:ascii="宋体" w:hAnsi="宋体" w:cs="宋体"/>
          <w:sz w:val="28"/>
          <w:szCs w:val="28"/>
        </w:rPr>
        <w:t>1、递交比选响应文件截止时，送达的比选响应文件少于10个的，应停止比选活动， 将递交的比选响应文件退还比选响应人，并重新组织比选。重新比选仍然不足10个，但需＞5个，比选项目将可以继续进行比选，则审满足条件投标单位均可入选。</w:t>
      </w:r>
    </w:p>
    <w:p>
      <w:pPr>
        <w:ind w:firstLine="560" w:firstLineChars="200"/>
        <w:rPr>
          <w:rFonts w:ascii="宋体" w:hAnsi="宋体" w:cs="宋体"/>
        </w:rPr>
      </w:pPr>
      <w:r>
        <w:rPr>
          <w:rFonts w:hint="eastAsia" w:ascii="宋体" w:hAnsi="宋体" w:cs="宋体"/>
          <w:sz w:val="28"/>
          <w:szCs w:val="28"/>
        </w:rPr>
        <w:t>2、项目重新比选时，经评审有有效比选响应人的，应当按规定程序，根据符合供应入库需求、质量和服务，且综合得分最高的原则确定成交候选人。</w:t>
      </w:r>
    </w:p>
    <w:p>
      <w:pPr>
        <w:pStyle w:val="2"/>
        <w:ind w:firstLine="560" w:firstLineChars="200"/>
        <w:jc w:val="left"/>
        <w:rPr>
          <w:rFonts w:ascii="宋体" w:hAnsi="宋体" w:eastAsia="宋体" w:cs="宋体"/>
          <w:b w:val="0"/>
          <w:sz w:val="28"/>
          <w:szCs w:val="28"/>
        </w:rPr>
      </w:pPr>
      <w:r>
        <w:rPr>
          <w:rFonts w:hint="eastAsia" w:ascii="宋体" w:hAnsi="宋体" w:eastAsia="宋体" w:cs="宋体"/>
          <w:b w:val="0"/>
          <w:sz w:val="28"/>
          <w:szCs w:val="28"/>
        </w:rPr>
        <w:t>（二）综合得分评选方法</w:t>
      </w:r>
    </w:p>
    <w:tbl>
      <w:tblPr>
        <w:tblStyle w:val="18"/>
        <w:tblpPr w:leftFromText="180" w:rightFromText="180" w:vertAnchor="text" w:tblpXSpec="center" w:tblpY="1"/>
        <w:tblOverlap w:val="never"/>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780"/>
        <w:gridCol w:w="2234"/>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60" w:type="dxa"/>
            <w:gridSpan w:val="2"/>
            <w:tcBorders>
              <w:bottom w:val="single" w:color="auto" w:sz="4" w:space="0"/>
              <w:right w:val="single" w:color="auto" w:sz="4" w:space="0"/>
            </w:tcBorders>
            <w:vAlign w:val="center"/>
          </w:tcPr>
          <w:p>
            <w:pPr>
              <w:spacing w:line="440" w:lineRule="exact"/>
              <w:jc w:val="center"/>
              <w:rPr>
                <w:rFonts w:ascii="宋体" w:hAnsi="宋体" w:cs="宋体"/>
                <w:b/>
              </w:rPr>
            </w:pPr>
            <w:r>
              <w:rPr>
                <w:rFonts w:hint="eastAsia" w:ascii="宋体" w:hAnsi="宋体" w:cs="宋体"/>
                <w:b/>
              </w:rPr>
              <w:t>序号</w:t>
            </w:r>
          </w:p>
        </w:tc>
        <w:tc>
          <w:tcPr>
            <w:tcW w:w="22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rPr>
            </w:pPr>
            <w:r>
              <w:rPr>
                <w:rFonts w:hint="eastAsia" w:ascii="宋体" w:hAnsi="宋体" w:cs="宋体"/>
                <w:b/>
              </w:rPr>
              <w:t>条款内容</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rPr>
            </w:pPr>
            <w:r>
              <w:rPr>
                <w:rFonts w:hint="eastAsia" w:ascii="宋体" w:hAnsi="宋体" w:cs="宋体"/>
                <w:b/>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60" w:type="dxa"/>
            <w:gridSpan w:val="2"/>
            <w:tcBorders>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1</w:t>
            </w:r>
          </w:p>
        </w:tc>
        <w:tc>
          <w:tcPr>
            <w:tcW w:w="223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分值构成</w:t>
            </w:r>
          </w:p>
          <w:p>
            <w:pPr>
              <w:spacing w:line="400" w:lineRule="exact"/>
              <w:jc w:val="left"/>
              <w:rPr>
                <w:rFonts w:ascii="宋体" w:hAnsi="宋体" w:cs="宋体"/>
              </w:rPr>
            </w:pPr>
            <w:r>
              <w:rPr>
                <w:rFonts w:hint="eastAsia" w:ascii="宋体" w:hAnsi="宋体" w:cs="宋体"/>
              </w:rPr>
              <w:t>(总分100分)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商务部分：20分</w:t>
            </w:r>
          </w:p>
          <w:p>
            <w:pPr>
              <w:spacing w:line="400" w:lineRule="exact"/>
              <w:jc w:val="left"/>
              <w:rPr>
                <w:rFonts w:ascii="宋体" w:hAnsi="宋体" w:cs="宋体"/>
              </w:rPr>
            </w:pPr>
            <w:r>
              <w:rPr>
                <w:rFonts w:hint="eastAsia" w:ascii="宋体" w:hAnsi="宋体" w:cs="宋体"/>
              </w:rPr>
              <w:t>技术部分：70分</w:t>
            </w:r>
          </w:p>
          <w:p>
            <w:pPr>
              <w:spacing w:line="400" w:lineRule="exact"/>
              <w:jc w:val="left"/>
              <w:rPr>
                <w:rFonts w:ascii="宋体" w:hAnsi="宋体" w:cs="宋体"/>
              </w:rPr>
            </w:pPr>
            <w:r>
              <w:rPr>
                <w:rFonts w:hint="eastAsia" w:ascii="宋体" w:hAnsi="宋体" w:cs="宋体"/>
                <w:kern w:val="0"/>
              </w:rPr>
              <w:t>报价文件编制：10分。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0" w:type="dxa"/>
            <w:vMerge w:val="restart"/>
            <w:tcBorders>
              <w:right w:val="single" w:color="auto" w:sz="4" w:space="0"/>
            </w:tcBorders>
            <w:vAlign w:val="center"/>
          </w:tcPr>
          <w:p>
            <w:pPr>
              <w:spacing w:line="400" w:lineRule="exact"/>
              <w:jc w:val="left"/>
              <w:rPr>
                <w:rFonts w:ascii="宋体" w:hAnsi="宋体" w:cs="宋体"/>
              </w:rPr>
            </w:pPr>
            <w:r>
              <w:rPr>
                <w:rFonts w:hint="eastAsia" w:ascii="宋体" w:hAnsi="宋体" w:cs="宋体"/>
              </w:rPr>
              <w:t>4.1</w:t>
            </w:r>
          </w:p>
        </w:tc>
        <w:tc>
          <w:tcPr>
            <w:tcW w:w="780" w:type="dxa"/>
            <w:vMerge w:val="restart"/>
            <w:tcBorders>
              <w:right w:val="single" w:color="auto" w:sz="4" w:space="0"/>
            </w:tcBorders>
            <w:vAlign w:val="center"/>
          </w:tcPr>
          <w:p>
            <w:pPr>
              <w:spacing w:line="400" w:lineRule="exact"/>
              <w:jc w:val="left"/>
              <w:rPr>
                <w:rFonts w:ascii="宋体" w:hAnsi="宋体" w:cs="宋体"/>
              </w:rPr>
            </w:pPr>
            <w:r>
              <w:rPr>
                <w:rFonts w:hint="eastAsia" w:ascii="宋体" w:hAnsi="宋体" w:cs="宋体"/>
              </w:rPr>
              <w:t>商务部分标准（A）</w:t>
            </w:r>
          </w:p>
        </w:tc>
        <w:tc>
          <w:tcPr>
            <w:tcW w:w="223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公司业绩（</w:t>
            </w:r>
            <w:r>
              <w:rPr>
                <w:rFonts w:ascii="宋体" w:hAnsi="宋体" w:cs="宋体"/>
              </w:rPr>
              <w:t>9</w:t>
            </w:r>
            <w:r>
              <w:rPr>
                <w:rFonts w:hint="eastAsia" w:ascii="宋体" w:hAnsi="宋体" w:cs="宋体"/>
              </w:rPr>
              <w:t>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jc w:val="left"/>
              <w:rPr>
                <w:rFonts w:ascii="宋体" w:hAnsi="宋体" w:eastAsia="宋体" w:cs="宋体"/>
                <w:b w:val="0"/>
                <w:sz w:val="21"/>
              </w:rPr>
            </w:pPr>
            <w:r>
              <w:rPr>
                <w:rFonts w:hint="eastAsia" w:ascii="宋体" w:hAnsi="宋体" w:eastAsia="宋体" w:cs="宋体"/>
                <w:b w:val="0"/>
                <w:sz w:val="21"/>
              </w:rPr>
              <w:t>在满足基本资格审核的基础上，</w:t>
            </w:r>
          </w:p>
          <w:p>
            <w:pPr>
              <w:pStyle w:val="2"/>
              <w:jc w:val="left"/>
              <w:rPr>
                <w:rFonts w:ascii="宋体" w:hAnsi="宋体" w:eastAsia="宋体" w:cs="宋体"/>
                <w:b w:val="0"/>
                <w:sz w:val="21"/>
              </w:rPr>
            </w:pPr>
            <w:r>
              <w:rPr>
                <w:rFonts w:hint="eastAsia" w:ascii="宋体" w:hAnsi="宋体" w:eastAsia="宋体" w:cs="宋体"/>
                <w:b w:val="0"/>
                <w:sz w:val="21"/>
              </w:rPr>
              <w:t>2019年1月1日至今每增加1个20万元（含）及以上的弱电工程项目业绩的得</w:t>
            </w:r>
            <w:r>
              <w:rPr>
                <w:rFonts w:ascii="宋体" w:hAnsi="宋体" w:eastAsia="宋体" w:cs="宋体"/>
                <w:b w:val="0"/>
                <w:sz w:val="21"/>
              </w:rPr>
              <w:t>3</w:t>
            </w:r>
            <w:r>
              <w:rPr>
                <w:rFonts w:hint="eastAsia" w:ascii="宋体" w:hAnsi="宋体" w:eastAsia="宋体" w:cs="宋体"/>
                <w:b w:val="0"/>
                <w:sz w:val="21"/>
              </w:rPr>
              <w:t>分，最多得</w:t>
            </w:r>
            <w:r>
              <w:rPr>
                <w:rFonts w:ascii="宋体" w:hAnsi="宋体" w:eastAsia="宋体" w:cs="宋体"/>
                <w:b w:val="0"/>
                <w:sz w:val="21"/>
              </w:rPr>
              <w:t>9</w:t>
            </w:r>
            <w:r>
              <w:rPr>
                <w:rFonts w:hint="eastAsia" w:ascii="宋体" w:hAnsi="宋体" w:eastAsia="宋体" w:cs="宋体"/>
                <w:b w:val="0"/>
                <w:sz w:val="21"/>
              </w:rPr>
              <w:t>分。</w:t>
            </w:r>
          </w:p>
          <w:p>
            <w:pPr>
              <w:rPr>
                <w:rFonts w:ascii="宋体" w:hAnsi="宋体" w:cs="宋体"/>
              </w:rPr>
            </w:pPr>
            <w:r>
              <w:rPr>
                <w:rFonts w:hint="eastAsia" w:ascii="宋体" w:hAnsi="宋体" w:cs="宋体"/>
              </w:rPr>
              <w:t>业绩以合同签订金额和时间为准，须同时提供《施工合同》、《竣工验收报告</w:t>
            </w:r>
            <w:r>
              <w:rPr>
                <w:rFonts w:hint="eastAsia" w:ascii="宋体" w:hAnsi="宋体" w:cs="宋体"/>
                <w:lang w:eastAsia="zh-CN"/>
              </w:rPr>
              <w:t>（</w:t>
            </w:r>
            <w:r>
              <w:rPr>
                <w:rFonts w:hint="eastAsia" w:ascii="宋体" w:hAnsi="宋体" w:eastAsia="宋体" w:cs="宋体"/>
                <w:b w:val="0"/>
                <w:kern w:val="2"/>
                <w:sz w:val="21"/>
                <w:szCs w:val="24"/>
                <w:lang w:val="en-US" w:eastAsia="zh-CN" w:bidi="ar-SA"/>
              </w:rPr>
              <w:t>或相关证明材料</w:t>
            </w:r>
            <w:r>
              <w:rPr>
                <w:rFonts w:hint="eastAsia" w:ascii="宋体" w:hAnsi="宋体" w:cs="宋体"/>
                <w:lang w:eastAsia="zh-CN"/>
              </w:rPr>
              <w:t>）</w:t>
            </w:r>
            <w:r>
              <w:rPr>
                <w:rFonts w:hint="eastAsia" w:ascii="宋体" w:hAnsi="宋体" w:eastAsia="宋体" w:cs="宋体"/>
                <w:b w:val="0"/>
                <w:kern w:val="2"/>
                <w:sz w:val="21"/>
                <w:szCs w:val="24"/>
                <w:lang w:val="en-US" w:eastAsia="zh-CN" w:bidi="ar-SA"/>
              </w:rPr>
              <w:t>》复印件</w:t>
            </w:r>
            <w:r>
              <w:rPr>
                <w:rFonts w:hint="eastAsia" w:ascii="宋体" w:hAnsi="宋体" w:cs="宋体"/>
              </w:rPr>
              <w:t>并加盖公章，原件备查。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0" w:type="dxa"/>
            <w:vMerge w:val="continue"/>
            <w:tcBorders>
              <w:right w:val="single" w:color="auto" w:sz="4" w:space="0"/>
            </w:tcBorders>
            <w:vAlign w:val="center"/>
          </w:tcPr>
          <w:p>
            <w:pPr>
              <w:spacing w:line="400" w:lineRule="exact"/>
              <w:jc w:val="left"/>
              <w:rPr>
                <w:rFonts w:ascii="宋体" w:hAnsi="宋体" w:cs="宋体"/>
              </w:rPr>
            </w:pPr>
          </w:p>
        </w:tc>
        <w:tc>
          <w:tcPr>
            <w:tcW w:w="780" w:type="dxa"/>
            <w:vMerge w:val="continue"/>
            <w:tcBorders>
              <w:right w:val="single" w:color="auto" w:sz="4" w:space="0"/>
            </w:tcBorders>
            <w:vAlign w:val="center"/>
          </w:tcPr>
          <w:p>
            <w:pPr>
              <w:spacing w:line="400" w:lineRule="exact"/>
              <w:jc w:val="left"/>
              <w:rPr>
                <w:rFonts w:ascii="宋体" w:hAnsi="宋体" w:cs="宋体"/>
              </w:rPr>
            </w:pPr>
          </w:p>
        </w:tc>
        <w:tc>
          <w:tcPr>
            <w:tcW w:w="223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本地企业（</w:t>
            </w:r>
            <w:r>
              <w:rPr>
                <w:rFonts w:ascii="宋体" w:hAnsi="宋体" w:cs="宋体"/>
              </w:rPr>
              <w:t>5</w:t>
            </w:r>
            <w:r>
              <w:rPr>
                <w:rFonts w:hint="eastAsia" w:ascii="宋体" w:hAnsi="宋体" w:cs="宋体"/>
              </w:rPr>
              <w:t>分）</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投标人注册地在重庆或在重庆本地有售后服务机构的或在重庆有授权服务机构的，并且有稳定的技术团队的，得</w:t>
            </w:r>
            <w:r>
              <w:rPr>
                <w:rFonts w:ascii="宋体" w:hAnsi="宋体" w:cs="宋体"/>
              </w:rPr>
              <w:t>5</w:t>
            </w:r>
            <w:r>
              <w:rPr>
                <w:rFonts w:hint="eastAsia" w:ascii="宋体" w:hAnsi="宋体" w:cs="宋体"/>
              </w:rPr>
              <w:t>分；不满足或未提供的得0分。</w:t>
            </w:r>
          </w:p>
          <w:p>
            <w:pPr>
              <w:pStyle w:val="2"/>
              <w:jc w:val="left"/>
              <w:rPr>
                <w:rFonts w:ascii="宋体" w:hAnsi="宋体" w:eastAsia="宋体" w:cs="宋体"/>
              </w:rPr>
            </w:pPr>
            <w:r>
              <w:rPr>
                <w:rFonts w:hint="eastAsia" w:ascii="宋体" w:hAnsi="宋体" w:eastAsia="宋体" w:cs="宋体"/>
                <w:b w:val="0"/>
                <w:sz w:val="21"/>
              </w:rPr>
              <w:t>需提供售后服务承诺、营业执照复印件，并提供</w:t>
            </w:r>
            <w:r>
              <w:rPr>
                <w:rFonts w:hint="eastAsia" w:ascii="宋体" w:hAnsi="宋体" w:eastAsia="宋体" w:cs="宋体"/>
                <w:b w:val="0"/>
                <w:sz w:val="21"/>
                <w:lang w:eastAsia="zh-CN"/>
              </w:rPr>
              <w:t>至少</w:t>
            </w:r>
            <w:r>
              <w:rPr>
                <w:rFonts w:hint="eastAsia" w:ascii="宋体" w:hAnsi="宋体" w:eastAsia="宋体" w:cs="宋体"/>
                <w:b w:val="0"/>
                <w:sz w:val="21"/>
                <w:lang w:val="en-US" w:eastAsia="zh-CN"/>
              </w:rPr>
              <w:t>5名</w:t>
            </w:r>
            <w:r>
              <w:rPr>
                <w:rFonts w:hint="eastAsia" w:ascii="宋体" w:hAnsi="宋体" w:eastAsia="宋体" w:cs="宋体"/>
                <w:b w:val="0"/>
                <w:sz w:val="21"/>
              </w:rPr>
              <w:t>人员名单及2021年1月1日以来任意连续三个月的缴纳社保的证明材料。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0" w:type="dxa"/>
            <w:vMerge w:val="continue"/>
            <w:tcBorders>
              <w:right w:val="single" w:color="auto" w:sz="4" w:space="0"/>
            </w:tcBorders>
            <w:vAlign w:val="center"/>
          </w:tcPr>
          <w:p>
            <w:pPr>
              <w:spacing w:line="440" w:lineRule="exact"/>
              <w:jc w:val="center"/>
              <w:rPr>
                <w:rFonts w:ascii="宋体" w:hAnsi="宋体" w:cs="宋体"/>
                <w:b/>
              </w:rPr>
            </w:pPr>
          </w:p>
        </w:tc>
        <w:tc>
          <w:tcPr>
            <w:tcW w:w="780" w:type="dxa"/>
            <w:vMerge w:val="continue"/>
            <w:tcBorders>
              <w:right w:val="single" w:color="auto" w:sz="4" w:space="0"/>
            </w:tcBorders>
            <w:vAlign w:val="center"/>
          </w:tcPr>
          <w:p>
            <w:pPr>
              <w:spacing w:line="440" w:lineRule="exact"/>
              <w:jc w:val="center"/>
              <w:rPr>
                <w:rFonts w:ascii="宋体" w:hAnsi="宋体" w:cs="宋体"/>
                <w:b/>
              </w:rPr>
            </w:pPr>
          </w:p>
        </w:tc>
        <w:tc>
          <w:tcPr>
            <w:tcW w:w="223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财务情况（6分）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1、提供2019年、2020年经有资质的会计师事务所或审计机构审计的无保留意见的审计报告或提供2019年、2020年财务报表及银行资信证明加盖投标人鲜公章，2年均盈利的得6分，1年盈利的得3分。未盈利得0分。未提供或提供不全或提供审计报告不能看出盈利情况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780" w:type="dxa"/>
            <w:tcBorders>
              <w:top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4.2</w:t>
            </w:r>
          </w:p>
        </w:tc>
        <w:tc>
          <w:tcPr>
            <w:tcW w:w="780" w:type="dxa"/>
            <w:tcBorders>
              <w:top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技术部分标准（B）</w:t>
            </w:r>
          </w:p>
        </w:tc>
        <w:tc>
          <w:tcPr>
            <w:tcW w:w="2234" w:type="dxa"/>
            <w:tcBorders>
              <w:top w:val="single" w:color="auto" w:sz="4" w:space="0"/>
              <w:left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建设施工整体方案（70分）</w:t>
            </w:r>
          </w:p>
        </w:tc>
        <w:tc>
          <w:tcPr>
            <w:tcW w:w="6237"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rPr>
            </w:pPr>
            <w:r>
              <w:rPr>
                <w:rFonts w:hint="eastAsia" w:ascii="宋体" w:hAnsi="宋体" w:cs="宋体"/>
              </w:rPr>
              <w:t>由比选人发出重庆机场新建*号道口弱电工程（详附件3），各供应商根据对设计施工图的理解和机场区域的熟悉程度,各投标人提出有针对性的实施方案，评标委员会对比各投标人的实施方案进行综合横向评价：</w:t>
            </w:r>
          </w:p>
          <w:p>
            <w:pPr>
              <w:tabs>
                <w:tab w:val="left" w:pos="0"/>
                <w:tab w:val="left" w:pos="686"/>
                <w:tab w:val="left" w:pos="899"/>
              </w:tabs>
              <w:spacing w:line="340" w:lineRule="exact"/>
              <w:ind w:firstLine="422" w:firstLineChars="200"/>
              <w:rPr>
                <w:rFonts w:ascii="宋体" w:hAnsi="宋体" w:cs="宋体"/>
                <w:b/>
                <w:bCs/>
                <w:kern w:val="0"/>
                <w:szCs w:val="21"/>
              </w:rPr>
            </w:pPr>
            <w:r>
              <w:rPr>
                <w:rFonts w:hint="eastAsia" w:ascii="宋体" w:hAnsi="宋体" w:cs="宋体"/>
                <w:b/>
                <w:bCs/>
                <w:szCs w:val="21"/>
              </w:rPr>
              <w:t>机场</w:t>
            </w:r>
            <w:r>
              <w:rPr>
                <w:rFonts w:hint="eastAsia" w:ascii="宋体" w:hAnsi="宋体" w:cs="宋体"/>
                <w:b/>
                <w:bCs/>
                <w:szCs w:val="21"/>
                <w:lang w:val="zh-CN"/>
              </w:rPr>
              <w:t>工程重难点分析</w:t>
            </w:r>
            <w:r>
              <w:rPr>
                <w:rFonts w:hint="eastAsia" w:ascii="宋体" w:hAnsi="宋体" w:cs="宋体"/>
                <w:b/>
                <w:bCs/>
                <w:szCs w:val="21"/>
              </w:rPr>
              <w:t xml:space="preserve"> 总分20分</w:t>
            </w:r>
          </w:p>
          <w:p>
            <w:pPr>
              <w:numPr>
                <w:ilvl w:val="0"/>
                <w:numId w:val="1"/>
              </w:numPr>
              <w:tabs>
                <w:tab w:val="left" w:pos="0"/>
                <w:tab w:val="left" w:pos="686"/>
                <w:tab w:val="left" w:pos="899"/>
              </w:tabs>
              <w:spacing w:line="340" w:lineRule="exact"/>
              <w:ind w:firstLine="420" w:firstLineChars="200"/>
              <w:rPr>
                <w:rFonts w:ascii="宋体" w:hAnsi="宋体" w:cs="宋体"/>
                <w:kern w:val="0"/>
                <w:szCs w:val="21"/>
              </w:rPr>
            </w:pPr>
            <w:r>
              <w:rPr>
                <w:rFonts w:hint="eastAsia" w:ascii="宋体" w:hAnsi="宋体" w:cs="宋体"/>
                <w:szCs w:val="21"/>
                <w:lang w:val="zh-CN"/>
              </w:rPr>
              <w:t>是否能准确把握机场项目的重难点，</w:t>
            </w:r>
            <w:r>
              <w:rPr>
                <w:rFonts w:hint="eastAsia" w:ascii="宋体" w:hAnsi="宋体" w:cs="宋体"/>
                <w:szCs w:val="21"/>
              </w:rPr>
              <w:t>并</w:t>
            </w:r>
            <w:r>
              <w:rPr>
                <w:rFonts w:hint="eastAsia" w:ascii="宋体" w:hAnsi="宋体" w:cs="宋体"/>
                <w:szCs w:val="21"/>
                <w:lang w:val="zh-CN"/>
              </w:rPr>
              <w:t>针对机场项目重难点从</w:t>
            </w:r>
            <w:r>
              <w:rPr>
                <w:rFonts w:hint="eastAsia" w:ascii="宋体" w:hAnsi="宋体" w:cs="宋体"/>
                <w:szCs w:val="21"/>
              </w:rPr>
              <w:t>施工管理角度</w:t>
            </w:r>
            <w:r>
              <w:rPr>
                <w:rFonts w:hint="eastAsia" w:ascii="宋体" w:hAnsi="宋体" w:cs="宋体"/>
                <w:szCs w:val="21"/>
                <w:lang w:val="zh-CN"/>
              </w:rPr>
              <w:t>进行分析，</w:t>
            </w:r>
            <w:r>
              <w:rPr>
                <w:rFonts w:hint="eastAsia" w:ascii="宋体" w:hAnsi="宋体" w:cs="宋体"/>
                <w:szCs w:val="21"/>
              </w:rPr>
              <w:t>符合机场工程实际，表述全面准确。分值为0-8分(优6-8分；良:3-6分,一般：0-3分）。</w:t>
            </w:r>
          </w:p>
          <w:p>
            <w:pPr>
              <w:numPr>
                <w:ilvl w:val="0"/>
                <w:numId w:val="1"/>
              </w:numPr>
              <w:tabs>
                <w:tab w:val="left" w:pos="0"/>
                <w:tab w:val="left" w:pos="686"/>
                <w:tab w:val="left" w:pos="899"/>
              </w:tabs>
              <w:spacing w:line="340" w:lineRule="exact"/>
              <w:ind w:firstLine="420" w:firstLineChars="200"/>
              <w:rPr>
                <w:rFonts w:ascii="宋体" w:hAnsi="宋体" w:cs="宋体"/>
                <w:kern w:val="0"/>
                <w:szCs w:val="21"/>
              </w:rPr>
            </w:pPr>
            <w:r>
              <w:rPr>
                <w:rFonts w:hint="eastAsia" w:ascii="宋体" w:hAnsi="宋体" w:cs="宋体"/>
                <w:szCs w:val="21"/>
              </w:rPr>
              <w:t>解决方案科学、系统、安全、经济、可操作性强，保障措施得力，分值为0-6分(优4-6分；良:2-4分,一般：0-2分）。</w:t>
            </w:r>
          </w:p>
          <w:p>
            <w:pPr>
              <w:numPr>
                <w:ilvl w:val="0"/>
                <w:numId w:val="1"/>
              </w:numPr>
              <w:tabs>
                <w:tab w:val="left" w:pos="0"/>
                <w:tab w:val="left" w:pos="686"/>
                <w:tab w:val="left" w:pos="899"/>
              </w:tabs>
              <w:spacing w:line="340" w:lineRule="exact"/>
              <w:ind w:firstLine="420" w:firstLineChars="200"/>
              <w:rPr>
                <w:rFonts w:ascii="宋体" w:hAnsi="宋体" w:cs="宋体"/>
                <w:kern w:val="0"/>
                <w:szCs w:val="21"/>
              </w:rPr>
            </w:pPr>
            <w:r>
              <w:rPr>
                <w:rFonts w:hint="eastAsia" w:ascii="宋体" w:hAnsi="宋体" w:cs="宋体"/>
                <w:szCs w:val="21"/>
              </w:rPr>
              <w:t>对施工关键技术、工艺把握准确、应用到位、阐释清晰，具有针对性、可行性和指导性</w:t>
            </w:r>
            <w:r>
              <w:rPr>
                <w:rFonts w:hint="eastAsia" w:ascii="宋体" w:hAnsi="宋体" w:cs="宋体"/>
                <w:szCs w:val="21"/>
                <w:lang w:val="zh-CN"/>
              </w:rPr>
              <w:t>。</w:t>
            </w:r>
            <w:r>
              <w:rPr>
                <w:rFonts w:hint="eastAsia" w:ascii="宋体" w:hAnsi="宋体" w:cs="宋体"/>
                <w:szCs w:val="21"/>
              </w:rPr>
              <w:t>分值为0-6分(优4-6分；良:2-4分,一般：0-2分）。</w:t>
            </w:r>
          </w:p>
          <w:p>
            <w:pPr>
              <w:tabs>
                <w:tab w:val="left" w:pos="0"/>
                <w:tab w:val="left" w:pos="686"/>
                <w:tab w:val="left" w:pos="899"/>
              </w:tabs>
              <w:spacing w:line="340" w:lineRule="exact"/>
              <w:rPr>
                <w:rFonts w:ascii="宋体" w:hAnsi="宋体" w:cs="宋体"/>
                <w:kern w:val="0"/>
                <w:szCs w:val="21"/>
              </w:rPr>
            </w:pPr>
            <w:r>
              <w:rPr>
                <w:rFonts w:hint="eastAsia" w:ascii="宋体" w:hAnsi="宋体" w:cs="宋体"/>
                <w:kern w:val="0"/>
                <w:szCs w:val="21"/>
              </w:rPr>
              <w:t xml:space="preserve"> </w:t>
            </w:r>
            <w:r>
              <w:rPr>
                <w:rFonts w:hint="eastAsia" w:ascii="宋体" w:hAnsi="宋体" w:cs="宋体"/>
                <w:b/>
                <w:bCs/>
                <w:kern w:val="0"/>
                <w:szCs w:val="21"/>
              </w:rPr>
              <w:t xml:space="preserve">   施工安全管理 总分12分</w:t>
            </w:r>
          </w:p>
          <w:p>
            <w:pPr>
              <w:numPr>
                <w:ilvl w:val="0"/>
                <w:numId w:val="2"/>
              </w:numPr>
              <w:tabs>
                <w:tab w:val="left" w:pos="0"/>
                <w:tab w:val="left" w:pos="686"/>
                <w:tab w:val="left" w:pos="899"/>
              </w:tabs>
              <w:spacing w:line="340" w:lineRule="exact"/>
              <w:ind w:left="420" w:leftChars="200"/>
              <w:rPr>
                <w:rFonts w:ascii="宋体" w:hAnsi="宋体" w:cs="宋体"/>
                <w:kern w:val="0"/>
                <w:szCs w:val="21"/>
              </w:rPr>
            </w:pPr>
            <w:r>
              <w:rPr>
                <w:rFonts w:hint="eastAsia" w:ascii="宋体" w:hAnsi="宋体" w:cs="宋体"/>
                <w:kern w:val="0"/>
                <w:szCs w:val="21"/>
              </w:rPr>
              <w:t>针对机场空防安全、施工安全特点，建立完善的安全管理</w:t>
            </w:r>
          </w:p>
          <w:p>
            <w:pPr>
              <w:tabs>
                <w:tab w:val="left" w:pos="0"/>
                <w:tab w:val="left" w:pos="686"/>
                <w:tab w:val="left" w:pos="899"/>
              </w:tabs>
              <w:spacing w:line="340" w:lineRule="exact"/>
              <w:rPr>
                <w:rFonts w:ascii="宋体" w:hAnsi="宋体" w:cs="宋体"/>
                <w:kern w:val="0"/>
                <w:szCs w:val="21"/>
              </w:rPr>
            </w:pPr>
            <w:r>
              <w:rPr>
                <w:rFonts w:hint="eastAsia" w:ascii="宋体" w:hAnsi="宋体" w:cs="宋体"/>
                <w:kern w:val="0"/>
                <w:szCs w:val="21"/>
              </w:rPr>
              <w:t>体系、专职安全监督机构、有齐全完整的、可操作的项目安全生产管理制度。</w:t>
            </w:r>
            <w:r>
              <w:rPr>
                <w:rFonts w:hint="eastAsia" w:ascii="宋体" w:hAnsi="宋体" w:cs="宋体"/>
                <w:szCs w:val="21"/>
              </w:rPr>
              <w:t>分值为0-6分(优4-6分；良:2-4分,一般：0-2分）。</w:t>
            </w:r>
          </w:p>
          <w:p>
            <w:pPr>
              <w:numPr>
                <w:ilvl w:val="0"/>
                <w:numId w:val="2"/>
              </w:numPr>
              <w:tabs>
                <w:tab w:val="left" w:pos="0"/>
                <w:tab w:val="left" w:pos="686"/>
                <w:tab w:val="left" w:pos="899"/>
              </w:tabs>
              <w:spacing w:line="340" w:lineRule="exact"/>
              <w:ind w:left="420" w:leftChars="200"/>
              <w:rPr>
                <w:rFonts w:ascii="宋体" w:hAnsi="宋体" w:cs="宋体"/>
                <w:szCs w:val="21"/>
              </w:rPr>
            </w:pPr>
            <w:r>
              <w:rPr>
                <w:rFonts w:hint="eastAsia" w:ascii="宋体" w:hAnsi="宋体" w:cs="宋体"/>
                <w:kern w:val="0"/>
                <w:szCs w:val="21"/>
              </w:rPr>
              <w:t>施工安全措施、劳动保护措施，工地卫生、文明建设的管</w:t>
            </w:r>
          </w:p>
          <w:p>
            <w:pPr>
              <w:tabs>
                <w:tab w:val="left" w:pos="0"/>
                <w:tab w:val="left" w:pos="686"/>
                <w:tab w:val="left" w:pos="899"/>
              </w:tabs>
              <w:spacing w:line="340" w:lineRule="exact"/>
              <w:rPr>
                <w:rFonts w:ascii="宋体" w:hAnsi="宋体" w:cs="宋体"/>
                <w:kern w:val="0"/>
                <w:szCs w:val="21"/>
              </w:rPr>
            </w:pPr>
            <w:r>
              <w:rPr>
                <w:rFonts w:hint="eastAsia" w:ascii="宋体" w:hAnsi="宋体" w:cs="宋体"/>
                <w:kern w:val="0"/>
                <w:szCs w:val="21"/>
              </w:rPr>
              <w:t>理办法、符合现行的安全管理规范及要求，可作为现场安全管理的依据。</w:t>
            </w:r>
            <w:r>
              <w:rPr>
                <w:rFonts w:hint="eastAsia" w:ascii="宋体" w:hAnsi="宋体" w:cs="宋体"/>
                <w:szCs w:val="21"/>
              </w:rPr>
              <w:t>分值为0-6分(优4-6分；良:2-4分,一般：0-2分）。</w:t>
            </w:r>
          </w:p>
          <w:p>
            <w:pPr>
              <w:tabs>
                <w:tab w:val="left" w:pos="0"/>
                <w:tab w:val="left" w:pos="686"/>
                <w:tab w:val="left" w:pos="899"/>
              </w:tabs>
              <w:spacing w:line="340" w:lineRule="exact"/>
              <w:rPr>
                <w:rFonts w:ascii="宋体" w:hAnsi="宋体" w:cs="宋体"/>
                <w:b/>
                <w:bCs/>
              </w:rPr>
            </w:pPr>
            <w:r>
              <w:rPr>
                <w:rFonts w:hint="eastAsia" w:ascii="宋体" w:hAnsi="宋体" w:cs="宋体"/>
              </w:rPr>
              <w:t xml:space="preserve"> </w:t>
            </w:r>
            <w:r>
              <w:rPr>
                <w:rFonts w:hint="eastAsia" w:ascii="宋体" w:hAnsi="宋体" w:cs="宋体"/>
                <w:b/>
                <w:bCs/>
              </w:rPr>
              <w:t xml:space="preserve">   应急处理能力 总分6分</w:t>
            </w:r>
          </w:p>
          <w:p>
            <w:pPr>
              <w:tabs>
                <w:tab w:val="left" w:pos="0"/>
                <w:tab w:val="left" w:pos="686"/>
                <w:tab w:val="left" w:pos="899"/>
              </w:tabs>
              <w:spacing w:line="340" w:lineRule="exact"/>
              <w:ind w:firstLine="420" w:firstLineChars="200"/>
              <w:rPr>
                <w:rFonts w:ascii="宋体" w:hAnsi="宋体" w:cs="宋体"/>
                <w:szCs w:val="21"/>
              </w:rPr>
            </w:pPr>
            <w:r>
              <w:rPr>
                <w:rFonts w:hint="eastAsia" w:ascii="宋体" w:hAnsi="宋体" w:cs="宋体"/>
                <w:szCs w:val="21"/>
              </w:rPr>
              <w:t>针对机场施工区域，制定可发生的突发事件应急预案和保障措施。分值为0-6分(优4-6分；良:2-4分,一般：0-2分）。</w:t>
            </w:r>
          </w:p>
          <w:p>
            <w:pPr>
              <w:tabs>
                <w:tab w:val="left" w:pos="0"/>
                <w:tab w:val="left" w:pos="686"/>
                <w:tab w:val="left" w:pos="899"/>
              </w:tabs>
              <w:spacing w:line="340" w:lineRule="exact"/>
              <w:ind w:firstLine="422" w:firstLineChars="200"/>
              <w:rPr>
                <w:rFonts w:ascii="宋体" w:hAnsi="宋体" w:cs="宋体"/>
                <w:b/>
                <w:bCs/>
                <w:kern w:val="0"/>
                <w:szCs w:val="21"/>
              </w:rPr>
            </w:pPr>
            <w:r>
              <w:rPr>
                <w:rFonts w:hint="eastAsia" w:ascii="宋体" w:hAnsi="宋体" w:cs="宋体"/>
                <w:b/>
                <w:bCs/>
                <w:kern w:val="0"/>
                <w:szCs w:val="21"/>
              </w:rPr>
              <w:t>质量控制 总分8分</w:t>
            </w:r>
          </w:p>
          <w:p>
            <w:pPr>
              <w:numPr>
                <w:ilvl w:val="0"/>
                <w:numId w:val="3"/>
              </w:numPr>
              <w:tabs>
                <w:tab w:val="left" w:pos="0"/>
                <w:tab w:val="left" w:pos="686"/>
                <w:tab w:val="left" w:pos="899"/>
              </w:tabs>
              <w:spacing w:line="340" w:lineRule="exact"/>
              <w:ind w:firstLine="420" w:firstLineChars="200"/>
              <w:rPr>
                <w:rFonts w:ascii="宋体" w:hAnsi="宋体" w:cs="宋体"/>
                <w:szCs w:val="21"/>
              </w:rPr>
            </w:pPr>
            <w:r>
              <w:rPr>
                <w:rFonts w:hint="eastAsia" w:ascii="宋体" w:hAnsi="宋体" w:cs="宋体"/>
                <w:kern w:val="0"/>
                <w:szCs w:val="21"/>
              </w:rPr>
              <w:t>施工项目质量保证目标明确。</w:t>
            </w:r>
            <w:r>
              <w:rPr>
                <w:rFonts w:hint="eastAsia" w:ascii="宋体" w:hAnsi="宋体" w:cs="宋体"/>
                <w:szCs w:val="21"/>
              </w:rPr>
              <w:t>分值为0-4分(优3-4分；良:2-3分,一般：0-2分）。</w:t>
            </w:r>
          </w:p>
          <w:p>
            <w:pPr>
              <w:numPr>
                <w:ilvl w:val="0"/>
                <w:numId w:val="3"/>
              </w:numPr>
              <w:tabs>
                <w:tab w:val="left" w:pos="0"/>
                <w:tab w:val="left" w:pos="686"/>
                <w:tab w:val="left" w:pos="899"/>
              </w:tabs>
              <w:spacing w:line="340" w:lineRule="exact"/>
              <w:ind w:firstLine="420" w:firstLineChars="200"/>
              <w:rPr>
                <w:rFonts w:ascii="宋体" w:hAnsi="宋体" w:cs="宋体"/>
                <w:szCs w:val="21"/>
              </w:rPr>
            </w:pPr>
            <w:r>
              <w:rPr>
                <w:rFonts w:hint="eastAsia" w:ascii="宋体" w:hAnsi="宋体" w:cs="宋体"/>
                <w:kern w:val="0"/>
                <w:szCs w:val="21"/>
              </w:rPr>
              <w:t>施工质量保证体系和质量检查监督机构健全并具备有效的控制措施和手段。</w:t>
            </w:r>
            <w:r>
              <w:rPr>
                <w:rFonts w:hint="eastAsia" w:ascii="宋体" w:hAnsi="宋体" w:cs="宋体"/>
                <w:szCs w:val="21"/>
              </w:rPr>
              <w:t>分值为0-4分(优3-4分；良:2-3分,一般：0-2分）。</w:t>
            </w:r>
          </w:p>
          <w:p>
            <w:pPr>
              <w:tabs>
                <w:tab w:val="left" w:pos="0"/>
                <w:tab w:val="left" w:pos="686"/>
                <w:tab w:val="left" w:pos="899"/>
              </w:tabs>
              <w:spacing w:line="340" w:lineRule="exact"/>
              <w:ind w:firstLine="422" w:firstLineChars="200"/>
              <w:rPr>
                <w:rFonts w:ascii="宋体" w:hAnsi="宋体" w:cs="宋体"/>
                <w:b/>
                <w:bCs/>
                <w:kern w:val="0"/>
                <w:szCs w:val="21"/>
              </w:rPr>
            </w:pPr>
            <w:r>
              <w:rPr>
                <w:rFonts w:hint="eastAsia" w:ascii="宋体" w:hAnsi="宋体" w:cs="宋体"/>
                <w:b/>
                <w:bCs/>
                <w:kern w:val="0"/>
                <w:szCs w:val="21"/>
              </w:rPr>
              <w:t>进度管理 总分8分</w:t>
            </w:r>
          </w:p>
          <w:p>
            <w:pPr>
              <w:tabs>
                <w:tab w:val="left" w:pos="0"/>
                <w:tab w:val="left" w:pos="686"/>
                <w:tab w:val="left" w:pos="899"/>
              </w:tabs>
              <w:spacing w:line="340" w:lineRule="exact"/>
              <w:ind w:firstLine="420" w:firstLineChars="200"/>
              <w:rPr>
                <w:rFonts w:ascii="宋体" w:hAnsi="宋体" w:cs="宋体"/>
                <w:szCs w:val="21"/>
              </w:rPr>
            </w:pPr>
            <w:r>
              <w:rPr>
                <w:rFonts w:hint="eastAsia" w:ascii="宋体" w:hAnsi="宋体" w:cs="宋体"/>
                <w:kern w:val="0"/>
                <w:szCs w:val="21"/>
              </w:rPr>
              <w:t>1、进度计划编制合理、可行，关键线路、节点、清晰、准确、完整、可操作行强，工期保证措施可靠，控制措施得力。</w:t>
            </w:r>
            <w:r>
              <w:rPr>
                <w:rFonts w:hint="eastAsia" w:ascii="宋体" w:hAnsi="宋体" w:cs="宋体"/>
                <w:szCs w:val="21"/>
              </w:rPr>
              <w:t>分值为0-4分(优3-4分；良:2-3分,一般：0-2分）。</w:t>
            </w:r>
          </w:p>
          <w:p>
            <w:pPr>
              <w:tabs>
                <w:tab w:val="left" w:pos="0"/>
                <w:tab w:val="left" w:pos="686"/>
                <w:tab w:val="left" w:pos="899"/>
              </w:tabs>
              <w:spacing w:line="340" w:lineRule="exact"/>
              <w:ind w:firstLine="420" w:firstLineChars="200"/>
              <w:rPr>
                <w:rFonts w:ascii="宋体" w:hAnsi="宋体" w:cs="宋体"/>
                <w:szCs w:val="21"/>
              </w:rPr>
            </w:pPr>
            <w:r>
              <w:rPr>
                <w:rFonts w:hint="eastAsia" w:ascii="宋体" w:hAnsi="宋体" w:cs="宋体"/>
                <w:kern w:val="0"/>
                <w:szCs w:val="21"/>
              </w:rPr>
              <w:t xml:space="preserve"> 2、机械设备、劳动力投入能满足施工需要，投入计划与进度计划协调，调配计划合理，保证措施具体。</w:t>
            </w:r>
            <w:r>
              <w:rPr>
                <w:rFonts w:hint="eastAsia" w:ascii="宋体" w:hAnsi="宋体" w:cs="宋体"/>
                <w:szCs w:val="21"/>
              </w:rPr>
              <w:t>分值为0-4分(优3-4分；良:2-3分,一般：0-2分）。</w:t>
            </w:r>
          </w:p>
          <w:p>
            <w:pPr>
              <w:tabs>
                <w:tab w:val="left" w:pos="0"/>
                <w:tab w:val="left" w:pos="686"/>
                <w:tab w:val="left" w:pos="899"/>
              </w:tabs>
              <w:spacing w:line="340" w:lineRule="exact"/>
              <w:ind w:firstLine="422" w:firstLineChars="200"/>
              <w:rPr>
                <w:rFonts w:ascii="宋体" w:hAnsi="宋体" w:cs="宋体"/>
                <w:b/>
                <w:bCs/>
                <w:kern w:val="0"/>
                <w:szCs w:val="21"/>
              </w:rPr>
            </w:pPr>
            <w:r>
              <w:rPr>
                <w:rFonts w:hint="eastAsia" w:ascii="宋体" w:hAnsi="宋体" w:cs="宋体"/>
                <w:b/>
                <w:bCs/>
                <w:kern w:val="0"/>
                <w:szCs w:val="21"/>
              </w:rPr>
              <w:t>弱电施工图设计 总分16分</w:t>
            </w:r>
          </w:p>
          <w:p>
            <w:pPr>
              <w:tabs>
                <w:tab w:val="left" w:pos="0"/>
                <w:tab w:val="left" w:pos="686"/>
                <w:tab w:val="left" w:pos="899"/>
              </w:tabs>
              <w:spacing w:line="340" w:lineRule="exact"/>
              <w:ind w:firstLine="420" w:firstLineChars="200"/>
              <w:rPr>
                <w:rFonts w:ascii="宋体" w:hAnsi="宋体" w:cs="宋体"/>
                <w:kern w:val="0"/>
                <w:szCs w:val="21"/>
              </w:rPr>
            </w:pPr>
            <w:r>
              <w:rPr>
                <w:rFonts w:hint="eastAsia" w:ascii="宋体" w:hAnsi="宋体" w:cs="宋体"/>
                <w:kern w:val="0"/>
                <w:szCs w:val="21"/>
              </w:rPr>
              <w:t>根据提供的框架图按要求进行点位布置、系统图设计，设计编制合理、可行，关键线路、节点、清晰、准确、完整、可操作行强。分值为0-16分(优10-16分；良:5-10分,一般：0-5分）。</w:t>
            </w:r>
          </w:p>
          <w:p>
            <w:pPr>
              <w:tabs>
                <w:tab w:val="left" w:pos="0"/>
                <w:tab w:val="left" w:pos="686"/>
                <w:tab w:val="left" w:pos="899"/>
              </w:tabs>
              <w:spacing w:line="340" w:lineRule="exact"/>
              <w:ind w:firstLine="420" w:firstLineChars="200"/>
              <w:rPr>
                <w:rFonts w:ascii="宋体" w:hAnsi="宋体" w:cs="宋体"/>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b/>
              </w:rPr>
            </w:pPr>
            <w:r>
              <w:rPr>
                <w:rFonts w:hint="eastAsia" w:ascii="宋体" w:hAnsi="宋体" w:cs="宋体"/>
                <w:bCs/>
              </w:rPr>
              <w:t>4.3</w:t>
            </w:r>
          </w:p>
        </w:tc>
        <w:tc>
          <w:tcPr>
            <w:tcW w:w="780" w:type="dxa"/>
            <w:tcBorders>
              <w:top w:val="single" w:color="auto" w:sz="4" w:space="0"/>
              <w:bottom w:val="single" w:color="auto" w:sz="4" w:space="0"/>
              <w:right w:val="single" w:color="auto" w:sz="4" w:space="0"/>
            </w:tcBorders>
            <w:vAlign w:val="center"/>
          </w:tcPr>
          <w:p>
            <w:pPr>
              <w:spacing w:line="400" w:lineRule="exact"/>
              <w:jc w:val="left"/>
              <w:rPr>
                <w:rFonts w:ascii="宋体" w:hAnsi="宋体" w:cs="宋体"/>
                <w:b/>
              </w:rPr>
            </w:pPr>
            <w:r>
              <w:rPr>
                <w:rFonts w:hint="eastAsia" w:ascii="宋体" w:hAnsi="宋体" w:cs="宋体"/>
                <w:bCs/>
              </w:rPr>
              <w:t>投标报价（C）</w:t>
            </w:r>
          </w:p>
        </w:tc>
        <w:tc>
          <w:tcPr>
            <w:tcW w:w="22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rPr>
            </w:pPr>
            <w:r>
              <w:rPr>
                <w:rFonts w:hint="eastAsia" w:ascii="宋体" w:hAnsi="宋体" w:cs="宋体"/>
                <w:kern w:val="0"/>
              </w:rPr>
              <w:t>编制报价清单文件（0-10）</w:t>
            </w:r>
          </w:p>
        </w:tc>
        <w:tc>
          <w:tcPr>
            <w:tcW w:w="6237" w:type="dxa"/>
            <w:tcBorders>
              <w:top w:val="single" w:color="auto" w:sz="4" w:space="0"/>
              <w:left w:val="single" w:color="auto" w:sz="4" w:space="0"/>
              <w:bottom w:val="single" w:color="auto" w:sz="4" w:space="0"/>
              <w:right w:val="single" w:color="auto" w:sz="4" w:space="0"/>
            </w:tcBorders>
            <w:vAlign w:val="bottom"/>
          </w:tcPr>
          <w:p>
            <w:pPr>
              <w:tabs>
                <w:tab w:val="left" w:pos="0"/>
                <w:tab w:val="left" w:pos="686"/>
                <w:tab w:val="left" w:pos="899"/>
              </w:tabs>
              <w:spacing w:line="340" w:lineRule="exact"/>
              <w:ind w:firstLine="422" w:firstLineChars="200"/>
              <w:rPr>
                <w:rFonts w:ascii="宋体" w:hAnsi="宋体" w:cs="宋体"/>
                <w:b/>
                <w:bCs/>
                <w:kern w:val="0"/>
                <w:szCs w:val="21"/>
              </w:rPr>
            </w:pPr>
            <w:r>
              <w:rPr>
                <w:rFonts w:hint="eastAsia" w:ascii="宋体" w:hAnsi="宋体" w:cs="宋体"/>
                <w:b/>
                <w:bCs/>
                <w:kern w:val="0"/>
                <w:szCs w:val="21"/>
              </w:rPr>
              <w:t>编制报价清单文件为10分</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按照《建设工程工程量清单计价规范》（GB50500-2013）及其配套的计量规范、《重庆市通用安装工程计价定额》(CQAZDE-2018)进行编制本项目的报价，报价完整，不少报、不漏项、定额选取准确（编制</w:t>
            </w:r>
            <w:r>
              <w:rPr>
                <w:rFonts w:ascii="宋体" w:hAnsi="宋体" w:cs="宋体"/>
                <w:szCs w:val="21"/>
              </w:rPr>
              <w:t>报价文件需</w:t>
            </w:r>
            <w:r>
              <w:rPr>
                <w:rFonts w:hint="eastAsia" w:ascii="宋体" w:hAnsi="宋体" w:cs="宋体"/>
                <w:szCs w:val="21"/>
              </w:rPr>
              <w:t>采用</w:t>
            </w:r>
            <w:r>
              <w:rPr>
                <w:rFonts w:ascii="宋体" w:hAnsi="宋体" w:cs="宋体"/>
                <w:szCs w:val="21"/>
              </w:rPr>
              <w:t>广联达版本</w:t>
            </w:r>
            <w:r>
              <w:rPr>
                <w:rFonts w:hint="eastAsia" w:ascii="宋体" w:hAnsi="宋体" w:cs="宋体"/>
                <w:szCs w:val="21"/>
                <w:lang w:eastAsia="zh-CN"/>
              </w:rPr>
              <w:t>，所有设备单价均为</w:t>
            </w:r>
            <w:r>
              <w:rPr>
                <w:rFonts w:hint="eastAsia" w:ascii="宋体" w:hAnsi="宋体" w:cs="宋体"/>
                <w:szCs w:val="21"/>
                <w:lang w:val="en-US" w:eastAsia="zh-CN"/>
              </w:rPr>
              <w:t>1元</w:t>
            </w:r>
            <w:r>
              <w:rPr>
                <w:rFonts w:hint="eastAsia" w:ascii="宋体" w:hAnsi="宋体" w:cs="宋体"/>
                <w:szCs w:val="21"/>
              </w:rPr>
              <w:t>）。</w:t>
            </w:r>
          </w:p>
          <w:p>
            <w:pPr>
              <w:spacing w:before="156" w:beforeLines="50" w:after="156" w:afterLines="50" w:line="360" w:lineRule="auto"/>
              <w:ind w:firstLine="420" w:firstLineChars="200"/>
              <w:rPr>
                <w:rFonts w:ascii="宋体" w:hAnsi="宋体" w:cs="宋体"/>
                <w:bCs/>
              </w:rPr>
            </w:pPr>
            <w:r>
              <w:rPr>
                <w:rFonts w:hint="eastAsia" w:ascii="宋体" w:hAnsi="宋体" w:cs="宋体"/>
                <w:szCs w:val="21"/>
              </w:rPr>
              <w:t>分值为0-10分(优6-10分；良:3-6分,一般：0-3分）。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5</w:t>
            </w:r>
          </w:p>
        </w:tc>
        <w:tc>
          <w:tcPr>
            <w:tcW w:w="780" w:type="dxa"/>
            <w:tcBorders>
              <w:top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投标人得分</w:t>
            </w:r>
          </w:p>
        </w:tc>
        <w:tc>
          <w:tcPr>
            <w:tcW w:w="84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投标人得分=A+B+C</w:t>
            </w:r>
          </w:p>
        </w:tc>
      </w:tr>
    </w:tbl>
    <w:p>
      <w:pPr>
        <w:ind w:firstLine="562" w:firstLineChars="200"/>
        <w:rPr>
          <w:rFonts w:hint="eastAsia" w:ascii="宋体" w:hAnsi="宋体" w:cs="宋体"/>
          <w:b/>
          <w:bCs/>
          <w:sz w:val="28"/>
          <w:szCs w:val="28"/>
        </w:rPr>
      </w:pPr>
    </w:p>
    <w:p>
      <w:pPr>
        <w:ind w:firstLine="562" w:firstLineChars="200"/>
        <w:rPr>
          <w:rFonts w:ascii="宋体" w:hAnsi="宋体" w:cs="宋体"/>
          <w:b/>
          <w:bCs/>
          <w:sz w:val="28"/>
          <w:szCs w:val="28"/>
        </w:rPr>
      </w:pPr>
      <w:r>
        <w:rPr>
          <w:rFonts w:hint="eastAsia" w:ascii="宋体" w:hAnsi="宋体" w:cs="宋体"/>
          <w:b/>
          <w:bCs/>
          <w:sz w:val="28"/>
          <w:szCs w:val="28"/>
        </w:rPr>
        <w:t>六、比选文件发放的时间及地点</w:t>
      </w:r>
    </w:p>
    <w:p>
      <w:pPr>
        <w:ind w:firstLine="560" w:firstLineChars="200"/>
        <w:rPr>
          <w:rFonts w:ascii="宋体" w:hAnsi="宋体" w:cs="宋体"/>
          <w:sz w:val="28"/>
          <w:szCs w:val="28"/>
        </w:rPr>
      </w:pPr>
      <w:r>
        <w:rPr>
          <w:rFonts w:hint="eastAsia" w:ascii="宋体" w:hAnsi="宋体" w:cs="宋体"/>
          <w:sz w:val="28"/>
          <w:szCs w:val="28"/>
        </w:rPr>
        <w:t>凡有意参加的供应商，请于</w:t>
      </w:r>
      <w:r>
        <w:rPr>
          <w:rFonts w:hint="eastAsia" w:ascii="宋体" w:hAnsi="宋体" w:cs="宋体"/>
          <w:sz w:val="28"/>
          <w:szCs w:val="28"/>
          <w:u w:val="single"/>
        </w:rPr>
        <w:t>2021年</w:t>
      </w:r>
      <w:r>
        <w:rPr>
          <w:rFonts w:hint="eastAsia" w:ascii="宋体" w:hAnsi="宋体" w:cs="宋体"/>
          <w:sz w:val="28"/>
          <w:szCs w:val="28"/>
          <w:u w:val="single"/>
          <w:lang w:val="en-US" w:eastAsia="zh-CN"/>
        </w:rPr>
        <w:t>8</w:t>
      </w:r>
      <w:r>
        <w:rPr>
          <w:rFonts w:hint="eastAsia" w:ascii="宋体" w:hAnsi="宋体" w:cs="宋体"/>
          <w:sz w:val="28"/>
          <w:szCs w:val="28"/>
          <w:u w:val="single"/>
        </w:rPr>
        <w:t>月</w:t>
      </w:r>
      <w:r>
        <w:rPr>
          <w:rFonts w:hint="eastAsia" w:ascii="宋体" w:hAnsi="宋体" w:cs="宋体"/>
          <w:sz w:val="28"/>
          <w:szCs w:val="28"/>
          <w:u w:val="single"/>
          <w:lang w:val="en-US" w:eastAsia="zh-CN"/>
        </w:rPr>
        <w:t>20</w:t>
      </w:r>
      <w:r>
        <w:rPr>
          <w:rFonts w:hint="eastAsia" w:ascii="宋体" w:hAnsi="宋体" w:cs="宋体"/>
          <w:sz w:val="28"/>
          <w:szCs w:val="28"/>
          <w:u w:val="single"/>
        </w:rPr>
        <w:t>日</w:t>
      </w:r>
      <w:r>
        <w:rPr>
          <w:rFonts w:hint="eastAsia" w:ascii="宋体" w:hAnsi="宋体" w:cs="宋体"/>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ind w:firstLine="562" w:firstLineChars="200"/>
        <w:rPr>
          <w:rFonts w:ascii="宋体" w:hAnsi="宋体" w:cs="宋体"/>
          <w:b/>
          <w:bCs/>
          <w:sz w:val="28"/>
          <w:szCs w:val="28"/>
        </w:rPr>
      </w:pPr>
      <w:r>
        <w:rPr>
          <w:rFonts w:hint="eastAsia" w:ascii="宋体" w:hAnsi="宋体" w:cs="宋体"/>
          <w:b/>
          <w:bCs/>
          <w:sz w:val="28"/>
          <w:szCs w:val="28"/>
        </w:rPr>
        <w:t>七、比选响应保证金及履约保证金</w:t>
      </w:r>
    </w:p>
    <w:p>
      <w:pPr>
        <w:ind w:firstLine="560" w:firstLineChars="200"/>
        <w:rPr>
          <w:rFonts w:ascii="宋体" w:hAnsi="宋体" w:cs="宋体"/>
          <w:sz w:val="28"/>
          <w:szCs w:val="28"/>
        </w:rPr>
      </w:pPr>
      <w:r>
        <w:rPr>
          <w:rFonts w:hint="eastAsia" w:ascii="宋体" w:hAnsi="宋体" w:cs="宋体"/>
          <w:sz w:val="28"/>
          <w:szCs w:val="28"/>
        </w:rPr>
        <w:t>（一）比选响应保证金</w:t>
      </w:r>
    </w:p>
    <w:p>
      <w:pPr>
        <w:ind w:firstLine="2100" w:firstLineChars="750"/>
        <w:rPr>
          <w:rFonts w:ascii="宋体" w:hAnsi="宋体" w:cs="宋体"/>
          <w:sz w:val="28"/>
          <w:szCs w:val="28"/>
        </w:rPr>
      </w:pPr>
      <w:r>
        <w:rPr>
          <w:rFonts w:hint="eastAsia" w:ascii="宋体" w:hAnsi="宋体" w:cs="宋体"/>
          <w:sz w:val="28"/>
          <w:szCs w:val="28"/>
        </w:rPr>
        <w:t>无</w:t>
      </w:r>
    </w:p>
    <w:p>
      <w:pPr>
        <w:ind w:firstLine="560" w:firstLineChars="200"/>
        <w:rPr>
          <w:rFonts w:ascii="宋体" w:hAnsi="宋体" w:cs="宋体"/>
          <w:sz w:val="28"/>
          <w:szCs w:val="28"/>
        </w:rPr>
      </w:pPr>
      <w:r>
        <w:rPr>
          <w:rFonts w:hint="eastAsia" w:ascii="宋体" w:hAnsi="宋体" w:cs="宋体"/>
          <w:sz w:val="28"/>
          <w:szCs w:val="28"/>
        </w:rPr>
        <w:t>（二）履约保证金</w:t>
      </w:r>
    </w:p>
    <w:p>
      <w:pPr>
        <w:ind w:firstLine="560" w:firstLineChars="200"/>
      </w:pPr>
      <w:r>
        <w:rPr>
          <w:rFonts w:hint="eastAsia" w:ascii="宋体" w:hAnsi="宋体" w:cs="宋体"/>
          <w:sz w:val="28"/>
          <w:szCs w:val="28"/>
        </w:rPr>
        <w:t>1、为保证本供应入库合同的顺利履行，乙方应向甲方交纳履约保证金，履约保证金为人民币</w:t>
      </w:r>
      <w:r>
        <w:rPr>
          <w:rFonts w:hint="eastAsia" w:ascii="宋体" w:hAnsi="宋体" w:cs="宋体"/>
          <w:b/>
          <w:bCs/>
          <w:sz w:val="28"/>
          <w:szCs w:val="28"/>
          <w:u w:val="single"/>
        </w:rPr>
        <w:t>壹万元</w:t>
      </w:r>
      <w:r>
        <w:rPr>
          <w:rFonts w:hint="eastAsia" w:ascii="宋体" w:hAnsi="宋体" w:cs="宋体"/>
          <w:sz w:val="28"/>
          <w:szCs w:val="28"/>
        </w:rPr>
        <w:t>整（</w:t>
      </w:r>
      <w:r>
        <w:rPr>
          <w:rFonts w:hint="eastAsia" w:ascii="等线" w:hAnsi="等线" w:eastAsia="等线" w:cs="等线"/>
          <w:sz w:val="28"/>
          <w:szCs w:val="28"/>
        </w:rPr>
        <w:t>¥</w:t>
      </w:r>
      <w:r>
        <w:rPr>
          <w:rFonts w:hint="eastAsia" w:ascii="宋体" w:hAnsi="宋体" w:cs="宋体"/>
          <w:sz w:val="28"/>
          <w:szCs w:val="28"/>
        </w:rPr>
        <w:t>10,000.00元）。</w:t>
      </w:r>
    </w:p>
    <w:p>
      <w:pPr>
        <w:ind w:firstLine="560" w:firstLineChars="200"/>
        <w:rPr>
          <w:rFonts w:ascii="宋体" w:hAnsi="宋体" w:cs="宋体"/>
          <w:sz w:val="28"/>
          <w:szCs w:val="28"/>
        </w:rPr>
      </w:pPr>
      <w:r>
        <w:rPr>
          <w:rFonts w:hint="eastAsia" w:ascii="宋体" w:hAnsi="宋体" w:cs="宋体"/>
          <w:sz w:val="28"/>
          <w:szCs w:val="28"/>
        </w:rPr>
        <w:t>2、履约保证金于履约结束后，由采购人一次性退还（不记利息）。</w:t>
      </w:r>
    </w:p>
    <w:p>
      <w:pPr>
        <w:ind w:firstLine="562" w:firstLineChars="200"/>
        <w:rPr>
          <w:rFonts w:ascii="宋体" w:hAnsi="宋体" w:cs="宋体"/>
          <w:b/>
          <w:bCs/>
          <w:sz w:val="28"/>
          <w:szCs w:val="28"/>
        </w:rPr>
      </w:pPr>
      <w:r>
        <w:rPr>
          <w:rFonts w:hint="eastAsia" w:ascii="宋体" w:hAnsi="宋体" w:cs="宋体"/>
          <w:b/>
          <w:bCs/>
          <w:sz w:val="28"/>
          <w:szCs w:val="28"/>
        </w:rPr>
        <w:t>八、合同期限</w:t>
      </w:r>
    </w:p>
    <w:p>
      <w:pPr>
        <w:ind w:firstLine="560" w:firstLineChars="200"/>
        <w:rPr>
          <w:rFonts w:ascii="宋体" w:hAnsi="宋体" w:cs="宋体"/>
          <w:sz w:val="28"/>
          <w:szCs w:val="28"/>
        </w:rPr>
      </w:pPr>
      <w:r>
        <w:rPr>
          <w:rFonts w:hint="eastAsia" w:ascii="宋体" w:hAnsi="宋体" w:cs="宋体"/>
          <w:sz w:val="28"/>
          <w:szCs w:val="28"/>
        </w:rPr>
        <w:t>1、具体由双方签订合同时间为准。</w:t>
      </w:r>
    </w:p>
    <w:p>
      <w:pPr>
        <w:ind w:firstLine="560" w:firstLineChars="200"/>
        <w:rPr>
          <w:rFonts w:ascii="宋体" w:hAnsi="宋体" w:cs="宋体"/>
          <w:sz w:val="28"/>
          <w:szCs w:val="28"/>
        </w:rPr>
      </w:pPr>
      <w:r>
        <w:rPr>
          <w:rFonts w:hint="eastAsia" w:ascii="宋体" w:hAnsi="宋体" w:cs="宋体"/>
          <w:sz w:val="28"/>
          <w:szCs w:val="28"/>
        </w:rPr>
        <w:t>2、合同顺延：供应入库服务合同到期前</w:t>
      </w:r>
      <w:r>
        <w:rPr>
          <w:rFonts w:ascii="宋体" w:hAnsi="宋体" w:cs="宋体"/>
          <w:sz w:val="28"/>
          <w:szCs w:val="28"/>
        </w:rPr>
        <w:t>2</w:t>
      </w:r>
      <w:r>
        <w:rPr>
          <w:rFonts w:hint="eastAsia" w:ascii="宋体" w:hAnsi="宋体" w:cs="宋体"/>
          <w:sz w:val="28"/>
          <w:szCs w:val="28"/>
        </w:rPr>
        <w:t>个月截止，若施工单位在此期间履约服务评价（至少完成两个（含）及以上的项目）均为“优秀”，且在合同到期前实施的项目，无重大过失。在供应商自愿的情况下，可自动成为下一轮入库供应单位（需重新签订协议）。</w:t>
      </w:r>
    </w:p>
    <w:p>
      <w:pPr>
        <w:ind w:firstLine="562" w:firstLineChars="200"/>
        <w:rPr>
          <w:rFonts w:ascii="宋体" w:hAnsi="宋体" w:cs="宋体"/>
          <w:b/>
          <w:bCs/>
          <w:sz w:val="28"/>
          <w:szCs w:val="28"/>
        </w:rPr>
      </w:pPr>
      <w:r>
        <w:rPr>
          <w:rFonts w:hint="eastAsia" w:ascii="宋体" w:hAnsi="宋体" w:cs="宋体"/>
          <w:b/>
          <w:bCs/>
          <w:sz w:val="28"/>
          <w:szCs w:val="28"/>
        </w:rPr>
        <w:t>九、比选响应有效期</w:t>
      </w:r>
    </w:p>
    <w:p>
      <w:pPr>
        <w:ind w:firstLine="560" w:firstLineChars="200"/>
        <w:rPr>
          <w:rFonts w:ascii="宋体" w:hAnsi="宋体" w:cs="宋体"/>
          <w:sz w:val="28"/>
          <w:szCs w:val="28"/>
        </w:rPr>
      </w:pPr>
      <w:r>
        <w:rPr>
          <w:rFonts w:hint="eastAsia" w:ascii="宋体" w:hAnsi="宋体" w:cs="宋体"/>
          <w:sz w:val="28"/>
          <w:szCs w:val="28"/>
        </w:rPr>
        <w:t>90天（自比选响应人提交比选响应文件截止之日起计算）。</w:t>
      </w:r>
    </w:p>
    <w:p>
      <w:pPr>
        <w:ind w:firstLine="560" w:firstLineChars="200"/>
        <w:rPr>
          <w:rFonts w:ascii="宋体" w:hAnsi="宋体" w:cs="宋体"/>
          <w:sz w:val="28"/>
          <w:szCs w:val="28"/>
        </w:rPr>
      </w:pPr>
      <w:r>
        <w:rPr>
          <w:rFonts w:hint="eastAsia" w:ascii="宋体" w:hAnsi="宋体" w:cs="宋体"/>
          <w:sz w:val="28"/>
          <w:szCs w:val="28"/>
        </w:rPr>
        <w:t>注：比选响应有效期作投标有效期理解。</w:t>
      </w:r>
    </w:p>
    <w:p>
      <w:pPr>
        <w:ind w:firstLine="562" w:firstLineChars="200"/>
        <w:rPr>
          <w:rFonts w:ascii="宋体" w:hAnsi="宋体" w:cs="宋体"/>
          <w:b/>
          <w:bCs/>
          <w:sz w:val="28"/>
          <w:szCs w:val="28"/>
        </w:rPr>
      </w:pPr>
      <w:r>
        <w:rPr>
          <w:rFonts w:hint="eastAsia" w:ascii="宋体" w:hAnsi="宋体" w:cs="宋体"/>
          <w:b/>
          <w:bCs/>
          <w:sz w:val="28"/>
          <w:szCs w:val="28"/>
        </w:rPr>
        <w:t>十、比选响应文件的编制和提交</w:t>
      </w:r>
    </w:p>
    <w:p>
      <w:pPr>
        <w:ind w:firstLine="560" w:firstLineChars="200"/>
        <w:rPr>
          <w:rFonts w:ascii="宋体" w:hAnsi="宋体" w:cs="宋体"/>
          <w:sz w:val="28"/>
          <w:szCs w:val="28"/>
          <w:lang w:val="zh-CN"/>
        </w:rPr>
      </w:pPr>
      <w:r>
        <w:rPr>
          <w:rFonts w:hint="eastAsia" w:ascii="宋体" w:hAnsi="宋体" w:cs="宋体"/>
          <w:sz w:val="28"/>
          <w:szCs w:val="28"/>
          <w:lang w:val="zh-CN"/>
        </w:rPr>
        <w:t>（一）</w:t>
      </w:r>
      <w:r>
        <w:rPr>
          <w:rFonts w:hint="eastAsia" w:ascii="宋体" w:hAnsi="宋体" w:cs="宋体"/>
          <w:sz w:val="28"/>
          <w:szCs w:val="28"/>
        </w:rPr>
        <w:t>比选响应方应当按照比选采购文件的要求编制比选响应文件，比选响应文件应当对比选采购文件提出的要求和条件作出实质性应答。</w:t>
      </w:r>
    </w:p>
    <w:p>
      <w:pPr>
        <w:ind w:firstLine="560" w:firstLineChars="200"/>
        <w:rPr>
          <w:rFonts w:ascii="宋体" w:hAnsi="宋体" w:cs="宋体"/>
          <w:sz w:val="28"/>
          <w:szCs w:val="28"/>
          <w:lang w:val="zh-CN"/>
        </w:rPr>
      </w:pPr>
      <w:r>
        <w:rPr>
          <w:rFonts w:hint="eastAsia" w:ascii="宋体" w:hAnsi="宋体" w:cs="宋体"/>
          <w:sz w:val="28"/>
          <w:szCs w:val="28"/>
        </w:rPr>
        <w:t>（二）比选</w:t>
      </w:r>
      <w:r>
        <w:rPr>
          <w:rFonts w:hint="eastAsia" w:ascii="宋体" w:hAnsi="宋体" w:cs="宋体"/>
          <w:sz w:val="28"/>
          <w:szCs w:val="28"/>
          <w:lang w:val="zh-CN"/>
        </w:rPr>
        <w:t>文件应用A4规格纸编制并装订成册，主要由以下几个部分组成：</w:t>
      </w:r>
    </w:p>
    <w:p>
      <w:pPr>
        <w:ind w:firstLine="560" w:firstLineChars="200"/>
        <w:jc w:val="left"/>
        <w:rPr>
          <w:rFonts w:ascii="宋体" w:hAnsi="宋体" w:cs="宋体"/>
          <w:sz w:val="28"/>
          <w:lang w:val="zh-CN"/>
        </w:rPr>
      </w:pPr>
      <w:r>
        <w:rPr>
          <w:rFonts w:hint="eastAsia" w:ascii="宋体" w:hAnsi="宋体" w:cs="宋体"/>
          <w:sz w:val="28"/>
        </w:rPr>
        <w:t>1、</w:t>
      </w:r>
      <w:r>
        <w:rPr>
          <w:rFonts w:hint="eastAsia" w:ascii="宋体" w:hAnsi="宋体" w:cs="宋体"/>
          <w:sz w:val="28"/>
          <w:lang w:val="zh-CN"/>
        </w:rPr>
        <w:t>封面。</w:t>
      </w:r>
    </w:p>
    <w:p>
      <w:pPr>
        <w:ind w:firstLine="560" w:firstLineChars="200"/>
        <w:rPr>
          <w:rFonts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资质部分。主要包括：</w:t>
      </w:r>
      <w:r>
        <w:rPr>
          <w:rFonts w:hint="eastAsia" w:ascii="宋体" w:hAnsi="宋体" w:cs="宋体"/>
          <w:sz w:val="28"/>
          <w:szCs w:val="28"/>
        </w:rPr>
        <w:t>资质证书、</w:t>
      </w:r>
      <w:r>
        <w:rPr>
          <w:rFonts w:hint="eastAsia" w:ascii="宋体" w:hAnsi="宋体" w:cs="宋体"/>
          <w:sz w:val="28"/>
          <w:szCs w:val="28"/>
          <w:lang w:val="zh-CN"/>
        </w:rPr>
        <w:t>营业执照等资格证明文件（复印件）、</w:t>
      </w:r>
      <w:r>
        <w:rPr>
          <w:rFonts w:hint="eastAsia" w:ascii="宋体" w:hAnsi="宋体" w:cs="宋体"/>
          <w:sz w:val="28"/>
          <w:szCs w:val="28"/>
        </w:rPr>
        <w:t>信誉证明材料、</w:t>
      </w:r>
      <w:r>
        <w:rPr>
          <w:rFonts w:hint="eastAsia" w:ascii="宋体" w:hAnsi="宋体" w:cs="宋体"/>
          <w:sz w:val="28"/>
          <w:szCs w:val="28"/>
          <w:lang w:val="zh-CN"/>
        </w:rPr>
        <w:t>法定代表人身份证明、法人代表授权书、</w:t>
      </w:r>
      <w:r>
        <w:rPr>
          <w:rFonts w:hint="eastAsia" w:ascii="宋体" w:hAnsi="宋体" w:cs="宋体"/>
          <w:b/>
          <w:sz w:val="28"/>
          <w:szCs w:val="28"/>
        </w:rPr>
        <w:t>业绩证明材料</w:t>
      </w:r>
      <w:r>
        <w:rPr>
          <w:rFonts w:hint="eastAsia" w:ascii="宋体" w:hAnsi="宋体" w:cs="宋体"/>
          <w:sz w:val="28"/>
          <w:szCs w:val="28"/>
        </w:rPr>
        <w:t>等</w:t>
      </w:r>
      <w:r>
        <w:rPr>
          <w:rFonts w:hint="eastAsia" w:ascii="宋体" w:hAnsi="宋体" w:cs="宋体"/>
          <w:sz w:val="28"/>
          <w:szCs w:val="28"/>
          <w:lang w:val="zh-CN"/>
        </w:rPr>
        <w:t>。</w:t>
      </w:r>
    </w:p>
    <w:p>
      <w:pPr>
        <w:ind w:firstLine="560" w:firstLineChars="200"/>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商务部分。主要包括：</w:t>
      </w:r>
      <w:r>
        <w:rPr>
          <w:rFonts w:hint="eastAsia" w:ascii="宋体" w:hAnsi="宋体" w:cs="宋体"/>
          <w:b/>
          <w:sz w:val="28"/>
          <w:szCs w:val="28"/>
        </w:rPr>
        <w:t>业绩证明材料</w:t>
      </w:r>
      <w:r>
        <w:rPr>
          <w:rFonts w:hint="eastAsia" w:ascii="宋体" w:hAnsi="宋体" w:cs="宋体"/>
          <w:sz w:val="28"/>
          <w:szCs w:val="28"/>
          <w:lang w:val="zh-CN"/>
        </w:rPr>
        <w:t>、财务情况</w:t>
      </w:r>
      <w:r>
        <w:rPr>
          <w:rFonts w:hint="eastAsia" w:ascii="宋体" w:hAnsi="宋体" w:cs="宋体"/>
          <w:sz w:val="28"/>
          <w:szCs w:val="28"/>
        </w:rPr>
        <w:t>证明材料等</w:t>
      </w:r>
      <w:r>
        <w:rPr>
          <w:rFonts w:hint="eastAsia" w:ascii="宋体" w:hAnsi="宋体" w:cs="宋体"/>
          <w:sz w:val="28"/>
          <w:szCs w:val="28"/>
          <w:lang w:val="zh-CN"/>
        </w:rPr>
        <w:t>。</w:t>
      </w:r>
    </w:p>
    <w:p>
      <w:pPr>
        <w:ind w:firstLine="560" w:firstLineChars="200"/>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技术部分。主要包括：</w:t>
      </w:r>
      <w:r>
        <w:rPr>
          <w:rFonts w:hint="eastAsia" w:ascii="宋体" w:hAnsi="宋体" w:cs="宋体"/>
          <w:sz w:val="28"/>
          <w:szCs w:val="28"/>
        </w:rPr>
        <w:t>建设施工</w:t>
      </w:r>
      <w:r>
        <w:rPr>
          <w:rFonts w:hint="eastAsia" w:ascii="宋体" w:hAnsi="宋体" w:cs="宋体"/>
          <w:sz w:val="28"/>
          <w:szCs w:val="28"/>
          <w:lang w:val="zh-CN"/>
        </w:rPr>
        <w:t>整体方案、</w:t>
      </w:r>
      <w:r>
        <w:rPr>
          <w:rFonts w:hint="eastAsia" w:ascii="宋体" w:hAnsi="宋体" w:cs="宋体"/>
          <w:sz w:val="28"/>
          <w:szCs w:val="28"/>
        </w:rPr>
        <w:t>设计图等</w:t>
      </w:r>
      <w:r>
        <w:rPr>
          <w:rFonts w:hint="eastAsia" w:ascii="宋体" w:hAnsi="宋体" w:cs="宋体"/>
          <w:sz w:val="28"/>
          <w:szCs w:val="28"/>
          <w:lang w:val="zh-CN"/>
        </w:rPr>
        <w:t>。</w:t>
      </w:r>
    </w:p>
    <w:p>
      <w:pPr>
        <w:ind w:firstLine="560" w:firstLineChars="200"/>
        <w:rPr>
          <w:rFonts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投标报价。主要包括：</w:t>
      </w:r>
      <w:r>
        <w:rPr>
          <w:rFonts w:hint="eastAsia" w:ascii="宋体" w:hAnsi="宋体" w:cs="宋体"/>
          <w:sz w:val="28"/>
          <w:szCs w:val="28"/>
        </w:rPr>
        <w:t>按照模拟项目编制报价清单文件等</w:t>
      </w:r>
      <w:r>
        <w:rPr>
          <w:rFonts w:hint="eastAsia" w:ascii="宋体" w:hAnsi="宋体" w:cs="宋体"/>
          <w:sz w:val="28"/>
          <w:szCs w:val="28"/>
          <w:lang w:val="zh-CN"/>
        </w:rPr>
        <w:t>。</w:t>
      </w:r>
    </w:p>
    <w:p>
      <w:pPr>
        <w:ind w:firstLine="560" w:firstLineChars="200"/>
        <w:rPr>
          <w:rFonts w:ascii="宋体" w:hAnsi="宋体" w:cs="宋体"/>
          <w:sz w:val="28"/>
          <w:szCs w:val="28"/>
          <w:lang w:val="zh-CN"/>
        </w:rPr>
      </w:pPr>
      <w:r>
        <w:rPr>
          <w:rFonts w:hint="eastAsia" w:ascii="宋体" w:hAnsi="宋体" w:cs="宋体"/>
          <w:sz w:val="28"/>
          <w:szCs w:val="28"/>
        </w:rPr>
        <w:t>6、</w:t>
      </w:r>
      <w:r>
        <w:rPr>
          <w:rFonts w:hint="eastAsia" w:ascii="宋体" w:hAnsi="宋体" w:cs="宋体"/>
          <w:sz w:val="28"/>
          <w:szCs w:val="28"/>
          <w:lang w:val="zh-CN"/>
        </w:rPr>
        <w:t>比选响应文件可合并装订成册，纸质文件一式</w:t>
      </w:r>
      <w:r>
        <w:rPr>
          <w:rFonts w:hint="eastAsia" w:ascii="宋体" w:hAnsi="宋体" w:cs="宋体"/>
          <w:sz w:val="28"/>
          <w:szCs w:val="28"/>
        </w:rPr>
        <w:t>2</w:t>
      </w:r>
      <w:r>
        <w:rPr>
          <w:rFonts w:hint="eastAsia" w:ascii="宋体" w:hAnsi="宋体" w:cs="宋体"/>
          <w:sz w:val="28"/>
          <w:szCs w:val="28"/>
          <w:lang w:val="zh-CN"/>
        </w:rPr>
        <w:t>份，其中正本1份，副本</w:t>
      </w:r>
      <w:r>
        <w:rPr>
          <w:rFonts w:hint="eastAsia" w:ascii="宋体" w:hAnsi="宋体" w:cs="宋体"/>
          <w:sz w:val="28"/>
          <w:szCs w:val="28"/>
        </w:rPr>
        <w:t>1</w:t>
      </w:r>
      <w:r>
        <w:rPr>
          <w:rFonts w:hint="eastAsia" w:ascii="宋体" w:hAnsi="宋体" w:cs="宋体"/>
          <w:sz w:val="28"/>
          <w:szCs w:val="28"/>
          <w:lang w:val="zh-CN"/>
        </w:rPr>
        <w:t>份；电子比选响应文件1份（</w:t>
      </w:r>
      <w:r>
        <w:rPr>
          <w:rFonts w:hint="eastAsia" w:ascii="宋体" w:hAnsi="宋体" w:cs="宋体"/>
          <w:b/>
          <w:bCs/>
          <w:sz w:val="28"/>
          <w:szCs w:val="28"/>
          <w:lang w:val="zh-CN"/>
        </w:rPr>
        <w:t>盖章后的扫描件</w:t>
      </w:r>
      <w:r>
        <w:rPr>
          <w:rFonts w:hint="eastAsia" w:ascii="宋体" w:hAnsi="宋体" w:cs="宋体"/>
          <w:b/>
          <w:bCs/>
          <w:sz w:val="28"/>
          <w:szCs w:val="28"/>
        </w:rPr>
        <w:t>PDF格式</w:t>
      </w:r>
      <w:r>
        <w:rPr>
          <w:rFonts w:hint="eastAsia" w:ascii="宋体" w:hAnsi="宋体" w:cs="宋体"/>
          <w:sz w:val="28"/>
          <w:szCs w:val="28"/>
          <w:lang w:val="zh-CN"/>
        </w:rPr>
        <w:t>，U盘形式）。</w:t>
      </w:r>
    </w:p>
    <w:p>
      <w:pPr>
        <w:spacing w:line="600" w:lineRule="exact"/>
        <w:ind w:firstLine="562" w:firstLineChars="200"/>
        <w:rPr>
          <w:rFonts w:ascii="宋体" w:hAnsi="宋体" w:cs="宋体"/>
          <w:b/>
          <w:bCs/>
          <w:kern w:val="0"/>
          <w:sz w:val="28"/>
          <w:szCs w:val="28"/>
        </w:rPr>
      </w:pPr>
      <w:r>
        <w:rPr>
          <w:rFonts w:hint="eastAsia" w:ascii="宋体" w:hAnsi="宋体" w:cs="宋体"/>
          <w:b/>
          <w:bCs/>
          <w:kern w:val="0"/>
          <w:sz w:val="28"/>
          <w:szCs w:val="28"/>
        </w:rPr>
        <w:t>十一、比选响应文件作废条款</w:t>
      </w:r>
    </w:p>
    <w:p>
      <w:pPr>
        <w:ind w:firstLine="560" w:firstLineChars="200"/>
        <w:rPr>
          <w:rFonts w:ascii="宋体" w:hAnsi="宋体" w:cs="宋体"/>
          <w:sz w:val="28"/>
          <w:szCs w:val="28"/>
          <w:lang w:val="zh-CN"/>
        </w:rPr>
      </w:pPr>
      <w:r>
        <w:rPr>
          <w:rFonts w:hint="eastAsia" w:ascii="宋体" w:hAnsi="宋体" w:cs="宋体"/>
          <w:sz w:val="28"/>
          <w:szCs w:val="28"/>
          <w:lang w:val="zh-CN"/>
        </w:rPr>
        <w:t>（一）未按照规定交纳比选保证金的；</w:t>
      </w:r>
    </w:p>
    <w:p>
      <w:pPr>
        <w:ind w:firstLine="560" w:firstLineChars="200"/>
        <w:rPr>
          <w:rFonts w:ascii="宋体" w:hAnsi="宋体" w:cs="宋体"/>
          <w:sz w:val="28"/>
          <w:szCs w:val="28"/>
          <w:lang w:val="zh-CN"/>
        </w:rPr>
      </w:pPr>
      <w:r>
        <w:rPr>
          <w:rFonts w:hint="eastAsia" w:ascii="宋体" w:hAnsi="宋体" w:cs="宋体"/>
          <w:sz w:val="28"/>
          <w:szCs w:val="28"/>
          <w:lang w:val="zh-CN"/>
        </w:rPr>
        <w:t>（二）比选响应文件散装或者活页装订的；</w:t>
      </w:r>
    </w:p>
    <w:p>
      <w:pPr>
        <w:ind w:firstLine="560" w:firstLineChars="200"/>
        <w:rPr>
          <w:rFonts w:ascii="宋体" w:hAnsi="宋体" w:cs="宋体"/>
          <w:sz w:val="28"/>
          <w:szCs w:val="28"/>
          <w:lang w:val="zh-CN"/>
        </w:rPr>
      </w:pPr>
      <w:r>
        <w:rPr>
          <w:rFonts w:hint="eastAsia" w:ascii="宋体" w:hAnsi="宋体" w:cs="宋体"/>
          <w:sz w:val="28"/>
          <w:szCs w:val="28"/>
          <w:lang w:val="zh-CN"/>
        </w:rPr>
        <w:t>（三）资质不符或超出经营范围比选的；</w:t>
      </w:r>
    </w:p>
    <w:p>
      <w:pPr>
        <w:ind w:firstLine="560" w:firstLineChars="200"/>
        <w:rPr>
          <w:rFonts w:ascii="宋体" w:hAnsi="宋体" w:cs="宋体"/>
          <w:sz w:val="28"/>
          <w:szCs w:val="28"/>
          <w:lang w:val="zh-CN"/>
        </w:rPr>
      </w:pPr>
      <w:r>
        <w:rPr>
          <w:rFonts w:hint="eastAsia" w:ascii="宋体" w:hAnsi="宋体" w:cs="宋体"/>
          <w:sz w:val="28"/>
          <w:szCs w:val="28"/>
          <w:lang w:val="zh-CN"/>
        </w:rPr>
        <w:t>（四）有串通比选或弄虚作假或有其他违法行为的；</w:t>
      </w:r>
    </w:p>
    <w:p>
      <w:pPr>
        <w:ind w:firstLine="560" w:firstLineChars="200"/>
        <w:rPr>
          <w:rFonts w:ascii="宋体" w:hAnsi="宋体" w:cs="宋体"/>
          <w:sz w:val="28"/>
          <w:szCs w:val="28"/>
          <w:lang w:val="zh-CN"/>
        </w:rPr>
      </w:pPr>
      <w:r>
        <w:rPr>
          <w:rFonts w:hint="eastAsia" w:ascii="宋体" w:hAnsi="宋体" w:cs="宋体"/>
          <w:sz w:val="28"/>
          <w:szCs w:val="28"/>
          <w:lang w:val="zh-CN"/>
        </w:rPr>
        <w:t>（五）比选响应文件无法定代表签字或签字人无有效授权书的；</w:t>
      </w:r>
    </w:p>
    <w:p>
      <w:pPr>
        <w:ind w:firstLine="560" w:firstLineChars="200"/>
        <w:rPr>
          <w:rFonts w:ascii="宋体" w:hAnsi="宋体" w:cs="宋体"/>
          <w:sz w:val="28"/>
          <w:szCs w:val="28"/>
          <w:lang w:val="zh-CN"/>
        </w:rPr>
      </w:pPr>
      <w:r>
        <w:rPr>
          <w:rFonts w:hint="eastAsia" w:ascii="宋体" w:hAnsi="宋体" w:cs="宋体"/>
          <w:sz w:val="28"/>
          <w:szCs w:val="28"/>
          <w:lang w:val="zh-CN"/>
        </w:rPr>
        <w:t>（六）比选响应有效期不足的；</w:t>
      </w:r>
    </w:p>
    <w:p>
      <w:pPr>
        <w:ind w:firstLine="560" w:firstLineChars="200"/>
        <w:rPr>
          <w:rFonts w:ascii="宋体" w:hAnsi="宋体" w:cs="宋体"/>
          <w:sz w:val="28"/>
          <w:szCs w:val="28"/>
          <w:lang w:val="zh-CN"/>
        </w:rPr>
      </w:pPr>
      <w:r>
        <w:rPr>
          <w:rFonts w:hint="eastAsia" w:ascii="宋体" w:hAnsi="宋体" w:cs="宋体"/>
          <w:sz w:val="28"/>
          <w:szCs w:val="28"/>
          <w:lang w:val="zh-CN"/>
        </w:rPr>
        <w:t>（七）未按规定的格式填写（增项填写除外），内容不全或关键字迹模糊、无法辨认的；</w:t>
      </w:r>
    </w:p>
    <w:p>
      <w:pPr>
        <w:ind w:firstLine="560" w:firstLineChars="200"/>
        <w:rPr>
          <w:rFonts w:ascii="宋体" w:hAnsi="宋体" w:cs="宋体"/>
          <w:sz w:val="28"/>
          <w:szCs w:val="28"/>
          <w:lang w:val="zh-CN"/>
        </w:rPr>
      </w:pPr>
      <w:r>
        <w:rPr>
          <w:rFonts w:hint="eastAsia" w:ascii="宋体" w:hAnsi="宋体" w:cs="宋体"/>
          <w:sz w:val="28"/>
          <w:szCs w:val="28"/>
          <w:lang w:val="zh-CN"/>
        </w:rPr>
        <w:t>（八）未按比选采购文件要求密封的；</w:t>
      </w:r>
    </w:p>
    <w:p>
      <w:pPr>
        <w:ind w:firstLine="560" w:firstLineChars="200"/>
        <w:rPr>
          <w:rFonts w:ascii="宋体" w:hAnsi="宋体" w:cs="宋体"/>
          <w:sz w:val="28"/>
          <w:szCs w:val="28"/>
          <w:lang w:val="zh-CN"/>
        </w:rPr>
      </w:pPr>
      <w:r>
        <w:rPr>
          <w:rFonts w:hint="eastAsia" w:ascii="宋体" w:hAnsi="宋体" w:cs="宋体"/>
          <w:sz w:val="28"/>
          <w:szCs w:val="28"/>
          <w:lang w:val="zh-CN"/>
        </w:rPr>
        <w:t>（九）评审委员会审查发现比选响应文件未能对比选采购文件提出的所有实质性要求和条件作出响应的。</w:t>
      </w:r>
    </w:p>
    <w:p>
      <w:pPr>
        <w:ind w:firstLine="560" w:firstLineChars="200"/>
        <w:rPr>
          <w:rFonts w:ascii="宋体" w:hAnsi="宋体" w:cs="宋体"/>
          <w:sz w:val="28"/>
          <w:szCs w:val="28"/>
          <w:lang w:val="zh-CN"/>
        </w:rPr>
      </w:pPr>
      <w:r>
        <w:rPr>
          <w:rFonts w:hint="eastAsia" w:ascii="宋体" w:hAnsi="宋体" w:cs="宋体"/>
          <w:sz w:val="28"/>
          <w:szCs w:val="28"/>
          <w:lang w:val="zh-CN"/>
        </w:rPr>
        <w:t>（十）评审委员会应当根据比选采购文件，审查并逐项列出比选响应文件的全部比选响应偏差（比选响应偏差分为重大偏差和细微偏差），有重大偏差的，应作废。</w:t>
      </w:r>
    </w:p>
    <w:p>
      <w:pPr>
        <w:ind w:firstLine="560" w:firstLineChars="200"/>
        <w:rPr>
          <w:rFonts w:ascii="宋体" w:hAnsi="宋体" w:cs="宋体"/>
          <w:sz w:val="28"/>
          <w:szCs w:val="28"/>
          <w:lang w:val="zh-CN"/>
        </w:rPr>
      </w:pPr>
      <w:r>
        <w:rPr>
          <w:rFonts w:hint="eastAsia" w:ascii="宋体" w:hAnsi="宋体" w:cs="宋体"/>
          <w:sz w:val="28"/>
          <w:szCs w:val="28"/>
          <w:lang w:val="zh-CN"/>
        </w:rPr>
        <w:t>（十一）比选响应文件附有采购人不能接受的条件。</w:t>
      </w:r>
    </w:p>
    <w:p>
      <w:pPr>
        <w:spacing w:line="600" w:lineRule="exact"/>
        <w:ind w:firstLine="562" w:firstLineChars="200"/>
        <w:rPr>
          <w:rFonts w:ascii="宋体" w:hAnsi="宋体" w:cs="宋体"/>
          <w:b/>
          <w:bCs/>
          <w:kern w:val="0"/>
          <w:sz w:val="28"/>
          <w:szCs w:val="28"/>
        </w:rPr>
      </w:pPr>
      <w:r>
        <w:rPr>
          <w:rFonts w:hint="eastAsia" w:ascii="宋体" w:hAnsi="宋体" w:cs="宋体"/>
          <w:b/>
          <w:bCs/>
          <w:kern w:val="0"/>
          <w:sz w:val="28"/>
          <w:szCs w:val="28"/>
        </w:rPr>
        <w:t>十二、异议</w:t>
      </w:r>
    </w:p>
    <w:p>
      <w:pPr>
        <w:ind w:firstLine="560" w:firstLineChars="200"/>
        <w:rPr>
          <w:rFonts w:ascii="宋体" w:hAnsi="宋体" w:cs="宋体"/>
          <w:sz w:val="28"/>
          <w:szCs w:val="28"/>
          <w:lang w:val="zh-CN"/>
        </w:rPr>
      </w:pPr>
      <w:r>
        <w:rPr>
          <w:rFonts w:hint="eastAsia" w:ascii="宋体" w:hAnsi="宋体" w:cs="宋体"/>
          <w:sz w:val="28"/>
          <w:szCs w:val="28"/>
          <w:lang w:val="zh-CN"/>
        </w:rPr>
        <w:t>（一）采购响应人或者其他利害关系人对采购项目的评审结果有不同意见，应当在采购结果公示期之内以书面形式向采购人提出异议（以采购人收到书面异议之日为准）。</w:t>
      </w:r>
    </w:p>
    <w:p>
      <w:pPr>
        <w:ind w:firstLine="560" w:firstLineChars="200"/>
        <w:rPr>
          <w:rFonts w:ascii="宋体" w:hAnsi="宋体" w:cs="宋体"/>
          <w:sz w:val="28"/>
          <w:szCs w:val="28"/>
          <w:lang w:val="zh-CN"/>
        </w:rPr>
      </w:pPr>
      <w:r>
        <w:rPr>
          <w:rFonts w:hint="eastAsia" w:ascii="宋体" w:hAnsi="宋体" w:cs="宋体"/>
          <w:sz w:val="28"/>
          <w:szCs w:val="28"/>
          <w:lang w:val="zh-CN"/>
        </w:rPr>
        <w:t>（二）异议提出人向采购人提起异议时，应当提交异议书。异议书应当包括下列内容：</w:t>
      </w:r>
    </w:p>
    <w:p>
      <w:pPr>
        <w:ind w:firstLine="560" w:firstLineChars="200"/>
        <w:rPr>
          <w:rFonts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异议提出人的名称、地址及有效联系方式。</w:t>
      </w:r>
    </w:p>
    <w:p>
      <w:pPr>
        <w:ind w:firstLine="560" w:firstLineChars="200"/>
        <w:rPr>
          <w:rFonts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异议事项的基本事实。</w:t>
      </w:r>
    </w:p>
    <w:p>
      <w:pPr>
        <w:ind w:firstLine="560" w:firstLineChars="200"/>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异议请求及主张。</w:t>
      </w:r>
    </w:p>
    <w:p>
      <w:pPr>
        <w:ind w:firstLine="560" w:firstLineChars="200"/>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有效线索和相关证据、证明材料。</w:t>
      </w:r>
    </w:p>
    <w:p>
      <w:pPr>
        <w:ind w:firstLine="560" w:firstLineChars="200"/>
        <w:rPr>
          <w:rFonts w:ascii="宋体" w:hAnsi="宋体" w:cs="宋体"/>
          <w:sz w:val="28"/>
          <w:szCs w:val="28"/>
          <w:lang w:val="zh-CN"/>
        </w:rPr>
      </w:pPr>
      <w:r>
        <w:rPr>
          <w:rFonts w:hint="eastAsia" w:ascii="宋体" w:hAnsi="宋体" w:cs="宋体"/>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宋体" w:hAnsi="宋体" w:cs="宋体"/>
          <w:sz w:val="28"/>
          <w:szCs w:val="28"/>
          <w:lang w:val="zh-CN"/>
        </w:rPr>
      </w:pPr>
      <w:r>
        <w:rPr>
          <w:rFonts w:hint="eastAsia" w:ascii="宋体" w:hAnsi="宋体" w:cs="宋体"/>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宋体" w:hAnsi="宋体" w:cs="宋体"/>
          <w:sz w:val="28"/>
          <w:szCs w:val="28"/>
          <w:lang w:val="zh-CN"/>
        </w:rPr>
      </w:pPr>
      <w:r>
        <w:rPr>
          <w:rFonts w:hint="eastAsia" w:ascii="宋体" w:hAnsi="宋体" w:cs="宋体"/>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宋体" w:hAnsi="宋体" w:cs="宋体"/>
          <w:sz w:val="28"/>
          <w:szCs w:val="28"/>
          <w:lang w:val="zh-CN"/>
        </w:rPr>
      </w:pPr>
      <w:r>
        <w:rPr>
          <w:rFonts w:hint="eastAsia" w:ascii="宋体" w:hAnsi="宋体" w:cs="宋体"/>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ind w:firstLine="560" w:firstLineChars="200"/>
        <w:rPr>
          <w:rFonts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招标投标法第二十二条规定的招标投标保密信息。</w:t>
      </w:r>
    </w:p>
    <w:p>
      <w:pPr>
        <w:ind w:firstLine="560" w:firstLineChars="200"/>
        <w:rPr>
          <w:rFonts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应当保密的采购响应文件（但采购人提起异议时，采购响应文件不作为非法证据）。</w:t>
      </w:r>
    </w:p>
    <w:p>
      <w:pPr>
        <w:ind w:firstLine="560" w:firstLineChars="200"/>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招标投标法第四十四条规定保密的投标文件评审和比较情况、中标候选人推荐情况和评标有关的其他情况。</w:t>
      </w:r>
    </w:p>
    <w:p>
      <w:pPr>
        <w:ind w:firstLine="560" w:firstLineChars="200"/>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其他依法应当保密的信息和资料。</w:t>
      </w:r>
    </w:p>
    <w:p>
      <w:pPr>
        <w:ind w:firstLine="560" w:firstLineChars="200"/>
        <w:rPr>
          <w:rFonts w:ascii="宋体" w:hAnsi="宋体" w:cs="宋体"/>
          <w:sz w:val="28"/>
          <w:szCs w:val="28"/>
          <w:lang w:val="zh-CN"/>
        </w:rPr>
      </w:pPr>
      <w:r>
        <w:rPr>
          <w:rFonts w:hint="eastAsia" w:ascii="宋体" w:hAnsi="宋体" w:cs="宋体"/>
          <w:sz w:val="28"/>
          <w:szCs w:val="28"/>
          <w:lang w:val="zh-CN"/>
        </w:rPr>
        <w:t>（六）有下列情形之一的异议，不予受理：</w:t>
      </w:r>
    </w:p>
    <w:p>
      <w:pPr>
        <w:ind w:firstLine="560" w:firstLineChars="200"/>
        <w:rPr>
          <w:rFonts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异议事项不具体，且未提供有效线索、相关证据和证明材料，难以查证。</w:t>
      </w:r>
    </w:p>
    <w:p>
      <w:pPr>
        <w:ind w:firstLine="560" w:firstLineChars="200"/>
        <w:rPr>
          <w:rFonts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未署异议提出人真实姓名、签字和有效联系方式。</w:t>
      </w:r>
    </w:p>
    <w:p>
      <w:pPr>
        <w:ind w:firstLine="560" w:firstLineChars="200"/>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未经法定代表人或授权的委托代理人签字并加盖公章，或未经主要负责人或异议提出人本人签字。</w:t>
      </w:r>
    </w:p>
    <w:p>
      <w:pPr>
        <w:ind w:firstLine="560" w:firstLineChars="200"/>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不在结果异议期内的。</w:t>
      </w:r>
    </w:p>
    <w:p>
      <w:pPr>
        <w:ind w:firstLine="560" w:firstLineChars="200"/>
        <w:rPr>
          <w:rFonts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已对异议事项做出答复的。</w:t>
      </w:r>
    </w:p>
    <w:p>
      <w:pPr>
        <w:ind w:firstLine="560" w:firstLineChars="200"/>
        <w:rPr>
          <w:rFonts w:ascii="宋体" w:hAnsi="宋体" w:cs="宋体"/>
          <w:sz w:val="28"/>
          <w:szCs w:val="28"/>
          <w:lang w:val="zh-CN"/>
        </w:rPr>
      </w:pPr>
      <w:r>
        <w:rPr>
          <w:rFonts w:hint="eastAsia" w:ascii="宋体" w:hAnsi="宋体" w:cs="宋体"/>
          <w:sz w:val="28"/>
          <w:szCs w:val="28"/>
          <w:lang w:val="zh-CN"/>
        </w:rPr>
        <w:t>注：对采购文件内容的异议应在比选文件规定的质疑期内提出；对开标或比选唱价环节的异议应在开标或比选唱价环节提出。</w:t>
      </w:r>
    </w:p>
    <w:p>
      <w:pPr>
        <w:ind w:firstLine="560" w:firstLineChars="200"/>
        <w:rPr>
          <w:rFonts w:ascii="宋体" w:hAnsi="宋体" w:cs="宋体"/>
          <w:kern w:val="0"/>
          <w:sz w:val="28"/>
          <w:szCs w:val="28"/>
        </w:rPr>
      </w:pPr>
      <w:r>
        <w:rPr>
          <w:rFonts w:hint="eastAsia" w:ascii="宋体" w:hAnsi="宋体" w:cs="宋体"/>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600" w:lineRule="exact"/>
        <w:ind w:firstLine="562" w:firstLineChars="200"/>
        <w:rPr>
          <w:rFonts w:ascii="宋体" w:hAnsi="宋体" w:cs="宋体"/>
          <w:b/>
          <w:bCs/>
          <w:kern w:val="0"/>
          <w:sz w:val="28"/>
          <w:szCs w:val="28"/>
        </w:rPr>
      </w:pPr>
      <w:r>
        <w:rPr>
          <w:rFonts w:hint="eastAsia" w:ascii="宋体" w:hAnsi="宋体" w:cs="宋体"/>
          <w:b/>
          <w:bCs/>
          <w:kern w:val="0"/>
          <w:sz w:val="28"/>
          <w:szCs w:val="28"/>
        </w:rPr>
        <w:t>十三、监督部门</w:t>
      </w:r>
    </w:p>
    <w:p>
      <w:pPr>
        <w:ind w:firstLine="560" w:firstLineChars="200"/>
        <w:rPr>
          <w:rFonts w:ascii="宋体" w:hAnsi="宋体" w:cs="宋体"/>
          <w:sz w:val="28"/>
          <w:szCs w:val="28"/>
          <w:lang w:val="zh-CN"/>
        </w:rPr>
      </w:pPr>
      <w:r>
        <w:rPr>
          <w:rFonts w:hint="eastAsia" w:ascii="宋体" w:hAnsi="宋体" w:cs="宋体"/>
          <w:sz w:val="28"/>
          <w:szCs w:val="28"/>
          <w:lang w:val="zh-CN"/>
        </w:rPr>
        <w:t>重庆机场信息通信网络有限公司监督小组</w:t>
      </w:r>
    </w:p>
    <w:p>
      <w:pPr>
        <w:ind w:firstLine="560" w:firstLineChars="200"/>
        <w:rPr>
          <w:rFonts w:ascii="宋体" w:hAnsi="宋体" w:cs="宋体"/>
          <w:sz w:val="28"/>
          <w:szCs w:val="28"/>
          <w:lang w:val="zh-CN"/>
        </w:rPr>
      </w:pPr>
      <w:r>
        <w:rPr>
          <w:rFonts w:hint="eastAsia" w:ascii="宋体" w:hAnsi="宋体" w:cs="宋体"/>
          <w:sz w:val="28"/>
          <w:szCs w:val="28"/>
          <w:lang w:val="zh-CN"/>
        </w:rPr>
        <w:t>地址：重庆江北国际机场东一路15号信息楼</w:t>
      </w:r>
    </w:p>
    <w:p>
      <w:pPr>
        <w:ind w:firstLine="560" w:firstLineChars="200"/>
        <w:rPr>
          <w:rFonts w:ascii="宋体" w:hAnsi="宋体" w:cs="宋体"/>
          <w:sz w:val="28"/>
          <w:szCs w:val="28"/>
          <w:lang w:val="zh-CN"/>
        </w:rPr>
      </w:pPr>
      <w:r>
        <w:rPr>
          <w:rFonts w:hint="eastAsia" w:ascii="宋体" w:hAnsi="宋体" w:cs="宋体"/>
          <w:sz w:val="28"/>
          <w:szCs w:val="28"/>
          <w:lang w:val="zh-CN"/>
        </w:rPr>
        <w:t>电话：023-67153289</w:t>
      </w:r>
    </w:p>
    <w:p>
      <w:pPr>
        <w:spacing w:line="600" w:lineRule="exact"/>
        <w:ind w:firstLine="562" w:firstLineChars="200"/>
        <w:rPr>
          <w:rFonts w:ascii="宋体" w:hAnsi="宋体" w:cs="宋体"/>
          <w:b/>
          <w:bCs/>
          <w:kern w:val="0"/>
          <w:sz w:val="28"/>
          <w:szCs w:val="28"/>
        </w:rPr>
      </w:pPr>
      <w:r>
        <w:rPr>
          <w:rFonts w:hint="eastAsia" w:ascii="宋体" w:hAnsi="宋体" w:cs="宋体"/>
          <w:b/>
          <w:bCs/>
          <w:kern w:val="0"/>
          <w:sz w:val="28"/>
          <w:szCs w:val="28"/>
        </w:rPr>
        <w:t>十四、比选相关时间、地点及结果通知</w:t>
      </w:r>
    </w:p>
    <w:p>
      <w:pPr>
        <w:ind w:firstLine="560" w:firstLineChars="200"/>
        <w:rPr>
          <w:rFonts w:ascii="宋体" w:hAnsi="宋体" w:cs="宋体"/>
          <w:sz w:val="28"/>
          <w:szCs w:val="28"/>
          <w:lang w:val="zh-CN"/>
        </w:rPr>
      </w:pPr>
      <w:r>
        <w:rPr>
          <w:rFonts w:hint="eastAsia" w:ascii="宋体" w:hAnsi="宋体" w:cs="宋体"/>
          <w:sz w:val="28"/>
          <w:szCs w:val="28"/>
          <w:lang w:val="zh-CN"/>
        </w:rPr>
        <w:t>（一）比选响应文件必须在</w:t>
      </w:r>
      <w:r>
        <w:rPr>
          <w:rFonts w:hint="eastAsia" w:ascii="宋体" w:hAnsi="宋体" w:cs="宋体"/>
          <w:sz w:val="28"/>
          <w:szCs w:val="28"/>
          <w:u w:val="single"/>
          <w:lang w:val="zh-CN"/>
        </w:rPr>
        <w:t>202</w:t>
      </w:r>
      <w:r>
        <w:rPr>
          <w:rFonts w:hint="eastAsia" w:ascii="宋体" w:hAnsi="宋体" w:cs="宋体"/>
          <w:sz w:val="28"/>
          <w:szCs w:val="28"/>
          <w:u w:val="single"/>
        </w:rPr>
        <w:t>1</w:t>
      </w:r>
      <w:r>
        <w:rPr>
          <w:rFonts w:hint="eastAsia" w:ascii="宋体" w:hAnsi="宋体" w:cs="宋体"/>
          <w:sz w:val="28"/>
          <w:szCs w:val="28"/>
          <w:u w:val="single"/>
          <w:lang w:val="zh-CN"/>
        </w:rPr>
        <w:t>年</w:t>
      </w:r>
      <w:r>
        <w:rPr>
          <w:rFonts w:hint="eastAsia" w:ascii="宋体" w:hAnsi="宋体" w:cs="宋体"/>
          <w:sz w:val="28"/>
          <w:szCs w:val="28"/>
          <w:u w:val="single"/>
          <w:lang w:val="en-US" w:eastAsia="zh-CN"/>
        </w:rPr>
        <w:t>8</w:t>
      </w:r>
      <w:r>
        <w:rPr>
          <w:rFonts w:hint="eastAsia" w:ascii="宋体" w:hAnsi="宋体" w:cs="宋体"/>
          <w:sz w:val="28"/>
          <w:szCs w:val="28"/>
          <w:u w:val="single"/>
          <w:lang w:val="zh-CN"/>
        </w:rPr>
        <w:t>月</w:t>
      </w:r>
      <w:r>
        <w:rPr>
          <w:rFonts w:hint="eastAsia" w:ascii="宋体" w:hAnsi="宋体" w:cs="宋体"/>
          <w:sz w:val="28"/>
          <w:szCs w:val="28"/>
          <w:u w:val="single"/>
          <w:lang w:val="en-US" w:eastAsia="zh-CN"/>
        </w:rPr>
        <w:t>26</w:t>
      </w:r>
      <w:r>
        <w:rPr>
          <w:rFonts w:hint="eastAsia" w:ascii="宋体" w:hAnsi="宋体" w:cs="宋体"/>
          <w:sz w:val="28"/>
          <w:szCs w:val="28"/>
          <w:u w:val="single"/>
          <w:lang w:val="zh-CN"/>
        </w:rPr>
        <w:t>日</w:t>
      </w:r>
      <w:r>
        <w:rPr>
          <w:rFonts w:hint="eastAsia" w:ascii="宋体" w:hAnsi="宋体" w:cs="宋体"/>
          <w:sz w:val="28"/>
          <w:szCs w:val="28"/>
          <w:u w:val="single"/>
          <w:lang w:val="en-US" w:eastAsia="zh-CN"/>
        </w:rPr>
        <w:t>9:00</w:t>
      </w:r>
      <w:r>
        <w:rPr>
          <w:rFonts w:hint="eastAsia" w:ascii="宋体" w:hAnsi="宋体" w:cs="宋体"/>
          <w:sz w:val="28"/>
          <w:szCs w:val="28"/>
          <w:u w:val="single"/>
          <w:lang w:val="zh-CN"/>
        </w:rPr>
        <w:t>至</w:t>
      </w:r>
      <w:r>
        <w:rPr>
          <w:rFonts w:hint="eastAsia" w:ascii="宋体" w:hAnsi="宋体" w:cs="宋体"/>
          <w:sz w:val="28"/>
          <w:szCs w:val="28"/>
          <w:u w:val="single"/>
          <w:lang w:val="en-US" w:eastAsia="zh-CN"/>
        </w:rPr>
        <w:t>9:30</w:t>
      </w:r>
      <w:r>
        <w:rPr>
          <w:rFonts w:hint="eastAsia" w:ascii="宋体" w:hAnsi="宋体" w:cs="宋体"/>
          <w:sz w:val="28"/>
          <w:szCs w:val="28"/>
          <w:u w:val="single"/>
          <w:lang w:val="zh-CN"/>
        </w:rPr>
        <w:t>时</w:t>
      </w:r>
      <w:r>
        <w:rPr>
          <w:rFonts w:hint="eastAsia" w:ascii="宋体" w:hAnsi="宋体" w:cs="宋体"/>
          <w:sz w:val="28"/>
          <w:szCs w:val="28"/>
          <w:lang w:val="zh-CN"/>
        </w:rPr>
        <w:t>送到重庆机场信息通信网络有限公司（ITC大楼113室），过期不予受理。</w:t>
      </w:r>
    </w:p>
    <w:p>
      <w:pPr>
        <w:ind w:firstLine="560" w:firstLineChars="200"/>
        <w:rPr>
          <w:rFonts w:ascii="宋体" w:hAnsi="宋体" w:cs="宋体"/>
          <w:sz w:val="28"/>
          <w:szCs w:val="28"/>
          <w:lang w:val="zh-CN"/>
        </w:rPr>
      </w:pPr>
      <w:r>
        <w:rPr>
          <w:rFonts w:hint="eastAsia" w:ascii="宋体" w:hAnsi="宋体" w:cs="宋体"/>
          <w:sz w:val="28"/>
          <w:szCs w:val="28"/>
          <w:lang w:val="zh-CN"/>
        </w:rPr>
        <w:t>（二）</w:t>
      </w:r>
      <w:r>
        <w:rPr>
          <w:rFonts w:hint="eastAsia" w:ascii="宋体" w:hAnsi="宋体" w:cs="宋体"/>
          <w:sz w:val="28"/>
          <w:szCs w:val="28"/>
          <w:u w:val="single"/>
          <w:lang w:val="zh-CN"/>
        </w:rPr>
        <w:t>2</w:t>
      </w:r>
      <w:r>
        <w:rPr>
          <w:rFonts w:hint="eastAsia" w:ascii="宋体" w:hAnsi="宋体" w:cs="宋体"/>
          <w:sz w:val="28"/>
          <w:szCs w:val="28"/>
          <w:u w:val="single"/>
        </w:rPr>
        <w:t>021</w:t>
      </w:r>
      <w:r>
        <w:rPr>
          <w:rFonts w:hint="eastAsia" w:ascii="宋体" w:hAnsi="宋体" w:cs="宋体"/>
          <w:sz w:val="28"/>
          <w:szCs w:val="28"/>
          <w:u w:val="single"/>
          <w:lang w:val="zh-CN"/>
        </w:rPr>
        <w:t>年</w:t>
      </w:r>
      <w:r>
        <w:rPr>
          <w:rFonts w:hint="eastAsia" w:ascii="宋体" w:hAnsi="宋体" w:cs="宋体"/>
          <w:sz w:val="28"/>
          <w:szCs w:val="28"/>
          <w:u w:val="single"/>
          <w:lang w:val="en-US" w:eastAsia="zh-CN"/>
        </w:rPr>
        <w:t>8</w:t>
      </w:r>
      <w:r>
        <w:rPr>
          <w:rFonts w:hint="eastAsia" w:ascii="宋体" w:hAnsi="宋体" w:cs="宋体"/>
          <w:sz w:val="28"/>
          <w:szCs w:val="28"/>
          <w:u w:val="single"/>
          <w:lang w:val="zh-CN"/>
        </w:rPr>
        <w:t>月</w:t>
      </w:r>
      <w:r>
        <w:rPr>
          <w:rFonts w:hint="eastAsia" w:ascii="宋体" w:hAnsi="宋体" w:cs="宋体"/>
          <w:sz w:val="28"/>
          <w:szCs w:val="28"/>
          <w:u w:val="single"/>
          <w:lang w:val="en-US" w:eastAsia="zh-CN"/>
        </w:rPr>
        <w:t>26</w:t>
      </w:r>
      <w:r>
        <w:rPr>
          <w:rFonts w:hint="eastAsia" w:ascii="宋体" w:hAnsi="宋体" w:cs="宋体"/>
          <w:sz w:val="28"/>
          <w:szCs w:val="28"/>
          <w:u w:val="single"/>
          <w:lang w:val="zh-CN"/>
        </w:rPr>
        <w:t>日</w:t>
      </w:r>
      <w:r>
        <w:rPr>
          <w:rFonts w:hint="eastAsia" w:ascii="宋体" w:hAnsi="宋体" w:cs="宋体"/>
          <w:sz w:val="28"/>
          <w:szCs w:val="28"/>
          <w:u w:val="single"/>
          <w:lang w:val="en-US" w:eastAsia="zh-CN"/>
        </w:rPr>
        <w:t>9:30</w:t>
      </w:r>
      <w:r>
        <w:rPr>
          <w:rFonts w:hint="eastAsia" w:ascii="宋体" w:hAnsi="宋体" w:cs="宋体"/>
          <w:sz w:val="28"/>
          <w:szCs w:val="28"/>
          <w:u w:val="single"/>
          <w:lang w:val="zh-CN"/>
        </w:rPr>
        <w:t>时</w:t>
      </w:r>
      <w:r>
        <w:rPr>
          <w:rFonts w:hint="eastAsia" w:ascii="宋体" w:hAnsi="宋体" w:cs="宋体"/>
          <w:sz w:val="28"/>
          <w:szCs w:val="28"/>
          <w:lang w:val="zh-CN"/>
        </w:rPr>
        <w:t>在重庆机场信息通信网络有限公司对本项目进行比选，各比选响应方须参加。注：比选开始前，各比选响应人须在重庆机场信息通信网络有限公司办公楼113室等候通知具体比选地点。</w:t>
      </w:r>
    </w:p>
    <w:p>
      <w:pPr>
        <w:ind w:firstLine="560" w:firstLineChars="200"/>
        <w:rPr>
          <w:rFonts w:ascii="宋体" w:hAnsi="宋体" w:cs="宋体"/>
          <w:sz w:val="28"/>
          <w:szCs w:val="28"/>
          <w:lang w:val="zh-CN"/>
        </w:rPr>
      </w:pPr>
      <w:r>
        <w:rPr>
          <w:rFonts w:hint="eastAsia" w:ascii="宋体" w:hAnsi="宋体" w:cs="宋体"/>
          <w:sz w:val="28"/>
          <w:szCs w:val="28"/>
          <w:lang w:val="zh-CN"/>
        </w:rPr>
        <w:t>（三）参加比选唱价会议的比选响应人的法定代表人或其授权的代理人应当随身携带本人身份证（原件），授权的代理人还应当随身携带法定代表人授权委托书（原件），以备核验其合法身份。</w:t>
      </w:r>
    </w:p>
    <w:p>
      <w:pPr>
        <w:ind w:firstLine="560" w:firstLineChars="200"/>
        <w:rPr>
          <w:rFonts w:ascii="宋体" w:hAnsi="宋体" w:cs="宋体"/>
          <w:sz w:val="28"/>
          <w:szCs w:val="28"/>
          <w:lang w:val="zh-CN"/>
        </w:rPr>
      </w:pPr>
      <w:r>
        <w:rPr>
          <w:rFonts w:hint="eastAsia" w:ascii="宋体" w:hAnsi="宋体" w:cs="宋体"/>
          <w:sz w:val="28"/>
          <w:szCs w:val="28"/>
          <w:lang w:val="zh-CN"/>
        </w:rPr>
        <w:t>比选响应人若未派法定代表人或委托代理人出席比选唱价会议，视为该比选响应人默认比选唱价结果。</w:t>
      </w:r>
    </w:p>
    <w:p>
      <w:pPr>
        <w:ind w:firstLine="560" w:firstLineChars="200"/>
        <w:rPr>
          <w:rFonts w:ascii="宋体" w:hAnsi="宋体" w:cs="宋体"/>
          <w:sz w:val="28"/>
          <w:szCs w:val="28"/>
          <w:lang w:val="zh-CN"/>
        </w:rPr>
      </w:pPr>
      <w:r>
        <w:rPr>
          <w:rFonts w:hint="eastAsia" w:ascii="宋体" w:hAnsi="宋体" w:cs="宋体"/>
          <w:sz w:val="28"/>
          <w:szCs w:val="28"/>
          <w:lang w:val="zh-CN"/>
        </w:rPr>
        <w:t>（四）比选结果通知：待结果确定后会及时通知，原则上只通知被选中的比选响应人，对未被选中的比选响应人不通知、不解释。</w:t>
      </w:r>
    </w:p>
    <w:p>
      <w:pPr>
        <w:spacing w:line="600" w:lineRule="exact"/>
        <w:ind w:firstLine="562" w:firstLineChars="200"/>
        <w:rPr>
          <w:rFonts w:ascii="宋体" w:hAnsi="宋体" w:cs="宋体"/>
          <w:b/>
          <w:bCs/>
          <w:kern w:val="0"/>
          <w:sz w:val="28"/>
          <w:szCs w:val="28"/>
        </w:rPr>
      </w:pPr>
      <w:r>
        <w:rPr>
          <w:rFonts w:hint="eastAsia" w:ascii="宋体" w:hAnsi="宋体" w:cs="宋体"/>
          <w:b/>
          <w:bCs/>
          <w:kern w:val="0"/>
          <w:sz w:val="28"/>
          <w:szCs w:val="28"/>
        </w:rPr>
        <w:t>十五、联系方式</w:t>
      </w:r>
    </w:p>
    <w:p>
      <w:pPr>
        <w:ind w:firstLine="560" w:firstLineChars="200"/>
        <w:rPr>
          <w:rFonts w:ascii="宋体" w:hAnsi="宋体" w:cs="宋体"/>
          <w:sz w:val="28"/>
          <w:szCs w:val="28"/>
          <w:lang w:val="zh-CN"/>
        </w:rPr>
      </w:pPr>
      <w:r>
        <w:rPr>
          <w:rFonts w:hint="eastAsia" w:ascii="宋体" w:hAnsi="宋体" w:cs="宋体"/>
          <w:sz w:val="28"/>
          <w:szCs w:val="28"/>
          <w:lang w:val="zh-CN"/>
        </w:rPr>
        <w:t>业主：重庆机场信息通信网络有限公司</w:t>
      </w:r>
    </w:p>
    <w:p>
      <w:pPr>
        <w:ind w:firstLine="560" w:firstLineChars="200"/>
        <w:rPr>
          <w:rFonts w:ascii="宋体" w:hAnsi="宋体" w:cs="宋体"/>
          <w:sz w:val="28"/>
          <w:szCs w:val="28"/>
          <w:lang w:val="zh-CN"/>
        </w:rPr>
      </w:pPr>
      <w:r>
        <w:rPr>
          <w:rFonts w:hint="eastAsia" w:ascii="宋体" w:hAnsi="宋体" w:cs="宋体"/>
          <w:sz w:val="28"/>
          <w:szCs w:val="28"/>
          <w:lang w:val="zh-CN"/>
        </w:rPr>
        <w:t xml:space="preserve">联系人：毛先生 </w:t>
      </w:r>
    </w:p>
    <w:p>
      <w:pPr>
        <w:ind w:firstLine="560" w:firstLineChars="200"/>
        <w:rPr>
          <w:rFonts w:ascii="宋体" w:hAnsi="宋体" w:cs="宋体"/>
          <w:sz w:val="28"/>
          <w:szCs w:val="28"/>
          <w:lang w:val="zh-CN"/>
        </w:rPr>
      </w:pPr>
      <w:r>
        <w:rPr>
          <w:rFonts w:hint="eastAsia" w:ascii="宋体" w:hAnsi="宋体" w:cs="宋体"/>
          <w:sz w:val="28"/>
          <w:szCs w:val="28"/>
          <w:lang w:val="zh-CN"/>
        </w:rPr>
        <w:t>电话：（023）88869329</w:t>
      </w:r>
    </w:p>
    <w:p>
      <w:pPr>
        <w:ind w:firstLine="560" w:firstLineChars="200"/>
        <w:rPr>
          <w:rFonts w:ascii="宋体" w:hAnsi="宋体" w:cs="宋体"/>
          <w:sz w:val="28"/>
          <w:szCs w:val="28"/>
        </w:rPr>
      </w:pPr>
      <w:r>
        <w:rPr>
          <w:rFonts w:hint="eastAsia" w:ascii="宋体" w:hAnsi="宋体" w:cs="宋体"/>
          <w:sz w:val="28"/>
          <w:szCs w:val="28"/>
          <w:lang w:val="zh-CN"/>
        </w:rPr>
        <w:t>邮编：401120</w:t>
      </w:r>
    </w:p>
    <w:p>
      <w:pPr>
        <w:spacing w:line="600" w:lineRule="exact"/>
        <w:rPr>
          <w:rFonts w:ascii="宋体" w:hAnsi="宋体" w:cs="宋体"/>
          <w:kern w:val="0"/>
          <w:sz w:val="28"/>
          <w:szCs w:val="28"/>
        </w:rPr>
        <w:sectPr>
          <w:headerReference r:id="rId4" w:type="default"/>
          <w:footerReference r:id="rId5" w:type="default"/>
          <w:pgSz w:w="11900" w:h="16840"/>
          <w:pgMar w:top="1417" w:right="1417" w:bottom="1417" w:left="1417" w:header="851" w:footer="992" w:gutter="0"/>
          <w:cols w:space="720" w:num="1"/>
          <w:docGrid w:type="lines" w:linePitch="312" w:charSpace="0"/>
        </w:sectPr>
      </w:pPr>
    </w:p>
    <w:p>
      <w:pPr>
        <w:rPr>
          <w:rFonts w:ascii="宋体" w:hAnsi="宋体" w:cs="宋体"/>
          <w:b/>
          <w:bCs/>
          <w:sz w:val="28"/>
          <w:szCs w:val="28"/>
        </w:rPr>
      </w:pPr>
      <w:bookmarkStart w:id="1" w:name="_Toc7127890"/>
      <w:r>
        <w:rPr>
          <w:rFonts w:hint="eastAsia" w:ascii="宋体" w:hAnsi="宋体" w:cs="宋体"/>
          <w:b/>
          <w:bCs/>
          <w:sz w:val="28"/>
          <w:szCs w:val="28"/>
        </w:rPr>
        <w:t>附件1：</w:t>
      </w:r>
    </w:p>
    <w:p>
      <w:pPr>
        <w:pStyle w:val="4"/>
        <w:ind w:firstLine="643"/>
        <w:jc w:val="center"/>
        <w:rPr>
          <w:rFonts w:ascii="宋体" w:hAnsi="宋体" w:eastAsia="宋体" w:cs="宋体"/>
          <w:b/>
          <w:bCs/>
          <w:szCs w:val="32"/>
        </w:rPr>
      </w:pPr>
    </w:p>
    <w:p>
      <w:pPr>
        <w:pStyle w:val="4"/>
        <w:ind w:firstLine="643"/>
        <w:jc w:val="center"/>
        <w:rPr>
          <w:rFonts w:ascii="宋体" w:hAnsi="宋体" w:eastAsia="宋体" w:cs="宋体"/>
          <w:b/>
          <w:bCs/>
          <w:szCs w:val="32"/>
        </w:rPr>
      </w:pPr>
    </w:p>
    <w:p>
      <w:pPr>
        <w:pStyle w:val="4"/>
        <w:ind w:firstLine="643"/>
        <w:jc w:val="center"/>
        <w:rPr>
          <w:rFonts w:ascii="宋体" w:hAnsi="宋体" w:eastAsia="宋体" w:cs="宋体"/>
          <w:b/>
          <w:bCs/>
          <w:szCs w:val="32"/>
        </w:rPr>
      </w:pPr>
    </w:p>
    <w:p>
      <w:pPr>
        <w:pStyle w:val="4"/>
        <w:ind w:firstLine="643"/>
        <w:jc w:val="center"/>
        <w:rPr>
          <w:rFonts w:ascii="宋体" w:hAnsi="宋体" w:eastAsia="宋体" w:cs="宋体"/>
          <w:b/>
          <w:bCs/>
          <w:szCs w:val="32"/>
        </w:rPr>
      </w:pPr>
    </w:p>
    <w:p>
      <w:pPr>
        <w:pStyle w:val="4"/>
        <w:ind w:firstLine="1044"/>
        <w:jc w:val="center"/>
        <w:rPr>
          <w:rFonts w:ascii="宋体" w:hAnsi="宋体" w:eastAsia="宋体" w:cs="宋体"/>
          <w:b/>
          <w:bCs/>
          <w:szCs w:val="32"/>
        </w:rPr>
        <w:sectPr>
          <w:pgSz w:w="11900" w:h="16840"/>
          <w:pgMar w:top="1417" w:right="1417" w:bottom="1417" w:left="1417" w:header="851" w:footer="992" w:gutter="0"/>
          <w:cols w:space="720" w:num="1"/>
          <w:docGrid w:type="lines" w:linePitch="312" w:charSpace="0"/>
        </w:sectPr>
      </w:pPr>
      <w:bookmarkStart w:id="2" w:name="_Toc31548"/>
      <w:r>
        <w:rPr>
          <w:rFonts w:hint="eastAsia" w:ascii="宋体" w:hAnsi="宋体" w:eastAsia="宋体" w:cs="宋体"/>
          <w:b/>
          <w:bCs/>
          <w:sz w:val="52"/>
          <w:szCs w:val="52"/>
        </w:rPr>
        <w:t>资 质 部 分</w:t>
      </w:r>
      <w:bookmarkEnd w:id="1"/>
      <w:bookmarkEnd w:id="2"/>
    </w:p>
    <w:p>
      <w:pPr>
        <w:jc w:val="center"/>
        <w:rPr>
          <w:rFonts w:ascii="宋体" w:hAnsi="宋体" w:cs="宋体"/>
          <w:b/>
          <w:sz w:val="28"/>
          <w:szCs w:val="28"/>
        </w:rPr>
      </w:pPr>
      <w:r>
        <w:rPr>
          <w:rFonts w:hint="eastAsia" w:ascii="宋体" w:hAnsi="宋体" w:cs="宋体"/>
          <w:b/>
          <w:sz w:val="28"/>
          <w:szCs w:val="28"/>
        </w:rPr>
        <w:t>1、法定代表人身份证明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比选人名称：</w:t>
      </w:r>
      <w:r>
        <w:rPr>
          <w:rFonts w:hint="eastAsia" w:ascii="宋体" w:hAnsi="宋体" w:cs="宋体"/>
          <w:kern w:val="0"/>
          <w:sz w:val="28"/>
          <w:szCs w:val="28"/>
          <w:u w:val="single"/>
        </w:rPr>
        <w:tab/>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单位性质：</w:t>
      </w:r>
      <w:r>
        <w:rPr>
          <w:rFonts w:hint="eastAsia" w:ascii="宋体" w:hAnsi="宋体" w:cs="宋体"/>
          <w:kern w:val="0"/>
          <w:sz w:val="28"/>
          <w:szCs w:val="28"/>
          <w:u w:val="single"/>
        </w:rPr>
        <w:tab/>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地址：</w:t>
      </w:r>
      <w:r>
        <w:rPr>
          <w:rFonts w:hint="eastAsia" w:ascii="宋体" w:hAnsi="宋体" w:cs="宋体"/>
          <w:kern w:val="0"/>
          <w:sz w:val="28"/>
          <w:szCs w:val="28"/>
          <w:u w:val="single"/>
        </w:rPr>
        <w:tab/>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成立时间：</w:t>
      </w:r>
      <w:r>
        <w:rPr>
          <w:rFonts w:hint="eastAsia" w:ascii="宋体" w:hAnsi="宋体" w:cs="宋体"/>
          <w:kern w:val="0"/>
          <w:sz w:val="28"/>
          <w:szCs w:val="28"/>
          <w:u w:val="single"/>
        </w:rPr>
        <w:tab/>
      </w:r>
      <w:r>
        <w:rPr>
          <w:rFonts w:hint="eastAsia" w:ascii="宋体" w:hAnsi="宋体" w:cs="宋体"/>
          <w:spacing w:val="-1"/>
          <w:kern w:val="0"/>
          <w:sz w:val="28"/>
          <w:szCs w:val="28"/>
        </w:rPr>
        <w:t>年</w:t>
      </w:r>
      <w:r>
        <w:rPr>
          <w:rFonts w:hint="eastAsia" w:ascii="宋体" w:hAnsi="宋体" w:cs="宋体"/>
          <w:kern w:val="0"/>
          <w:sz w:val="28"/>
          <w:szCs w:val="28"/>
          <w:u w:val="single"/>
        </w:rPr>
        <w:tab/>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经营期限：</w:t>
      </w:r>
      <w:r>
        <w:rPr>
          <w:rFonts w:hint="eastAsia" w:ascii="宋体" w:hAnsi="宋体" w:cs="宋体"/>
          <w:kern w:val="0"/>
          <w:sz w:val="28"/>
          <w:szCs w:val="28"/>
          <w:u w:val="single"/>
        </w:rPr>
        <w:tab/>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职务：</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rPr>
        <w:t>（比选人名称）的法定代表人。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5460"/>
        </w:tabs>
        <w:autoSpaceDE w:val="0"/>
        <w:autoSpaceDN w:val="0"/>
        <w:adjustRightInd w:val="0"/>
        <w:snapToGrid w:val="0"/>
        <w:spacing w:line="360" w:lineRule="auto"/>
        <w:ind w:firstLine="2100"/>
        <w:jc w:val="left"/>
        <w:rPr>
          <w:rFonts w:ascii="宋体" w:hAnsi="宋体" w:cs="宋体"/>
          <w:kern w:val="0"/>
          <w:sz w:val="28"/>
          <w:szCs w:val="28"/>
        </w:rPr>
      </w:pPr>
      <w:r>
        <w:rPr>
          <w:rFonts w:hint="eastAsia" w:ascii="宋体" w:hAnsi="宋体" w:cs="宋体"/>
          <w:kern w:val="0"/>
          <w:sz w:val="28"/>
          <w:szCs w:val="28"/>
        </w:rPr>
        <w:t>比选人：</w:t>
      </w:r>
      <w:r>
        <w:rPr>
          <w:rFonts w:hint="eastAsia" w:ascii="宋体" w:hAnsi="宋体" w:cs="宋体"/>
          <w:kern w:val="0"/>
          <w:sz w:val="28"/>
          <w:szCs w:val="28"/>
          <w:u w:val="single"/>
        </w:rPr>
        <w:tab/>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kern w:val="0"/>
          <w:sz w:val="28"/>
          <w:szCs w:val="28"/>
        </w:rPr>
      </w:pPr>
      <w:r>
        <w:rPr>
          <w:rFonts w:hint="eastAsia" w:ascii="宋体" w:hAnsi="宋体" w:cs="宋体"/>
          <w:kern w:val="0"/>
          <w:sz w:val="28"/>
          <w:szCs w:val="28"/>
          <w:u w:val="single"/>
        </w:rPr>
        <w:tab/>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b/>
          <w:bCs/>
          <w:sz w:val="28"/>
          <w:szCs w:val="28"/>
        </w:rPr>
      </w:pPr>
      <w:r>
        <w:rPr>
          <w:rFonts w:hint="eastAsia" w:ascii="宋体" w:hAnsi="宋体" w:cs="宋体"/>
          <w:b/>
          <w:bCs/>
          <w:kern w:val="0"/>
          <w:sz w:val="28"/>
          <w:szCs w:val="28"/>
        </w:rPr>
        <w:t>附法定代表人身份证复印件</w:t>
      </w:r>
    </w:p>
    <w:p>
      <w:pPr>
        <w:pStyle w:val="5"/>
        <w:rPr>
          <w:rFonts w:ascii="宋体" w:hAnsi="宋体" w:cs="宋体"/>
          <w:color w:val="auto"/>
          <w:lang w:val="en-US"/>
        </w:rPr>
        <w:sectPr>
          <w:pgSz w:w="11900" w:h="16840"/>
          <w:pgMar w:top="1417" w:right="1417" w:bottom="1417" w:left="1417" w:header="851" w:footer="992" w:gutter="0"/>
          <w:cols w:space="720" w:num="1"/>
          <w:docGrid w:type="lines" w:linePitch="312" w:charSpace="0"/>
        </w:sectPr>
      </w:pPr>
    </w:p>
    <w:p>
      <w:pPr>
        <w:jc w:val="center"/>
        <w:rPr>
          <w:rFonts w:ascii="宋体" w:hAnsi="宋体" w:cs="宋体"/>
          <w:b/>
          <w:sz w:val="28"/>
          <w:szCs w:val="28"/>
        </w:rPr>
      </w:pPr>
      <w:r>
        <w:rPr>
          <w:rFonts w:hint="eastAsia" w:ascii="宋体" w:hAnsi="宋体" w:cs="宋体"/>
          <w:b/>
          <w:sz w:val="28"/>
          <w:szCs w:val="28"/>
        </w:rPr>
        <w:t>2、法人代表授权书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宋体" w:hAnsi="宋体" w:cs="宋体"/>
          <w:kern w:val="0"/>
          <w:sz w:val="28"/>
          <w:szCs w:val="28"/>
        </w:rPr>
        <w:t>比选</w:t>
      </w:r>
      <w:r>
        <w:rPr>
          <w:rFonts w:hint="eastAsia" w:ascii="宋体" w:hAnsi="宋体" w:cs="宋体"/>
          <w:sz w:val="28"/>
          <w:szCs w:val="28"/>
        </w:rPr>
        <w:t>活动中，以我单位的名义签署比选响应文件，与业主协商、签定合同协议书以及执行一切与此有关的事务。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比选响应单位：____________（盖章）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授权人：____________（签章）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被授权人代理人：____________（签章）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日期：    年   月   日</w:t>
      </w:r>
    </w:p>
    <w:p>
      <w:pPr>
        <w:spacing w:line="480" w:lineRule="auto"/>
        <w:rPr>
          <w:rFonts w:ascii="宋体" w:hAnsi="宋体" w:cs="宋体"/>
        </w:rPr>
      </w:pPr>
    </w:p>
    <w:p>
      <w:pPr>
        <w:snapToGrid w:val="0"/>
        <w:spacing w:line="360" w:lineRule="auto"/>
        <w:rPr>
          <w:rFonts w:ascii="宋体" w:hAnsi="宋体" w:cs="宋体"/>
          <w:b/>
          <w:bCs/>
          <w:sz w:val="28"/>
          <w:szCs w:val="28"/>
        </w:rPr>
      </w:pPr>
      <w:r>
        <w:rPr>
          <w:rFonts w:hint="eastAsia" w:ascii="宋体" w:hAnsi="宋体" w:cs="宋体"/>
          <w:b/>
          <w:bCs/>
          <w:sz w:val="28"/>
          <w:szCs w:val="28"/>
        </w:rPr>
        <w:t>附被授权人代理人身份证复印件</w:t>
      </w:r>
    </w:p>
    <w:p>
      <w:pPr>
        <w:rPr>
          <w:rFonts w:ascii="宋体" w:hAnsi="宋体" w:cs="宋体"/>
        </w:rPr>
        <w:sectPr>
          <w:pgSz w:w="11900" w:h="16840"/>
          <w:pgMar w:top="1417" w:right="1417" w:bottom="1417" w:left="1417" w:header="851" w:footer="992" w:gutter="0"/>
          <w:cols w:space="720" w:num="1"/>
          <w:docGrid w:type="lines" w:linePitch="312" w:charSpace="0"/>
        </w:sectPr>
      </w:pPr>
    </w:p>
    <w:p>
      <w:pPr>
        <w:jc w:val="left"/>
        <w:rPr>
          <w:rFonts w:ascii="宋体" w:hAnsi="宋体" w:cs="宋体"/>
          <w:b/>
          <w:sz w:val="28"/>
          <w:szCs w:val="28"/>
        </w:rPr>
      </w:pPr>
      <w:r>
        <w:rPr>
          <w:rFonts w:hint="eastAsia" w:ascii="宋体" w:hAnsi="宋体" w:cs="宋体"/>
          <w:b/>
          <w:sz w:val="28"/>
          <w:szCs w:val="28"/>
        </w:rPr>
        <w:t>3、资质证书、营业执照</w:t>
      </w:r>
    </w:p>
    <w:p>
      <w:pPr>
        <w:jc w:val="center"/>
        <w:rPr>
          <w:rFonts w:ascii="宋体" w:hAnsi="宋体" w:cs="宋体"/>
          <w:b/>
          <w:sz w:val="28"/>
          <w:szCs w:val="28"/>
        </w:rPr>
        <w:sectPr>
          <w:pgSz w:w="11900" w:h="16840"/>
          <w:pgMar w:top="1417" w:right="1417" w:bottom="1417" w:left="1417" w:header="851" w:footer="992" w:gutter="0"/>
          <w:cols w:space="720" w:num="1"/>
          <w:docGrid w:type="lines" w:linePitch="312" w:charSpace="0"/>
        </w:sectPr>
      </w:pPr>
      <w:r>
        <w:rPr>
          <w:rFonts w:hint="eastAsia" w:ascii="宋体" w:hAnsi="宋体" w:cs="宋体"/>
          <w:b/>
          <w:sz w:val="28"/>
          <w:szCs w:val="28"/>
        </w:rPr>
        <w:t>（格式自拟，加盖鲜章）</w:t>
      </w:r>
    </w:p>
    <w:p>
      <w:pPr>
        <w:rPr>
          <w:rFonts w:ascii="宋体" w:hAnsi="宋体" w:cs="宋体"/>
          <w:b/>
          <w:sz w:val="28"/>
          <w:szCs w:val="28"/>
        </w:rPr>
      </w:pPr>
      <w:r>
        <w:rPr>
          <w:rFonts w:hint="eastAsia" w:ascii="宋体" w:hAnsi="宋体" w:cs="宋体"/>
          <w:b/>
          <w:sz w:val="28"/>
          <w:szCs w:val="28"/>
        </w:rPr>
        <w:t>4、承诺函</w:t>
      </w:r>
    </w:p>
    <w:p>
      <w:pPr>
        <w:jc w:val="center"/>
        <w:rPr>
          <w:rFonts w:ascii="宋体" w:hAnsi="宋体" w:cs="宋体"/>
          <w:b/>
          <w:sz w:val="28"/>
          <w:szCs w:val="28"/>
        </w:rPr>
      </w:pPr>
      <w:r>
        <w:rPr>
          <w:rFonts w:hint="eastAsia" w:ascii="宋体" w:hAnsi="宋体" w:cs="宋体"/>
          <w:b/>
          <w:sz w:val="28"/>
          <w:szCs w:val="28"/>
        </w:rPr>
        <w:t>承 诺 函</w:t>
      </w:r>
    </w:p>
    <w:p>
      <w:pPr>
        <w:pStyle w:val="5"/>
        <w:rPr>
          <w:rFonts w:ascii="宋体" w:hAnsi="宋体" w:cs="宋体"/>
          <w:color w:val="auto"/>
          <w:lang w:val="en-US"/>
        </w:rPr>
      </w:pPr>
    </w:p>
    <w:p>
      <w:pPr>
        <w:ind w:firstLine="562" w:firstLineChars="200"/>
        <w:rPr>
          <w:rFonts w:ascii="宋体" w:hAnsi="宋体" w:cs="宋体"/>
          <w:b/>
          <w:bCs/>
          <w:sz w:val="28"/>
          <w:szCs w:val="28"/>
        </w:rPr>
      </w:pPr>
      <w:r>
        <w:rPr>
          <w:rFonts w:hint="eastAsia" w:ascii="宋体" w:hAnsi="宋体" w:cs="宋体"/>
          <w:b/>
          <w:bCs/>
          <w:sz w:val="28"/>
          <w:szCs w:val="28"/>
        </w:rPr>
        <w:t>我单位在参加重庆机场信息通信网络公司小型弱电工程建设供应商库入库遴选项目的比选活动中，郑重承诺如下：</w:t>
      </w:r>
    </w:p>
    <w:p>
      <w:pPr>
        <w:ind w:firstLine="562" w:firstLineChars="200"/>
        <w:rPr>
          <w:rFonts w:ascii="宋体" w:hAnsi="宋体" w:cs="宋体"/>
          <w:b/>
          <w:bCs/>
          <w:sz w:val="28"/>
          <w:szCs w:val="28"/>
        </w:rPr>
      </w:pPr>
      <w:r>
        <w:rPr>
          <w:rFonts w:hint="eastAsia" w:ascii="宋体" w:hAnsi="宋体" w:cs="宋体"/>
          <w:b/>
          <w:bCs/>
          <w:sz w:val="28"/>
          <w:szCs w:val="28"/>
        </w:rPr>
        <w:t>2019年1月1日至今投标人或其法定代表人、拟委任的项目负责人无行贿犯罪行为。</w:t>
      </w:r>
    </w:p>
    <w:p>
      <w:pPr>
        <w:spacing w:line="360" w:lineRule="auto"/>
        <w:jc w:val="center"/>
        <w:rPr>
          <w:rFonts w:ascii="宋体" w:hAnsi="宋体" w:cs="宋体"/>
          <w:bCs/>
          <w:sz w:val="28"/>
          <w:szCs w:val="28"/>
          <w:u w:val="single"/>
        </w:rPr>
      </w:pPr>
    </w:p>
    <w:p>
      <w:pPr>
        <w:spacing w:line="360" w:lineRule="auto"/>
        <w:ind w:firstLine="2240" w:firstLineChars="800"/>
        <w:jc w:val="left"/>
        <w:rPr>
          <w:rFonts w:ascii="宋体" w:hAnsi="宋体" w:cs="宋体"/>
          <w:bCs/>
          <w:sz w:val="28"/>
          <w:szCs w:val="28"/>
        </w:rPr>
      </w:pPr>
    </w:p>
    <w:p>
      <w:pPr>
        <w:spacing w:line="360" w:lineRule="auto"/>
        <w:ind w:firstLine="2240" w:firstLineChars="800"/>
        <w:jc w:val="left"/>
        <w:rPr>
          <w:rFonts w:ascii="宋体" w:hAnsi="宋体" w:cs="宋体"/>
          <w:bCs/>
          <w:sz w:val="28"/>
          <w:szCs w:val="28"/>
        </w:rPr>
      </w:pPr>
    </w:p>
    <w:p>
      <w:pPr>
        <w:spacing w:line="360" w:lineRule="auto"/>
        <w:ind w:firstLine="2240" w:firstLineChars="800"/>
        <w:jc w:val="left"/>
        <w:rPr>
          <w:rFonts w:ascii="宋体" w:hAnsi="宋体" w:cs="宋体"/>
          <w:bCs/>
          <w:sz w:val="28"/>
          <w:szCs w:val="28"/>
        </w:rPr>
      </w:pPr>
    </w:p>
    <w:p>
      <w:pPr>
        <w:spacing w:line="360" w:lineRule="auto"/>
        <w:ind w:firstLine="2240" w:firstLineChars="800"/>
        <w:jc w:val="left"/>
        <w:rPr>
          <w:rFonts w:ascii="宋体" w:hAnsi="宋体" w:cs="宋体"/>
          <w:bCs/>
          <w:sz w:val="28"/>
          <w:szCs w:val="28"/>
        </w:rPr>
      </w:pPr>
    </w:p>
    <w:p>
      <w:pPr>
        <w:pStyle w:val="5"/>
        <w:rPr>
          <w:rFonts w:ascii="宋体" w:hAnsi="宋体" w:cs="宋体"/>
          <w:color w:val="auto"/>
        </w:rPr>
      </w:pPr>
    </w:p>
    <w:p>
      <w:pPr>
        <w:spacing w:line="360" w:lineRule="auto"/>
        <w:ind w:firstLine="2240" w:firstLineChars="800"/>
        <w:jc w:val="left"/>
        <w:rPr>
          <w:rFonts w:ascii="宋体" w:hAnsi="宋体" w:cs="宋体"/>
          <w:bCs/>
          <w:sz w:val="28"/>
          <w:szCs w:val="28"/>
        </w:rPr>
      </w:pPr>
    </w:p>
    <w:p>
      <w:pPr>
        <w:spacing w:line="360" w:lineRule="auto"/>
        <w:ind w:firstLine="2240" w:firstLineChars="800"/>
        <w:jc w:val="left"/>
        <w:rPr>
          <w:rFonts w:ascii="宋体" w:hAnsi="宋体" w:cs="宋体"/>
          <w:bCs/>
          <w:sz w:val="28"/>
          <w:szCs w:val="28"/>
          <w:u w:val="single"/>
        </w:rPr>
      </w:pPr>
      <w:r>
        <w:rPr>
          <w:rFonts w:hint="eastAsia" w:ascii="宋体" w:hAnsi="宋体" w:cs="宋体"/>
          <w:bCs/>
          <w:sz w:val="28"/>
          <w:szCs w:val="28"/>
        </w:rPr>
        <w:t>响应人名称：（盖公章）</w:t>
      </w:r>
      <w:r>
        <w:rPr>
          <w:rFonts w:hint="eastAsia" w:ascii="宋体" w:hAnsi="宋体" w:cs="宋体"/>
          <w:bCs/>
          <w:sz w:val="28"/>
          <w:szCs w:val="28"/>
          <w:u w:val="single"/>
        </w:rPr>
        <w:t xml:space="preserve">                </w:t>
      </w:r>
    </w:p>
    <w:p>
      <w:pPr>
        <w:pStyle w:val="5"/>
        <w:ind w:firstLine="2240" w:firstLineChars="800"/>
        <w:rPr>
          <w:rFonts w:ascii="宋体" w:hAnsi="宋体" w:cs="宋体"/>
          <w:color w:val="auto"/>
          <w:u w:val="single"/>
          <w:lang w:val="en-US"/>
        </w:rPr>
      </w:pPr>
      <w:bookmarkStart w:id="3" w:name="_Toc28477"/>
      <w:r>
        <w:rPr>
          <w:rFonts w:hint="eastAsia" w:ascii="宋体" w:hAnsi="宋体" w:cs="宋体"/>
          <w:b w:val="0"/>
          <w:color w:val="auto"/>
          <w:lang w:val="en-US"/>
        </w:rPr>
        <w:t>法定代表人（或授权代理人）：</w:t>
      </w:r>
      <w:bookmarkEnd w:id="3"/>
      <w:r>
        <w:rPr>
          <w:rFonts w:hint="eastAsia" w:ascii="宋体" w:hAnsi="宋体" w:cs="宋体"/>
          <w:b w:val="0"/>
          <w:color w:val="auto"/>
          <w:u w:val="single"/>
          <w:lang w:val="en-US"/>
        </w:rPr>
        <w:t xml:space="preserve">         </w:t>
      </w:r>
      <w:r>
        <w:rPr>
          <w:rFonts w:hint="eastAsia" w:ascii="宋体" w:hAnsi="宋体" w:cs="宋体"/>
          <w:color w:val="auto"/>
          <w:u w:val="single"/>
          <w:lang w:val="en-US"/>
        </w:rPr>
        <w:t xml:space="preserve"> </w:t>
      </w:r>
    </w:p>
    <w:p>
      <w:pPr>
        <w:ind w:firstLine="2240" w:firstLineChars="800"/>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 xml:space="preserve"> 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 日</w:t>
      </w:r>
    </w:p>
    <w:p>
      <w:pPr>
        <w:jc w:val="left"/>
        <w:rPr>
          <w:rFonts w:ascii="宋体" w:hAnsi="宋体" w:cs="宋体"/>
          <w:b/>
          <w:sz w:val="28"/>
          <w:szCs w:val="28"/>
        </w:rPr>
      </w:pPr>
    </w:p>
    <w:p>
      <w:pPr>
        <w:pStyle w:val="5"/>
        <w:rPr>
          <w:rFonts w:ascii="宋体" w:hAnsi="宋体" w:cs="宋体"/>
          <w:color w:val="auto"/>
          <w:lang w:val="en-US"/>
        </w:rPr>
      </w:pPr>
    </w:p>
    <w:p>
      <w:pPr>
        <w:rPr>
          <w:rFonts w:ascii="宋体" w:hAnsi="宋体" w:cs="宋体"/>
          <w:b/>
          <w:sz w:val="28"/>
          <w:szCs w:val="28"/>
        </w:rPr>
      </w:pPr>
    </w:p>
    <w:p>
      <w:pPr>
        <w:pStyle w:val="5"/>
        <w:rPr>
          <w:rFonts w:ascii="宋体" w:hAnsi="宋体" w:cs="宋体"/>
          <w:color w:val="auto"/>
          <w:lang w:val="en-US"/>
        </w:rPr>
      </w:pPr>
    </w:p>
    <w:p>
      <w:pPr>
        <w:rPr>
          <w:rFonts w:ascii="宋体" w:hAnsi="宋体" w:cs="宋体"/>
          <w:b/>
          <w:sz w:val="28"/>
          <w:szCs w:val="28"/>
        </w:rPr>
      </w:pPr>
    </w:p>
    <w:p>
      <w:pPr>
        <w:jc w:val="left"/>
        <w:rPr>
          <w:rFonts w:ascii="宋体" w:hAnsi="宋体" w:cs="宋体"/>
          <w:b/>
          <w:sz w:val="28"/>
          <w:szCs w:val="28"/>
        </w:rPr>
      </w:pPr>
      <w:r>
        <w:rPr>
          <w:rFonts w:hint="eastAsia" w:ascii="宋体" w:hAnsi="宋体" w:cs="宋体"/>
          <w:b/>
          <w:sz w:val="28"/>
          <w:szCs w:val="28"/>
        </w:rPr>
        <w:t>5、其他响应文件</w:t>
      </w:r>
    </w:p>
    <w:p>
      <w:pPr>
        <w:ind w:firstLine="562" w:firstLineChars="200"/>
        <w:jc w:val="left"/>
        <w:rPr>
          <w:rFonts w:ascii="宋体" w:hAnsi="宋体" w:cs="宋体"/>
          <w:b/>
          <w:sz w:val="28"/>
          <w:szCs w:val="28"/>
        </w:rPr>
      </w:pPr>
      <w:r>
        <w:rPr>
          <w:rFonts w:hint="eastAsia" w:ascii="宋体" w:hAnsi="宋体" w:cs="宋体"/>
          <w:b/>
          <w:sz w:val="28"/>
          <w:szCs w:val="28"/>
        </w:rPr>
        <w:t>（若有，格式自拟，加盖鲜公章）</w:t>
      </w:r>
    </w:p>
    <w:p>
      <w:pPr>
        <w:ind w:firstLine="562" w:firstLineChars="200"/>
        <w:jc w:val="center"/>
        <w:rPr>
          <w:rFonts w:ascii="宋体" w:hAnsi="宋体" w:cs="宋体"/>
          <w:b/>
          <w:sz w:val="28"/>
          <w:szCs w:val="28"/>
        </w:rPr>
      </w:pPr>
      <w:r>
        <w:rPr>
          <w:rFonts w:hint="eastAsia" w:ascii="宋体" w:hAnsi="宋体" w:cs="宋体"/>
          <w:b/>
          <w:sz w:val="28"/>
          <w:szCs w:val="28"/>
        </w:rPr>
        <w:br w:type="page"/>
      </w:r>
    </w:p>
    <w:p>
      <w:pPr>
        <w:rPr>
          <w:rFonts w:ascii="宋体" w:hAnsi="宋体" w:cs="宋体"/>
          <w:b/>
          <w:bCs/>
          <w:sz w:val="28"/>
          <w:szCs w:val="28"/>
        </w:rPr>
      </w:pPr>
      <w:r>
        <w:rPr>
          <w:rFonts w:hint="eastAsia" w:ascii="宋体" w:hAnsi="宋体" w:cs="宋体"/>
          <w:b/>
          <w:bCs/>
          <w:sz w:val="28"/>
          <w:szCs w:val="28"/>
        </w:rPr>
        <w:t>附件2：</w:t>
      </w:r>
    </w:p>
    <w:p>
      <w:pPr>
        <w:pStyle w:val="4"/>
        <w:ind w:firstLine="643"/>
        <w:jc w:val="center"/>
        <w:rPr>
          <w:rFonts w:ascii="宋体" w:hAnsi="宋体" w:eastAsia="宋体" w:cs="宋体"/>
          <w:b/>
          <w:bCs/>
          <w:szCs w:val="32"/>
        </w:rPr>
      </w:pPr>
    </w:p>
    <w:p>
      <w:pPr>
        <w:pStyle w:val="4"/>
        <w:ind w:firstLine="643"/>
        <w:jc w:val="center"/>
        <w:rPr>
          <w:rFonts w:ascii="宋体" w:hAnsi="宋体" w:eastAsia="宋体" w:cs="宋体"/>
          <w:b/>
          <w:bCs/>
          <w:szCs w:val="32"/>
        </w:rPr>
      </w:pPr>
    </w:p>
    <w:p>
      <w:pPr>
        <w:pStyle w:val="4"/>
        <w:ind w:firstLine="643"/>
        <w:jc w:val="center"/>
        <w:rPr>
          <w:rFonts w:ascii="宋体" w:hAnsi="宋体" w:eastAsia="宋体" w:cs="宋体"/>
          <w:b/>
          <w:bCs/>
          <w:szCs w:val="32"/>
        </w:rPr>
      </w:pPr>
    </w:p>
    <w:p>
      <w:pPr>
        <w:pStyle w:val="4"/>
        <w:ind w:firstLine="643"/>
        <w:jc w:val="center"/>
        <w:rPr>
          <w:rFonts w:ascii="宋体" w:hAnsi="宋体" w:eastAsia="宋体" w:cs="宋体"/>
          <w:b/>
          <w:bCs/>
          <w:szCs w:val="32"/>
        </w:rPr>
      </w:pPr>
    </w:p>
    <w:p>
      <w:pPr>
        <w:pStyle w:val="4"/>
        <w:ind w:firstLine="1044"/>
        <w:jc w:val="center"/>
        <w:rPr>
          <w:rFonts w:ascii="宋体" w:hAnsi="宋体" w:eastAsia="宋体" w:cs="宋体"/>
          <w:b/>
          <w:bCs/>
          <w:szCs w:val="32"/>
        </w:rPr>
        <w:sectPr>
          <w:pgSz w:w="11900" w:h="16840"/>
          <w:pgMar w:top="1417" w:right="1417" w:bottom="1417" w:left="1417" w:header="851" w:footer="992" w:gutter="0"/>
          <w:cols w:space="720" w:num="1"/>
          <w:docGrid w:type="lines" w:linePitch="312" w:charSpace="0"/>
        </w:sectPr>
      </w:pPr>
      <w:bookmarkStart w:id="4" w:name="_Toc4826"/>
      <w:r>
        <w:rPr>
          <w:rFonts w:hint="eastAsia" w:ascii="宋体" w:hAnsi="宋体" w:eastAsia="宋体" w:cs="宋体"/>
          <w:b/>
          <w:bCs/>
          <w:sz w:val="52"/>
          <w:szCs w:val="52"/>
        </w:rPr>
        <w:t>商 务 部 分</w:t>
      </w:r>
      <w:bookmarkEnd w:id="4"/>
    </w:p>
    <w:p>
      <w:pPr>
        <w:snapToGrid w:val="0"/>
        <w:spacing w:line="360" w:lineRule="auto"/>
        <w:jc w:val="left"/>
        <w:rPr>
          <w:rFonts w:ascii="宋体" w:hAnsi="宋体" w:cs="宋体"/>
          <w:b/>
          <w:bCs/>
          <w:sz w:val="28"/>
          <w:szCs w:val="28"/>
        </w:rPr>
      </w:pPr>
      <w:r>
        <w:rPr>
          <w:rFonts w:hint="eastAsia" w:ascii="宋体" w:hAnsi="宋体" w:cs="宋体"/>
          <w:b/>
          <w:bCs/>
          <w:sz w:val="28"/>
          <w:szCs w:val="28"/>
        </w:rPr>
        <w:t>1、公司业绩证明材料（单个项目的《施工合同》、《竣工验收报告》或相关证明</w:t>
      </w:r>
      <w:r>
        <w:rPr>
          <w:rFonts w:ascii="宋体" w:hAnsi="宋体" w:cs="宋体"/>
          <w:b/>
          <w:bCs/>
          <w:sz w:val="28"/>
          <w:szCs w:val="28"/>
        </w:rPr>
        <w:t>材料</w:t>
      </w:r>
      <w:r>
        <w:rPr>
          <w:rFonts w:hint="eastAsia" w:ascii="宋体" w:hAnsi="宋体" w:cs="宋体"/>
          <w:b/>
          <w:bCs/>
          <w:sz w:val="28"/>
          <w:szCs w:val="28"/>
        </w:rPr>
        <w:t>加盖单位公章）</w:t>
      </w: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r>
        <w:rPr>
          <w:rFonts w:hint="eastAsia" w:ascii="宋体" w:hAnsi="宋体" w:cs="宋体"/>
          <w:b/>
          <w:bCs/>
          <w:sz w:val="28"/>
          <w:szCs w:val="28"/>
        </w:rPr>
        <w:t>2、财务情况复印件（格式自拟，加盖单位公章）</w:t>
      </w:r>
    </w:p>
    <w:p>
      <w:pPr>
        <w:snapToGrid w:val="0"/>
        <w:spacing w:line="360" w:lineRule="auto"/>
        <w:jc w:val="left"/>
        <w:rPr>
          <w:rFonts w:ascii="宋体" w:hAnsi="宋体" w:cs="宋体"/>
          <w:b/>
          <w:bCs/>
          <w:sz w:val="28"/>
          <w:szCs w:val="28"/>
        </w:rPr>
      </w:pPr>
    </w:p>
    <w:p>
      <w:pPr>
        <w:jc w:val="left"/>
        <w:rPr>
          <w:rFonts w:ascii="宋体" w:hAnsi="宋体" w:cs="宋体"/>
        </w:rPr>
        <w:sectPr>
          <w:pgSz w:w="11900" w:h="16840"/>
          <w:pgMar w:top="1417" w:right="1417" w:bottom="1417" w:left="1417" w:header="851" w:footer="992" w:gutter="0"/>
          <w:cols w:space="720" w:num="1"/>
          <w:docGrid w:type="lines" w:linePitch="312" w:charSpace="0"/>
        </w:sectPr>
      </w:pPr>
    </w:p>
    <w:p>
      <w:pPr>
        <w:rPr>
          <w:rFonts w:ascii="宋体" w:hAnsi="宋体" w:cs="宋体"/>
          <w:b/>
          <w:bCs/>
          <w:sz w:val="28"/>
          <w:szCs w:val="28"/>
        </w:rPr>
      </w:pPr>
      <w:r>
        <w:rPr>
          <w:rFonts w:hint="eastAsia" w:ascii="宋体" w:hAnsi="宋体" w:cs="宋体"/>
          <w:b/>
          <w:bCs/>
          <w:sz w:val="28"/>
          <w:szCs w:val="28"/>
        </w:rPr>
        <w:t>附件3：</w:t>
      </w:r>
    </w:p>
    <w:p>
      <w:pPr>
        <w:pStyle w:val="4"/>
        <w:ind w:firstLine="643"/>
        <w:jc w:val="center"/>
        <w:rPr>
          <w:rFonts w:ascii="宋体" w:hAnsi="宋体" w:eastAsia="宋体" w:cs="宋体"/>
          <w:b/>
          <w:bCs/>
          <w:szCs w:val="32"/>
        </w:rPr>
      </w:pPr>
    </w:p>
    <w:p>
      <w:pPr>
        <w:pStyle w:val="4"/>
        <w:ind w:firstLine="643"/>
        <w:jc w:val="center"/>
        <w:rPr>
          <w:rFonts w:ascii="宋体" w:hAnsi="宋体" w:eastAsia="宋体" w:cs="宋体"/>
          <w:b/>
          <w:bCs/>
          <w:szCs w:val="32"/>
        </w:rPr>
      </w:pPr>
    </w:p>
    <w:p>
      <w:pPr>
        <w:pStyle w:val="4"/>
        <w:ind w:firstLine="643"/>
        <w:jc w:val="center"/>
        <w:rPr>
          <w:rFonts w:ascii="宋体" w:hAnsi="宋体" w:eastAsia="宋体" w:cs="宋体"/>
          <w:b/>
          <w:bCs/>
          <w:szCs w:val="32"/>
        </w:rPr>
      </w:pPr>
    </w:p>
    <w:p>
      <w:pPr>
        <w:pStyle w:val="4"/>
        <w:ind w:firstLine="643"/>
        <w:jc w:val="center"/>
        <w:rPr>
          <w:rFonts w:ascii="宋体" w:hAnsi="宋体" w:eastAsia="宋体" w:cs="宋体"/>
          <w:b/>
          <w:bCs/>
          <w:szCs w:val="32"/>
        </w:rPr>
      </w:pPr>
    </w:p>
    <w:p>
      <w:pPr>
        <w:pStyle w:val="4"/>
        <w:ind w:firstLine="1044"/>
        <w:jc w:val="center"/>
        <w:rPr>
          <w:rFonts w:ascii="宋体" w:hAnsi="宋体" w:eastAsia="宋体" w:cs="宋体"/>
          <w:b/>
          <w:bCs/>
          <w:szCs w:val="32"/>
        </w:rPr>
        <w:sectPr>
          <w:pgSz w:w="11900" w:h="16840"/>
          <w:pgMar w:top="1417" w:right="1417" w:bottom="1417" w:left="1417" w:header="851" w:footer="992" w:gutter="0"/>
          <w:cols w:space="720" w:num="1"/>
          <w:docGrid w:type="lines" w:linePitch="312" w:charSpace="0"/>
        </w:sectPr>
      </w:pPr>
      <w:bookmarkStart w:id="5" w:name="_Toc473"/>
      <w:r>
        <w:rPr>
          <w:rFonts w:hint="eastAsia" w:ascii="宋体" w:hAnsi="宋体" w:eastAsia="宋体" w:cs="宋体"/>
          <w:b/>
          <w:bCs/>
          <w:sz w:val="52"/>
          <w:szCs w:val="52"/>
        </w:rPr>
        <w:t>技 术 部 分</w:t>
      </w:r>
      <w:bookmarkEnd w:id="5"/>
    </w:p>
    <w:p>
      <w:pPr>
        <w:pStyle w:val="2"/>
        <w:rPr>
          <w:rFonts w:ascii="宋体" w:hAnsi="宋体" w:eastAsia="宋体" w:cs="宋体"/>
          <w:sz w:val="28"/>
          <w:szCs w:val="28"/>
        </w:rPr>
        <w:sectPr>
          <w:pgSz w:w="11900" w:h="16840"/>
          <w:pgMar w:top="1417" w:right="1417" w:bottom="1417" w:left="1417" w:header="851" w:footer="992" w:gutter="0"/>
          <w:cols w:space="720" w:num="1"/>
          <w:docGrid w:type="lines" w:linePitch="312" w:charSpace="0"/>
        </w:sectPr>
      </w:pPr>
      <w:r>
        <w:rPr>
          <w:rFonts w:hint="eastAsia" w:ascii="宋体" w:hAnsi="宋体" w:eastAsia="宋体" w:cs="宋体"/>
          <w:sz w:val="28"/>
          <w:szCs w:val="28"/>
        </w:rPr>
        <w:t>技术方案，格式自拟，加盖公章</w:t>
      </w:r>
    </w:p>
    <w:p>
      <w:pPr>
        <w:rPr>
          <w:rFonts w:ascii="宋体" w:hAnsi="宋体" w:cs="宋体"/>
          <w:b/>
          <w:bCs/>
          <w:sz w:val="28"/>
          <w:szCs w:val="28"/>
        </w:rPr>
      </w:pPr>
      <w:r>
        <w:rPr>
          <w:rFonts w:hint="eastAsia" w:ascii="宋体" w:hAnsi="宋体" w:cs="宋体"/>
          <w:b/>
          <w:bCs/>
          <w:sz w:val="28"/>
          <w:szCs w:val="28"/>
        </w:rPr>
        <w:t>附件4：虚拟项目</w:t>
      </w:r>
    </w:p>
    <w:p>
      <w:pPr>
        <w:spacing w:line="360" w:lineRule="auto"/>
        <w:ind w:firstLine="562" w:firstLineChars="200"/>
        <w:rPr>
          <w:rFonts w:ascii="宋体" w:hAnsi="宋体" w:cs="宋体"/>
          <w:sz w:val="28"/>
          <w:szCs w:val="28"/>
        </w:rPr>
      </w:pPr>
      <w:bookmarkStart w:id="6" w:name="_Toc459888220"/>
      <w:bookmarkStart w:id="7" w:name="_Toc273447117"/>
      <w:bookmarkStart w:id="8" w:name="_Toc459888221"/>
      <w:r>
        <w:rPr>
          <w:rFonts w:hint="eastAsia" w:ascii="宋体" w:hAnsi="宋体" w:cs="宋体"/>
          <w:b/>
          <w:bCs/>
          <w:kern w:val="44"/>
          <w:sz w:val="28"/>
          <w:szCs w:val="28"/>
        </w:rPr>
        <w:t>1.项目背景：</w:t>
      </w:r>
    </w:p>
    <w:p>
      <w:pPr>
        <w:spacing w:line="360" w:lineRule="auto"/>
        <w:ind w:firstLine="562" w:firstLineChars="200"/>
        <w:rPr>
          <w:rFonts w:ascii="宋体" w:hAnsi="宋体" w:cs="宋体"/>
          <w:sz w:val="28"/>
          <w:szCs w:val="28"/>
        </w:rPr>
      </w:pPr>
      <w:r>
        <w:rPr>
          <w:rFonts w:hint="eastAsia" w:ascii="宋体" w:hAnsi="宋体" w:cs="宋体"/>
          <w:b/>
          <w:bCs/>
          <w:kern w:val="44"/>
          <w:sz w:val="28"/>
          <w:szCs w:val="28"/>
        </w:rPr>
        <w:t>1.1</w:t>
      </w:r>
      <w:r>
        <w:rPr>
          <w:rFonts w:hint="eastAsia" w:ascii="宋体" w:hAnsi="宋体" w:cs="宋体"/>
          <w:kern w:val="44"/>
          <w:sz w:val="28"/>
          <w:szCs w:val="28"/>
        </w:rPr>
        <w:t>本次</w:t>
      </w:r>
      <w:r>
        <w:rPr>
          <w:rFonts w:hint="eastAsia" w:ascii="宋体" w:hAnsi="宋体" w:cs="宋体"/>
          <w:sz w:val="28"/>
          <w:szCs w:val="28"/>
        </w:rPr>
        <w:t>重庆机场新建*号道口弱电工程为模拟项目（该项目不属于民航专业工程），本模拟项目包的综合布线、监控系统及门禁系统等三个子系统。。</w:t>
      </w:r>
    </w:p>
    <w:p>
      <w:pPr>
        <w:spacing w:line="360" w:lineRule="auto"/>
        <w:ind w:firstLine="560" w:firstLineChars="200"/>
        <w:rPr>
          <w:rFonts w:ascii="宋体" w:hAnsi="宋体" w:cs="宋体"/>
          <w:sz w:val="28"/>
          <w:szCs w:val="28"/>
        </w:rPr>
      </w:pPr>
      <w:r>
        <w:rPr>
          <w:rFonts w:hint="eastAsia" w:ascii="宋体" w:hAnsi="宋体" w:cs="宋体"/>
          <w:sz w:val="28"/>
          <w:szCs w:val="28"/>
        </w:rPr>
        <w:t>1.2工程要求资质为具有安防工程从业资质二级以上（含二级）或电子与智能化工程</w:t>
      </w:r>
      <w:r>
        <w:rPr>
          <w:rFonts w:ascii="宋体" w:hAnsi="宋体" w:cs="宋体"/>
          <w:sz w:val="28"/>
          <w:szCs w:val="28"/>
        </w:rPr>
        <w:t>专业</w:t>
      </w:r>
      <w:r>
        <w:rPr>
          <w:rFonts w:hint="eastAsia" w:ascii="宋体" w:hAnsi="宋体" w:cs="宋体"/>
          <w:sz w:val="28"/>
          <w:szCs w:val="28"/>
        </w:rPr>
        <w:t>承包二级以上（含二级）证书。</w:t>
      </w:r>
    </w:p>
    <w:p>
      <w:pPr>
        <w:spacing w:line="360" w:lineRule="auto"/>
        <w:ind w:firstLine="560" w:firstLineChars="200"/>
        <w:rPr>
          <w:rFonts w:ascii="宋体" w:hAnsi="宋体" w:cs="宋体"/>
          <w:sz w:val="28"/>
          <w:szCs w:val="28"/>
        </w:rPr>
      </w:pPr>
      <w:r>
        <w:rPr>
          <w:rFonts w:hint="eastAsia" w:ascii="宋体" w:hAnsi="宋体" w:cs="宋体"/>
          <w:sz w:val="28"/>
          <w:szCs w:val="28"/>
        </w:rPr>
        <w:t>1.3请各单位针对本招标公告进行建设施工整体方案编制、施工图完善设计和报价文件编制。</w:t>
      </w:r>
    </w:p>
    <w:bookmarkEnd w:id="6"/>
    <w:bookmarkEnd w:id="7"/>
    <w:p>
      <w:pPr>
        <w:spacing w:line="360" w:lineRule="auto"/>
        <w:ind w:firstLine="540" w:firstLineChars="192"/>
        <w:rPr>
          <w:rFonts w:ascii="宋体" w:hAnsi="宋体" w:cs="宋体"/>
          <w:b/>
          <w:bCs/>
          <w:kern w:val="44"/>
          <w:sz w:val="28"/>
          <w:szCs w:val="28"/>
        </w:rPr>
      </w:pPr>
      <w:r>
        <w:rPr>
          <w:rFonts w:hint="eastAsia" w:ascii="宋体" w:hAnsi="宋体" w:cs="宋体"/>
          <w:b/>
          <w:bCs/>
          <w:kern w:val="44"/>
          <w:sz w:val="28"/>
          <w:szCs w:val="28"/>
        </w:rPr>
        <w:t>2. 项目概况与招标范围</w:t>
      </w:r>
      <w:bookmarkEnd w:id="8"/>
    </w:p>
    <w:p>
      <w:pPr>
        <w:spacing w:line="360" w:lineRule="auto"/>
        <w:ind w:firstLine="537" w:firstLineChars="192"/>
        <w:rPr>
          <w:rFonts w:ascii="宋体" w:hAnsi="宋体" w:cs="宋体"/>
          <w:sz w:val="28"/>
          <w:szCs w:val="28"/>
        </w:rPr>
      </w:pPr>
      <w:bookmarkStart w:id="9" w:name="_Toc200359240"/>
      <w:bookmarkStart w:id="10" w:name="_Toc200359429"/>
      <w:bookmarkStart w:id="11" w:name="_Toc273447119"/>
      <w:r>
        <w:rPr>
          <w:rFonts w:hint="eastAsia" w:ascii="宋体" w:hAnsi="宋体" w:cs="宋体"/>
          <w:sz w:val="28"/>
          <w:szCs w:val="28"/>
        </w:rPr>
        <w:t>2.1 项目名称：重庆机场新建*号道口弱电工程</w:t>
      </w:r>
    </w:p>
    <w:p>
      <w:pPr>
        <w:spacing w:line="360" w:lineRule="auto"/>
        <w:ind w:firstLine="537" w:firstLineChars="192"/>
        <w:rPr>
          <w:rFonts w:ascii="宋体" w:hAnsi="宋体" w:cs="宋体"/>
          <w:sz w:val="28"/>
          <w:szCs w:val="28"/>
        </w:rPr>
      </w:pPr>
      <w:r>
        <w:rPr>
          <w:rFonts w:hint="eastAsia" w:ascii="宋体" w:hAnsi="宋体" w:cs="宋体"/>
          <w:sz w:val="28"/>
          <w:szCs w:val="28"/>
        </w:rPr>
        <w:t>2.2 项目地点：重庆江北国际机场</w:t>
      </w:r>
    </w:p>
    <w:p>
      <w:pPr>
        <w:spacing w:line="360" w:lineRule="auto"/>
        <w:ind w:firstLine="537" w:firstLineChars="192"/>
        <w:rPr>
          <w:rFonts w:ascii="宋体" w:hAnsi="宋体" w:cs="宋体"/>
          <w:sz w:val="28"/>
          <w:szCs w:val="28"/>
        </w:rPr>
      </w:pPr>
      <w:r>
        <w:rPr>
          <w:rFonts w:hint="eastAsia" w:ascii="宋体" w:hAnsi="宋体" w:cs="宋体"/>
          <w:sz w:val="28"/>
          <w:szCs w:val="28"/>
        </w:rPr>
        <w:t>2.3 项目区域：重庆机场内施工图标示的范围内。</w:t>
      </w:r>
    </w:p>
    <w:p>
      <w:pPr>
        <w:spacing w:line="360" w:lineRule="auto"/>
        <w:ind w:firstLine="537" w:firstLineChars="192"/>
        <w:rPr>
          <w:rFonts w:ascii="宋体" w:hAnsi="宋体" w:cs="宋体"/>
          <w:sz w:val="28"/>
          <w:szCs w:val="28"/>
        </w:rPr>
      </w:pPr>
      <w:r>
        <w:rPr>
          <w:rFonts w:hint="eastAsia" w:ascii="宋体" w:hAnsi="宋体" w:cs="宋体"/>
          <w:sz w:val="28"/>
          <w:szCs w:val="28"/>
        </w:rPr>
        <w:t>2.4项目概况：</w:t>
      </w:r>
    </w:p>
    <w:p>
      <w:pPr>
        <w:spacing w:line="360" w:lineRule="auto"/>
        <w:ind w:firstLine="537" w:firstLineChars="192"/>
        <w:rPr>
          <w:rFonts w:ascii="宋体" w:hAnsi="宋体" w:cs="宋体"/>
          <w:sz w:val="28"/>
          <w:szCs w:val="28"/>
        </w:rPr>
      </w:pPr>
      <w:r>
        <w:rPr>
          <w:rFonts w:hint="eastAsia" w:ascii="宋体" w:hAnsi="宋体" w:cs="宋体"/>
          <w:sz w:val="28"/>
          <w:szCs w:val="28"/>
        </w:rPr>
        <w:t>重庆机场*号通道道口各弱电系统架构、设备布置及安装、管线走向中包括：门禁系统、监控系统、综合布线系统等三个子系统。</w:t>
      </w:r>
    </w:p>
    <w:p>
      <w:pPr>
        <w:spacing w:line="360" w:lineRule="auto"/>
        <w:ind w:firstLine="537" w:firstLineChars="192"/>
        <w:rPr>
          <w:rFonts w:ascii="宋体" w:hAnsi="宋体" w:cs="宋体"/>
          <w:sz w:val="28"/>
          <w:szCs w:val="28"/>
        </w:rPr>
      </w:pPr>
      <w:r>
        <w:rPr>
          <w:rFonts w:hint="eastAsia" w:ascii="宋体" w:hAnsi="宋体" w:cs="宋体"/>
          <w:sz w:val="28"/>
          <w:szCs w:val="28"/>
        </w:rPr>
        <w:t>2.5本次项目招标范围技术要求：</w:t>
      </w:r>
    </w:p>
    <w:p>
      <w:pPr>
        <w:spacing w:line="400" w:lineRule="exact"/>
        <w:ind w:firstLine="560"/>
        <w:rPr>
          <w:rFonts w:ascii="宋体" w:hAnsi="宋体" w:cs="宋体"/>
          <w:sz w:val="28"/>
          <w:szCs w:val="28"/>
        </w:rPr>
      </w:pPr>
      <w:r>
        <w:rPr>
          <w:rFonts w:hint="eastAsia" w:ascii="宋体" w:hAnsi="宋体" w:cs="宋体"/>
          <w:sz w:val="28"/>
          <w:szCs w:val="28"/>
        </w:rPr>
        <w:t>2.5.1门禁系统：</w:t>
      </w:r>
    </w:p>
    <w:p>
      <w:pPr>
        <w:spacing w:line="360" w:lineRule="auto"/>
        <w:ind w:firstLine="537" w:firstLineChars="192"/>
        <w:rPr>
          <w:rFonts w:ascii="宋体" w:hAnsi="宋体" w:cs="宋体"/>
          <w:sz w:val="28"/>
          <w:szCs w:val="28"/>
        </w:rPr>
      </w:pPr>
      <w:r>
        <w:rPr>
          <w:rFonts w:hint="eastAsia" w:ascii="宋体" w:hAnsi="宋体" w:cs="宋体"/>
          <w:sz w:val="28"/>
          <w:szCs w:val="28"/>
        </w:rPr>
        <w:t>重庆机场门禁系统由机场门禁系统平台统一管理，本期只设计前端门禁读卡器及区域控制器，通过网络传输至机场门禁系统平台内。</w:t>
      </w:r>
    </w:p>
    <w:p>
      <w:pPr>
        <w:spacing w:line="360" w:lineRule="auto"/>
        <w:ind w:left="-2" w:leftChars="-1" w:firstLine="537" w:firstLineChars="192"/>
        <w:rPr>
          <w:rFonts w:ascii="宋体" w:hAnsi="宋体" w:cs="宋体"/>
          <w:sz w:val="28"/>
          <w:szCs w:val="28"/>
        </w:rPr>
      </w:pPr>
      <w:r>
        <w:rPr>
          <w:rFonts w:hint="eastAsia" w:ascii="宋体" w:hAnsi="宋体" w:cs="宋体"/>
          <w:sz w:val="28"/>
          <w:szCs w:val="28"/>
        </w:rPr>
        <w:t>门禁系统主要设备设置在监控室内。主要出入口配备读卡器控制模块，读卡器通过RS485连接至区域控制箱，控制箱再连接至监控室的接入门禁交换机，通过网络传输至机场门禁系统平台内，通过网络对*号道口门禁统一管理。线缆均穿直径25钢管再沿墙或柱暗敷设引至机柜，并与监控系统及火灾报警系统联动。</w:t>
      </w:r>
    </w:p>
    <w:p>
      <w:pPr>
        <w:spacing w:line="360" w:lineRule="auto"/>
        <w:ind w:left="2" w:firstLine="537" w:firstLineChars="192"/>
        <w:rPr>
          <w:rFonts w:ascii="宋体" w:hAnsi="宋体" w:cs="宋体"/>
          <w:sz w:val="28"/>
          <w:szCs w:val="28"/>
        </w:rPr>
      </w:pPr>
      <w:r>
        <w:rPr>
          <w:rFonts w:hint="eastAsia" w:ascii="宋体" w:hAnsi="宋体" w:cs="宋体"/>
          <w:sz w:val="28"/>
          <w:szCs w:val="28"/>
        </w:rPr>
        <w:t>人员读卡器及读卡器状态显示嵌墙安装或落地安装，落地安装高度1.3米；各设备安装方式和高度、线缆走向路由等可根据现场实际情况调整。</w:t>
      </w:r>
    </w:p>
    <w:p>
      <w:pPr>
        <w:spacing w:line="360" w:lineRule="auto"/>
        <w:ind w:firstLine="560"/>
        <w:rPr>
          <w:rFonts w:ascii="宋体" w:hAnsi="宋体" w:cs="宋体"/>
          <w:sz w:val="28"/>
          <w:szCs w:val="28"/>
        </w:rPr>
      </w:pPr>
      <w:r>
        <w:rPr>
          <w:rFonts w:hint="eastAsia" w:ascii="宋体" w:hAnsi="宋体" w:cs="宋体"/>
          <w:sz w:val="28"/>
          <w:szCs w:val="28"/>
        </w:rPr>
        <w:t>2.5.2监控系统：</w:t>
      </w:r>
    </w:p>
    <w:p>
      <w:pPr>
        <w:spacing w:line="360" w:lineRule="auto"/>
        <w:ind w:firstLine="560"/>
        <w:rPr>
          <w:rFonts w:ascii="宋体" w:hAnsi="宋体" w:cs="宋体"/>
          <w:sz w:val="28"/>
          <w:szCs w:val="28"/>
        </w:rPr>
      </w:pPr>
      <w:r>
        <w:rPr>
          <w:rFonts w:hint="eastAsia" w:ascii="宋体" w:hAnsi="宋体" w:cs="宋体"/>
          <w:sz w:val="28"/>
          <w:szCs w:val="28"/>
        </w:rPr>
        <w:t>重庆机场所有监控形式为网络数字形式，通过网络传输统一传输至信息中心大楼内，整个机场监控采用统一监控网络平台管理，由信息中心大楼统一存储和控制。</w:t>
      </w:r>
    </w:p>
    <w:p>
      <w:pPr>
        <w:spacing w:line="360" w:lineRule="auto"/>
        <w:ind w:firstLine="560"/>
        <w:rPr>
          <w:rFonts w:ascii="宋体" w:hAnsi="宋体" w:cs="宋体"/>
          <w:sz w:val="28"/>
          <w:szCs w:val="28"/>
        </w:rPr>
      </w:pPr>
      <w:r>
        <w:rPr>
          <w:rFonts w:hint="eastAsia" w:ascii="宋体" w:hAnsi="宋体" w:cs="宋体"/>
          <w:sz w:val="28"/>
          <w:szCs w:val="28"/>
        </w:rPr>
        <w:t>本期设计只考虑数字高清摄像机、管线、网络传输系统。所有监控末端控制与存储全部由信息中心大楼监控平台统一管理。</w:t>
      </w:r>
    </w:p>
    <w:p>
      <w:pPr>
        <w:spacing w:line="360" w:lineRule="auto"/>
        <w:ind w:firstLine="560"/>
        <w:rPr>
          <w:rFonts w:ascii="宋体" w:hAnsi="宋体" w:cs="宋体"/>
          <w:sz w:val="28"/>
          <w:szCs w:val="28"/>
        </w:rPr>
      </w:pPr>
      <w:r>
        <w:rPr>
          <w:rFonts w:hint="eastAsia" w:ascii="宋体" w:hAnsi="宋体" w:cs="宋体"/>
          <w:sz w:val="28"/>
          <w:szCs w:val="28"/>
        </w:rPr>
        <w:t>系统在每个车辆、人员安检通道前后均设置一台摄像机，从不同角度监控各方位场景，满足管理部门对安检道口车辆及人员动向安全现场监控的需要。同时可以对车辆及人员行动图像进行记录、对其身份进行核对，其中近空侧两台摄像机需带有车牌捕捉记录功能，满足管理部门对进出车辆的记录管理需求。视频图像的记录保存时间为90天，设计时需根据保存时间计算硬盘数量。</w:t>
      </w:r>
    </w:p>
    <w:p>
      <w:pPr>
        <w:spacing w:line="360" w:lineRule="auto"/>
        <w:ind w:firstLine="560"/>
        <w:rPr>
          <w:rFonts w:ascii="宋体" w:hAnsi="宋体" w:cs="宋体"/>
          <w:sz w:val="28"/>
          <w:szCs w:val="28"/>
        </w:rPr>
      </w:pPr>
      <w:r>
        <w:rPr>
          <w:rFonts w:hint="eastAsia" w:ascii="宋体" w:hAnsi="宋体" w:cs="宋体"/>
          <w:sz w:val="28"/>
          <w:szCs w:val="28"/>
        </w:rPr>
        <w:t>前端监控点设备由17台摄像机组成，其中包括室内定焦摄像机为6台，室外定焦摄像机为11台。</w:t>
      </w:r>
    </w:p>
    <w:p>
      <w:pPr>
        <w:spacing w:line="360" w:lineRule="auto"/>
        <w:ind w:firstLine="560"/>
        <w:rPr>
          <w:rFonts w:ascii="宋体" w:hAnsi="宋体" w:cs="宋体"/>
          <w:sz w:val="28"/>
          <w:szCs w:val="28"/>
        </w:rPr>
      </w:pPr>
      <w:r>
        <w:rPr>
          <w:rFonts w:hint="eastAsia" w:ascii="宋体" w:hAnsi="宋体" w:cs="宋体"/>
          <w:sz w:val="28"/>
          <w:szCs w:val="28"/>
        </w:rPr>
        <w:t>系统各线缆穿镀锌钢管由机柜引出后在地坪内暗敷，再沿墙或柱引至设备安装位置。数据线缆穿一根镀锌钢管，电源线需另外穿一根镀锌钢管。</w:t>
      </w:r>
    </w:p>
    <w:p>
      <w:pPr>
        <w:spacing w:line="360" w:lineRule="auto"/>
        <w:ind w:firstLine="560"/>
        <w:rPr>
          <w:rFonts w:ascii="宋体" w:hAnsi="宋体" w:cs="宋体"/>
          <w:sz w:val="28"/>
          <w:szCs w:val="28"/>
        </w:rPr>
      </w:pPr>
      <w:r>
        <w:rPr>
          <w:rFonts w:hint="eastAsia" w:ascii="宋体" w:hAnsi="宋体" w:cs="宋体"/>
          <w:sz w:val="28"/>
          <w:szCs w:val="28"/>
        </w:rPr>
        <w:t>室内摄像机壁挂安装；室外摄像机沿柱采用支架安装，高度5.5米。</w:t>
      </w:r>
    </w:p>
    <w:p>
      <w:pPr>
        <w:spacing w:line="360" w:lineRule="auto"/>
        <w:ind w:firstLine="560"/>
        <w:rPr>
          <w:rFonts w:ascii="宋体" w:hAnsi="宋体" w:cs="宋体"/>
          <w:sz w:val="28"/>
          <w:szCs w:val="28"/>
        </w:rPr>
      </w:pPr>
      <w:r>
        <w:rPr>
          <w:rFonts w:hint="eastAsia" w:ascii="宋体" w:hAnsi="宋体" w:cs="宋体"/>
          <w:sz w:val="28"/>
          <w:szCs w:val="28"/>
        </w:rPr>
        <w:t xml:space="preserve">各设备安装方式和高度、线缆走向路由等可根据现场实际情况调整。 </w:t>
      </w:r>
    </w:p>
    <w:p>
      <w:pPr>
        <w:spacing w:line="360" w:lineRule="auto"/>
        <w:ind w:firstLine="560" w:firstLineChars="200"/>
        <w:rPr>
          <w:rFonts w:ascii="宋体" w:hAnsi="宋体" w:cs="宋体"/>
          <w:sz w:val="28"/>
          <w:szCs w:val="28"/>
        </w:rPr>
      </w:pPr>
      <w:r>
        <w:rPr>
          <w:rFonts w:hint="eastAsia" w:ascii="宋体" w:hAnsi="宋体" w:cs="宋体"/>
          <w:sz w:val="28"/>
          <w:szCs w:val="28"/>
        </w:rPr>
        <w:t>布线、设备安装：</w:t>
      </w:r>
    </w:p>
    <w:p>
      <w:pPr>
        <w:spacing w:line="360" w:lineRule="auto"/>
        <w:ind w:firstLine="560" w:firstLineChars="200"/>
        <w:rPr>
          <w:rFonts w:ascii="宋体" w:hAnsi="宋体" w:cs="宋体"/>
          <w:sz w:val="28"/>
          <w:szCs w:val="28"/>
        </w:rPr>
      </w:pPr>
      <w:r>
        <w:rPr>
          <w:rFonts w:hint="eastAsia" w:ascii="宋体" w:hAnsi="宋体" w:cs="宋体"/>
          <w:sz w:val="28"/>
          <w:szCs w:val="28"/>
        </w:rPr>
        <w:t>室内定焦摄像机和室外定焦摄像机视频线缆及电源线缆分别采用UTP/CAT6和RVV(2x1.5) 型电缆。所有摄像机电源为集中供电方式，由机柜集中供电器统一供电。</w:t>
      </w:r>
    </w:p>
    <w:p>
      <w:pPr>
        <w:spacing w:line="360" w:lineRule="auto"/>
        <w:ind w:firstLine="560"/>
        <w:rPr>
          <w:rFonts w:ascii="宋体" w:hAnsi="宋体" w:cs="宋体"/>
          <w:sz w:val="28"/>
          <w:szCs w:val="28"/>
        </w:rPr>
      </w:pPr>
      <w:r>
        <w:rPr>
          <w:rFonts w:hint="eastAsia" w:ascii="宋体" w:hAnsi="宋体" w:cs="宋体"/>
          <w:sz w:val="28"/>
          <w:szCs w:val="28"/>
        </w:rPr>
        <w:t>管理工作站放置在监控室内操作台上。显示屏具体安装位置根据现场情况确定，以方便使用为宜。所有设备外壳与接地母排进行连接，接入单体接地部分。</w:t>
      </w:r>
    </w:p>
    <w:p>
      <w:pPr>
        <w:spacing w:line="360" w:lineRule="auto"/>
        <w:ind w:firstLine="560"/>
        <w:rPr>
          <w:rFonts w:ascii="宋体" w:hAnsi="宋体" w:cs="宋体"/>
          <w:sz w:val="28"/>
          <w:szCs w:val="28"/>
        </w:rPr>
      </w:pPr>
      <w:r>
        <w:rPr>
          <w:rFonts w:hint="eastAsia" w:ascii="宋体" w:hAnsi="宋体" w:cs="宋体"/>
          <w:sz w:val="28"/>
          <w:szCs w:val="28"/>
        </w:rPr>
        <w:t>2.5.3综合布线系统：</w:t>
      </w:r>
    </w:p>
    <w:p>
      <w:pPr>
        <w:ind w:firstLine="560"/>
        <w:rPr>
          <w:rFonts w:ascii="宋体" w:hAnsi="宋体" w:cs="宋体"/>
          <w:sz w:val="28"/>
          <w:szCs w:val="28"/>
        </w:rPr>
      </w:pPr>
      <w:r>
        <w:rPr>
          <w:rFonts w:hint="eastAsia" w:ascii="宋体" w:hAnsi="宋体" w:cs="宋体"/>
          <w:sz w:val="28"/>
          <w:szCs w:val="28"/>
        </w:rPr>
        <w:t>每个双孔地面插座敷设2根6类UTP线缆，在地坪内暗装。插座嵌墙安装，下底距地0.3米。</w:t>
      </w:r>
    </w:p>
    <w:p>
      <w:pPr>
        <w:ind w:firstLine="560"/>
        <w:rPr>
          <w:rFonts w:ascii="宋体" w:hAnsi="宋体" w:cs="宋体"/>
          <w:sz w:val="28"/>
          <w:szCs w:val="28"/>
        </w:rPr>
      </w:pPr>
      <w:r>
        <w:rPr>
          <w:rFonts w:hint="eastAsia" w:ascii="宋体" w:hAnsi="宋体" w:cs="宋体"/>
          <w:sz w:val="28"/>
          <w:szCs w:val="28"/>
        </w:rPr>
        <w:t>系统线缆穿镀锌钢管在室内地坪内暗敷，再沿墙或柱暗敷设引至插座底盒。镀锌钢管管径∅25，每根钢管最多穿4根线缆。</w:t>
      </w:r>
    </w:p>
    <w:p>
      <w:pPr>
        <w:ind w:firstLine="560"/>
        <w:rPr>
          <w:rFonts w:ascii="宋体" w:hAnsi="宋体" w:cs="宋体"/>
          <w:sz w:val="28"/>
          <w:szCs w:val="28"/>
        </w:rPr>
      </w:pPr>
      <w:r>
        <w:rPr>
          <w:rFonts w:hint="eastAsia" w:ascii="宋体" w:hAnsi="宋体" w:cs="宋体"/>
          <w:sz w:val="28"/>
          <w:szCs w:val="28"/>
        </w:rPr>
        <w:t>各设备安装方式、线缆走向路由等可根据现场实际情况调整。</w:t>
      </w:r>
    </w:p>
    <w:p>
      <w:pPr>
        <w:spacing w:line="360" w:lineRule="auto"/>
        <w:ind w:firstLine="560"/>
        <w:rPr>
          <w:rFonts w:ascii="宋体" w:hAnsi="宋体" w:cs="宋体"/>
          <w:sz w:val="28"/>
          <w:szCs w:val="28"/>
        </w:rPr>
      </w:pPr>
      <w:r>
        <w:rPr>
          <w:rFonts w:hint="eastAsia" w:ascii="宋体" w:hAnsi="宋体" w:cs="宋体"/>
          <w:sz w:val="28"/>
          <w:szCs w:val="28"/>
        </w:rPr>
        <w:t>2.5.4设计各子系统拓扑图时只考虑前端、道口机柜内设备的布置，后端中心平台及管理系统不作要求。</w:t>
      </w:r>
    </w:p>
    <w:p>
      <w:pPr>
        <w:spacing w:line="360" w:lineRule="auto"/>
        <w:ind w:firstLine="560"/>
        <w:rPr>
          <w:rFonts w:ascii="宋体" w:hAnsi="宋体" w:cs="宋体"/>
          <w:sz w:val="28"/>
          <w:szCs w:val="28"/>
        </w:rPr>
      </w:pPr>
      <w:r>
        <w:rPr>
          <w:rFonts w:hint="eastAsia" w:ascii="宋体" w:hAnsi="宋体" w:cs="宋体"/>
          <w:sz w:val="28"/>
          <w:szCs w:val="28"/>
        </w:rPr>
        <w:t>2.6邀标范围：重庆机场新建*号道口弱电工程施工、设计等。</w:t>
      </w:r>
    </w:p>
    <w:p>
      <w:pPr>
        <w:spacing w:line="360" w:lineRule="auto"/>
        <w:ind w:firstLine="560"/>
        <w:rPr>
          <w:rFonts w:ascii="宋体" w:hAnsi="宋体" w:cs="宋体"/>
          <w:sz w:val="28"/>
          <w:szCs w:val="28"/>
        </w:rPr>
      </w:pPr>
      <w:r>
        <w:rPr>
          <w:rFonts w:hint="eastAsia" w:ascii="宋体" w:hAnsi="宋体" w:cs="宋体"/>
          <w:sz w:val="28"/>
          <w:szCs w:val="28"/>
        </w:rPr>
        <w:t>2.7质保期限：2年。</w:t>
      </w:r>
    </w:p>
    <w:p>
      <w:pPr>
        <w:spacing w:line="360" w:lineRule="auto"/>
        <w:ind w:firstLine="560"/>
        <w:rPr>
          <w:rFonts w:ascii="宋体" w:hAnsi="宋体" w:cs="宋体"/>
          <w:sz w:val="28"/>
          <w:szCs w:val="28"/>
        </w:rPr>
      </w:pPr>
      <w:r>
        <w:rPr>
          <w:rFonts w:hint="eastAsia" w:ascii="宋体" w:hAnsi="宋体" w:cs="宋体"/>
          <w:sz w:val="28"/>
          <w:szCs w:val="28"/>
        </w:rPr>
        <w:t>2.8工期要求：60日历天。</w:t>
      </w:r>
    </w:p>
    <w:p>
      <w:pPr>
        <w:spacing w:line="360" w:lineRule="auto"/>
        <w:ind w:firstLine="560"/>
        <w:rPr>
          <w:rFonts w:ascii="宋体" w:hAnsi="宋体" w:cs="宋体"/>
          <w:sz w:val="28"/>
          <w:szCs w:val="28"/>
        </w:rPr>
      </w:pPr>
      <w:r>
        <w:rPr>
          <w:rFonts w:hint="eastAsia" w:ascii="宋体" w:hAnsi="宋体" w:cs="宋体"/>
          <w:sz w:val="28"/>
          <w:szCs w:val="28"/>
        </w:rPr>
        <w:t>2.9特别约定事宜</w:t>
      </w:r>
    </w:p>
    <w:p>
      <w:pPr>
        <w:spacing w:line="360" w:lineRule="auto"/>
        <w:ind w:firstLine="560"/>
        <w:rPr>
          <w:rFonts w:ascii="宋体" w:hAnsi="宋体" w:cs="宋体"/>
          <w:sz w:val="28"/>
          <w:szCs w:val="28"/>
        </w:rPr>
      </w:pPr>
      <w:r>
        <w:rPr>
          <w:rFonts w:hint="eastAsia" w:ascii="宋体" w:hAnsi="宋体" w:cs="宋体"/>
          <w:sz w:val="28"/>
          <w:szCs w:val="28"/>
        </w:rPr>
        <w:t>2.9.1本次施工区域为机场空防控制区范围，所有施工人员及设备满足机场安全相关要求，并在施工期间建立相关安全培训、教育、管理台账，在整体技术文件中须有体现。</w:t>
      </w:r>
    </w:p>
    <w:p>
      <w:pPr>
        <w:spacing w:line="360" w:lineRule="auto"/>
        <w:ind w:firstLine="560"/>
        <w:rPr>
          <w:rFonts w:ascii="宋体" w:hAnsi="宋体" w:cs="宋体"/>
          <w:sz w:val="28"/>
          <w:szCs w:val="28"/>
        </w:rPr>
      </w:pPr>
      <w:r>
        <w:rPr>
          <w:rFonts w:hint="eastAsia" w:ascii="宋体" w:hAnsi="宋体" w:cs="宋体"/>
          <w:sz w:val="28"/>
          <w:szCs w:val="28"/>
        </w:rPr>
        <w:t>2.9.2严格按机场安全标准组织施工，并随时接受监管人员监督检查，施工中必须采取严格的安全防护措施，消除事故隐患。由于乙方安全措施不力造成事故的责任和因此发生的一切经济损失，均由乙方承担。</w:t>
      </w:r>
    </w:p>
    <w:p>
      <w:pPr>
        <w:spacing w:line="360" w:lineRule="auto"/>
        <w:ind w:firstLine="560"/>
        <w:rPr>
          <w:rFonts w:ascii="宋体" w:hAnsi="宋体" w:cs="宋体"/>
          <w:sz w:val="28"/>
          <w:szCs w:val="28"/>
        </w:rPr>
      </w:pPr>
      <w:r>
        <w:rPr>
          <w:rFonts w:hint="eastAsia" w:ascii="宋体" w:hAnsi="宋体" w:cs="宋体"/>
          <w:sz w:val="28"/>
          <w:szCs w:val="28"/>
        </w:rPr>
        <w:t>2.9.3施工期间按须搭设满足机场施工管理要求的围挡并设置彩色高级喷绘，每天对施工区域打扫。</w:t>
      </w:r>
    </w:p>
    <w:p>
      <w:pPr>
        <w:rPr>
          <w:rFonts w:ascii="宋体" w:hAnsi="宋体" w:cs="宋体"/>
        </w:rPr>
      </w:pPr>
    </w:p>
    <w:bookmarkEnd w:id="9"/>
    <w:bookmarkEnd w:id="10"/>
    <w:bookmarkEnd w:id="11"/>
    <w:p>
      <w:pPr>
        <w:spacing w:line="360" w:lineRule="auto"/>
        <w:ind w:firstLine="560"/>
        <w:rPr>
          <w:rFonts w:ascii="宋体" w:hAnsi="宋体" w:cs="宋体"/>
          <w:snapToGrid w:val="0"/>
          <w:kern w:val="0"/>
        </w:rPr>
      </w:pPr>
      <w:r>
        <w:rPr>
          <w:rFonts w:hint="eastAsia" w:ascii="宋体" w:hAnsi="宋体" w:cs="宋体"/>
          <w:b/>
          <w:bCs/>
          <w:sz w:val="28"/>
          <w:szCs w:val="28"/>
        </w:rPr>
        <w:t xml:space="preserve">3、模拟施工图详附件  </w:t>
      </w:r>
      <w:r>
        <w:rPr>
          <w:rFonts w:hint="eastAsia" w:ascii="宋体" w:hAnsi="宋体" w:cs="宋体"/>
          <w:b/>
          <w:bCs/>
          <w:snapToGrid w:val="0"/>
          <w:kern w:val="0"/>
        </w:rPr>
        <w:t xml:space="preserve">   </w:t>
      </w:r>
      <w:r>
        <w:rPr>
          <w:rFonts w:hint="eastAsia" w:ascii="宋体" w:hAnsi="宋体" w:cs="宋体"/>
          <w:snapToGrid w:val="0"/>
          <w:kern w:val="0"/>
        </w:rPr>
        <w:t xml:space="preserve">                         </w:t>
      </w:r>
    </w:p>
    <w:p>
      <w:pPr>
        <w:rPr>
          <w:rFonts w:ascii="宋体" w:hAnsi="宋体" w:cs="宋体"/>
          <w:b/>
          <w:bCs/>
          <w:sz w:val="28"/>
          <w:szCs w:val="28"/>
        </w:rPr>
      </w:pPr>
      <w:r>
        <w:rPr>
          <w:rFonts w:hint="eastAsia" w:ascii="宋体" w:hAnsi="宋体" w:cs="宋体"/>
          <w:sz w:val="28"/>
          <w:szCs w:val="28"/>
        </w:rPr>
        <w:br w:type="page"/>
      </w:r>
    </w:p>
    <w:p>
      <w:pPr>
        <w:rPr>
          <w:rFonts w:ascii="宋体" w:hAnsi="宋体" w:cs="宋体"/>
          <w:b/>
          <w:bCs/>
          <w:sz w:val="28"/>
          <w:szCs w:val="28"/>
        </w:rPr>
      </w:pPr>
      <w:r>
        <w:rPr>
          <w:rFonts w:hint="eastAsia" w:ascii="宋体" w:hAnsi="宋体" w:cs="宋体"/>
          <w:b/>
          <w:bCs/>
          <w:sz w:val="28"/>
          <w:szCs w:val="28"/>
        </w:rPr>
        <w:t>附件5：考核方案</w:t>
      </w:r>
    </w:p>
    <w:p>
      <w:pPr>
        <w:tabs>
          <w:tab w:val="left" w:pos="1620"/>
        </w:tabs>
        <w:ind w:firstLine="600"/>
        <w:jc w:val="center"/>
        <w:rPr>
          <w:rFonts w:ascii="宋体" w:hAnsi="宋体" w:cs="宋体"/>
          <w:b/>
          <w:bCs/>
          <w:sz w:val="30"/>
          <w:szCs w:val="30"/>
        </w:rPr>
      </w:pPr>
      <w:r>
        <w:rPr>
          <w:rFonts w:hint="eastAsia" w:ascii="宋体" w:hAnsi="宋体" w:cs="宋体"/>
          <w:b/>
          <w:bCs/>
          <w:sz w:val="30"/>
          <w:szCs w:val="30"/>
        </w:rPr>
        <w:t>重庆机场信息通信网络有限公司小型弱电工程</w:t>
      </w:r>
    </w:p>
    <w:p>
      <w:pPr>
        <w:tabs>
          <w:tab w:val="left" w:pos="1620"/>
        </w:tabs>
        <w:ind w:firstLine="600"/>
        <w:jc w:val="center"/>
        <w:rPr>
          <w:rFonts w:ascii="宋体" w:hAnsi="宋体" w:cs="宋体"/>
          <w:b/>
          <w:bCs/>
          <w:sz w:val="30"/>
          <w:szCs w:val="30"/>
        </w:rPr>
      </w:pPr>
      <w:r>
        <w:rPr>
          <w:rFonts w:hint="eastAsia" w:ascii="宋体" w:hAnsi="宋体" w:cs="宋体"/>
          <w:b/>
          <w:bCs/>
          <w:sz w:val="30"/>
          <w:szCs w:val="30"/>
        </w:rPr>
        <w:t>项目供应商履约考核方案</w:t>
      </w:r>
    </w:p>
    <w:p>
      <w:pPr>
        <w:tabs>
          <w:tab w:val="left" w:pos="1620"/>
        </w:tabs>
        <w:ind w:firstLine="600"/>
        <w:rPr>
          <w:rFonts w:ascii="宋体" w:hAnsi="宋体" w:cs="宋体"/>
          <w:sz w:val="28"/>
          <w:szCs w:val="28"/>
        </w:rPr>
      </w:pPr>
      <w:r>
        <w:rPr>
          <w:rFonts w:hint="eastAsia" w:ascii="宋体" w:hAnsi="宋体" w:cs="宋体"/>
          <w:sz w:val="28"/>
          <w:szCs w:val="28"/>
        </w:rPr>
        <w:t>第一条 为提高信息通信网络公司小型弱电工程的供应商（以下简称“施工单位”）履约水平，规范履约考核行为，保证工程的安全和质量，进一步规范企业信用管理，结合信息通信网络公司项目实际，特制定本方案。</w:t>
      </w:r>
    </w:p>
    <w:p>
      <w:pPr>
        <w:tabs>
          <w:tab w:val="left" w:pos="1620"/>
        </w:tabs>
        <w:ind w:firstLine="600"/>
        <w:rPr>
          <w:rFonts w:ascii="宋体" w:hAnsi="宋体" w:cs="宋体"/>
          <w:sz w:val="28"/>
          <w:szCs w:val="28"/>
        </w:rPr>
      </w:pPr>
      <w:r>
        <w:rPr>
          <w:rFonts w:hint="eastAsia" w:ascii="宋体" w:hAnsi="宋体" w:cs="宋体"/>
          <w:sz w:val="28"/>
          <w:szCs w:val="28"/>
        </w:rPr>
        <w:t>第二条 由信息通信网络公司（以下简称“甲方”）委托的10万元以下小型弱电工程（以下简称“小型弱电工程”）入库的施工单位进行履约考核，适用本方案。</w:t>
      </w:r>
    </w:p>
    <w:p>
      <w:pPr>
        <w:tabs>
          <w:tab w:val="left" w:pos="1620"/>
        </w:tabs>
        <w:ind w:firstLine="600"/>
        <w:rPr>
          <w:rFonts w:ascii="宋体" w:hAnsi="宋体" w:cs="宋体"/>
          <w:sz w:val="28"/>
          <w:szCs w:val="28"/>
        </w:rPr>
      </w:pPr>
      <w:r>
        <w:rPr>
          <w:rFonts w:hint="eastAsia" w:ascii="宋体" w:hAnsi="宋体" w:cs="宋体"/>
          <w:sz w:val="28"/>
          <w:szCs w:val="28"/>
        </w:rPr>
        <w:t>第三条 信息通信网络公司项目工程部负责对小型弱电工程的施工单位履约考核活动进行监督和管理。</w:t>
      </w:r>
    </w:p>
    <w:p>
      <w:pPr>
        <w:tabs>
          <w:tab w:val="left" w:pos="1620"/>
        </w:tabs>
        <w:ind w:firstLine="600"/>
        <w:rPr>
          <w:rFonts w:ascii="宋体" w:hAnsi="宋体" w:cs="宋体"/>
          <w:sz w:val="28"/>
          <w:szCs w:val="28"/>
        </w:rPr>
      </w:pPr>
      <w:r>
        <w:rPr>
          <w:rFonts w:hint="eastAsia" w:ascii="宋体" w:hAnsi="宋体" w:cs="宋体"/>
          <w:sz w:val="28"/>
          <w:szCs w:val="28"/>
        </w:rPr>
        <w:t>第四条 施工单位履约考核是由信息通信网络公司工程建设管理部门（以下简称“考核部门”）按照考核标准对施工单位在项目管理过程中履约行为进行评价的方式。履约考核应当遵循客观、公平、公开和公正原则。</w:t>
      </w:r>
    </w:p>
    <w:p>
      <w:pPr>
        <w:tabs>
          <w:tab w:val="left" w:pos="1620"/>
        </w:tabs>
        <w:ind w:firstLine="600"/>
        <w:rPr>
          <w:rFonts w:ascii="宋体" w:hAnsi="宋体" w:cs="宋体"/>
          <w:sz w:val="28"/>
          <w:szCs w:val="28"/>
        </w:rPr>
      </w:pPr>
      <w:r>
        <w:rPr>
          <w:rFonts w:hint="eastAsia" w:ascii="宋体" w:hAnsi="宋体" w:cs="宋体"/>
          <w:sz w:val="28"/>
          <w:szCs w:val="28"/>
        </w:rPr>
        <w:t>第五条 对施工单位的履约考核是从项目机构人员到位、技术经济实力、工程实施过程安全、质量管理、工期控制、协调配合与服务等方面作出考核。具体详见《信息通信网络公司小型弱电工程施工单位履约评分表》（以下简称“《履约评分表》”）。</w:t>
      </w:r>
    </w:p>
    <w:p>
      <w:pPr>
        <w:tabs>
          <w:tab w:val="left" w:pos="1620"/>
        </w:tabs>
        <w:ind w:firstLine="600"/>
        <w:rPr>
          <w:rFonts w:ascii="宋体" w:hAnsi="宋体" w:cs="宋体"/>
          <w:sz w:val="28"/>
          <w:szCs w:val="28"/>
        </w:rPr>
      </w:pPr>
      <w:r>
        <w:rPr>
          <w:rFonts w:hint="eastAsia" w:ascii="宋体" w:hAnsi="宋体" w:cs="宋体"/>
          <w:sz w:val="28"/>
          <w:szCs w:val="28"/>
        </w:rPr>
        <w:t>第六条 履约考核</w:t>
      </w:r>
    </w:p>
    <w:p>
      <w:pPr>
        <w:tabs>
          <w:tab w:val="left" w:pos="1620"/>
        </w:tabs>
        <w:ind w:firstLine="600"/>
        <w:rPr>
          <w:rFonts w:ascii="宋体" w:hAnsi="宋体" w:cs="宋体"/>
          <w:sz w:val="28"/>
          <w:szCs w:val="28"/>
        </w:rPr>
      </w:pPr>
      <w:r>
        <w:rPr>
          <w:rFonts w:hint="eastAsia" w:ascii="宋体" w:hAnsi="宋体" w:cs="宋体"/>
          <w:sz w:val="28"/>
          <w:szCs w:val="28"/>
        </w:rPr>
        <w:t>《履约评分表》给出的施工单位单项合同工程履约考核结论按“优秀”（90分以上）、“合格”（80-90分）、“不合格”（80以下）三个等级划分。</w:t>
      </w:r>
    </w:p>
    <w:p>
      <w:pPr>
        <w:tabs>
          <w:tab w:val="left" w:pos="1620"/>
        </w:tabs>
        <w:ind w:firstLine="600"/>
        <w:rPr>
          <w:rFonts w:ascii="宋体" w:hAnsi="宋体" w:cs="宋体"/>
          <w:sz w:val="28"/>
          <w:szCs w:val="28"/>
        </w:rPr>
      </w:pPr>
      <w:r>
        <w:rPr>
          <w:rFonts w:hint="eastAsia" w:ascii="宋体" w:hAnsi="宋体" w:cs="宋体"/>
          <w:sz w:val="28"/>
          <w:szCs w:val="28"/>
        </w:rPr>
        <w:t xml:space="preserve">总分在90分以上为优秀； </w:t>
      </w:r>
    </w:p>
    <w:p>
      <w:pPr>
        <w:tabs>
          <w:tab w:val="left" w:pos="1620"/>
        </w:tabs>
        <w:ind w:firstLine="600"/>
        <w:rPr>
          <w:rFonts w:ascii="宋体" w:hAnsi="宋体" w:cs="宋体"/>
          <w:sz w:val="28"/>
          <w:szCs w:val="28"/>
        </w:rPr>
      </w:pPr>
      <w:r>
        <w:rPr>
          <w:rFonts w:hint="eastAsia" w:ascii="宋体" w:hAnsi="宋体" w:cs="宋体"/>
          <w:sz w:val="28"/>
          <w:szCs w:val="28"/>
        </w:rPr>
        <w:t xml:space="preserve">总分在80-90分为合格，施工单位应根据《履约评分表》扣分情况，积极总结经验，并拟定书面的整改措施； </w:t>
      </w:r>
    </w:p>
    <w:p>
      <w:pPr>
        <w:tabs>
          <w:tab w:val="left" w:pos="1620"/>
        </w:tabs>
        <w:ind w:firstLine="600"/>
        <w:rPr>
          <w:rFonts w:ascii="宋体" w:hAnsi="宋体" w:cs="宋体"/>
          <w:sz w:val="28"/>
          <w:szCs w:val="28"/>
        </w:rPr>
      </w:pPr>
      <w:r>
        <w:rPr>
          <w:rFonts w:hint="eastAsia" w:ascii="宋体" w:hAnsi="宋体" w:cs="宋体"/>
          <w:sz w:val="28"/>
          <w:szCs w:val="28"/>
        </w:rPr>
        <w:t>总分在80分以下为不合格，从被确认之日起暂停其小型弱电工程竞价资格6个月。</w:t>
      </w:r>
    </w:p>
    <w:p>
      <w:pPr>
        <w:pStyle w:val="45"/>
        <w:tabs>
          <w:tab w:val="left" w:pos="1554"/>
        </w:tabs>
        <w:spacing w:line="360" w:lineRule="auto"/>
        <w:ind w:firstLine="560" w:firstLineChars="200"/>
        <w:rPr>
          <w:lang w:val="en-US" w:eastAsia="zh-CN" w:bidi="ar-SA"/>
        </w:rPr>
      </w:pPr>
      <w:r>
        <w:rPr>
          <w:rFonts w:hint="eastAsia"/>
          <w:lang w:val="en-US" w:eastAsia="zh-CN" w:bidi="ar-SA"/>
        </w:rPr>
        <w:t>施工单位入库履约期间有两次考核为不合格的，甲方将终止与其签订的入库合同原则上三年内不予进入合格供应商库。</w:t>
      </w:r>
    </w:p>
    <w:p>
      <w:pPr>
        <w:adjustRightInd w:val="0"/>
        <w:snapToGrid w:val="0"/>
        <w:spacing w:line="594" w:lineRule="exact"/>
        <w:ind w:firstLine="560" w:firstLineChars="200"/>
        <w:jc w:val="left"/>
        <w:rPr>
          <w:rFonts w:ascii="宋体" w:hAnsi="宋体" w:cs="宋体"/>
          <w:sz w:val="28"/>
          <w:szCs w:val="28"/>
        </w:rPr>
      </w:pPr>
      <w:r>
        <w:rPr>
          <w:rFonts w:hint="eastAsia" w:ascii="宋体" w:hAnsi="宋体" w:cs="宋体"/>
          <w:sz w:val="28"/>
          <w:szCs w:val="28"/>
        </w:rPr>
        <w:t>合同顺延：若</w:t>
      </w:r>
      <w:r>
        <w:rPr>
          <w:rFonts w:hint="eastAsia" w:cs="宋体"/>
          <w:sz w:val="28"/>
          <w:szCs w:val="28"/>
        </w:rPr>
        <w:t>施工单位</w:t>
      </w:r>
      <w:r>
        <w:rPr>
          <w:rFonts w:hint="eastAsia" w:ascii="宋体" w:hAnsi="宋体" w:cs="宋体"/>
          <w:sz w:val="28"/>
          <w:szCs w:val="28"/>
        </w:rPr>
        <w:t>在履约期间考核评价（至少完成两个（含）以上的项目）均为</w:t>
      </w:r>
      <w:r>
        <w:rPr>
          <w:rFonts w:hint="eastAsia" w:ascii="宋体" w:hAnsi="宋体" w:cs="宋体"/>
          <w:sz w:val="28"/>
          <w:szCs w:val="28"/>
          <w:lang w:val="zh-CN"/>
        </w:rPr>
        <w:t>“优</w:t>
      </w:r>
      <w:r>
        <w:rPr>
          <w:rFonts w:hint="eastAsia" w:ascii="宋体" w:hAnsi="宋体" w:cs="宋体"/>
          <w:sz w:val="28"/>
          <w:szCs w:val="28"/>
        </w:rPr>
        <w:t>秀”，且在合同到期前三个月内实施的项目无重大过失。在</w:t>
      </w:r>
      <w:r>
        <w:rPr>
          <w:rFonts w:hint="eastAsia" w:cs="宋体"/>
          <w:sz w:val="28"/>
          <w:szCs w:val="28"/>
        </w:rPr>
        <w:t>施工单位</w:t>
      </w:r>
      <w:r>
        <w:rPr>
          <w:rFonts w:hint="eastAsia" w:ascii="宋体" w:hAnsi="宋体" w:cs="宋体"/>
          <w:sz w:val="28"/>
          <w:szCs w:val="28"/>
        </w:rPr>
        <w:t>自愿的情况下，可自动成为下一轮入库合格供应商（需重新签订合同）。</w:t>
      </w:r>
    </w:p>
    <w:p>
      <w:pPr>
        <w:adjustRightInd w:val="0"/>
        <w:snapToGrid w:val="0"/>
        <w:spacing w:line="594" w:lineRule="exact"/>
        <w:ind w:firstLine="560" w:firstLineChars="200"/>
        <w:jc w:val="left"/>
        <w:rPr>
          <w:rFonts w:ascii="宋体" w:hAnsi="宋体" w:cs="宋体"/>
          <w:sz w:val="28"/>
          <w:szCs w:val="28"/>
        </w:rPr>
      </w:pPr>
      <w:r>
        <w:rPr>
          <w:rFonts w:hint="eastAsia" w:ascii="宋体" w:hAnsi="宋体" w:cs="宋体"/>
          <w:sz w:val="28"/>
          <w:szCs w:val="28"/>
        </w:rPr>
        <w:t>对于供应商库中一年内未参与过实际服务的单位，年度评价结果原则上为合格。</w:t>
      </w:r>
    </w:p>
    <w:p>
      <w:pPr>
        <w:tabs>
          <w:tab w:val="left" w:pos="1620"/>
        </w:tabs>
        <w:ind w:firstLine="600"/>
        <w:rPr>
          <w:rFonts w:ascii="宋体" w:hAnsi="宋体" w:cs="宋体"/>
          <w:sz w:val="28"/>
          <w:szCs w:val="28"/>
        </w:rPr>
      </w:pPr>
      <w:r>
        <w:rPr>
          <w:rFonts w:hint="eastAsia" w:ascii="宋体" w:hAnsi="宋体" w:cs="宋体"/>
          <w:sz w:val="28"/>
          <w:szCs w:val="28"/>
        </w:rPr>
        <w:t>第七条 履约考核期其他要求：</w:t>
      </w:r>
    </w:p>
    <w:p>
      <w:pPr>
        <w:adjustRightInd w:val="0"/>
        <w:snapToGrid w:val="0"/>
        <w:spacing w:line="594" w:lineRule="exact"/>
        <w:ind w:firstLine="560" w:firstLineChars="200"/>
        <w:jc w:val="left"/>
        <w:rPr>
          <w:rFonts w:ascii="宋体" w:hAnsi="宋体" w:cs="宋体"/>
          <w:sz w:val="28"/>
          <w:szCs w:val="28"/>
        </w:rPr>
      </w:pPr>
      <w:r>
        <w:rPr>
          <w:rFonts w:hint="eastAsia" w:ascii="宋体" w:hAnsi="宋体" w:cs="宋体"/>
          <w:sz w:val="28"/>
          <w:szCs w:val="28"/>
        </w:rPr>
        <w:t>7.1 因乙方原因竞价成功后不签订施工合同或签订施工合同后拒绝实施的，甲方有权终止入库合同，并将该施工单位列入黑名单，从被确认之日起3年（36个月）内，取消其参与信息通信网络公司响应资格。并按标书、合同相关条款处以违约金；</w:t>
      </w:r>
    </w:p>
    <w:p>
      <w:pPr>
        <w:tabs>
          <w:tab w:val="left" w:pos="1620"/>
        </w:tabs>
        <w:ind w:firstLine="560" w:firstLineChars="200"/>
        <w:rPr>
          <w:rFonts w:ascii="宋体" w:hAnsi="宋体" w:cs="宋体"/>
          <w:sz w:val="28"/>
          <w:szCs w:val="28"/>
        </w:rPr>
      </w:pPr>
      <w:r>
        <w:rPr>
          <w:rFonts w:hint="eastAsia" w:ascii="宋体" w:hAnsi="宋体" w:cs="宋体"/>
          <w:sz w:val="28"/>
          <w:szCs w:val="28"/>
        </w:rPr>
        <w:t>7.2 乙方连续三次不参加甲方发出的单个工程建设项目竞价，暂停其参与小型弱电工程竞价6个月；</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7.3甲方有权按照服务考核结果，提出撤换自身条件或工作表现不合标准的管理人员。</w:t>
      </w:r>
    </w:p>
    <w:p>
      <w:pPr>
        <w:tabs>
          <w:tab w:val="left" w:pos="1620"/>
        </w:tabs>
        <w:ind w:firstLine="560" w:firstLineChars="200"/>
        <w:rPr>
          <w:rFonts w:ascii="宋体" w:hAnsi="宋体" w:cs="宋体"/>
          <w:sz w:val="28"/>
          <w:szCs w:val="28"/>
        </w:rPr>
      </w:pPr>
      <w:r>
        <w:rPr>
          <w:rFonts w:hint="eastAsia" w:ascii="宋体" w:hAnsi="宋体" w:cs="宋体"/>
          <w:sz w:val="28"/>
          <w:szCs w:val="28"/>
        </w:rPr>
        <w:t>第八条</w:t>
      </w:r>
      <w:r>
        <w:rPr>
          <w:rFonts w:hint="eastAsia" w:ascii="宋体" w:hAnsi="宋体" w:cs="宋体"/>
          <w:b/>
          <w:bCs/>
          <w:sz w:val="28"/>
          <w:szCs w:val="28"/>
        </w:rPr>
        <w:t xml:space="preserve"> </w:t>
      </w:r>
      <w:r>
        <w:rPr>
          <w:rFonts w:hint="eastAsia" w:ascii="宋体" w:hAnsi="宋体" w:cs="宋体"/>
          <w:sz w:val="28"/>
          <w:szCs w:val="28"/>
        </w:rPr>
        <w:t xml:space="preserve">考核部门应在项目竣工验收合格之日起10个工作日内完成《履约评分表》，并通知施工单位。若施工单位对《履约评分表》有不同意见的，应接收到《履约评分表》5个工作日内（超过该时限将默认认可），向考核部门提交《 施工单位履约考核申诉调查表》（以下简称“《申诉调查                                                                                                                                      表》” ），由考核部门在3个工作日内给出书面回复，同时对需要撤销或变更的扣分或不良行为记录予以撤销或变更。 </w:t>
      </w:r>
    </w:p>
    <w:p>
      <w:pPr>
        <w:tabs>
          <w:tab w:val="left" w:pos="1620"/>
        </w:tabs>
        <w:ind w:firstLine="560" w:firstLineChars="200"/>
        <w:rPr>
          <w:rFonts w:ascii="宋体" w:hAnsi="宋体" w:cs="宋体"/>
          <w:sz w:val="28"/>
          <w:szCs w:val="28"/>
        </w:rPr>
      </w:pPr>
      <w:r>
        <w:rPr>
          <w:rFonts w:hint="eastAsia" w:ascii="宋体" w:hAnsi="宋体" w:cs="宋体"/>
          <w:sz w:val="28"/>
          <w:szCs w:val="28"/>
        </w:rPr>
        <w:t>第九条</w:t>
      </w:r>
      <w:r>
        <w:rPr>
          <w:rFonts w:hint="eastAsia" w:ascii="宋体" w:hAnsi="宋体" w:cs="宋体"/>
          <w:b/>
          <w:bCs/>
          <w:sz w:val="28"/>
          <w:szCs w:val="28"/>
        </w:rPr>
        <w:t xml:space="preserve"> </w:t>
      </w:r>
      <w:r>
        <w:rPr>
          <w:rFonts w:hint="eastAsia" w:ascii="宋体" w:hAnsi="宋体" w:cs="宋体"/>
          <w:sz w:val="28"/>
          <w:szCs w:val="28"/>
        </w:rPr>
        <w:t>单个工程建设项目的《履约评分表》、《申诉调查表》完成后，由信息通信网络公司项目工程部留存，作为施工单位考评、处罚的重要依据。若有罚款，施工单位应于收到处罚通知后10个工作日内缴纳，若逾期每天将按罚金的百分之五累计，罚款未缴清前，将暂停其小型弱电工程响应资格。</w:t>
      </w:r>
    </w:p>
    <w:p>
      <w:pPr>
        <w:tabs>
          <w:tab w:val="left" w:pos="1620"/>
        </w:tabs>
        <w:ind w:firstLine="560" w:firstLineChars="200"/>
        <w:rPr>
          <w:rFonts w:ascii="宋体" w:hAnsi="宋体" w:cs="宋体"/>
          <w:sz w:val="28"/>
          <w:szCs w:val="28"/>
        </w:rPr>
      </w:pPr>
      <w:r>
        <w:rPr>
          <w:rFonts w:hint="eastAsia" w:ascii="宋体" w:hAnsi="宋体" w:cs="宋体"/>
          <w:sz w:val="28"/>
          <w:szCs w:val="28"/>
        </w:rPr>
        <w:t>第十条 本方案中“以上”含本数，“以下”不含本数。</w:t>
      </w:r>
    </w:p>
    <w:p>
      <w:pPr>
        <w:tabs>
          <w:tab w:val="left" w:pos="1620"/>
        </w:tabs>
        <w:ind w:firstLine="900"/>
        <w:rPr>
          <w:rFonts w:ascii="宋体" w:hAnsi="宋体" w:cs="宋体"/>
          <w:sz w:val="28"/>
          <w:szCs w:val="28"/>
        </w:rPr>
      </w:pPr>
      <w:r>
        <w:rPr>
          <w:rFonts w:hint="eastAsia" w:ascii="宋体" w:hAnsi="宋体" w:cs="宋体"/>
          <w:sz w:val="28"/>
          <w:szCs w:val="28"/>
        </w:rPr>
        <w:t>附件（1）:《信息通信网络公司小型弱电工程施工单位履约评分表》</w:t>
      </w:r>
    </w:p>
    <w:p>
      <w:pPr>
        <w:tabs>
          <w:tab w:val="left" w:pos="1620"/>
        </w:tabs>
        <w:ind w:firstLine="840" w:firstLineChars="300"/>
        <w:rPr>
          <w:rFonts w:ascii="宋体" w:hAnsi="宋体" w:cs="宋体"/>
          <w:sz w:val="28"/>
          <w:szCs w:val="28"/>
        </w:rPr>
      </w:pPr>
      <w:r>
        <w:rPr>
          <w:rFonts w:hint="eastAsia" w:ascii="宋体" w:hAnsi="宋体" w:cs="宋体"/>
          <w:sz w:val="28"/>
          <w:szCs w:val="28"/>
        </w:rPr>
        <w:t>附件（2）:《施工单位履约考核申诉调查表》</w:t>
      </w:r>
    </w:p>
    <w:p>
      <w:pPr>
        <w:widowControl/>
        <w:tabs>
          <w:tab w:val="left" w:pos="1620"/>
        </w:tabs>
        <w:jc w:val="left"/>
        <w:rPr>
          <w:rFonts w:ascii="宋体" w:hAnsi="宋体" w:cs="宋体"/>
          <w:sz w:val="28"/>
          <w:szCs w:val="28"/>
        </w:rPr>
        <w:sectPr>
          <w:pgSz w:w="11906" w:h="16838"/>
          <w:pgMar w:top="1440" w:right="1304" w:bottom="1134" w:left="1304" w:header="851" w:footer="992" w:gutter="0"/>
          <w:cols w:space="720" w:num="1"/>
          <w:docGrid w:type="lines" w:linePitch="312" w:charSpace="0"/>
        </w:sectPr>
      </w:pPr>
    </w:p>
    <w:tbl>
      <w:tblPr>
        <w:tblStyle w:val="18"/>
        <w:tblW w:w="10318" w:type="dxa"/>
        <w:tblInd w:w="-850" w:type="dxa"/>
        <w:tblLayout w:type="fixed"/>
        <w:tblCellMar>
          <w:top w:w="0" w:type="dxa"/>
          <w:left w:w="108" w:type="dxa"/>
          <w:bottom w:w="0" w:type="dxa"/>
          <w:right w:w="108" w:type="dxa"/>
        </w:tblCellMar>
      </w:tblPr>
      <w:tblGrid>
        <w:gridCol w:w="456"/>
        <w:gridCol w:w="682"/>
        <w:gridCol w:w="1080"/>
        <w:gridCol w:w="720"/>
        <w:gridCol w:w="2340"/>
        <w:gridCol w:w="1260"/>
        <w:gridCol w:w="3184"/>
        <w:gridCol w:w="596"/>
      </w:tblGrid>
      <w:tr>
        <w:tblPrEx>
          <w:tblCellMar>
            <w:top w:w="0" w:type="dxa"/>
            <w:left w:w="108" w:type="dxa"/>
            <w:bottom w:w="0" w:type="dxa"/>
            <w:right w:w="108" w:type="dxa"/>
          </w:tblCellMar>
        </w:tblPrEx>
        <w:trPr>
          <w:trHeight w:val="525" w:hRule="atLeast"/>
        </w:trPr>
        <w:tc>
          <w:tcPr>
            <w:tcW w:w="10318" w:type="dxa"/>
            <w:gridSpan w:val="8"/>
            <w:tcBorders>
              <w:top w:val="nil"/>
              <w:left w:val="nil"/>
              <w:bottom w:val="single" w:color="auto" w:sz="4" w:space="0"/>
              <w:right w:val="nil"/>
            </w:tcBorders>
            <w:vAlign w:val="center"/>
          </w:tcPr>
          <w:p>
            <w:pPr>
              <w:tabs>
                <w:tab w:val="left" w:pos="1620"/>
              </w:tabs>
              <w:spacing w:line="300" w:lineRule="exact"/>
              <w:rPr>
                <w:rFonts w:ascii="宋体" w:hAnsi="宋体" w:cs="宋体"/>
                <w:b/>
                <w:bCs/>
                <w:kern w:val="0"/>
                <w:sz w:val="24"/>
              </w:rPr>
            </w:pPr>
            <w:r>
              <w:rPr>
                <w:rFonts w:hint="eastAsia" w:ascii="宋体" w:hAnsi="宋体" w:cs="宋体"/>
                <w:sz w:val="24"/>
              </w:rPr>
              <w:t>附件（1）</w:t>
            </w:r>
          </w:p>
          <w:p>
            <w:pPr>
              <w:widowControl/>
              <w:tabs>
                <w:tab w:val="left" w:pos="1161"/>
                <w:tab w:val="left" w:pos="1620"/>
              </w:tabs>
              <w:spacing w:line="240" w:lineRule="exact"/>
              <w:jc w:val="left"/>
              <w:rPr>
                <w:rFonts w:ascii="宋体" w:hAnsi="宋体" w:cs="宋体"/>
                <w:sz w:val="30"/>
                <w:szCs w:val="30"/>
              </w:rPr>
            </w:pPr>
            <w:r>
              <w:rPr>
                <w:rFonts w:hint="eastAsia" w:ascii="宋体" w:hAnsi="宋体" w:cs="宋体"/>
                <w:sz w:val="30"/>
                <w:szCs w:val="30"/>
              </w:rPr>
              <w:tab/>
            </w:r>
            <w:r>
              <w:rPr>
                <w:rFonts w:hint="eastAsia" w:ascii="宋体" w:hAnsi="宋体" w:cs="宋体"/>
                <w:sz w:val="30"/>
                <w:szCs w:val="30"/>
              </w:rPr>
              <w:tab/>
            </w:r>
          </w:p>
          <w:p>
            <w:pPr>
              <w:widowControl/>
              <w:tabs>
                <w:tab w:val="left" w:pos="1620"/>
              </w:tabs>
              <w:spacing w:line="240" w:lineRule="exact"/>
              <w:jc w:val="center"/>
              <w:rPr>
                <w:rFonts w:ascii="宋体" w:hAnsi="宋体" w:cs="宋体"/>
                <w:sz w:val="36"/>
                <w:szCs w:val="36"/>
              </w:rPr>
            </w:pPr>
          </w:p>
          <w:p>
            <w:pPr>
              <w:widowControl/>
              <w:tabs>
                <w:tab w:val="left" w:pos="1620"/>
              </w:tabs>
              <w:spacing w:line="360" w:lineRule="auto"/>
              <w:jc w:val="center"/>
              <w:rPr>
                <w:rFonts w:ascii="宋体" w:hAnsi="宋体" w:cs="宋体"/>
                <w:b/>
                <w:bCs/>
                <w:kern w:val="0"/>
                <w:sz w:val="36"/>
                <w:szCs w:val="36"/>
              </w:rPr>
            </w:pPr>
            <w:r>
              <w:rPr>
                <w:rFonts w:hint="eastAsia" w:ascii="宋体" w:hAnsi="宋体" w:cs="宋体"/>
                <w:sz w:val="36"/>
                <w:szCs w:val="36"/>
              </w:rPr>
              <w:t>信息通信网络公司小型弱电工程施工单位履约评分表</w:t>
            </w:r>
          </w:p>
        </w:tc>
      </w:tr>
      <w:tr>
        <w:tblPrEx>
          <w:tblCellMar>
            <w:top w:w="0" w:type="dxa"/>
            <w:left w:w="108" w:type="dxa"/>
            <w:bottom w:w="0" w:type="dxa"/>
            <w:right w:w="108" w:type="dxa"/>
          </w:tblCellMar>
        </w:tblPrEx>
        <w:trPr>
          <w:trHeight w:val="359" w:hRule="atLeast"/>
        </w:trPr>
        <w:tc>
          <w:tcPr>
            <w:tcW w:w="113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620"/>
              </w:tabs>
              <w:rPr>
                <w:rFonts w:ascii="宋体" w:hAnsi="宋体" w:cs="宋体"/>
                <w:b/>
                <w:kern w:val="0"/>
                <w:sz w:val="18"/>
                <w:szCs w:val="18"/>
              </w:rPr>
            </w:pPr>
            <w:r>
              <w:rPr>
                <w:rFonts w:hint="eastAsia" w:ascii="宋体" w:hAnsi="宋体" w:cs="宋体"/>
                <w:b/>
                <w:kern w:val="0"/>
                <w:sz w:val="18"/>
                <w:szCs w:val="18"/>
              </w:rPr>
              <w:t>工程名称</w:t>
            </w:r>
          </w:p>
        </w:tc>
        <w:tc>
          <w:tcPr>
            <w:tcW w:w="414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1620"/>
              </w:tabs>
              <w:rPr>
                <w:rFonts w:ascii="宋体" w:hAnsi="宋体" w:cs="宋体"/>
                <w:b/>
                <w:kern w:val="0"/>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left" w:pos="1620"/>
              </w:tabs>
              <w:rPr>
                <w:rFonts w:ascii="宋体" w:hAnsi="宋体" w:cs="宋体"/>
                <w:b/>
                <w:kern w:val="0"/>
                <w:sz w:val="18"/>
                <w:szCs w:val="18"/>
              </w:rPr>
            </w:pPr>
            <w:r>
              <w:rPr>
                <w:rFonts w:hint="eastAsia" w:ascii="宋体" w:hAnsi="宋体" w:cs="宋体"/>
                <w:b/>
                <w:kern w:val="0"/>
                <w:sz w:val="18"/>
                <w:szCs w:val="18"/>
              </w:rPr>
              <w:t>施工单位</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620"/>
              </w:tabs>
              <w:rPr>
                <w:rFonts w:ascii="宋体" w:hAnsi="宋体" w:cs="宋体"/>
                <w:b/>
                <w:kern w:val="0"/>
                <w:sz w:val="18"/>
                <w:szCs w:val="18"/>
              </w:rPr>
            </w:pPr>
          </w:p>
        </w:tc>
      </w:tr>
      <w:tr>
        <w:tblPrEx>
          <w:tblCellMar>
            <w:top w:w="0" w:type="dxa"/>
            <w:left w:w="108" w:type="dxa"/>
            <w:bottom w:w="0" w:type="dxa"/>
            <w:right w:w="108" w:type="dxa"/>
          </w:tblCellMar>
        </w:tblPrEx>
        <w:trPr>
          <w:trHeight w:val="351" w:hRule="atLeast"/>
        </w:trPr>
        <w:tc>
          <w:tcPr>
            <w:tcW w:w="1138" w:type="dxa"/>
            <w:gridSpan w:val="2"/>
            <w:tcBorders>
              <w:top w:val="single" w:color="auto" w:sz="4" w:space="0"/>
              <w:left w:val="single" w:color="auto" w:sz="8" w:space="0"/>
              <w:bottom w:val="single" w:color="auto" w:sz="4" w:space="0"/>
              <w:right w:val="single" w:color="auto" w:sz="4" w:space="0"/>
            </w:tcBorders>
            <w:vAlign w:val="center"/>
          </w:tcPr>
          <w:p>
            <w:pPr>
              <w:widowControl/>
              <w:tabs>
                <w:tab w:val="left" w:pos="1620"/>
              </w:tabs>
              <w:spacing w:line="240" w:lineRule="exact"/>
              <w:rPr>
                <w:rFonts w:ascii="宋体" w:hAnsi="宋体" w:cs="宋体"/>
                <w:b/>
                <w:kern w:val="0"/>
                <w:sz w:val="18"/>
                <w:szCs w:val="18"/>
              </w:rPr>
            </w:pPr>
            <w:r>
              <w:rPr>
                <w:rFonts w:hint="eastAsia" w:ascii="宋体" w:hAnsi="宋体" w:cs="宋体"/>
                <w:b/>
                <w:kern w:val="0"/>
                <w:sz w:val="18"/>
                <w:szCs w:val="18"/>
              </w:rPr>
              <w:t>考核部门</w:t>
            </w:r>
          </w:p>
        </w:tc>
        <w:tc>
          <w:tcPr>
            <w:tcW w:w="9180" w:type="dxa"/>
            <w:gridSpan w:val="6"/>
            <w:tcBorders>
              <w:top w:val="single" w:color="auto" w:sz="4" w:space="0"/>
              <w:left w:val="nil"/>
              <w:bottom w:val="single" w:color="auto" w:sz="4" w:space="0"/>
              <w:right w:val="single" w:color="auto" w:sz="8" w:space="0"/>
            </w:tcBorders>
            <w:vAlign w:val="center"/>
          </w:tcPr>
          <w:p>
            <w:pPr>
              <w:widowControl/>
              <w:tabs>
                <w:tab w:val="left" w:pos="1620"/>
              </w:tabs>
              <w:spacing w:line="240" w:lineRule="exact"/>
              <w:rPr>
                <w:rFonts w:ascii="宋体" w:hAnsi="宋体" w:cs="宋体"/>
                <w:b/>
                <w:kern w:val="0"/>
                <w:sz w:val="18"/>
                <w:szCs w:val="18"/>
              </w:rPr>
            </w:pPr>
          </w:p>
        </w:tc>
      </w:tr>
      <w:tr>
        <w:tblPrEx>
          <w:tblCellMar>
            <w:top w:w="0" w:type="dxa"/>
            <w:left w:w="108" w:type="dxa"/>
            <w:bottom w:w="0" w:type="dxa"/>
            <w:right w:w="108" w:type="dxa"/>
          </w:tblCellMar>
        </w:tblPrEx>
        <w:trPr>
          <w:trHeight w:val="570" w:hRule="atLeast"/>
        </w:trPr>
        <w:tc>
          <w:tcPr>
            <w:tcW w:w="456" w:type="dxa"/>
            <w:tcBorders>
              <w:top w:val="single" w:color="auto" w:sz="4" w:space="0"/>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18"/>
                <w:szCs w:val="18"/>
              </w:rPr>
            </w:pPr>
            <w:r>
              <w:rPr>
                <w:rFonts w:hint="eastAsia" w:ascii="宋体" w:hAnsi="宋体" w:cs="宋体"/>
                <w:b/>
                <w:kern w:val="0"/>
                <w:sz w:val="18"/>
                <w:szCs w:val="18"/>
              </w:rPr>
              <w:t>序</w:t>
            </w:r>
            <w:r>
              <w:rPr>
                <w:rFonts w:hint="eastAsia" w:ascii="宋体" w:hAnsi="宋体" w:cs="宋体"/>
                <w:b/>
                <w:kern w:val="0"/>
                <w:sz w:val="18"/>
                <w:szCs w:val="18"/>
              </w:rPr>
              <w:br w:type="textWrapping"/>
            </w:r>
            <w:r>
              <w:rPr>
                <w:rFonts w:hint="eastAsia" w:ascii="宋体" w:hAnsi="宋体" w:cs="宋体"/>
                <w:b/>
                <w:kern w:val="0"/>
                <w:sz w:val="18"/>
                <w:szCs w:val="18"/>
              </w:rPr>
              <w:t>号</w:t>
            </w:r>
          </w:p>
        </w:tc>
        <w:tc>
          <w:tcPr>
            <w:tcW w:w="1762" w:type="dxa"/>
            <w:gridSpan w:val="2"/>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18"/>
                <w:szCs w:val="18"/>
              </w:rPr>
            </w:pPr>
            <w:r>
              <w:rPr>
                <w:rFonts w:hint="eastAsia" w:ascii="宋体" w:hAnsi="宋体" w:cs="宋体"/>
                <w:b/>
                <w:kern w:val="0"/>
                <w:sz w:val="18"/>
                <w:szCs w:val="18"/>
              </w:rPr>
              <w:t>分 项</w:t>
            </w:r>
          </w:p>
          <w:p>
            <w:pPr>
              <w:widowControl/>
              <w:tabs>
                <w:tab w:val="left" w:pos="1620"/>
              </w:tabs>
              <w:spacing w:line="240" w:lineRule="exact"/>
              <w:jc w:val="center"/>
              <w:rPr>
                <w:rFonts w:ascii="宋体" w:hAnsi="宋体" w:cs="宋体"/>
                <w:b/>
                <w:kern w:val="0"/>
                <w:sz w:val="18"/>
                <w:szCs w:val="18"/>
              </w:rPr>
            </w:pPr>
            <w:r>
              <w:rPr>
                <w:rFonts w:hint="eastAsia" w:ascii="宋体" w:hAnsi="宋体" w:cs="宋体"/>
                <w:b/>
                <w:kern w:val="0"/>
                <w:sz w:val="18"/>
                <w:szCs w:val="18"/>
              </w:rPr>
              <w:t>内 容</w:t>
            </w:r>
          </w:p>
        </w:tc>
        <w:tc>
          <w:tcPr>
            <w:tcW w:w="720" w:type="dxa"/>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18"/>
                <w:szCs w:val="18"/>
              </w:rPr>
            </w:pPr>
            <w:r>
              <w:rPr>
                <w:rFonts w:hint="eastAsia" w:ascii="宋体" w:hAnsi="宋体" w:cs="宋体"/>
                <w:b/>
                <w:kern w:val="0"/>
                <w:sz w:val="18"/>
                <w:szCs w:val="18"/>
              </w:rPr>
              <w:t>满分分值</w:t>
            </w: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18"/>
                <w:szCs w:val="18"/>
              </w:rPr>
            </w:pPr>
            <w:r>
              <w:rPr>
                <w:rFonts w:hint="eastAsia" w:ascii="宋体" w:hAnsi="宋体" w:cs="宋体"/>
                <w:b/>
                <w:kern w:val="0"/>
                <w:sz w:val="18"/>
                <w:szCs w:val="18"/>
              </w:rPr>
              <w:t>评   价   标   准</w:t>
            </w:r>
          </w:p>
        </w:tc>
        <w:tc>
          <w:tcPr>
            <w:tcW w:w="596" w:type="dxa"/>
            <w:tcBorders>
              <w:top w:val="single" w:color="auto" w:sz="4" w:space="0"/>
              <w:left w:val="nil"/>
              <w:bottom w:val="single" w:color="auto" w:sz="4" w:space="0"/>
              <w:right w:val="single" w:color="auto" w:sz="8" w:space="0"/>
            </w:tcBorders>
            <w:vAlign w:val="center"/>
          </w:tcPr>
          <w:p>
            <w:pPr>
              <w:widowControl/>
              <w:tabs>
                <w:tab w:val="left" w:pos="1620"/>
              </w:tabs>
              <w:spacing w:line="240" w:lineRule="exact"/>
              <w:jc w:val="center"/>
              <w:rPr>
                <w:rFonts w:ascii="宋体" w:hAnsi="宋体" w:cs="宋体"/>
                <w:b/>
                <w:kern w:val="0"/>
                <w:sz w:val="18"/>
                <w:szCs w:val="18"/>
              </w:rPr>
            </w:pPr>
            <w:r>
              <w:rPr>
                <w:rFonts w:hint="eastAsia" w:ascii="宋体" w:hAnsi="宋体" w:cs="宋体"/>
                <w:b/>
                <w:kern w:val="0"/>
                <w:sz w:val="18"/>
                <w:szCs w:val="18"/>
              </w:rPr>
              <w:t>得分</w:t>
            </w:r>
          </w:p>
        </w:tc>
      </w:tr>
      <w:tr>
        <w:tblPrEx>
          <w:tblCellMar>
            <w:top w:w="0" w:type="dxa"/>
            <w:left w:w="108" w:type="dxa"/>
            <w:bottom w:w="0" w:type="dxa"/>
            <w:right w:w="108" w:type="dxa"/>
          </w:tblCellMar>
        </w:tblPrEx>
        <w:trPr>
          <w:trHeight w:val="295" w:hRule="atLeast"/>
        </w:trPr>
        <w:tc>
          <w:tcPr>
            <w:tcW w:w="456" w:type="dxa"/>
            <w:tcBorders>
              <w:top w:val="nil"/>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一</w:t>
            </w:r>
          </w:p>
        </w:tc>
        <w:tc>
          <w:tcPr>
            <w:tcW w:w="1762" w:type="dxa"/>
            <w:gridSpan w:val="2"/>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b/>
                <w:kern w:val="0"/>
                <w:sz w:val="22"/>
                <w:szCs w:val="22"/>
              </w:rPr>
            </w:pPr>
            <w:r>
              <w:rPr>
                <w:rFonts w:hint="eastAsia" w:ascii="宋体" w:hAnsi="宋体" w:cs="宋体"/>
                <w:b/>
                <w:kern w:val="0"/>
                <w:sz w:val="22"/>
                <w:szCs w:val="22"/>
              </w:rPr>
              <w:t>机构人员配备</w:t>
            </w:r>
          </w:p>
        </w:tc>
        <w:tc>
          <w:tcPr>
            <w:tcW w:w="720" w:type="dxa"/>
            <w:tcBorders>
              <w:top w:val="nil"/>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15</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24"/>
              </w:rPr>
            </w:pPr>
            <w:r>
              <w:rPr>
                <w:rFonts w:hint="eastAsia" w:ascii="宋体" w:hAnsi="宋体" w:cs="宋体"/>
                <w:kern w:val="0"/>
                <w:sz w:val="24"/>
              </w:rPr>
              <w:t>　</w:t>
            </w:r>
          </w:p>
        </w:tc>
        <w:tc>
          <w:tcPr>
            <w:tcW w:w="596" w:type="dxa"/>
            <w:tcBorders>
              <w:top w:val="nil"/>
              <w:left w:val="nil"/>
              <w:bottom w:val="single" w:color="auto" w:sz="4" w:space="0"/>
              <w:right w:val="single" w:color="auto" w:sz="8" w:space="0"/>
            </w:tcBorders>
            <w:vAlign w:val="center"/>
          </w:tcPr>
          <w:p>
            <w:pPr>
              <w:widowControl/>
              <w:tabs>
                <w:tab w:val="left" w:pos="1620"/>
              </w:tabs>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2" w:hRule="atLeast"/>
        </w:trPr>
        <w:tc>
          <w:tcPr>
            <w:tcW w:w="456" w:type="dxa"/>
            <w:vMerge w:val="restart"/>
            <w:tcBorders>
              <w:top w:val="nil"/>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762" w:type="dxa"/>
            <w:gridSpan w:val="2"/>
            <w:vMerge w:val="restart"/>
            <w:tcBorders>
              <w:top w:val="nil"/>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项目现场负责人要求</w:t>
            </w:r>
          </w:p>
        </w:tc>
        <w:tc>
          <w:tcPr>
            <w:tcW w:w="720" w:type="dxa"/>
            <w:vMerge w:val="restart"/>
            <w:tcBorders>
              <w:top w:val="nil"/>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配备固定的项目现场负责人且该项目现场负责人具有高度的责任心、优秀的组织协调能力和专业的业务水平（5-6分）；</w:t>
            </w:r>
          </w:p>
        </w:tc>
        <w:tc>
          <w:tcPr>
            <w:tcW w:w="596" w:type="dxa"/>
            <w:vMerge w:val="restart"/>
            <w:tcBorders>
              <w:top w:val="nil"/>
              <w:left w:val="nil"/>
              <w:right w:val="single" w:color="auto" w:sz="8" w:space="0"/>
            </w:tcBorders>
            <w:vAlign w:val="center"/>
          </w:tcPr>
          <w:p>
            <w:pPr>
              <w:widowControl/>
              <w:tabs>
                <w:tab w:val="left" w:pos="1620"/>
              </w:tabs>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6"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配备固定的项目现场负责人且该项目现场负责人具有一定的责任心、基本优秀的组织协调能力和基本专业的业务水平（1-4分）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289"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配备的项目现场负责人不固定或该项目现场负责人无责任心、组织协调能力和专业的业务水平不满足要求（0分）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382" w:hRule="atLeast"/>
        </w:trPr>
        <w:tc>
          <w:tcPr>
            <w:tcW w:w="456" w:type="dxa"/>
            <w:vMerge w:val="restart"/>
            <w:tcBorders>
              <w:top w:val="nil"/>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762" w:type="dxa"/>
            <w:gridSpan w:val="2"/>
            <w:vMerge w:val="restart"/>
            <w:tcBorders>
              <w:top w:val="nil"/>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其他管理人员要求</w:t>
            </w:r>
          </w:p>
        </w:tc>
        <w:tc>
          <w:tcPr>
            <w:tcW w:w="720" w:type="dxa"/>
            <w:vMerge w:val="restart"/>
            <w:tcBorders>
              <w:top w:val="nil"/>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项目主要管理人员能够按竞价响应的承诺到位且具有相应的履约能力（4-5分）</w:t>
            </w:r>
          </w:p>
        </w:tc>
        <w:tc>
          <w:tcPr>
            <w:tcW w:w="596" w:type="dxa"/>
            <w:vMerge w:val="restart"/>
            <w:tcBorders>
              <w:top w:val="nil"/>
              <w:left w:val="nil"/>
              <w:right w:val="single" w:color="auto" w:sz="8" w:space="0"/>
            </w:tcBorders>
            <w:vAlign w:val="center"/>
          </w:tcPr>
          <w:p>
            <w:pPr>
              <w:widowControl/>
              <w:tabs>
                <w:tab w:val="left" w:pos="1620"/>
              </w:tabs>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项目主要管理人员能够按竞价响应的承诺到位且具有基本相应的履约能力（1-4分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520"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项目主要管理人员不能够按竞价响应的承诺到位或不具有相应的履约能力0分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310" w:hRule="atLeast"/>
        </w:trPr>
        <w:tc>
          <w:tcPr>
            <w:tcW w:w="456" w:type="dxa"/>
            <w:vMerge w:val="restart"/>
            <w:tcBorders>
              <w:top w:val="nil"/>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762" w:type="dxa"/>
            <w:gridSpan w:val="2"/>
            <w:vMerge w:val="restart"/>
            <w:tcBorders>
              <w:top w:val="nil"/>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工程作业人员要求</w:t>
            </w:r>
          </w:p>
        </w:tc>
        <w:tc>
          <w:tcPr>
            <w:tcW w:w="720" w:type="dxa"/>
            <w:vMerge w:val="restart"/>
            <w:tcBorders>
              <w:top w:val="nil"/>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spacing w:val="-4"/>
                <w:kern w:val="0"/>
                <w:sz w:val="18"/>
                <w:szCs w:val="18"/>
              </w:rPr>
            </w:pPr>
            <w:r>
              <w:rPr>
                <w:rFonts w:hint="eastAsia" w:ascii="宋体" w:hAnsi="宋体" w:cs="宋体"/>
                <w:spacing w:val="-4"/>
                <w:kern w:val="0"/>
                <w:sz w:val="18"/>
                <w:szCs w:val="18"/>
              </w:rPr>
              <w:t>有全面系统的培训计划措施并有效实施，工程作业人员业务素质优秀</w:t>
            </w:r>
            <w:r>
              <w:rPr>
                <w:rFonts w:hint="eastAsia" w:ascii="宋体" w:hAnsi="宋体" w:cs="宋体"/>
                <w:kern w:val="0"/>
                <w:sz w:val="18"/>
                <w:szCs w:val="18"/>
              </w:rPr>
              <w:t>（4分）</w:t>
            </w:r>
          </w:p>
        </w:tc>
        <w:tc>
          <w:tcPr>
            <w:tcW w:w="596" w:type="dxa"/>
            <w:vMerge w:val="restart"/>
            <w:tcBorders>
              <w:top w:val="nil"/>
              <w:left w:val="nil"/>
              <w:right w:val="single" w:color="auto" w:sz="8" w:space="0"/>
            </w:tcBorders>
            <w:vAlign w:val="center"/>
          </w:tcPr>
          <w:p>
            <w:pPr>
              <w:widowControl/>
              <w:tabs>
                <w:tab w:val="left" w:pos="1620"/>
              </w:tabs>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0"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有培训计划措施并实施，工程作业人员业务素质满足施工要求（1-3分）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295"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无培训计划措施，工程作业人员业务素质无法满足施工要求0分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251" w:hRule="atLeast"/>
        </w:trPr>
        <w:tc>
          <w:tcPr>
            <w:tcW w:w="456" w:type="dxa"/>
            <w:tcBorders>
              <w:top w:val="nil"/>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二</w:t>
            </w:r>
          </w:p>
        </w:tc>
        <w:tc>
          <w:tcPr>
            <w:tcW w:w="1762" w:type="dxa"/>
            <w:gridSpan w:val="2"/>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b/>
                <w:kern w:val="0"/>
                <w:sz w:val="22"/>
                <w:szCs w:val="22"/>
              </w:rPr>
            </w:pPr>
            <w:r>
              <w:rPr>
                <w:rFonts w:hint="eastAsia" w:ascii="宋体" w:hAnsi="宋体" w:cs="宋体"/>
                <w:b/>
                <w:kern w:val="0"/>
                <w:sz w:val="22"/>
                <w:szCs w:val="22"/>
              </w:rPr>
              <w:t>技术、经济实力</w:t>
            </w:r>
          </w:p>
        </w:tc>
        <w:tc>
          <w:tcPr>
            <w:tcW w:w="720" w:type="dxa"/>
            <w:tcBorders>
              <w:top w:val="nil"/>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15</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24"/>
              </w:rPr>
            </w:pPr>
            <w:r>
              <w:rPr>
                <w:rFonts w:hint="eastAsia" w:ascii="宋体" w:hAnsi="宋体" w:cs="宋体"/>
                <w:kern w:val="0"/>
                <w:sz w:val="24"/>
              </w:rPr>
              <w:t>　</w:t>
            </w:r>
          </w:p>
        </w:tc>
        <w:tc>
          <w:tcPr>
            <w:tcW w:w="596" w:type="dxa"/>
            <w:tcBorders>
              <w:top w:val="nil"/>
              <w:left w:val="nil"/>
              <w:bottom w:val="single" w:color="auto" w:sz="4" w:space="0"/>
              <w:right w:val="single" w:color="auto" w:sz="8" w:space="0"/>
            </w:tcBorders>
            <w:vAlign w:val="center"/>
          </w:tcPr>
          <w:p>
            <w:pPr>
              <w:widowControl/>
              <w:tabs>
                <w:tab w:val="left" w:pos="1620"/>
              </w:tabs>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20" w:hRule="atLeast"/>
        </w:trPr>
        <w:tc>
          <w:tcPr>
            <w:tcW w:w="456" w:type="dxa"/>
            <w:vMerge w:val="restart"/>
            <w:tcBorders>
              <w:top w:val="nil"/>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762" w:type="dxa"/>
            <w:gridSpan w:val="2"/>
            <w:vMerge w:val="restart"/>
            <w:tcBorders>
              <w:top w:val="nil"/>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技术实力</w:t>
            </w:r>
          </w:p>
        </w:tc>
        <w:tc>
          <w:tcPr>
            <w:tcW w:w="720" w:type="dxa"/>
            <w:vMerge w:val="restart"/>
            <w:tcBorders>
              <w:top w:val="nil"/>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具有相应的履行合同的技术实力， 施工总体部署、方法及程序优化，能有效解决施工管理重点、难点问题（5-8分）</w:t>
            </w:r>
          </w:p>
        </w:tc>
        <w:tc>
          <w:tcPr>
            <w:tcW w:w="596" w:type="dxa"/>
            <w:vMerge w:val="restart"/>
            <w:tcBorders>
              <w:top w:val="nil"/>
              <w:left w:val="nil"/>
              <w:right w:val="single" w:color="auto" w:sz="8" w:space="0"/>
            </w:tcBorders>
            <w:vAlign w:val="center"/>
          </w:tcPr>
          <w:p>
            <w:pPr>
              <w:widowControl/>
              <w:tabs>
                <w:tab w:val="left" w:pos="1620"/>
              </w:tabs>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具有基本相应的履行合同的技术实力， 施工总体部署、方法及程序合理（1-5分）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257"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不具有相应的履行合同的技术实力（0分）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456" w:type="dxa"/>
            <w:vMerge w:val="restart"/>
            <w:tcBorders>
              <w:top w:val="nil"/>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62" w:type="dxa"/>
            <w:gridSpan w:val="2"/>
            <w:vMerge w:val="restart"/>
            <w:tcBorders>
              <w:top w:val="nil"/>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机械、材料</w:t>
            </w:r>
          </w:p>
        </w:tc>
        <w:tc>
          <w:tcPr>
            <w:tcW w:w="720" w:type="dxa"/>
            <w:vMerge w:val="restart"/>
            <w:tcBorders>
              <w:top w:val="nil"/>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投标文件拟定的机械、材料按项目需求及时进出施工现场（7分）</w:t>
            </w:r>
          </w:p>
        </w:tc>
        <w:tc>
          <w:tcPr>
            <w:tcW w:w="596" w:type="dxa"/>
            <w:vMerge w:val="restart"/>
            <w:tcBorders>
              <w:top w:val="nil"/>
              <w:left w:val="nil"/>
              <w:right w:val="single" w:color="auto" w:sz="8" w:space="0"/>
            </w:tcBorders>
            <w:vAlign w:val="center"/>
          </w:tcPr>
          <w:p>
            <w:pPr>
              <w:widowControl/>
              <w:tabs>
                <w:tab w:val="left" w:pos="1620"/>
              </w:tabs>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0"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投标文件拟定的机械、材料基本按项目需求进出施工现场（1-6分）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310"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投标文件拟定的机械、材料没有按项目需求进出施工现场（0分）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510" w:hRule="atLeast"/>
        </w:trPr>
        <w:tc>
          <w:tcPr>
            <w:tcW w:w="456" w:type="dxa"/>
            <w:tcBorders>
              <w:top w:val="nil"/>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 xml:space="preserve"> 三</w:t>
            </w:r>
          </w:p>
        </w:tc>
        <w:tc>
          <w:tcPr>
            <w:tcW w:w="1762" w:type="dxa"/>
            <w:gridSpan w:val="2"/>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b/>
                <w:kern w:val="0"/>
                <w:sz w:val="22"/>
                <w:szCs w:val="22"/>
              </w:rPr>
            </w:pPr>
            <w:r>
              <w:rPr>
                <w:rFonts w:hint="eastAsia" w:ascii="宋体" w:hAnsi="宋体" w:cs="宋体"/>
                <w:b/>
                <w:kern w:val="0"/>
                <w:sz w:val="22"/>
                <w:szCs w:val="22"/>
              </w:rPr>
              <w:t>工程实施过程管理</w:t>
            </w:r>
          </w:p>
        </w:tc>
        <w:tc>
          <w:tcPr>
            <w:tcW w:w="720" w:type="dxa"/>
            <w:tcBorders>
              <w:top w:val="nil"/>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70</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24"/>
              </w:rPr>
            </w:pPr>
            <w:r>
              <w:rPr>
                <w:rFonts w:hint="eastAsia" w:ascii="宋体" w:hAnsi="宋体" w:cs="宋体"/>
                <w:kern w:val="0"/>
                <w:sz w:val="24"/>
              </w:rPr>
              <w:t>　</w:t>
            </w:r>
          </w:p>
        </w:tc>
        <w:tc>
          <w:tcPr>
            <w:tcW w:w="596" w:type="dxa"/>
            <w:tcBorders>
              <w:top w:val="nil"/>
              <w:left w:val="nil"/>
              <w:bottom w:val="single" w:color="auto" w:sz="4" w:space="0"/>
              <w:right w:val="single" w:color="auto" w:sz="8" w:space="0"/>
            </w:tcBorders>
            <w:vAlign w:val="center"/>
          </w:tcPr>
          <w:p>
            <w:pPr>
              <w:widowControl/>
              <w:tabs>
                <w:tab w:val="left" w:pos="1620"/>
              </w:tabs>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4" w:hRule="atLeast"/>
        </w:trPr>
        <w:tc>
          <w:tcPr>
            <w:tcW w:w="456" w:type="dxa"/>
            <w:vMerge w:val="restart"/>
            <w:tcBorders>
              <w:top w:val="nil"/>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762" w:type="dxa"/>
            <w:gridSpan w:val="2"/>
            <w:vMerge w:val="restart"/>
            <w:tcBorders>
              <w:top w:val="nil"/>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安全文明施工</w:t>
            </w:r>
          </w:p>
        </w:tc>
        <w:tc>
          <w:tcPr>
            <w:tcW w:w="720" w:type="dxa"/>
            <w:vMerge w:val="restart"/>
            <w:tcBorders>
              <w:top w:val="nil"/>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施工能够严格地做到文明施工，有防止施工现场水、噪音、空气、废物污染措施并能有效执行；</w:t>
            </w:r>
          </w:p>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施工现场环境较好，施工安全措施完善且未发生安全措施不力造成的施工安全问题；施工中有优秀的应急预案，能高质高效处理例行、随时、紧急发生的事件（15-20分）</w:t>
            </w:r>
          </w:p>
        </w:tc>
        <w:tc>
          <w:tcPr>
            <w:tcW w:w="596" w:type="dxa"/>
            <w:vMerge w:val="restart"/>
            <w:tcBorders>
              <w:top w:val="nil"/>
              <w:left w:val="nil"/>
              <w:right w:val="single" w:color="auto" w:sz="8" w:space="0"/>
            </w:tcBorders>
            <w:vAlign w:val="center"/>
          </w:tcPr>
          <w:p>
            <w:pPr>
              <w:widowControl/>
              <w:tabs>
                <w:tab w:val="left" w:pos="1620"/>
              </w:tabs>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3"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施工能够做到文明施工且能及时解决少量发生的投诉情况，有防止施工现场水、噪音、空气、废物污染措施并执行，施工现场环境合格；</w:t>
            </w:r>
          </w:p>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施工安全措施基本完善且未发生安全措施不力造成的施工安全问题；</w:t>
            </w:r>
          </w:p>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施工中有应急预案，能及时处理例行、随时、紧急发生的事件（5-15分）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24"/>
              </w:rPr>
            </w:pPr>
          </w:p>
        </w:tc>
      </w:tr>
      <w:tr>
        <w:tblPrEx>
          <w:tblCellMar>
            <w:top w:w="0" w:type="dxa"/>
            <w:left w:w="108" w:type="dxa"/>
            <w:bottom w:w="0" w:type="dxa"/>
            <w:right w:w="108" w:type="dxa"/>
          </w:tblCellMar>
        </w:tblPrEx>
        <w:trPr>
          <w:trHeight w:val="308"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项目不能够做到文明施工、有效投诉情况经常发生，施工现场环境脏、乱、差；</w:t>
            </w:r>
          </w:p>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施工安全措施不完善或多次发生安全问题</w:t>
            </w:r>
          </w:p>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施工中无应急预案及演练措施，出现突发状况未得到及时处理（0-5分）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24"/>
              </w:rPr>
            </w:pPr>
          </w:p>
        </w:tc>
      </w:tr>
      <w:tr>
        <w:tblPrEx>
          <w:tblCellMar>
            <w:top w:w="0" w:type="dxa"/>
            <w:left w:w="108" w:type="dxa"/>
            <w:bottom w:w="0" w:type="dxa"/>
            <w:right w:w="108" w:type="dxa"/>
          </w:tblCellMar>
        </w:tblPrEx>
        <w:trPr>
          <w:trHeight w:val="310" w:hRule="atLeast"/>
        </w:trPr>
        <w:tc>
          <w:tcPr>
            <w:tcW w:w="456" w:type="dxa"/>
            <w:vMerge w:val="restart"/>
            <w:tcBorders>
              <w:top w:val="single" w:color="auto" w:sz="4" w:space="0"/>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762" w:type="dxa"/>
            <w:gridSpan w:val="2"/>
            <w:vMerge w:val="restart"/>
            <w:tcBorders>
              <w:top w:val="single" w:color="auto" w:sz="4" w:space="0"/>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质量管理</w:t>
            </w:r>
          </w:p>
        </w:tc>
        <w:tc>
          <w:tcPr>
            <w:tcW w:w="720" w:type="dxa"/>
            <w:vMerge w:val="restart"/>
            <w:tcBorders>
              <w:top w:val="single" w:color="auto" w:sz="4" w:space="0"/>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施工总体质量好，过程质量管控措施完善；（15-20分）</w:t>
            </w:r>
          </w:p>
        </w:tc>
        <w:tc>
          <w:tcPr>
            <w:tcW w:w="596" w:type="dxa"/>
            <w:vMerge w:val="restart"/>
            <w:tcBorders>
              <w:top w:val="single" w:color="auto" w:sz="4" w:space="0"/>
              <w:left w:val="nil"/>
              <w:right w:val="single" w:color="auto" w:sz="8" w:space="0"/>
            </w:tcBorders>
            <w:vAlign w:val="center"/>
          </w:tcPr>
          <w:p>
            <w:pPr>
              <w:widowControl/>
              <w:tabs>
                <w:tab w:val="left" w:pos="1620"/>
              </w:tabs>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0"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工总体质量较好，部分单项工程通过整改后合格，过程质量管控措施基本完善（5-15分）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工总体质量较差，部分单项工程多次整改或出现较大质量问题，过程质量管控措施不完善（0-5分）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306" w:hRule="atLeast"/>
        </w:trPr>
        <w:tc>
          <w:tcPr>
            <w:tcW w:w="456" w:type="dxa"/>
            <w:vMerge w:val="restart"/>
            <w:tcBorders>
              <w:top w:val="nil"/>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762" w:type="dxa"/>
            <w:gridSpan w:val="2"/>
            <w:vMerge w:val="restart"/>
            <w:tcBorders>
              <w:top w:val="nil"/>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工期控制</w:t>
            </w:r>
          </w:p>
        </w:tc>
        <w:tc>
          <w:tcPr>
            <w:tcW w:w="720" w:type="dxa"/>
            <w:vMerge w:val="restart"/>
            <w:tcBorders>
              <w:top w:val="nil"/>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能够认真主动控制项目的各阶段工期使其未超过施工合同工期（10分）</w:t>
            </w:r>
          </w:p>
        </w:tc>
        <w:tc>
          <w:tcPr>
            <w:tcW w:w="596" w:type="dxa"/>
            <w:vMerge w:val="restart"/>
            <w:tcBorders>
              <w:top w:val="nil"/>
              <w:left w:val="nil"/>
              <w:right w:val="single" w:color="auto" w:sz="8" w:space="0"/>
            </w:tcBorders>
            <w:vAlign w:val="center"/>
          </w:tcPr>
          <w:p>
            <w:pPr>
              <w:widowControl/>
              <w:tabs>
                <w:tab w:val="left" w:pos="1620"/>
              </w:tabs>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0"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能够控制项目的各阶段工期，但因其他因素少量超过施工合同工期3%以内的（1-9分）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310"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不能够控制项目的各阶段工期或因施工单位的责任超过合同工期3%以上的（0分）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415" w:hRule="atLeast"/>
        </w:trPr>
        <w:tc>
          <w:tcPr>
            <w:tcW w:w="456" w:type="dxa"/>
            <w:vMerge w:val="restart"/>
            <w:tcBorders>
              <w:top w:val="nil"/>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62" w:type="dxa"/>
            <w:gridSpan w:val="2"/>
            <w:vMerge w:val="restart"/>
            <w:tcBorders>
              <w:top w:val="nil"/>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资料管理</w:t>
            </w:r>
          </w:p>
        </w:tc>
        <w:tc>
          <w:tcPr>
            <w:tcW w:w="720" w:type="dxa"/>
            <w:vMerge w:val="restart"/>
            <w:tcBorders>
              <w:top w:val="nil"/>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能够按合同和相关要求及时办理过程资料、工程变更、工程结算等手续（8-10分）</w:t>
            </w:r>
          </w:p>
        </w:tc>
        <w:tc>
          <w:tcPr>
            <w:tcW w:w="596" w:type="dxa"/>
            <w:vMerge w:val="restart"/>
            <w:tcBorders>
              <w:top w:val="nil"/>
              <w:left w:val="nil"/>
              <w:right w:val="single" w:color="auto" w:sz="8" w:space="0"/>
            </w:tcBorders>
            <w:vAlign w:val="center"/>
          </w:tcPr>
          <w:p>
            <w:pPr>
              <w:widowControl/>
              <w:tabs>
                <w:tab w:val="left" w:pos="1620"/>
              </w:tabs>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5"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基本能够按合同和相关要求要求办理过程资料、工程变更、工程结算等手续（3-7分）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415"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不能够按合同和相关要求要求办理过程资料、工程变更、工程结算等手续，过程资料管理混乱（0-2分）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456" w:type="dxa"/>
            <w:vMerge w:val="restart"/>
            <w:tcBorders>
              <w:top w:val="nil"/>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762" w:type="dxa"/>
            <w:gridSpan w:val="2"/>
            <w:vMerge w:val="restart"/>
            <w:tcBorders>
              <w:top w:val="nil"/>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配合情况</w:t>
            </w:r>
          </w:p>
        </w:tc>
        <w:tc>
          <w:tcPr>
            <w:tcW w:w="720" w:type="dxa"/>
            <w:vMerge w:val="restart"/>
            <w:tcBorders>
              <w:top w:val="nil"/>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能够认真主动地配合建设单位、分包单位及其它相关部门的工作（8-10分）</w:t>
            </w:r>
          </w:p>
        </w:tc>
        <w:tc>
          <w:tcPr>
            <w:tcW w:w="596" w:type="dxa"/>
            <w:vMerge w:val="restart"/>
            <w:tcBorders>
              <w:top w:val="nil"/>
              <w:left w:val="nil"/>
              <w:right w:val="single" w:color="auto" w:sz="8" w:space="0"/>
            </w:tcBorders>
            <w:vAlign w:val="center"/>
          </w:tcPr>
          <w:p>
            <w:pPr>
              <w:widowControl/>
              <w:tabs>
                <w:tab w:val="left" w:pos="1620"/>
              </w:tabs>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0" w:hRule="atLeast"/>
        </w:trPr>
        <w:tc>
          <w:tcPr>
            <w:tcW w:w="456" w:type="dxa"/>
            <w:vMerge w:val="continue"/>
            <w:tcBorders>
              <w:left w:val="single" w:color="auto" w:sz="8"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基本能够认真主动地配合建设单位、分包单位及其它相关部门的工作（3-7分）</w:t>
            </w:r>
          </w:p>
        </w:tc>
        <w:tc>
          <w:tcPr>
            <w:tcW w:w="596" w:type="dxa"/>
            <w:vMerge w:val="continue"/>
            <w:tcBorders>
              <w:left w:val="nil"/>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456" w:type="dxa"/>
            <w:vMerge w:val="continue"/>
            <w:tcBorders>
              <w:left w:val="single" w:color="auto" w:sz="8"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1762" w:type="dxa"/>
            <w:gridSpan w:val="2"/>
            <w:vMerge w:val="continue"/>
            <w:tcBorders>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kern w:val="0"/>
                <w:sz w:val="18"/>
                <w:szCs w:val="18"/>
              </w:rPr>
            </w:pPr>
          </w:p>
        </w:tc>
        <w:tc>
          <w:tcPr>
            <w:tcW w:w="6784" w:type="dxa"/>
            <w:gridSpan w:val="3"/>
            <w:tcBorders>
              <w:top w:val="nil"/>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不能够认真主动地配合建设单位、分包单位及其它相关部门的工作（0-2分）</w:t>
            </w:r>
          </w:p>
        </w:tc>
        <w:tc>
          <w:tcPr>
            <w:tcW w:w="596" w:type="dxa"/>
            <w:vMerge w:val="continue"/>
            <w:tcBorders>
              <w:left w:val="nil"/>
              <w:bottom w:val="single" w:color="auto" w:sz="4" w:space="0"/>
              <w:right w:val="single" w:color="auto" w:sz="8" w:space="0"/>
            </w:tcBorders>
            <w:vAlign w:val="center"/>
          </w:tcPr>
          <w:p>
            <w:pPr>
              <w:widowControl/>
              <w:tabs>
                <w:tab w:val="left" w:pos="1620"/>
              </w:tabs>
              <w:jc w:val="left"/>
              <w:rPr>
                <w:rFonts w:ascii="宋体" w:hAnsi="宋体" w:cs="宋体"/>
                <w:kern w:val="0"/>
                <w:sz w:val="18"/>
                <w:szCs w:val="18"/>
              </w:rPr>
            </w:pPr>
          </w:p>
        </w:tc>
      </w:tr>
      <w:tr>
        <w:tblPrEx>
          <w:tblCellMar>
            <w:top w:w="0" w:type="dxa"/>
            <w:left w:w="108" w:type="dxa"/>
            <w:bottom w:w="0" w:type="dxa"/>
            <w:right w:w="108" w:type="dxa"/>
          </w:tblCellMar>
        </w:tblPrEx>
        <w:trPr>
          <w:trHeight w:val="742" w:hRule="atLeast"/>
        </w:trPr>
        <w:tc>
          <w:tcPr>
            <w:tcW w:w="221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合  计</w:t>
            </w:r>
          </w:p>
        </w:tc>
        <w:tc>
          <w:tcPr>
            <w:tcW w:w="720" w:type="dxa"/>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100</w:t>
            </w: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24"/>
              </w:rPr>
            </w:pPr>
            <w:r>
              <w:rPr>
                <w:rFonts w:hint="eastAsia" w:ascii="宋体" w:hAnsi="宋体" w:cs="宋体"/>
                <w:kern w:val="0"/>
                <w:sz w:val="24"/>
              </w:rPr>
              <w:t>　</w:t>
            </w:r>
          </w:p>
        </w:tc>
        <w:tc>
          <w:tcPr>
            <w:tcW w:w="596" w:type="dxa"/>
            <w:tcBorders>
              <w:top w:val="single" w:color="auto" w:sz="4" w:space="0"/>
              <w:left w:val="nil"/>
              <w:bottom w:val="single" w:color="auto" w:sz="4" w:space="0"/>
              <w:right w:val="single" w:color="auto" w:sz="4" w:space="0"/>
            </w:tcBorders>
            <w:vAlign w:val="center"/>
          </w:tcPr>
          <w:p>
            <w:pPr>
              <w:widowControl/>
              <w:tabs>
                <w:tab w:val="left" w:pos="1620"/>
              </w:tabs>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7" w:hRule="atLeast"/>
        </w:trPr>
        <w:tc>
          <w:tcPr>
            <w:tcW w:w="2218" w:type="dxa"/>
            <w:gridSpan w:val="3"/>
            <w:vMerge w:val="restart"/>
            <w:tcBorders>
              <w:top w:val="single" w:color="auto" w:sz="4" w:space="0"/>
              <w:left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rPr>
              <w:t>一票否决项</w:t>
            </w:r>
          </w:p>
        </w:tc>
        <w:tc>
          <w:tcPr>
            <w:tcW w:w="720" w:type="dxa"/>
            <w:vMerge w:val="restart"/>
            <w:tcBorders>
              <w:top w:val="single" w:color="auto" w:sz="4" w:space="0"/>
              <w:left w:val="nil"/>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-50</w:t>
            </w: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发生安全事故；</w:t>
            </w:r>
          </w:p>
        </w:tc>
        <w:tc>
          <w:tcPr>
            <w:tcW w:w="596" w:type="dxa"/>
            <w:vMerge w:val="restart"/>
            <w:tcBorders>
              <w:top w:val="single" w:color="auto" w:sz="4" w:space="0"/>
              <w:left w:val="nil"/>
              <w:right w:val="single" w:color="auto" w:sz="4" w:space="0"/>
            </w:tcBorders>
            <w:vAlign w:val="center"/>
          </w:tcPr>
          <w:p>
            <w:pPr>
              <w:widowControl/>
              <w:tabs>
                <w:tab w:val="left" w:pos="1620"/>
              </w:tabs>
              <w:jc w:val="left"/>
              <w:rPr>
                <w:rFonts w:ascii="宋体" w:hAnsi="宋体" w:cs="宋体"/>
                <w:kern w:val="0"/>
                <w:sz w:val="24"/>
              </w:rPr>
            </w:pPr>
          </w:p>
        </w:tc>
      </w:tr>
      <w:tr>
        <w:tblPrEx>
          <w:tblCellMar>
            <w:top w:w="0" w:type="dxa"/>
            <w:left w:w="108" w:type="dxa"/>
            <w:bottom w:w="0" w:type="dxa"/>
            <w:right w:w="108" w:type="dxa"/>
          </w:tblCellMar>
        </w:tblPrEx>
        <w:trPr>
          <w:trHeight w:val="386" w:hRule="atLeast"/>
        </w:trPr>
        <w:tc>
          <w:tcPr>
            <w:tcW w:w="2218" w:type="dxa"/>
            <w:gridSpan w:val="3"/>
            <w:vMerge w:val="continue"/>
            <w:tcBorders>
              <w:left w:val="single" w:color="auto" w:sz="4" w:space="0"/>
              <w:right w:val="single" w:color="auto" w:sz="4" w:space="0"/>
            </w:tcBorders>
            <w:vAlign w:val="center"/>
          </w:tcPr>
          <w:p>
            <w:pPr>
              <w:widowControl/>
              <w:tabs>
                <w:tab w:val="left" w:pos="1620"/>
              </w:tabs>
              <w:spacing w:line="240" w:lineRule="exact"/>
              <w:jc w:val="center"/>
              <w:rPr>
                <w:rFonts w:ascii="宋体" w:hAnsi="宋体" w:cs="宋体"/>
                <w:b/>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违规分包、违法转包；</w:t>
            </w:r>
          </w:p>
        </w:tc>
        <w:tc>
          <w:tcPr>
            <w:tcW w:w="596" w:type="dxa"/>
            <w:vMerge w:val="continue"/>
            <w:tcBorders>
              <w:left w:val="nil"/>
              <w:right w:val="single" w:color="auto" w:sz="4" w:space="0"/>
            </w:tcBorders>
            <w:vAlign w:val="center"/>
          </w:tcPr>
          <w:p>
            <w:pPr>
              <w:widowControl/>
              <w:tabs>
                <w:tab w:val="left" w:pos="1620"/>
              </w:tabs>
              <w:jc w:val="left"/>
              <w:rPr>
                <w:rFonts w:ascii="宋体" w:hAnsi="宋体" w:cs="宋体"/>
                <w:kern w:val="0"/>
                <w:sz w:val="24"/>
              </w:rPr>
            </w:pPr>
          </w:p>
        </w:tc>
      </w:tr>
      <w:tr>
        <w:tblPrEx>
          <w:tblCellMar>
            <w:top w:w="0" w:type="dxa"/>
            <w:left w:w="108" w:type="dxa"/>
            <w:bottom w:w="0" w:type="dxa"/>
            <w:right w:w="108" w:type="dxa"/>
          </w:tblCellMar>
        </w:tblPrEx>
        <w:trPr>
          <w:trHeight w:val="386" w:hRule="atLeast"/>
        </w:trPr>
        <w:tc>
          <w:tcPr>
            <w:tcW w:w="2218" w:type="dxa"/>
            <w:gridSpan w:val="3"/>
            <w:vMerge w:val="continue"/>
            <w:tcBorders>
              <w:left w:val="single" w:color="auto" w:sz="4" w:space="0"/>
              <w:right w:val="single" w:color="auto" w:sz="4" w:space="0"/>
            </w:tcBorders>
            <w:vAlign w:val="center"/>
          </w:tcPr>
          <w:p>
            <w:pPr>
              <w:widowControl/>
              <w:tabs>
                <w:tab w:val="left" w:pos="1620"/>
              </w:tabs>
              <w:spacing w:line="240" w:lineRule="exact"/>
              <w:jc w:val="center"/>
              <w:rPr>
                <w:rFonts w:ascii="宋体" w:hAnsi="宋体" w:cs="宋体"/>
                <w:b/>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出现弄虚作假；</w:t>
            </w:r>
          </w:p>
        </w:tc>
        <w:tc>
          <w:tcPr>
            <w:tcW w:w="596" w:type="dxa"/>
            <w:vMerge w:val="continue"/>
            <w:tcBorders>
              <w:left w:val="nil"/>
              <w:right w:val="single" w:color="auto" w:sz="4" w:space="0"/>
            </w:tcBorders>
            <w:vAlign w:val="center"/>
          </w:tcPr>
          <w:p>
            <w:pPr>
              <w:widowControl/>
              <w:tabs>
                <w:tab w:val="left" w:pos="1620"/>
              </w:tabs>
              <w:jc w:val="left"/>
              <w:rPr>
                <w:rFonts w:ascii="宋体" w:hAnsi="宋体" w:cs="宋体"/>
                <w:kern w:val="0"/>
                <w:sz w:val="24"/>
              </w:rPr>
            </w:pPr>
          </w:p>
        </w:tc>
      </w:tr>
      <w:tr>
        <w:tblPrEx>
          <w:tblCellMar>
            <w:top w:w="0" w:type="dxa"/>
            <w:left w:w="108" w:type="dxa"/>
            <w:bottom w:w="0" w:type="dxa"/>
            <w:right w:w="108" w:type="dxa"/>
          </w:tblCellMar>
        </w:tblPrEx>
        <w:trPr>
          <w:trHeight w:val="386" w:hRule="atLeast"/>
        </w:trPr>
        <w:tc>
          <w:tcPr>
            <w:tcW w:w="2218" w:type="dxa"/>
            <w:gridSpan w:val="3"/>
            <w:vMerge w:val="continue"/>
            <w:tcBorders>
              <w:left w:val="single" w:color="auto" w:sz="4" w:space="0"/>
              <w:right w:val="single" w:color="auto" w:sz="4" w:space="0"/>
            </w:tcBorders>
            <w:vAlign w:val="center"/>
          </w:tcPr>
          <w:p>
            <w:pPr>
              <w:widowControl/>
              <w:tabs>
                <w:tab w:val="left" w:pos="1620"/>
              </w:tabs>
              <w:spacing w:line="240" w:lineRule="exact"/>
              <w:jc w:val="center"/>
              <w:rPr>
                <w:rFonts w:ascii="宋体" w:hAnsi="宋体" w:cs="宋体"/>
                <w:b/>
              </w:rPr>
            </w:pPr>
          </w:p>
        </w:tc>
        <w:tc>
          <w:tcPr>
            <w:tcW w:w="720" w:type="dxa"/>
            <w:vMerge w:val="continue"/>
            <w:tcBorders>
              <w:left w:val="nil"/>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发生质量事故；</w:t>
            </w:r>
          </w:p>
        </w:tc>
        <w:tc>
          <w:tcPr>
            <w:tcW w:w="596" w:type="dxa"/>
            <w:vMerge w:val="continue"/>
            <w:tcBorders>
              <w:left w:val="nil"/>
              <w:right w:val="single" w:color="auto" w:sz="4" w:space="0"/>
            </w:tcBorders>
            <w:vAlign w:val="center"/>
          </w:tcPr>
          <w:p>
            <w:pPr>
              <w:widowControl/>
              <w:tabs>
                <w:tab w:val="left" w:pos="1620"/>
              </w:tabs>
              <w:jc w:val="left"/>
              <w:rPr>
                <w:rFonts w:ascii="宋体" w:hAnsi="宋体" w:cs="宋体"/>
                <w:kern w:val="0"/>
                <w:sz w:val="24"/>
              </w:rPr>
            </w:pPr>
          </w:p>
        </w:tc>
      </w:tr>
      <w:tr>
        <w:tblPrEx>
          <w:tblCellMar>
            <w:top w:w="0" w:type="dxa"/>
            <w:left w:w="108" w:type="dxa"/>
            <w:bottom w:w="0" w:type="dxa"/>
            <w:right w:w="108" w:type="dxa"/>
          </w:tblCellMar>
        </w:tblPrEx>
        <w:trPr>
          <w:trHeight w:val="452" w:hRule="atLeast"/>
        </w:trPr>
        <w:tc>
          <w:tcPr>
            <w:tcW w:w="2218" w:type="dxa"/>
            <w:gridSpan w:val="3"/>
            <w:vMerge w:val="continue"/>
            <w:tcBorders>
              <w:left w:val="single" w:color="auto" w:sz="4"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rPr>
            </w:pPr>
          </w:p>
        </w:tc>
        <w:tc>
          <w:tcPr>
            <w:tcW w:w="720" w:type="dxa"/>
            <w:vMerge w:val="continue"/>
            <w:tcBorders>
              <w:left w:val="nil"/>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p>
        </w:tc>
        <w:tc>
          <w:tcPr>
            <w:tcW w:w="6784" w:type="dxa"/>
            <w:gridSpan w:val="3"/>
            <w:tcBorders>
              <w:top w:val="single" w:color="auto" w:sz="4" w:space="0"/>
              <w:left w:val="nil"/>
              <w:bottom w:val="single" w:color="auto" w:sz="4" w:space="0"/>
              <w:right w:val="single" w:color="auto" w:sz="4" w:space="0"/>
            </w:tcBorders>
            <w:vAlign w:val="center"/>
          </w:tcPr>
          <w:p>
            <w:pPr>
              <w:widowControl/>
              <w:tabs>
                <w:tab w:val="left" w:pos="1620"/>
              </w:tabs>
              <w:spacing w:line="240" w:lineRule="exact"/>
              <w:jc w:val="left"/>
              <w:rPr>
                <w:rFonts w:ascii="宋体" w:hAnsi="宋体" w:cs="宋体"/>
                <w:kern w:val="0"/>
                <w:sz w:val="18"/>
                <w:szCs w:val="18"/>
              </w:rPr>
            </w:pPr>
            <w:r>
              <w:rPr>
                <w:rFonts w:hint="eastAsia" w:ascii="宋体" w:hAnsi="宋体" w:cs="宋体"/>
                <w:kern w:val="0"/>
                <w:sz w:val="18"/>
                <w:szCs w:val="18"/>
              </w:rPr>
              <w:t>发生拖欠农民工工资情况，并出现群体性纠纷；</w:t>
            </w:r>
          </w:p>
        </w:tc>
        <w:tc>
          <w:tcPr>
            <w:tcW w:w="596" w:type="dxa"/>
            <w:vMerge w:val="continue"/>
            <w:tcBorders>
              <w:left w:val="nil"/>
              <w:bottom w:val="single" w:color="auto" w:sz="4" w:space="0"/>
              <w:right w:val="single" w:color="auto" w:sz="4" w:space="0"/>
            </w:tcBorders>
            <w:vAlign w:val="center"/>
          </w:tcPr>
          <w:p>
            <w:pPr>
              <w:widowControl/>
              <w:tabs>
                <w:tab w:val="left" w:pos="1620"/>
              </w:tabs>
              <w:jc w:val="left"/>
              <w:rPr>
                <w:rFonts w:ascii="宋体" w:hAnsi="宋体" w:cs="宋体"/>
                <w:kern w:val="0"/>
                <w:sz w:val="24"/>
              </w:rPr>
            </w:pPr>
          </w:p>
        </w:tc>
      </w:tr>
      <w:tr>
        <w:tblPrEx>
          <w:tblCellMar>
            <w:top w:w="0" w:type="dxa"/>
            <w:left w:w="108" w:type="dxa"/>
            <w:bottom w:w="0" w:type="dxa"/>
            <w:right w:w="108" w:type="dxa"/>
          </w:tblCellMar>
        </w:tblPrEx>
        <w:trPr>
          <w:trHeight w:val="407" w:hRule="atLeast"/>
        </w:trPr>
        <w:tc>
          <w:tcPr>
            <w:tcW w:w="2938"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1620"/>
              </w:tabs>
              <w:spacing w:line="240" w:lineRule="exact"/>
              <w:jc w:val="center"/>
              <w:rPr>
                <w:rFonts w:ascii="宋体" w:hAnsi="宋体" w:cs="宋体"/>
                <w:b/>
                <w:kern w:val="0"/>
                <w:sz w:val="22"/>
                <w:szCs w:val="22"/>
              </w:rPr>
            </w:pPr>
            <w:r>
              <w:rPr>
                <w:rFonts w:hint="eastAsia" w:ascii="宋体" w:hAnsi="宋体" w:cs="宋体"/>
                <w:b/>
                <w:kern w:val="0"/>
                <w:sz w:val="22"/>
                <w:szCs w:val="22"/>
              </w:rPr>
              <w:t>考核结论</w:t>
            </w:r>
          </w:p>
        </w:tc>
        <w:tc>
          <w:tcPr>
            <w:tcW w:w="7380" w:type="dxa"/>
            <w:gridSpan w:val="4"/>
            <w:tcBorders>
              <w:top w:val="single" w:color="auto" w:sz="4" w:space="0"/>
              <w:left w:val="nil"/>
              <w:bottom w:val="single" w:color="auto" w:sz="4" w:space="0"/>
              <w:right w:val="single" w:color="auto" w:sz="4" w:space="0"/>
            </w:tcBorders>
            <w:vAlign w:val="center"/>
          </w:tcPr>
          <w:p>
            <w:pPr>
              <w:widowControl/>
              <w:tabs>
                <w:tab w:val="left" w:pos="1620"/>
              </w:tabs>
              <w:jc w:val="center"/>
              <w:rPr>
                <w:rFonts w:ascii="宋体" w:hAnsi="宋体" w:cs="宋体"/>
                <w:kern w:val="0"/>
                <w:sz w:val="24"/>
              </w:rPr>
            </w:pPr>
            <w:r>
              <w:rPr>
                <w:rFonts w:hint="eastAsia" w:ascii="宋体" w:hAnsi="宋体" w:cs="宋体"/>
                <w:kern w:val="0"/>
                <w:sz w:val="18"/>
                <w:szCs w:val="18"/>
              </w:rPr>
              <w:t>□优秀（90（含）-100分）      □合格（80（含）-90分）      □不合格（80分及以下）</w:t>
            </w:r>
          </w:p>
        </w:tc>
      </w:tr>
    </w:tbl>
    <w:p>
      <w:pPr>
        <w:tabs>
          <w:tab w:val="left" w:pos="1620"/>
        </w:tabs>
        <w:ind w:left="-403" w:right="-1052" w:hanging="315"/>
        <w:rPr>
          <w:rFonts w:ascii="宋体" w:hAnsi="宋体" w:cs="宋体"/>
        </w:rPr>
      </w:pPr>
    </w:p>
    <w:p>
      <w:pPr>
        <w:tabs>
          <w:tab w:val="left" w:pos="1620"/>
        </w:tabs>
        <w:ind w:left="-403" w:right="-1052" w:hanging="315"/>
        <w:rPr>
          <w:rFonts w:ascii="宋体" w:hAnsi="宋体" w:cs="宋体"/>
        </w:rPr>
      </w:pPr>
    </w:p>
    <w:p>
      <w:pPr>
        <w:tabs>
          <w:tab w:val="left" w:pos="1620"/>
        </w:tabs>
        <w:ind w:left="-403" w:right="-1052" w:hanging="315"/>
        <w:rPr>
          <w:rFonts w:ascii="宋体" w:hAnsi="宋体" w:cs="宋体"/>
        </w:rPr>
      </w:pPr>
    </w:p>
    <w:p>
      <w:pPr>
        <w:tabs>
          <w:tab w:val="left" w:pos="1620"/>
        </w:tabs>
        <w:ind w:left="-403" w:right="-1052" w:hanging="315"/>
        <w:rPr>
          <w:rFonts w:ascii="宋体" w:hAnsi="宋体" w:cs="宋体"/>
        </w:rPr>
        <w:sectPr>
          <w:pgSz w:w="11906" w:h="16838"/>
          <w:pgMar w:top="851" w:right="1797" w:bottom="851" w:left="1797" w:header="851" w:footer="992" w:gutter="0"/>
          <w:cols w:space="720" w:num="1"/>
          <w:docGrid w:type="lines" w:linePitch="312" w:charSpace="0"/>
        </w:sectPr>
      </w:pPr>
      <w:r>
        <w:rPr>
          <w:rFonts w:hint="eastAsia" w:ascii="宋体" w:hAnsi="宋体" w:cs="宋体"/>
        </w:rPr>
        <w:t>考核单位负责人签字（加盖公章）：                                   考核时间：     年   月    日</w:t>
      </w:r>
    </w:p>
    <w:p>
      <w:pPr>
        <w:tabs>
          <w:tab w:val="left" w:pos="1620"/>
        </w:tabs>
        <w:spacing w:line="360" w:lineRule="auto"/>
        <w:rPr>
          <w:rFonts w:ascii="宋体" w:hAnsi="宋体" w:cs="宋体"/>
          <w:sz w:val="36"/>
          <w:szCs w:val="36"/>
        </w:rPr>
      </w:pPr>
      <w:r>
        <w:rPr>
          <w:rFonts w:hint="eastAsia" w:ascii="宋体" w:hAnsi="宋体" w:cs="宋体"/>
          <w:sz w:val="24"/>
        </w:rPr>
        <w:t xml:space="preserve">附件（2）           </w:t>
      </w:r>
      <w:r>
        <w:rPr>
          <w:rFonts w:hint="eastAsia" w:ascii="宋体" w:hAnsi="宋体" w:cs="宋体"/>
          <w:sz w:val="36"/>
          <w:szCs w:val="36"/>
        </w:rPr>
        <w:t xml:space="preserve"> 施工单位履约考核申诉调查表</w:t>
      </w:r>
    </w:p>
    <w:p>
      <w:pPr>
        <w:tabs>
          <w:tab w:val="left" w:pos="1620"/>
        </w:tabs>
        <w:jc w:val="right"/>
        <w:rPr>
          <w:rFonts w:ascii="宋体" w:hAnsi="宋体" w:cs="宋体"/>
          <w:b/>
          <w:bCs/>
          <w:szCs w:val="21"/>
        </w:rPr>
      </w:pPr>
      <w:r>
        <w:rPr>
          <w:rFonts w:hint="eastAsia" w:ascii="宋体" w:hAnsi="宋体" w:cs="宋体"/>
          <w:b/>
          <w:bCs/>
          <w:szCs w:val="21"/>
        </w:rPr>
        <w:t>申诉日期         年    月    日</w:t>
      </w:r>
    </w:p>
    <w:p>
      <w:pPr>
        <w:tabs>
          <w:tab w:val="left" w:pos="1620"/>
        </w:tabs>
        <w:ind w:firstLine="6325" w:firstLineChars="3000"/>
        <w:rPr>
          <w:rFonts w:ascii="宋体" w:hAnsi="宋体" w:cs="宋体"/>
          <w:b/>
          <w:bCs/>
          <w:szCs w:val="21"/>
        </w:rPr>
      </w:pPr>
    </w:p>
    <w:tbl>
      <w:tblPr>
        <w:tblStyle w:val="18"/>
        <w:tblW w:w="10251"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465"/>
        <w:gridCol w:w="1022"/>
        <w:gridCol w:w="494"/>
        <w:gridCol w:w="1078"/>
        <w:gridCol w:w="110"/>
        <w:gridCol w:w="1256"/>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19" w:type="dxa"/>
            <w:vAlign w:val="center"/>
          </w:tcPr>
          <w:p>
            <w:pPr>
              <w:rPr>
                <w:rFonts w:ascii="宋体" w:hAnsi="宋体" w:cs="宋体"/>
                <w:b/>
                <w:bCs/>
                <w:szCs w:val="21"/>
              </w:rPr>
            </w:pPr>
            <w:r>
              <w:rPr>
                <w:rFonts w:hint="eastAsia" w:ascii="宋体" w:hAnsi="宋体" w:cs="宋体"/>
                <w:b/>
                <w:bCs/>
                <w:szCs w:val="21"/>
              </w:rPr>
              <w:t>工程项目名称</w:t>
            </w:r>
          </w:p>
        </w:tc>
        <w:tc>
          <w:tcPr>
            <w:tcW w:w="3981" w:type="dxa"/>
            <w:gridSpan w:val="3"/>
            <w:vAlign w:val="center"/>
          </w:tcPr>
          <w:p>
            <w:pPr>
              <w:rPr>
                <w:rFonts w:ascii="宋体" w:hAnsi="宋体" w:cs="宋体"/>
                <w:b/>
                <w:bCs/>
                <w:szCs w:val="21"/>
              </w:rPr>
            </w:pPr>
            <w:r>
              <w:rPr>
                <w:rFonts w:hint="eastAsia" w:ascii="宋体" w:hAnsi="宋体" w:cs="宋体"/>
                <w:b/>
                <w:bCs/>
                <w:szCs w:val="21"/>
              </w:rPr>
              <w:t xml:space="preserve">            </w:t>
            </w:r>
          </w:p>
        </w:tc>
        <w:tc>
          <w:tcPr>
            <w:tcW w:w="1078" w:type="dxa"/>
            <w:vAlign w:val="center"/>
          </w:tcPr>
          <w:p>
            <w:pPr>
              <w:rPr>
                <w:rFonts w:ascii="宋体" w:hAnsi="宋体" w:cs="宋体"/>
                <w:b/>
                <w:bCs/>
                <w:szCs w:val="21"/>
              </w:rPr>
            </w:pPr>
            <w:r>
              <w:rPr>
                <w:rFonts w:hint="eastAsia" w:ascii="宋体" w:hAnsi="宋体" w:cs="宋体"/>
                <w:b/>
                <w:bCs/>
                <w:szCs w:val="21"/>
              </w:rPr>
              <w:t>申诉人</w:t>
            </w:r>
          </w:p>
          <w:p>
            <w:pPr>
              <w:rPr>
                <w:rFonts w:ascii="宋体" w:hAnsi="宋体" w:cs="宋体"/>
                <w:b/>
                <w:bCs/>
                <w:szCs w:val="21"/>
              </w:rPr>
            </w:pPr>
            <w:r>
              <w:rPr>
                <w:rFonts w:hint="eastAsia" w:ascii="宋体" w:hAnsi="宋体" w:cs="宋体"/>
                <w:b/>
                <w:bCs/>
                <w:szCs w:val="21"/>
              </w:rPr>
              <w:t>（施工单位）盖章</w:t>
            </w:r>
          </w:p>
        </w:tc>
        <w:tc>
          <w:tcPr>
            <w:tcW w:w="3473" w:type="dxa"/>
            <w:gridSpan w:val="3"/>
            <w:vAlign w:val="center"/>
          </w:tcPr>
          <w:p>
            <w:pPr>
              <w:ind w:firstLine="1238"/>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19" w:type="dxa"/>
            <w:vAlign w:val="center"/>
          </w:tcPr>
          <w:p>
            <w:pPr>
              <w:jc w:val="center"/>
              <w:rPr>
                <w:rFonts w:ascii="宋体" w:hAnsi="宋体" w:cs="宋体"/>
                <w:b/>
                <w:bCs/>
                <w:szCs w:val="21"/>
              </w:rPr>
            </w:pPr>
            <w:r>
              <w:rPr>
                <w:rFonts w:hint="eastAsia" w:ascii="宋体" w:hAnsi="宋体" w:cs="宋体"/>
                <w:b/>
                <w:bCs/>
                <w:szCs w:val="21"/>
              </w:rPr>
              <w:t>考核部门</w:t>
            </w:r>
          </w:p>
        </w:tc>
        <w:tc>
          <w:tcPr>
            <w:tcW w:w="8532" w:type="dxa"/>
            <w:gridSpan w:val="7"/>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1719" w:type="dxa"/>
            <w:vAlign w:val="center"/>
          </w:tcPr>
          <w:p>
            <w:pPr>
              <w:jc w:val="center"/>
              <w:rPr>
                <w:rFonts w:ascii="宋体" w:hAnsi="宋体" w:cs="宋体"/>
                <w:b/>
                <w:bCs/>
                <w:szCs w:val="21"/>
              </w:rPr>
            </w:pPr>
            <w:r>
              <w:rPr>
                <w:rFonts w:hint="eastAsia" w:ascii="宋体" w:hAnsi="宋体" w:cs="宋体"/>
                <w:b/>
                <w:bCs/>
                <w:szCs w:val="21"/>
              </w:rPr>
              <w:t>申诉内容</w:t>
            </w:r>
          </w:p>
        </w:tc>
        <w:tc>
          <w:tcPr>
            <w:tcW w:w="8532" w:type="dxa"/>
            <w:gridSpan w:val="7"/>
            <w:vAlign w:val="center"/>
          </w:tcPr>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19" w:type="dxa"/>
            <w:vAlign w:val="center"/>
          </w:tcPr>
          <w:p>
            <w:pPr>
              <w:jc w:val="center"/>
              <w:rPr>
                <w:rFonts w:ascii="宋体" w:hAnsi="宋体" w:cs="宋体"/>
                <w:b/>
                <w:bCs/>
                <w:szCs w:val="21"/>
              </w:rPr>
            </w:pPr>
            <w:r>
              <w:rPr>
                <w:rFonts w:hint="eastAsia" w:ascii="宋体" w:hAnsi="宋体" w:cs="宋体"/>
                <w:b/>
                <w:bCs/>
                <w:szCs w:val="21"/>
              </w:rPr>
              <w:t>考核部门</w:t>
            </w:r>
          </w:p>
          <w:p>
            <w:pPr>
              <w:jc w:val="center"/>
              <w:rPr>
                <w:rFonts w:ascii="宋体" w:hAnsi="宋体" w:cs="宋体"/>
                <w:b/>
                <w:bCs/>
                <w:szCs w:val="21"/>
              </w:rPr>
            </w:pPr>
            <w:r>
              <w:rPr>
                <w:rFonts w:hint="eastAsia" w:ascii="宋体" w:hAnsi="宋体" w:cs="宋体"/>
                <w:b/>
                <w:bCs/>
                <w:szCs w:val="21"/>
              </w:rPr>
              <w:t>复核情况</w:t>
            </w:r>
          </w:p>
        </w:tc>
        <w:tc>
          <w:tcPr>
            <w:tcW w:w="8532" w:type="dxa"/>
            <w:gridSpan w:val="7"/>
            <w:vAlign w:val="center"/>
          </w:tcPr>
          <w:p>
            <w:pPr>
              <w:ind w:firstLine="413"/>
              <w:rPr>
                <w:rFonts w:ascii="宋体" w:hAnsi="宋体" w:cs="宋体"/>
                <w:b/>
                <w:bCs/>
                <w:szCs w:val="21"/>
              </w:rPr>
            </w:pPr>
            <w:r>
              <w:rPr>
                <w:rFonts w:hint="eastAsia" w:ascii="宋体" w:hAnsi="宋体" w:cs="宋体"/>
                <w:b/>
                <w:bCs/>
                <w:szCs w:val="21"/>
              </w:rPr>
              <w:t>根据你公司提出的关于施工单位履约考核的申诉申请，我单位经复核，现予答复。复查情况如下：</w:t>
            </w:r>
          </w:p>
          <w:p>
            <w:pPr>
              <w:rPr>
                <w:rFonts w:ascii="宋体" w:hAnsi="宋体" w:cs="宋体"/>
                <w:b/>
                <w:bCs/>
                <w:szCs w:val="21"/>
              </w:rPr>
            </w:pP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                                        项目负责人：</w:t>
            </w:r>
          </w:p>
          <w:p>
            <w:pPr>
              <w:rPr>
                <w:rFonts w:ascii="宋体" w:hAnsi="宋体" w:cs="宋体"/>
                <w:b/>
                <w:bCs/>
                <w:szCs w:val="21"/>
              </w:rPr>
            </w:pPr>
            <w:r>
              <w:rPr>
                <w:rFonts w:hint="eastAsia" w:ascii="宋体" w:hAnsi="宋体" w:cs="宋体"/>
                <w:b/>
                <w:bCs/>
                <w:szCs w:val="21"/>
              </w:rPr>
              <w:t xml:space="preserve">                                         </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                                        单位负责人  </w:t>
            </w:r>
            <w:r>
              <w:rPr>
                <w:rFonts w:hint="eastAsia" w:ascii="宋体" w:hAnsi="宋体" w:cs="宋体"/>
                <w:b/>
                <w:szCs w:val="21"/>
              </w:rPr>
              <w:t>（公章）</w:t>
            </w:r>
            <w:r>
              <w:rPr>
                <w:rFonts w:hint="eastAsia" w:ascii="宋体" w:hAnsi="宋体" w:cs="宋体"/>
                <w:b/>
                <w:bCs/>
                <w:szCs w:val="21"/>
              </w:rPr>
              <w:t xml:space="preserve"> ：</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                                                         年    月    日</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 结论：</w:t>
            </w:r>
            <w:r>
              <w:rPr>
                <w:rFonts w:hint="eastAsia" w:ascii="宋体" w:hAnsi="宋体" w:cs="宋体"/>
                <w:szCs w:val="21"/>
              </w:rPr>
              <w:t>□ 维持扣分</w:t>
            </w:r>
            <w:r>
              <w:rPr>
                <w:rFonts w:hint="eastAsia" w:ascii="宋体" w:hAnsi="宋体" w:cs="宋体"/>
                <w:b/>
                <w:bCs/>
                <w:szCs w:val="21"/>
              </w:rPr>
              <w:t xml:space="preserve">   </w:t>
            </w:r>
            <w:r>
              <w:rPr>
                <w:rFonts w:hint="eastAsia" w:ascii="宋体" w:hAnsi="宋体" w:cs="宋体"/>
                <w:szCs w:val="21"/>
              </w:rPr>
              <w:t>□撤销扣分</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19" w:type="dxa"/>
            <w:vAlign w:val="center"/>
          </w:tcPr>
          <w:p>
            <w:pPr>
              <w:rPr>
                <w:rFonts w:ascii="宋体" w:hAnsi="宋体" w:cs="宋体"/>
                <w:b/>
                <w:bCs/>
                <w:szCs w:val="21"/>
              </w:rPr>
            </w:pPr>
            <w:r>
              <w:rPr>
                <w:rFonts w:hint="eastAsia" w:ascii="宋体" w:hAnsi="宋体" w:cs="宋体"/>
                <w:b/>
                <w:bCs/>
                <w:szCs w:val="21"/>
              </w:rPr>
              <w:t>申诉人</w:t>
            </w:r>
          </w:p>
        </w:tc>
        <w:tc>
          <w:tcPr>
            <w:tcW w:w="2465" w:type="dxa"/>
            <w:vAlign w:val="center"/>
          </w:tcPr>
          <w:p>
            <w:pPr>
              <w:rPr>
                <w:rFonts w:ascii="宋体" w:hAnsi="宋体" w:cs="宋体"/>
                <w:b/>
                <w:bCs/>
                <w:szCs w:val="21"/>
              </w:rPr>
            </w:pPr>
          </w:p>
        </w:tc>
        <w:tc>
          <w:tcPr>
            <w:tcW w:w="1022" w:type="dxa"/>
            <w:vAlign w:val="center"/>
          </w:tcPr>
          <w:p>
            <w:pPr>
              <w:rPr>
                <w:rFonts w:ascii="宋体" w:hAnsi="宋体" w:cs="宋体"/>
                <w:b/>
                <w:bCs/>
                <w:szCs w:val="21"/>
              </w:rPr>
            </w:pPr>
            <w:r>
              <w:rPr>
                <w:rFonts w:hint="eastAsia" w:ascii="宋体" w:hAnsi="宋体" w:cs="宋体"/>
                <w:b/>
                <w:bCs/>
                <w:szCs w:val="21"/>
              </w:rPr>
              <w:t>签收人</w:t>
            </w:r>
          </w:p>
        </w:tc>
        <w:tc>
          <w:tcPr>
            <w:tcW w:w="1682" w:type="dxa"/>
            <w:gridSpan w:val="3"/>
            <w:vAlign w:val="center"/>
          </w:tcPr>
          <w:p>
            <w:pPr>
              <w:rPr>
                <w:rFonts w:ascii="宋体" w:hAnsi="宋体" w:cs="宋体"/>
                <w:b/>
                <w:bCs/>
                <w:szCs w:val="21"/>
              </w:rPr>
            </w:pPr>
          </w:p>
        </w:tc>
        <w:tc>
          <w:tcPr>
            <w:tcW w:w="1256" w:type="dxa"/>
            <w:vAlign w:val="center"/>
          </w:tcPr>
          <w:p>
            <w:pPr>
              <w:rPr>
                <w:rFonts w:ascii="宋体" w:hAnsi="宋体" w:cs="宋体"/>
                <w:b/>
                <w:bCs/>
                <w:szCs w:val="21"/>
              </w:rPr>
            </w:pPr>
            <w:r>
              <w:rPr>
                <w:rFonts w:hint="eastAsia" w:ascii="宋体" w:hAnsi="宋体" w:cs="宋体"/>
                <w:b/>
                <w:bCs/>
                <w:szCs w:val="21"/>
              </w:rPr>
              <w:t>签收日期</w:t>
            </w:r>
          </w:p>
        </w:tc>
        <w:tc>
          <w:tcPr>
            <w:tcW w:w="2107" w:type="dxa"/>
            <w:vAlign w:val="center"/>
          </w:tcPr>
          <w:p>
            <w:pPr>
              <w:rPr>
                <w:rFonts w:ascii="宋体" w:hAnsi="宋体" w:cs="宋体"/>
                <w:b/>
                <w:bCs/>
                <w:szCs w:val="21"/>
              </w:rPr>
            </w:pPr>
          </w:p>
        </w:tc>
      </w:tr>
    </w:tbl>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t xml:space="preserve"> 附件6（供应商库合同）：</w:t>
      </w:r>
    </w:p>
    <w:p>
      <w:pPr>
        <w:rPr>
          <w:rFonts w:ascii="宋体" w:hAnsi="宋体" w:cs="宋体"/>
          <w:sz w:val="24"/>
          <w:szCs w:val="22"/>
        </w:rPr>
      </w:pPr>
    </w:p>
    <w:p>
      <w:pPr>
        <w:spacing w:after="156" w:afterLines="50"/>
        <w:ind w:right="964" w:firstLine="600"/>
        <w:jc w:val="right"/>
        <w:rPr>
          <w:rFonts w:ascii="宋体" w:hAnsi="宋体" w:cs="宋体"/>
          <w:sz w:val="24"/>
        </w:rPr>
      </w:pPr>
      <w:r>
        <w:rPr>
          <w:rFonts w:hint="eastAsia" w:ascii="宋体" w:hAnsi="宋体" w:cs="宋体"/>
        </w:rPr>
        <w:t xml:space="preserve">       </w:t>
      </w:r>
      <w:r>
        <w:rPr>
          <w:rFonts w:hint="eastAsia" w:ascii="宋体" w:hAnsi="宋体" w:cs="宋体"/>
          <w:sz w:val="24"/>
        </w:rPr>
        <w:t>合同编号：CQA</w:t>
      </w:r>
    </w:p>
    <w:p>
      <w:pPr>
        <w:spacing w:after="156" w:afterLines="50"/>
        <w:ind w:firstLine="422"/>
        <w:jc w:val="center"/>
        <w:rPr>
          <w:rFonts w:ascii="宋体" w:hAnsi="宋体" w:cs="宋体"/>
          <w:b/>
        </w:rPr>
      </w:pPr>
    </w:p>
    <w:p>
      <w:pPr>
        <w:snapToGrid w:val="0"/>
        <w:spacing w:before="100" w:beforeAutospacing="1" w:after="100" w:afterAutospacing="1"/>
        <w:ind w:firstLine="643"/>
        <w:jc w:val="center"/>
        <w:rPr>
          <w:rFonts w:ascii="宋体" w:hAnsi="宋体" w:cs="宋体"/>
          <w:b/>
          <w:sz w:val="32"/>
          <w:szCs w:val="32"/>
        </w:rPr>
      </w:pPr>
    </w:p>
    <w:p>
      <w:pPr>
        <w:snapToGrid w:val="0"/>
        <w:spacing w:before="100" w:beforeAutospacing="1" w:after="100" w:afterAutospacing="1"/>
        <w:ind w:firstLine="420"/>
        <w:jc w:val="center"/>
        <w:rPr>
          <w:rFonts w:ascii="宋体" w:hAnsi="宋体" w:cs="宋体"/>
          <w:b/>
          <w:sz w:val="32"/>
          <w:szCs w:val="32"/>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60288;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Q9EgG9w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u+JQzC4Yafvf1&#10;558v326//7799YNNk0K9x5IcV3YTjjv0m5Do7ptg0p+IsH1W9XBSVe4jE3Q4m1/O5rMLzsT9XfEQ&#10;6APGt9IZloyKYwyg2i6unLXUOxcmWVXYvcNIqSnwPiBl1Zb1NMKvxxfUTgE0jA0NAZnGEyG0bQ5G&#10;p1V9rbROIRja7UoHtoM0EPlLDAn4kVvKsgbsBr98NYxKJ6F+Y2sWD56ksvRCeKrByJozLelBJYsA&#10;oYyg9DmelFpbqiCJPMiarK2rD1ntfE7NzzUeBzVN17/7HP3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7971HUAAAACQEAAA8AAAAAAAAAAQAgAAAAIgAAAGRycy9kb3ducmV2LnhtbFBLAQIU&#10;ABQAAAAIAIdO4kBQ9EgG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cs="宋体"/>
          <w:b/>
          <w:sz w:val="32"/>
          <w:szCs w:val="32"/>
        </w:rPr>
      </w:pPr>
      <w:r>
        <w:rPr>
          <w:rFonts w:hint="eastAsia" w:ascii="宋体" w:hAnsi="宋体" w:cs="宋体"/>
          <w:b/>
          <w:sz w:val="32"/>
          <w:szCs w:val="32"/>
        </w:rPr>
        <w:t xml:space="preserve">                  </w:t>
      </w:r>
    </w:p>
    <w:p>
      <w:pPr>
        <w:snapToGrid w:val="0"/>
        <w:spacing w:before="100" w:beforeAutospacing="1" w:after="100" w:afterAutospacing="1"/>
        <w:jc w:val="center"/>
        <w:rPr>
          <w:rFonts w:ascii="宋体" w:hAnsi="宋体" w:cs="宋体"/>
          <w:sz w:val="44"/>
          <w:szCs w:val="44"/>
        </w:rPr>
      </w:pPr>
      <w:r>
        <w:rPr>
          <w:rFonts w:hint="eastAsia" w:ascii="宋体" w:hAnsi="宋体" w:cs="宋体"/>
          <w:sz w:val="44"/>
          <w:szCs w:val="44"/>
        </w:rPr>
        <w:t>重庆机场信息通信网络有限公司</w:t>
      </w:r>
    </w:p>
    <w:p>
      <w:pPr>
        <w:snapToGrid w:val="0"/>
        <w:spacing w:before="100" w:beforeAutospacing="1" w:after="100" w:afterAutospacing="1"/>
        <w:jc w:val="center"/>
        <w:rPr>
          <w:rFonts w:ascii="宋体" w:hAnsi="宋体" w:cs="宋体"/>
          <w:sz w:val="44"/>
          <w:szCs w:val="44"/>
        </w:rPr>
      </w:pPr>
      <w:r>
        <w:rPr>
          <w:rFonts w:hint="eastAsia" w:ascii="宋体" w:hAnsi="宋体" w:cs="宋体"/>
          <w:sz w:val="44"/>
          <w:szCs w:val="44"/>
        </w:rPr>
        <w:t>2021-2023年小型弱电工程供应商库入库</w:t>
      </w:r>
    </w:p>
    <w:p>
      <w:pPr>
        <w:snapToGrid w:val="0"/>
        <w:spacing w:before="100" w:beforeAutospacing="1" w:after="100" w:afterAutospacing="1"/>
        <w:jc w:val="center"/>
        <w:rPr>
          <w:rFonts w:ascii="宋体" w:hAnsi="宋体" w:cs="宋体"/>
          <w:sz w:val="44"/>
          <w:szCs w:val="44"/>
        </w:rPr>
      </w:pPr>
      <w:r>
        <w:rPr>
          <w:rFonts w:hint="eastAsia" w:ascii="宋体" w:hAnsi="宋体" w:cs="宋体"/>
          <w:sz w:val="44"/>
          <w:szCs w:val="44"/>
        </w:rPr>
        <w:t>遴选服务协议</w:t>
      </w:r>
    </w:p>
    <w:p>
      <w:pPr>
        <w:snapToGrid w:val="0"/>
        <w:spacing w:before="100" w:beforeAutospacing="1" w:after="100" w:afterAutospacing="1"/>
        <w:ind w:firstLine="420"/>
        <w:rPr>
          <w:rFonts w:ascii="宋体" w:hAnsi="宋体" w:cs="宋体"/>
          <w:b/>
          <w:sz w:val="32"/>
          <w:szCs w:val="32"/>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61312;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1H9QAAAAJAQAADwAAAAAAAAABACAAAAAiAAAAZHJzL2Rvd25yZXYueG1sUEsBAhQA&#10;FAAAAAgAh07iQDRtHZ7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cs="宋体"/>
          <w:b/>
          <w:sz w:val="32"/>
          <w:szCs w:val="32"/>
        </w:rPr>
      </w:pPr>
    </w:p>
    <w:p>
      <w:pPr>
        <w:snapToGrid w:val="0"/>
        <w:spacing w:before="100" w:beforeAutospacing="1" w:after="100" w:afterAutospacing="1"/>
        <w:ind w:firstLine="643"/>
        <w:jc w:val="center"/>
        <w:rPr>
          <w:rFonts w:ascii="宋体" w:hAnsi="宋体" w:cs="宋体"/>
          <w:b/>
          <w:sz w:val="32"/>
          <w:szCs w:val="32"/>
        </w:rPr>
      </w:pPr>
    </w:p>
    <w:p>
      <w:pPr>
        <w:snapToGrid w:val="0"/>
        <w:spacing w:before="100" w:beforeAutospacing="1" w:after="100" w:afterAutospacing="1"/>
        <w:rPr>
          <w:rFonts w:ascii="宋体" w:hAnsi="宋体" w:cs="宋体"/>
          <w:b/>
          <w:sz w:val="32"/>
          <w:szCs w:val="32"/>
        </w:rPr>
      </w:pPr>
    </w:p>
    <w:p>
      <w:pPr>
        <w:tabs>
          <w:tab w:val="right" w:pos="7700"/>
        </w:tabs>
        <w:ind w:firstLine="2240" w:firstLineChars="800"/>
        <w:jc w:val="left"/>
        <w:rPr>
          <w:rFonts w:ascii="宋体" w:hAnsi="宋体" w:cs="宋体"/>
          <w:bCs/>
          <w:sz w:val="28"/>
          <w:szCs w:val="28"/>
        </w:rPr>
      </w:pPr>
      <w:r>
        <w:rPr>
          <w:rFonts w:hint="eastAsia" w:ascii="宋体" w:hAnsi="宋体" w:cs="宋体"/>
          <w:bCs/>
          <w:sz w:val="28"/>
          <w:szCs w:val="28"/>
        </w:rPr>
        <w:t>甲方：重庆机场信息通信网络有限公司</w:t>
      </w:r>
    </w:p>
    <w:p>
      <w:pPr>
        <w:tabs>
          <w:tab w:val="right" w:pos="7700"/>
        </w:tabs>
        <w:jc w:val="left"/>
        <w:rPr>
          <w:rFonts w:ascii="宋体" w:hAnsi="宋体" w:cs="宋体"/>
          <w:bCs/>
          <w:sz w:val="28"/>
          <w:szCs w:val="28"/>
        </w:rPr>
      </w:pPr>
      <w:r>
        <w:rPr>
          <w:rFonts w:hint="eastAsia" w:ascii="宋体" w:hAnsi="宋体" w:cs="宋体"/>
          <w:bCs/>
          <w:sz w:val="28"/>
          <w:szCs w:val="28"/>
        </w:rPr>
        <w:t xml:space="preserve">                乙方：                    </w:t>
      </w:r>
    </w:p>
    <w:p>
      <w:pPr>
        <w:tabs>
          <w:tab w:val="right" w:pos="7700"/>
        </w:tabs>
        <w:jc w:val="left"/>
        <w:rPr>
          <w:rFonts w:ascii="宋体" w:hAnsi="宋体" w:cs="宋体"/>
          <w:bCs/>
          <w:sz w:val="28"/>
          <w:szCs w:val="28"/>
        </w:rPr>
      </w:pPr>
    </w:p>
    <w:p>
      <w:pPr>
        <w:tabs>
          <w:tab w:val="right" w:pos="7700"/>
        </w:tabs>
        <w:jc w:val="left"/>
        <w:rPr>
          <w:rFonts w:ascii="宋体" w:hAnsi="宋体" w:cs="宋体"/>
          <w:bCs/>
          <w:sz w:val="28"/>
          <w:szCs w:val="28"/>
        </w:rPr>
      </w:pPr>
    </w:p>
    <w:p>
      <w:pPr>
        <w:tabs>
          <w:tab w:val="right" w:pos="7700"/>
        </w:tabs>
        <w:jc w:val="left"/>
        <w:rPr>
          <w:rFonts w:ascii="宋体" w:hAnsi="宋体" w:cs="宋体"/>
          <w:bCs/>
          <w:sz w:val="28"/>
          <w:szCs w:val="28"/>
        </w:rPr>
      </w:pPr>
    </w:p>
    <w:p>
      <w:pPr>
        <w:pStyle w:val="2"/>
        <w:rPr>
          <w:rFonts w:ascii="宋体" w:hAnsi="宋体" w:eastAsia="宋体" w:cs="宋体"/>
          <w:bCs/>
          <w:sz w:val="28"/>
          <w:szCs w:val="28"/>
        </w:rPr>
      </w:pPr>
      <w:r>
        <w:rPr>
          <w:rFonts w:hint="eastAsia" w:ascii="宋体" w:hAnsi="宋体" w:eastAsia="宋体" w:cs="宋体"/>
          <w:bCs/>
          <w:sz w:val="28"/>
          <w:szCs w:val="28"/>
        </w:rPr>
        <w:t>2021年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月签订于重庆机场</w:t>
      </w:r>
    </w:p>
    <w:p/>
    <w:p>
      <w:pPr>
        <w:tabs>
          <w:tab w:val="right" w:pos="7700"/>
        </w:tabs>
        <w:jc w:val="left"/>
        <w:rPr>
          <w:rFonts w:ascii="宋体" w:hAnsi="宋体" w:cs="宋体"/>
          <w:bCs/>
          <w:sz w:val="28"/>
          <w:szCs w:val="28"/>
        </w:rPr>
      </w:pPr>
    </w:p>
    <w:p>
      <w:pPr>
        <w:tabs>
          <w:tab w:val="right" w:pos="7700"/>
        </w:tabs>
        <w:jc w:val="left"/>
        <w:rPr>
          <w:rFonts w:ascii="宋体" w:hAnsi="宋体" w:cs="宋体"/>
          <w:bCs/>
          <w:sz w:val="28"/>
          <w:szCs w:val="28"/>
        </w:rPr>
      </w:pPr>
      <w:r>
        <w:rPr>
          <w:rFonts w:hint="eastAsia" w:ascii="宋体" w:hAnsi="宋体" w:cs="宋体"/>
          <w:bCs/>
          <w:sz w:val="28"/>
          <w:szCs w:val="28"/>
        </w:rPr>
        <w:t>甲方：重庆机场信息通信网络有限公司</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法定代表人或委托代理人： </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pStyle w:val="23"/>
        <w:ind w:firstLine="560"/>
        <w:rPr>
          <w:rFonts w:ascii="宋体" w:hAnsi="宋体" w:eastAsia="宋体"/>
          <w:bCs/>
          <w:color w:val="auto"/>
          <w:sz w:val="28"/>
          <w:szCs w:val="28"/>
          <w:lang w:eastAsia="zh-CN"/>
        </w:rPr>
      </w:pP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乙方：</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法定代表人或委托代理人： </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23"/>
        <w:ind w:firstLine="0" w:firstLineChars="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pStyle w:val="23"/>
        <w:ind w:firstLine="0" w:firstLineChars="0"/>
        <w:rPr>
          <w:rFonts w:ascii="宋体" w:hAnsi="宋体" w:eastAsia="宋体"/>
          <w:bCs/>
          <w:color w:val="auto"/>
          <w:sz w:val="28"/>
          <w:szCs w:val="28"/>
          <w:lang w:eastAsia="zh-CN"/>
        </w:rPr>
      </w:pPr>
    </w:p>
    <w:p>
      <w:pPr>
        <w:pStyle w:val="23"/>
        <w:ind w:firstLine="0" w:firstLineChars="0"/>
        <w:rPr>
          <w:rFonts w:ascii="宋体" w:hAnsi="宋体" w:eastAsia="宋体"/>
          <w:bCs/>
          <w:color w:val="auto"/>
          <w:sz w:val="28"/>
          <w:szCs w:val="28"/>
          <w:lang w:eastAsia="zh-CN"/>
        </w:rPr>
      </w:pPr>
    </w:p>
    <w:p>
      <w:pPr>
        <w:pStyle w:val="23"/>
        <w:ind w:firstLine="0" w:firstLineChars="0"/>
        <w:rPr>
          <w:rFonts w:ascii="宋体" w:hAnsi="宋体" w:eastAsia="宋体"/>
          <w:bCs/>
          <w:color w:val="auto"/>
          <w:sz w:val="28"/>
          <w:szCs w:val="28"/>
          <w:lang w:eastAsia="zh-CN"/>
        </w:rPr>
      </w:pP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根据重庆机场信息通信网络公司小型弱电工程供应商库入库遴选项目比选（采购编号：</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）的中标结果，</w:t>
      </w:r>
      <w:r>
        <w:rPr>
          <w:rFonts w:hint="eastAsia" w:ascii="宋体" w:hAnsi="宋体" w:eastAsia="宋体"/>
          <w:color w:val="auto"/>
          <w:sz w:val="28"/>
          <w:szCs w:val="28"/>
          <w:u w:val="single"/>
          <w:lang w:eastAsia="zh-CN"/>
        </w:rPr>
        <w:t xml:space="preserve">                 公司</w:t>
      </w:r>
      <w:r>
        <w:rPr>
          <w:rFonts w:hint="eastAsia" w:ascii="宋体" w:hAnsi="宋体" w:eastAsia="宋体"/>
          <w:color w:val="auto"/>
          <w:sz w:val="28"/>
          <w:szCs w:val="28"/>
          <w:lang w:eastAsia="zh-CN"/>
        </w:rPr>
        <w:t>为中标的供应商之一。根据《中华人民共和国民法典》及相关法律法规规定，经双方协商，一致同意就重庆机场信息通信网络有限公司2021-2023年小型弱电工程供应商库入库遴选事宜达成以下协议，共同遵守履行:</w:t>
      </w:r>
    </w:p>
    <w:p>
      <w:pPr>
        <w:pStyle w:val="4"/>
        <w:ind w:firstLine="640"/>
        <w:rPr>
          <w:rFonts w:ascii="宋体" w:hAnsi="宋体" w:eastAsia="宋体" w:cs="宋体"/>
          <w:sz w:val="28"/>
          <w:szCs w:val="28"/>
        </w:rPr>
      </w:pPr>
      <w:bookmarkStart w:id="12" w:name="_Toc24700706"/>
      <w:bookmarkStart w:id="13" w:name="_Toc23885"/>
      <w:r>
        <w:rPr>
          <w:rFonts w:hint="eastAsia" w:ascii="宋体" w:hAnsi="宋体" w:eastAsia="宋体" w:cs="宋体"/>
          <w:sz w:val="28"/>
          <w:szCs w:val="28"/>
        </w:rPr>
        <w:t xml:space="preserve">第一条 </w:t>
      </w:r>
      <w:bookmarkEnd w:id="12"/>
      <w:r>
        <w:rPr>
          <w:rFonts w:hint="eastAsia" w:ascii="宋体" w:hAnsi="宋体" w:eastAsia="宋体" w:cs="宋体"/>
          <w:sz w:val="28"/>
          <w:szCs w:val="28"/>
        </w:rPr>
        <w:t>供应入库服务范围、合同期限</w:t>
      </w:r>
      <w:bookmarkEnd w:id="13"/>
    </w:p>
    <w:p>
      <w:pPr>
        <w:pStyle w:val="23"/>
        <w:ind w:firstLine="560"/>
        <w:rPr>
          <w:rFonts w:ascii="宋体" w:hAnsi="宋体" w:eastAsia="宋体"/>
          <w:color w:val="auto"/>
          <w:sz w:val="28"/>
          <w:szCs w:val="28"/>
          <w:lang w:eastAsia="zh-CN"/>
        </w:rPr>
      </w:pPr>
      <w:bookmarkStart w:id="14" w:name="_Toc24700707"/>
      <w:r>
        <w:rPr>
          <w:rFonts w:hint="eastAsia" w:ascii="宋体" w:hAnsi="宋体" w:eastAsia="宋体"/>
          <w:color w:val="auto"/>
          <w:sz w:val="28"/>
          <w:szCs w:val="28"/>
          <w:lang w:eastAsia="zh-CN"/>
        </w:rPr>
        <w:t xml:space="preserve"> 1.1供应入库服务范围：施工单项合同估算价10万以下的单个小型弱电工程项目（以下简称“弱电工程建设项目”），具体弱电工程建设项目以甲方实际发出邀约为准。 </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 xml:space="preserve"> 1.2服务流程：</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1.2.1服务期间甲方将施工单项合同估算10万以下的单个弱电工程建设项目（具体弱电工程建设项目以发标人委托为准），编制人员、技术和投标限价等相关要求，邀约通知至各家入库供应商响应，由各供应商按单个工程建设项目人员、技术、限价等要求编制响应、报价等文件后，经评审确定实施单位（原则为最低价中标）。</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1.2.2 甲方不承诺乙方具体的工程建设项目的工作量与工程费用，也不给予在服务期内订立具体工作量合同的承诺，如在上述期限内乙方实际未发生工作量，甲方不承担任何责任和给乙方带来的任何损失。</w:t>
      </w:r>
    </w:p>
    <w:p>
      <w:pPr>
        <w:pStyle w:val="4"/>
        <w:ind w:firstLine="640"/>
        <w:rPr>
          <w:rFonts w:ascii="宋体" w:hAnsi="宋体" w:eastAsia="宋体" w:cs="宋体"/>
          <w:sz w:val="28"/>
          <w:szCs w:val="28"/>
        </w:rPr>
      </w:pPr>
      <w:bookmarkStart w:id="15" w:name="_Toc28617"/>
      <w:r>
        <w:rPr>
          <w:rFonts w:hint="eastAsia" w:ascii="宋体" w:hAnsi="宋体" w:eastAsia="宋体" w:cs="宋体"/>
          <w:sz w:val="28"/>
          <w:szCs w:val="28"/>
        </w:rPr>
        <w:t>1.3  合同期限</w:t>
      </w:r>
      <w:bookmarkEnd w:id="14"/>
      <w:bookmarkEnd w:id="15"/>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本合同期限为2年，自</w:t>
      </w:r>
      <w:r>
        <w:rPr>
          <w:rFonts w:hint="eastAsia" w:ascii="宋体" w:hAnsi="宋体" w:eastAsia="宋体"/>
          <w:color w:val="auto"/>
          <w:sz w:val="28"/>
          <w:szCs w:val="28"/>
          <w:u w:val="single"/>
          <w:lang w:eastAsia="zh-CN"/>
        </w:rPr>
        <w:t>2021年  月  日</w:t>
      </w:r>
      <w:r>
        <w:rPr>
          <w:rFonts w:hint="eastAsia" w:ascii="宋体" w:hAnsi="宋体" w:eastAsia="宋体"/>
          <w:color w:val="auto"/>
          <w:sz w:val="28"/>
          <w:szCs w:val="28"/>
          <w:lang w:eastAsia="zh-CN"/>
        </w:rPr>
        <w:t>起始至</w:t>
      </w:r>
      <w:r>
        <w:rPr>
          <w:rFonts w:hint="eastAsia" w:ascii="宋体" w:hAnsi="宋体" w:eastAsia="宋体"/>
          <w:color w:val="auto"/>
          <w:sz w:val="28"/>
          <w:szCs w:val="28"/>
          <w:u w:val="single"/>
          <w:lang w:eastAsia="zh-CN"/>
        </w:rPr>
        <w:t>2023年  月  日</w:t>
      </w:r>
      <w:r>
        <w:rPr>
          <w:rFonts w:hint="eastAsia" w:ascii="宋体" w:hAnsi="宋体" w:eastAsia="宋体"/>
          <w:color w:val="auto"/>
          <w:sz w:val="28"/>
          <w:szCs w:val="28"/>
          <w:lang w:eastAsia="zh-CN"/>
        </w:rPr>
        <w:t>止。</w:t>
      </w:r>
    </w:p>
    <w:p>
      <w:pPr>
        <w:pStyle w:val="4"/>
        <w:ind w:firstLine="640"/>
        <w:rPr>
          <w:rFonts w:ascii="宋体" w:hAnsi="宋体" w:eastAsia="宋体" w:cs="宋体"/>
          <w:sz w:val="28"/>
          <w:szCs w:val="28"/>
        </w:rPr>
      </w:pPr>
      <w:bookmarkStart w:id="16" w:name="_Toc12086"/>
      <w:bookmarkStart w:id="17" w:name="_Toc24700712"/>
      <w:r>
        <w:rPr>
          <w:rFonts w:hint="eastAsia" w:ascii="宋体" w:hAnsi="宋体" w:eastAsia="宋体" w:cs="宋体"/>
          <w:sz w:val="28"/>
          <w:szCs w:val="28"/>
        </w:rPr>
        <w:t>第二条 履约保证金</w:t>
      </w:r>
      <w:bookmarkEnd w:id="16"/>
      <w:bookmarkEnd w:id="17"/>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2.1为保证本供应入库合同的顺利履行，乙方应向甲方交纳履约保证金，履约保证金为人民币</w:t>
      </w:r>
      <w:r>
        <w:rPr>
          <w:rFonts w:hint="eastAsia" w:ascii="宋体" w:hAnsi="宋体" w:eastAsia="宋体"/>
          <w:color w:val="auto"/>
          <w:sz w:val="28"/>
          <w:szCs w:val="28"/>
          <w:u w:val="single"/>
          <w:lang w:eastAsia="zh-CN"/>
        </w:rPr>
        <w:t>壹万元</w:t>
      </w:r>
      <w:r>
        <w:rPr>
          <w:rFonts w:hint="eastAsia" w:ascii="宋体" w:hAnsi="宋体" w:eastAsia="宋体"/>
          <w:color w:val="auto"/>
          <w:sz w:val="28"/>
          <w:szCs w:val="28"/>
          <w:lang w:eastAsia="zh-CN"/>
        </w:rPr>
        <w:t>整（</w:t>
      </w:r>
      <w:r>
        <w:rPr>
          <w:rFonts w:hint="eastAsia" w:ascii="等线" w:hAnsi="等线" w:eastAsia="等线" w:cs="等线"/>
          <w:color w:val="auto"/>
          <w:sz w:val="28"/>
          <w:szCs w:val="28"/>
          <w:lang w:eastAsia="zh-CN"/>
        </w:rPr>
        <w:t>¥</w:t>
      </w:r>
      <w:r>
        <w:rPr>
          <w:rFonts w:hint="eastAsia" w:ascii="宋体" w:hAnsi="宋体" w:eastAsia="宋体"/>
          <w:color w:val="auto"/>
          <w:sz w:val="28"/>
          <w:szCs w:val="28"/>
          <w:lang w:eastAsia="zh-CN"/>
        </w:rPr>
        <w:t>10,000.00元）。</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2.2单个工程建设项目在甲方每次确定单个工程建设项目的成交人（中标人）再行缴纳，履约保证金为单个工程建设项目中标金额的5％，单个工程建设项目履约保证金的退还按甲乙双方的签订《施工合同》约定的条款执行。</w:t>
      </w:r>
    </w:p>
    <w:p>
      <w:pPr>
        <w:pStyle w:val="34"/>
        <w:ind w:firstLine="560"/>
        <w:rPr>
          <w:rFonts w:ascii="宋体" w:hAnsi="宋体" w:eastAsia="宋体"/>
          <w:color w:val="auto"/>
          <w:sz w:val="28"/>
          <w:szCs w:val="28"/>
        </w:rPr>
      </w:pPr>
      <w:r>
        <w:rPr>
          <w:rFonts w:hint="eastAsia" w:ascii="宋体" w:hAnsi="宋体" w:eastAsia="宋体"/>
          <w:color w:val="auto"/>
          <w:sz w:val="28"/>
          <w:szCs w:val="28"/>
        </w:rPr>
        <w:t>3.2履约保证金的管理</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3.2.1 乙方未能履行本合同项下的义务，甲方有权从保证金中扣除相应金额用以支付相应款项或违约处罚。履约保证金部分或全部扣除后，乙方应在接到甲方通知后15日历天内补足履约保证金，未补足的，甲方有权解除合同。</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w:t>
      </w:r>
      <w:r>
        <w:rPr>
          <w:rFonts w:hint="eastAsia" w:ascii="宋体" w:hAnsi="宋体" w:eastAsia="宋体"/>
          <w:color w:val="auto"/>
          <w:sz w:val="28"/>
          <w:szCs w:val="28"/>
          <w:u w:val="single"/>
          <w:lang w:eastAsia="zh-CN"/>
        </w:rPr>
        <w:t xml:space="preserve">  20 </w:t>
      </w:r>
      <w:r>
        <w:rPr>
          <w:rFonts w:hint="eastAsia" w:ascii="宋体" w:hAnsi="宋体" w:eastAsia="宋体"/>
          <w:color w:val="auto"/>
          <w:sz w:val="28"/>
          <w:szCs w:val="28"/>
          <w:lang w:eastAsia="zh-CN"/>
        </w:rPr>
        <w:t>个工作日内将履约保证金无息全额返还乙方，如乙方未能妥善处置退场工作，发生影响机场运行、工程安全、质量、进度等事件，甲方有权扣除履约保证金。</w:t>
      </w:r>
    </w:p>
    <w:p>
      <w:pPr>
        <w:pStyle w:val="4"/>
        <w:ind w:firstLine="640"/>
        <w:rPr>
          <w:rFonts w:ascii="宋体" w:hAnsi="宋体" w:eastAsia="宋体" w:cs="宋体"/>
          <w:sz w:val="28"/>
          <w:szCs w:val="28"/>
        </w:rPr>
      </w:pPr>
      <w:bookmarkStart w:id="18" w:name="_Toc25677989"/>
      <w:bookmarkStart w:id="19" w:name="_Toc7169"/>
      <w:r>
        <w:rPr>
          <w:rFonts w:hint="eastAsia" w:ascii="宋体" w:hAnsi="宋体" w:eastAsia="宋体" w:cs="宋体"/>
          <w:sz w:val="28"/>
          <w:szCs w:val="28"/>
        </w:rPr>
        <w:t>第三条  合同金额及支付方式</w:t>
      </w:r>
      <w:bookmarkEnd w:id="18"/>
      <w:bookmarkEnd w:id="19"/>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本次为供应商库入库遴选，具体合同价款和支付方式将根据乙方实施的单个工程建设项目合同文件约定的支付方式为准，合同范本详附件《弱电建设工程施工合同》。</w:t>
      </w:r>
    </w:p>
    <w:p>
      <w:pPr>
        <w:pStyle w:val="23"/>
        <w:ind w:firstLine="560"/>
        <w:outlineLvl w:val="1"/>
        <w:rPr>
          <w:rStyle w:val="36"/>
          <w:rFonts w:ascii="宋体" w:hAnsi="宋体" w:eastAsia="宋体"/>
          <w:color w:val="auto"/>
          <w:sz w:val="28"/>
          <w:szCs w:val="28"/>
        </w:rPr>
      </w:pPr>
      <w:bookmarkStart w:id="20" w:name="_Toc25953"/>
      <w:bookmarkStart w:id="21" w:name="_Toc25677990"/>
      <w:r>
        <w:rPr>
          <w:rStyle w:val="36"/>
          <w:rFonts w:hint="eastAsia" w:ascii="宋体" w:hAnsi="宋体" w:eastAsia="宋体"/>
          <w:color w:val="auto"/>
          <w:sz w:val="28"/>
          <w:szCs w:val="28"/>
        </w:rPr>
        <w:t>第四条  服务考核</w:t>
      </w:r>
      <w:bookmarkEnd w:id="20"/>
      <w:bookmarkEnd w:id="21"/>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甲方对乙方提供的履约服务进行评价考核，主要通过对实施的工程建设项目机构人员到位、技术经济实力、工程实施过程安全、质量管理、工期控制、协调配合等方面作出考核，具体详《</w:t>
      </w:r>
      <w:r>
        <w:rPr>
          <w:rFonts w:hint="eastAsia" w:ascii="宋体" w:hAnsi="宋体" w:cs="宋体"/>
          <w:sz w:val="28"/>
          <w:szCs w:val="28"/>
        </w:rPr>
        <w:t>重</w:t>
      </w:r>
      <w:r>
        <w:rPr>
          <w:rFonts w:hint="eastAsia" w:ascii="宋体" w:hAnsi="宋体" w:cs="宋体"/>
          <w:kern w:val="0"/>
          <w:sz w:val="28"/>
          <w:szCs w:val="28"/>
        </w:rPr>
        <w:t>庆机场信息通信网络公司小型弱电工程供应商库入库遴选履约考核方案》。</w:t>
      </w:r>
    </w:p>
    <w:p>
      <w:pPr>
        <w:pStyle w:val="4"/>
        <w:ind w:firstLine="640"/>
        <w:rPr>
          <w:rFonts w:ascii="宋体" w:hAnsi="宋体" w:eastAsia="宋体" w:cs="宋体"/>
          <w:sz w:val="28"/>
          <w:szCs w:val="28"/>
        </w:rPr>
      </w:pPr>
      <w:bookmarkStart w:id="22" w:name="_Toc25677991"/>
      <w:bookmarkStart w:id="23" w:name="_Toc26411"/>
      <w:bookmarkStart w:id="24" w:name="_Toc24700713"/>
      <w:r>
        <w:rPr>
          <w:rFonts w:hint="eastAsia" w:ascii="宋体" w:hAnsi="宋体" w:eastAsia="宋体" w:cs="宋体"/>
          <w:sz w:val="28"/>
          <w:szCs w:val="28"/>
        </w:rPr>
        <w:t>第五条  甲方的权利和义务</w:t>
      </w:r>
      <w:bookmarkEnd w:id="22"/>
      <w:bookmarkEnd w:id="23"/>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5.1甲方应按合同约定邀请乙方参与施工单项合同估算价10万以下的单个工程建设项目竞价（具体项目以甲方实际发出的邀请为准）；</w:t>
      </w:r>
    </w:p>
    <w:p>
      <w:pPr>
        <w:adjustRightInd w:val="0"/>
        <w:snapToGrid w:val="0"/>
        <w:spacing w:line="594" w:lineRule="exact"/>
        <w:ind w:firstLine="560" w:firstLineChars="200"/>
        <w:jc w:val="left"/>
        <w:rPr>
          <w:rFonts w:ascii="宋体" w:hAnsi="宋体" w:cs="宋体"/>
          <w:kern w:val="0"/>
          <w:sz w:val="28"/>
          <w:szCs w:val="28"/>
        </w:rPr>
      </w:pPr>
      <w:r>
        <w:rPr>
          <w:rFonts w:hint="eastAsia" w:ascii="宋体" w:hAnsi="宋体" w:cs="宋体"/>
          <w:kern w:val="0"/>
          <w:sz w:val="28"/>
          <w:szCs w:val="28"/>
        </w:rPr>
        <w:t>5.2服务期间内因入库供应商违反规定列入黑名单，导致供应库内供应商数量少于等于5家，甲方将启动补录程序。</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5.3甲方应给予乙方正常开展服务工作提供必要的支持和协助，如施工许可证、人员证件办理等；</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5.4甲方有权按照本合同约定对乙方实施监督、检查和考核；</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5.5 发生应急、突发事件或有临时保障需要，甲方有权要求乙方给予支持、配合；</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5.6甲方有权按照服务考核结果，提出撤换自身条件或工作表现不合标准的管理人员。</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5.7乙方入库履约期间有两次考核为不合格的，甲方有权终止本合同，并处以相应罚金。</w:t>
      </w:r>
    </w:p>
    <w:p>
      <w:pPr>
        <w:pStyle w:val="4"/>
        <w:ind w:firstLine="640"/>
        <w:rPr>
          <w:rFonts w:ascii="宋体" w:hAnsi="宋体" w:eastAsia="宋体" w:cs="宋体"/>
          <w:sz w:val="28"/>
          <w:szCs w:val="28"/>
        </w:rPr>
      </w:pPr>
      <w:bookmarkStart w:id="25" w:name="_Toc25677992"/>
      <w:bookmarkStart w:id="26" w:name="_Toc24699"/>
      <w:r>
        <w:rPr>
          <w:rFonts w:hint="eastAsia" w:ascii="宋体" w:hAnsi="宋体" w:eastAsia="宋体" w:cs="宋体"/>
          <w:sz w:val="28"/>
          <w:szCs w:val="28"/>
        </w:rPr>
        <w:t>第六条  乙方的权利和义务</w:t>
      </w:r>
      <w:bookmarkEnd w:id="25"/>
      <w:bookmarkEnd w:id="26"/>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6.1 乙方按本合同约定参加甲方发出邀请的单个工程建设项目竞价；</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6.2乙方有权拒绝超出本合同约定范围或任何方强令违法、违规、违章操作的要求；</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6.3 乙方人员或车辆如须进入机场隔离区提供服务的，应及时按照有关规定办理隔离区通行证，费用自理；</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6.4乙方不得以“重庆机场”及甲方关联企业的名义对外从事任何经营活动，不得以任何形式将本供应入库资格进行转让；</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6.5 乙方应无条件满足甲方组织的各类保障工作。如因重要检查、突发事件或其他临时保障原因，乙方应按照甲方要求临时增加保障人员、增加工作时间、提升工作标准。</w:t>
      </w:r>
    </w:p>
    <w:p>
      <w:pPr>
        <w:pStyle w:val="23"/>
        <w:ind w:firstLine="560"/>
        <w:rPr>
          <w:rFonts w:ascii="宋体" w:hAnsi="宋体" w:eastAsia="宋体"/>
          <w:color w:val="auto"/>
          <w:sz w:val="28"/>
          <w:szCs w:val="28"/>
          <w:lang w:eastAsia="zh-CN"/>
        </w:rPr>
      </w:pPr>
      <w:bookmarkStart w:id="27" w:name="_Hlk13411163"/>
      <w:r>
        <w:rPr>
          <w:rFonts w:hint="eastAsia" w:ascii="宋体" w:hAnsi="宋体" w:eastAsia="宋体"/>
          <w:color w:val="auto"/>
          <w:sz w:val="28"/>
          <w:szCs w:val="28"/>
          <w:lang w:eastAsia="zh-CN"/>
        </w:rPr>
        <w:t>6.6乙方应要求全体服务人员恪守《中华人民共和国保守国家秘密法》相关保密要求，不得传播扩散任何涉及甲方工程、业务相关的信息。</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6.7乙方应服从甲方相关机构的管理和要求。</w:t>
      </w:r>
    </w:p>
    <w:bookmarkEnd w:id="24"/>
    <w:bookmarkEnd w:id="27"/>
    <w:p>
      <w:pPr>
        <w:pStyle w:val="4"/>
        <w:ind w:firstLine="640"/>
        <w:rPr>
          <w:rFonts w:ascii="宋体" w:hAnsi="宋体" w:eastAsia="宋体" w:cs="宋体"/>
          <w:sz w:val="28"/>
          <w:szCs w:val="28"/>
        </w:rPr>
      </w:pPr>
      <w:bookmarkStart w:id="28" w:name="_Toc28466"/>
      <w:bookmarkStart w:id="29" w:name="_Toc25677993"/>
      <w:bookmarkStart w:id="30" w:name="_Toc24700714"/>
      <w:r>
        <w:rPr>
          <w:rFonts w:hint="eastAsia" w:ascii="宋体" w:hAnsi="宋体" w:eastAsia="宋体" w:cs="宋体"/>
          <w:sz w:val="28"/>
          <w:szCs w:val="28"/>
        </w:rPr>
        <w:t>第八条  违约责任</w:t>
      </w:r>
      <w:bookmarkEnd w:id="28"/>
      <w:bookmarkEnd w:id="29"/>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8.1一方违反本合同约定，即构成违约。</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8.2其他违约责任，按甲方与乙方签订的单个工程建设项目的《弱电建设工程施工合同》执行。</w:t>
      </w:r>
    </w:p>
    <w:bookmarkEnd w:id="30"/>
    <w:p>
      <w:pPr>
        <w:pStyle w:val="4"/>
        <w:ind w:firstLine="640"/>
        <w:rPr>
          <w:rFonts w:ascii="宋体" w:hAnsi="宋体" w:eastAsia="宋体" w:cs="宋体"/>
          <w:sz w:val="28"/>
          <w:szCs w:val="28"/>
        </w:rPr>
      </w:pPr>
      <w:bookmarkStart w:id="31" w:name="_Toc24700715"/>
      <w:bookmarkStart w:id="32" w:name="_Toc12041"/>
      <w:r>
        <w:rPr>
          <w:rFonts w:hint="eastAsia" w:ascii="宋体" w:hAnsi="宋体" w:eastAsia="宋体" w:cs="宋体"/>
          <w:sz w:val="28"/>
          <w:szCs w:val="28"/>
        </w:rPr>
        <w:t>第十条 不可抗力</w:t>
      </w:r>
      <w:bookmarkEnd w:id="31"/>
      <w:bookmarkEnd w:id="32"/>
    </w:p>
    <w:p>
      <w:pPr>
        <w:pStyle w:val="23"/>
        <w:ind w:firstLine="560"/>
        <w:rPr>
          <w:rFonts w:ascii="宋体" w:hAnsi="宋体" w:eastAsia="宋体"/>
          <w:color w:val="auto"/>
          <w:sz w:val="28"/>
          <w:szCs w:val="28"/>
          <w:lang w:eastAsia="zh-CN"/>
        </w:rPr>
      </w:pPr>
      <w:bookmarkStart w:id="33" w:name="_Toc25677995"/>
      <w:r>
        <w:rPr>
          <w:rFonts w:hint="eastAsia" w:ascii="宋体" w:hAnsi="宋体" w:eastAsia="宋体"/>
          <w:color w:val="auto"/>
          <w:sz w:val="28"/>
          <w:szCs w:val="28"/>
          <w:lang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bookmarkEnd w:id="33"/>
    <w:p>
      <w:pPr>
        <w:pStyle w:val="4"/>
        <w:ind w:firstLine="640"/>
        <w:rPr>
          <w:rFonts w:ascii="宋体" w:hAnsi="宋体" w:eastAsia="宋体" w:cs="宋体"/>
          <w:sz w:val="28"/>
          <w:szCs w:val="28"/>
        </w:rPr>
      </w:pPr>
      <w:bookmarkStart w:id="34" w:name="_Toc22460"/>
      <w:bookmarkStart w:id="35" w:name="_Toc24700716"/>
      <w:r>
        <w:rPr>
          <w:rFonts w:hint="eastAsia" w:ascii="宋体" w:hAnsi="宋体" w:eastAsia="宋体" w:cs="宋体"/>
          <w:sz w:val="28"/>
          <w:szCs w:val="28"/>
        </w:rPr>
        <w:t>第十一条 通知条款</w:t>
      </w:r>
      <w:bookmarkEnd w:id="34"/>
      <w:bookmarkEnd w:id="35"/>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任何一方均应本着诚实信用原则来对待另一方在履行合同时的通知、告知事项，如因重大事项须履行通知义务的，均应当以当面签收或特快专递、电子邮件方式送达相对人。</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甲方指定的联系方式：</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联系人：____________________________________________</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联系电话：__________________________________________</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通讯地址：__________________________________________</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电子邮件：_________________________________________</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乙方指定的联系方式：</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联系人：____________________________________________</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联系电话：_________________________________________</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通讯地址：__________________________________________</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电子邮件：__________________________________________</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11.1采用当面签收的，应由合同中指定的联系人或双方授权的代表签收，签收日期即为送达时间。</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11.5收件一方若认为邮件封面标题与邮件中实际文件内容不符的，应在收到邮件后三</w:t>
      </w:r>
      <w:r>
        <w:rPr>
          <w:rFonts w:hint="eastAsia" w:ascii="宋体" w:hAnsi="宋体" w:cs="宋体"/>
          <w:kern w:val="0"/>
          <w:sz w:val="28"/>
          <w:szCs w:val="28"/>
          <w:lang w:eastAsia="zh-CN"/>
        </w:rPr>
        <w:t>个工作日</w:t>
      </w:r>
      <w:r>
        <w:rPr>
          <w:rFonts w:hint="eastAsia" w:ascii="宋体" w:hAnsi="宋体" w:cs="宋体"/>
          <w:kern w:val="0"/>
          <w:sz w:val="28"/>
          <w:szCs w:val="28"/>
        </w:rPr>
        <w:t>内通知相对人，逾期视为邮件封面标题与邮件中实际文件内容一致，并视为有效送达收件人。</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11.7本合同约定的联系方式与送达方式同时可作为法律文书的联系方式与送达方式。</w:t>
      </w:r>
    </w:p>
    <w:p>
      <w:pPr>
        <w:tabs>
          <w:tab w:val="left" w:pos="1620"/>
        </w:tabs>
        <w:ind w:firstLine="600"/>
        <w:jc w:val="left"/>
        <w:rPr>
          <w:rFonts w:ascii="宋体" w:hAnsi="宋体" w:cs="宋体"/>
          <w:kern w:val="0"/>
          <w:sz w:val="28"/>
          <w:szCs w:val="28"/>
        </w:rPr>
      </w:pPr>
      <w:r>
        <w:rPr>
          <w:rFonts w:hint="eastAsia" w:ascii="宋体" w:hAnsi="宋体" w:cs="宋体"/>
          <w:kern w:val="0"/>
          <w:sz w:val="28"/>
          <w:szCs w:val="28"/>
        </w:rPr>
        <w:t>11.8甲方通知乙方参加单个工程建设项目的人员、技术、报价响应采用电子邮件形式通知。</w:t>
      </w:r>
    </w:p>
    <w:p>
      <w:pPr>
        <w:pStyle w:val="4"/>
        <w:ind w:firstLine="640"/>
        <w:rPr>
          <w:rFonts w:ascii="宋体" w:hAnsi="宋体" w:eastAsia="宋体" w:cs="宋体"/>
          <w:sz w:val="28"/>
          <w:szCs w:val="28"/>
        </w:rPr>
      </w:pPr>
      <w:bookmarkStart w:id="36" w:name="_Toc25677999"/>
      <w:bookmarkStart w:id="37" w:name="_Toc24683"/>
      <w:bookmarkStart w:id="38" w:name="_Toc24700719"/>
      <w:r>
        <w:rPr>
          <w:rFonts w:hint="eastAsia" w:ascii="宋体" w:hAnsi="宋体" w:eastAsia="宋体" w:cs="宋体"/>
          <w:sz w:val="28"/>
          <w:szCs w:val="28"/>
        </w:rPr>
        <w:t>第十二条 争议解决方式</w:t>
      </w:r>
      <w:bookmarkEnd w:id="36"/>
      <w:bookmarkEnd w:id="37"/>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若在合同履行过程中发生争议，甲乙双方应当友好协商解决，协商不成，按以下第（ 二） 种方式解决：</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（一）提交重庆仲裁委员会，按照申请仲裁时该会现行有效的仲裁规则进行仲裁。</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（二）向甲方所在地人民法院起诉。</w:t>
      </w:r>
    </w:p>
    <w:p>
      <w:pPr>
        <w:pStyle w:val="4"/>
        <w:ind w:firstLine="640"/>
        <w:rPr>
          <w:rFonts w:ascii="宋体" w:hAnsi="宋体" w:eastAsia="宋体" w:cs="宋体"/>
          <w:sz w:val="28"/>
          <w:szCs w:val="28"/>
        </w:rPr>
      </w:pPr>
      <w:bookmarkStart w:id="39" w:name="_Toc19383"/>
      <w:bookmarkStart w:id="40" w:name="_Toc25678000"/>
      <w:r>
        <w:rPr>
          <w:rFonts w:hint="eastAsia" w:ascii="宋体" w:hAnsi="宋体" w:eastAsia="宋体" w:cs="宋体"/>
          <w:sz w:val="28"/>
          <w:szCs w:val="28"/>
        </w:rPr>
        <w:t>第十三条 合同的变更和解除</w:t>
      </w:r>
      <w:bookmarkEnd w:id="39"/>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14.1 本合同履行过程中，如果合同履行条件发生变化，由双方进行协商，并以签订补充合同的方式加以确认，补充合同与本合同具有同等效力。若补充协议内容与本合同内容矛盾的，以时间在后的内容为准。</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14.2 经双方协商一致，并达成书面合同后，本合同可以解除，双方应就合同解除的后果在解约合同中一并做出约定。一方也可根据合同约定单方行使合同解除权。</w:t>
      </w:r>
    </w:p>
    <w:p>
      <w:pPr>
        <w:pStyle w:val="4"/>
        <w:ind w:firstLine="640"/>
        <w:rPr>
          <w:rFonts w:ascii="宋体" w:hAnsi="宋体" w:eastAsia="宋体" w:cs="宋体"/>
          <w:sz w:val="28"/>
          <w:szCs w:val="28"/>
        </w:rPr>
      </w:pPr>
      <w:bookmarkStart w:id="41" w:name="_Toc4281"/>
      <w:r>
        <w:rPr>
          <w:rFonts w:hint="eastAsia" w:ascii="宋体" w:hAnsi="宋体" w:eastAsia="宋体" w:cs="宋体"/>
          <w:sz w:val="28"/>
          <w:szCs w:val="28"/>
        </w:rPr>
        <w:t>第十四条 合同生效条件</w:t>
      </w:r>
      <w:bookmarkEnd w:id="40"/>
      <w:bookmarkEnd w:id="41"/>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本合同经双方法定代表人（负责人）或授权代理人签字并加盖公章或合同专用章后生效。</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本合同一式</w:t>
      </w:r>
      <w:r>
        <w:rPr>
          <w:rFonts w:hint="eastAsia" w:ascii="宋体" w:hAnsi="宋体" w:eastAsia="宋体"/>
          <w:color w:val="auto"/>
          <w:sz w:val="28"/>
          <w:szCs w:val="28"/>
          <w:u w:val="single"/>
          <w:lang w:eastAsia="zh-CN"/>
        </w:rPr>
        <w:t>六</w:t>
      </w:r>
      <w:r>
        <w:rPr>
          <w:rFonts w:hint="eastAsia" w:ascii="宋体" w:hAnsi="宋体" w:eastAsia="宋体"/>
          <w:color w:val="auto"/>
          <w:sz w:val="28"/>
          <w:szCs w:val="28"/>
          <w:lang w:eastAsia="zh-CN"/>
        </w:rPr>
        <w:t>份，甲方执</w:t>
      </w:r>
      <w:r>
        <w:rPr>
          <w:rFonts w:hint="eastAsia" w:ascii="宋体" w:hAnsi="宋体" w:eastAsia="宋体"/>
          <w:color w:val="auto"/>
          <w:sz w:val="28"/>
          <w:szCs w:val="28"/>
          <w:u w:val="single"/>
          <w:lang w:eastAsia="zh-CN"/>
        </w:rPr>
        <w:t>三</w:t>
      </w:r>
      <w:r>
        <w:rPr>
          <w:rFonts w:hint="eastAsia" w:ascii="宋体" w:hAnsi="宋体" w:eastAsia="宋体"/>
          <w:color w:val="auto"/>
          <w:sz w:val="28"/>
          <w:szCs w:val="28"/>
          <w:lang w:eastAsia="zh-CN"/>
        </w:rPr>
        <w:t>份，乙方执</w:t>
      </w:r>
      <w:r>
        <w:rPr>
          <w:rFonts w:hint="eastAsia" w:ascii="宋体" w:hAnsi="宋体" w:eastAsia="宋体"/>
          <w:color w:val="auto"/>
          <w:sz w:val="28"/>
          <w:szCs w:val="28"/>
          <w:u w:val="single"/>
          <w:lang w:eastAsia="zh-CN"/>
        </w:rPr>
        <w:t>三</w:t>
      </w:r>
      <w:r>
        <w:rPr>
          <w:rFonts w:hint="eastAsia" w:ascii="宋体" w:hAnsi="宋体" w:eastAsia="宋体"/>
          <w:color w:val="auto"/>
          <w:sz w:val="28"/>
          <w:szCs w:val="28"/>
          <w:lang w:eastAsia="zh-CN"/>
        </w:rPr>
        <w:t>份，具有同等法律效力。</w:t>
      </w:r>
    </w:p>
    <w:bookmarkEnd w:id="38"/>
    <w:p>
      <w:pPr>
        <w:pStyle w:val="2"/>
        <w:ind w:firstLine="883"/>
        <w:rPr>
          <w:rFonts w:ascii="宋体" w:hAnsi="宋体" w:eastAsia="宋体" w:cs="宋体"/>
          <w:sz w:val="28"/>
          <w:szCs w:val="28"/>
        </w:rPr>
      </w:pP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甲方（盖章）：</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法定代表人或授权代表（签字）：</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签订日期：     年   月   日</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乙方（盖章）：</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法定代表人或授权代表（签字）：</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签订日期：     年   月   日</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签订地点：</w:t>
      </w:r>
    </w:p>
    <w:p>
      <w:pPr>
        <w:pStyle w:val="2"/>
        <w:ind w:firstLine="883"/>
        <w:rPr>
          <w:rFonts w:ascii="宋体" w:hAnsi="宋体" w:eastAsia="宋体" w:cs="宋体"/>
        </w:rPr>
      </w:pPr>
    </w:p>
    <w:p>
      <w:pPr>
        <w:spacing w:after="156" w:afterLines="50"/>
        <w:ind w:right="964" w:firstLine="480"/>
        <w:jc w:val="right"/>
        <w:rPr>
          <w:rFonts w:ascii="宋体" w:hAnsi="宋体" w:cs="宋体"/>
          <w:sz w:val="24"/>
        </w:rPr>
      </w:pPr>
    </w:p>
    <w:p>
      <w:pPr>
        <w:spacing w:after="156" w:afterLines="50"/>
        <w:ind w:right="964"/>
        <w:rPr>
          <w:rFonts w:ascii="宋体" w:hAnsi="宋体" w:cs="宋体"/>
          <w:sz w:val="24"/>
        </w:rPr>
      </w:pPr>
      <w:r>
        <w:rPr>
          <w:rFonts w:hint="eastAsia" w:ascii="宋体" w:hAnsi="宋体" w:cs="宋体"/>
          <w:sz w:val="24"/>
        </w:rPr>
        <w:t xml:space="preserve">                                      </w:t>
      </w:r>
    </w:p>
    <w:p>
      <w:pPr>
        <w:rPr>
          <w:rFonts w:ascii="宋体" w:hAnsi="宋体" w:cs="宋体"/>
          <w:sz w:val="24"/>
        </w:rPr>
      </w:pPr>
      <w:r>
        <w:rPr>
          <w:rFonts w:hint="eastAsia" w:ascii="宋体" w:hAnsi="宋体" w:cs="宋体"/>
          <w:sz w:val="24"/>
        </w:rPr>
        <w:br w:type="page"/>
      </w:r>
    </w:p>
    <w:p>
      <w:pPr>
        <w:spacing w:after="156" w:afterLines="50"/>
        <w:ind w:right="964"/>
        <w:rPr>
          <w:rFonts w:ascii="宋体" w:hAnsi="宋体" w:cs="宋体"/>
          <w:sz w:val="24"/>
        </w:rPr>
      </w:pPr>
      <w:r>
        <w:rPr>
          <w:rFonts w:hint="eastAsia" w:ascii="宋体" w:hAnsi="宋体" w:cs="宋体"/>
          <w:b/>
          <w:bCs/>
          <w:sz w:val="28"/>
          <w:szCs w:val="28"/>
        </w:rPr>
        <w:t>附件7：单个工程工程建设项目施工合同</w:t>
      </w:r>
      <w:bookmarkStart w:id="42" w:name="_Toc351203652"/>
      <w:r>
        <w:rPr>
          <w:rFonts w:hint="eastAsia" w:ascii="宋体" w:hAnsi="宋体" w:cs="宋体"/>
          <w:b/>
          <w:bCs/>
          <w:sz w:val="28"/>
          <w:szCs w:val="28"/>
        </w:rPr>
        <w:t xml:space="preserve">    </w:t>
      </w:r>
      <w:r>
        <w:rPr>
          <w:rFonts w:hint="eastAsia" w:ascii="宋体" w:hAnsi="宋体" w:cs="宋体"/>
          <w:sz w:val="28"/>
          <w:szCs w:val="28"/>
        </w:rPr>
        <w:t xml:space="preserve">   </w:t>
      </w:r>
      <w:r>
        <w:rPr>
          <w:rFonts w:hint="eastAsia" w:ascii="宋体" w:hAnsi="宋体" w:cs="宋体"/>
          <w:sz w:val="24"/>
        </w:rPr>
        <w:t xml:space="preserve"> </w:t>
      </w:r>
    </w:p>
    <w:p>
      <w:pPr>
        <w:spacing w:after="156" w:afterLines="50"/>
        <w:ind w:right="964" w:firstLine="6240" w:firstLineChars="2600"/>
        <w:rPr>
          <w:rFonts w:ascii="宋体" w:hAnsi="宋体" w:cs="宋体"/>
        </w:rPr>
      </w:pPr>
      <w:r>
        <w:rPr>
          <w:rFonts w:hint="eastAsia" w:ascii="宋体" w:hAnsi="宋体" w:cs="宋体"/>
          <w:sz w:val="24"/>
        </w:rPr>
        <w:t>合同编号：CQA</w:t>
      </w:r>
    </w:p>
    <w:p>
      <w:pPr>
        <w:pStyle w:val="23"/>
        <w:ind w:firstLine="602"/>
        <w:jc w:val="center"/>
        <w:rPr>
          <w:rFonts w:ascii="宋体" w:hAnsi="宋体" w:eastAsia="宋体"/>
          <w:b/>
          <w:bCs/>
          <w:color w:val="auto"/>
          <w:lang w:eastAsia="zh-CN"/>
        </w:rPr>
      </w:pPr>
      <w:r>
        <w:rPr>
          <w:rFonts w:hint="eastAsia" w:ascii="宋体" w:hAnsi="宋体" w:eastAsia="宋体"/>
          <w:b/>
          <w:bCs/>
          <w:color w:val="auto"/>
          <w:lang w:eastAsia="zh-CN"/>
        </w:rPr>
        <w:t>重庆机场新建#号道口弱电工程</w:t>
      </w:r>
    </w:p>
    <w:p>
      <w:pPr>
        <w:pStyle w:val="23"/>
        <w:ind w:firstLine="602"/>
        <w:jc w:val="center"/>
        <w:rPr>
          <w:rFonts w:ascii="宋体" w:hAnsi="宋体" w:eastAsia="宋体"/>
          <w:b/>
          <w:bCs/>
          <w:color w:val="auto"/>
          <w:lang w:eastAsia="zh-CN"/>
        </w:rPr>
      </w:pPr>
      <w:r>
        <w:rPr>
          <w:rFonts w:hint="eastAsia" w:ascii="宋体" w:hAnsi="宋体" w:eastAsia="宋体"/>
          <w:b/>
          <w:bCs/>
          <w:color w:val="auto"/>
          <w:lang w:eastAsia="zh-CN"/>
        </w:rPr>
        <w:t>施工合同（范本）</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甲方：重庆机场信息通信网络有限公司    （以下简称甲方）</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乙方：                                （以下简称乙方）</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重庆机场信息通信网络有限公司将重庆机场新建#号道口弱电工程</w:t>
      </w:r>
    </w:p>
    <w:p>
      <w:pPr>
        <w:pStyle w:val="23"/>
        <w:ind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的施工委托给</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实施。依照《中华人民共和国民法典》、《中华人民共和国建筑法》及其他有关法律、行政法规，遵循平等、自愿、公平和诚实信用的原则，经双方充分协商，就该工程的施工承包事宜达成一致，签订本合同，以便共同遵守。</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一、 工程概况及安装工程内容</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工程名称: 重庆机场新建#号道口弱电工程项目</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工程地点：重庆江北国际机场</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工程概况: 三个弱电子系统安装、调试。</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工程工作内容:</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本项目拟 重庆机场新建#号道口弱电工程项目综合布线、数字监控及门禁系统等三个弱电子系统安装、调试，在质保期内，需满足我方提出的合理范围内的修改需求。</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该工程的设备材料由甲方提供。</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二、  工程人员及技术要求</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工程人员：安装方根据工程需要组织安装人员共</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技术要求：</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1、《智能建筑设计标准》GB/T 50314－2006</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2、《智能建筑工程验收规程》DB 50/T 5026-2002</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3、《安全防范工程程序与要求》GAH75－1994</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4、《安全防范系统通用图形符号》GAH74－2000</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三、 合同工期</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1、开工时间：</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年</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月</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 xml:space="preserve">日          </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2、工期：合同签订之日起至项目竣工验收完成：</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个日历天。（工期包含所有证件的办理时间）</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四、 工程验收</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工程竣工，乙方自检合格后，向甲方提出工程验收书面申请，甲方在接到乙方验收申请后，甲方</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个工作日内组织有关单位和人员进行竣工验收。</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五、 合同价款</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1、合同总价款为（不含税）：人民币</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元)。工程完工验收后办理结算及档案移交手续，结算采用增值税专票结算，增值税税率</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%。本项目的合同价格形式为总价包干合同，除国家税收政策（如：税率）调整外，不因任何因素和原因对本合同总价进行调整。</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2、若乙方开具增值税专用发票，则甲方支付不含税合同金额和税额的总金额；若乙方开具增值税普通发票，则甲方仅支付不含税合同金额。</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六、付款方式</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工程竣工经甲乙双方验收合格，并且最终结算价款通过审核，以及档案资料移交完成和乙方向甲方开具符合要求的增值税发票后15个工作日内，甲方向乙方支付结算金额的97%；剩余的3%作为质保金，贰年后，如乙方并无违约责任，甲方无息支付。</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七、保修及售后服务</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1、保修期为贰年，保修期自甲方验收合格之日起开始计算;</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3、保修期满后，乙方提供维修服务时只收取成本费。</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八、工程变更</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1、变更的范围</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关于变更的范围的约定：以甲方的书面指令或甲方同意变更的书面材料为准，乙方必须无条件接受并实施。</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2、变更估价</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1）工程内容与投标报价的工程量清单中有相同的子项则按投标时的相同子项的综合单价报价执行。</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2）工程内容与投标报价的工程量清单中有类似的子项则按投标时的类似子项的综合单价执行（类似子项的综合单价由招标人审定）。</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3）工程内容与投标报价的工程量清单无相同子项或类似子项的以第六款第2条为依据。甲方只对合格工程进行计量，计价定额缺项时，以甲方核定为准。</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4）人工单价按照2020年第7期《重庆工程造价信息》公布的信息价执行。</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6）管理费和利润按投标报价中相同分部的最低费率执行，高于费用定额标准的，按费用定额执行。</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7）涉及到工程量清单中的暂列金额或暂估价材料，按照工程量清单中的材料暂列金额或暂估价计算。结算时价差调整和核价原则：参照本条变更估价原则执行，最终以甲方核定为准。</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3、乙方的合理化建议</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乙方提出的合理化建议降低了合同价格或者提高了工程经济效益的奖励的方法和金额为：以甲方的决定为准。</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九、双方责任</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1、乙方未按合同规定按期完工，乙方按合同总价款的千分之三（每天）的比例向甲方支付违约金；</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2、甲方未按合同规定验收、支付工程款项，甲方按合同总价款的千分之三（每天）的比例向乙方支付违约金；</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十、 其他事宜</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附件1：施工内容清单</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附件2：重庆江北国际机场建设工程安全责任书</w:t>
      </w:r>
    </w:p>
    <w:p>
      <w:pPr>
        <w:pStyle w:val="23"/>
        <w:ind w:firstLine="560"/>
        <w:rPr>
          <w:rFonts w:ascii="宋体" w:hAnsi="宋体" w:eastAsia="宋体"/>
          <w:color w:val="auto"/>
          <w:sz w:val="28"/>
          <w:szCs w:val="28"/>
          <w:lang w:eastAsia="zh-CN"/>
        </w:rPr>
      </w:pP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甲    方：（公章）：                乙    方:（公章）：</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 xml:space="preserve">重庆机场信息通信网络有限公司      </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法定代表人：                      法定代表人：</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委托代理人：                      委托代理人：</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电    话：                        电    话：</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传    真：023-67828888            传    真：</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开户银行：                        开户银行：</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账    号：                        账    号：</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邮政编码：401120                  邮政编码：</w:t>
      </w:r>
    </w:p>
    <w:p>
      <w:pPr>
        <w:pStyle w:val="23"/>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地址：                            地址：</w:t>
      </w:r>
    </w:p>
    <w:p>
      <w:pPr>
        <w:pStyle w:val="4"/>
        <w:ind w:firstLine="640"/>
        <w:rPr>
          <w:rFonts w:ascii="宋体" w:hAnsi="宋体" w:eastAsia="宋体" w:cs="宋体"/>
          <w:sz w:val="28"/>
          <w:szCs w:val="28"/>
        </w:rPr>
      </w:pPr>
      <w:bookmarkStart w:id="43" w:name="_Toc24349"/>
      <w:r>
        <w:rPr>
          <w:rFonts w:hint="eastAsia" w:ascii="宋体" w:hAnsi="宋体" w:eastAsia="宋体" w:cs="宋体"/>
          <w:sz w:val="28"/>
          <w:szCs w:val="28"/>
        </w:rPr>
        <w:t>附件</w:t>
      </w:r>
      <w:bookmarkEnd w:id="42"/>
      <w:bookmarkEnd w:id="43"/>
    </w:p>
    <w:p>
      <w:pPr>
        <w:pStyle w:val="23"/>
        <w:ind w:firstLine="560"/>
        <w:rPr>
          <w:rFonts w:ascii="宋体" w:hAnsi="宋体" w:eastAsia="宋体"/>
          <w:color w:val="auto"/>
          <w:sz w:val="28"/>
          <w:szCs w:val="28"/>
          <w:lang w:eastAsia="zh-CN"/>
        </w:rPr>
        <w:sectPr>
          <w:headerReference r:id="rId6" w:type="default"/>
          <w:footerReference r:id="rId7" w:type="default"/>
          <w:pgSz w:w="11906" w:h="16838"/>
          <w:pgMar w:top="1418" w:right="1555" w:bottom="1418" w:left="1531" w:header="851" w:footer="992" w:gutter="0"/>
          <w:cols w:space="720" w:num="1"/>
          <w:docGrid w:type="lines" w:linePitch="312" w:charSpace="0"/>
        </w:sectPr>
      </w:pPr>
      <w:r>
        <w:rPr>
          <w:rFonts w:hint="eastAsia" w:ascii="宋体" w:hAnsi="宋体" w:eastAsia="宋体"/>
          <w:color w:val="auto"/>
          <w:sz w:val="28"/>
          <w:szCs w:val="28"/>
          <w:lang w:eastAsia="zh-CN"/>
        </w:rPr>
        <w:t>协议书</w:t>
      </w:r>
    </w:p>
    <w:p>
      <w:pPr>
        <w:pStyle w:val="23"/>
        <w:ind w:firstLine="600"/>
        <w:rPr>
          <w:rFonts w:ascii="宋体" w:hAnsi="宋体" w:eastAsia="宋体"/>
          <w:color w:val="auto"/>
          <w:lang w:eastAsia="zh-CN"/>
        </w:rPr>
      </w:pPr>
      <w:r>
        <w:rPr>
          <w:rFonts w:hint="eastAsia" w:ascii="宋体" w:hAnsi="宋体" w:eastAsia="宋体"/>
          <w:color w:val="auto"/>
          <w:lang w:eastAsia="zh-CN"/>
        </w:rPr>
        <w:t>附件2：</w:t>
      </w:r>
    </w:p>
    <w:p>
      <w:pPr>
        <w:pStyle w:val="4"/>
        <w:jc w:val="center"/>
        <w:rPr>
          <w:rFonts w:ascii="宋体" w:hAnsi="宋体" w:eastAsia="宋体" w:cs="宋体"/>
          <w:b/>
          <w:bCs/>
        </w:rPr>
      </w:pPr>
      <w:r>
        <w:rPr>
          <w:rFonts w:hint="eastAsia" w:ascii="宋体" w:hAnsi="宋体" w:eastAsia="宋体" w:cs="宋体"/>
          <w:b/>
          <w:bCs/>
        </w:rPr>
        <w:t>重庆江北国际机场建设工程安全责任书</w:t>
      </w:r>
    </w:p>
    <w:p>
      <w:pPr>
        <w:ind w:left="-540" w:leftChars="-257" w:firstLine="470" w:firstLineChars="168"/>
        <w:rPr>
          <w:rFonts w:ascii="宋体" w:hAnsi="宋体" w:cs="宋体"/>
          <w:bCs/>
          <w:sz w:val="28"/>
        </w:rPr>
      </w:pPr>
    </w:p>
    <w:p>
      <w:pPr>
        <w:ind w:firstLine="600"/>
        <w:rPr>
          <w:rFonts w:ascii="宋体" w:hAnsi="宋体" w:cs="宋体"/>
          <w:sz w:val="28"/>
          <w:szCs w:val="28"/>
        </w:rPr>
      </w:pPr>
      <w:r>
        <w:rPr>
          <w:rFonts w:hint="eastAsia" w:ascii="宋体" w:hAnsi="宋体" w:cs="宋体"/>
          <w:sz w:val="28"/>
          <w:szCs w:val="28"/>
        </w:rPr>
        <w:t xml:space="preserve">甲方：重庆机场信息通信网络有限公司            </w:t>
      </w:r>
    </w:p>
    <w:p>
      <w:pPr>
        <w:ind w:firstLine="600"/>
        <w:rPr>
          <w:rFonts w:ascii="宋体" w:hAnsi="宋体" w:cs="宋体"/>
          <w:sz w:val="28"/>
          <w:szCs w:val="28"/>
        </w:rPr>
      </w:pPr>
      <w:r>
        <w:rPr>
          <w:rFonts w:hint="eastAsia" w:ascii="宋体" w:hAnsi="宋体" w:cs="宋体"/>
          <w:sz w:val="28"/>
          <w:szCs w:val="28"/>
        </w:rPr>
        <w:t xml:space="preserve">乙方：              </w:t>
      </w:r>
    </w:p>
    <w:p>
      <w:pPr>
        <w:ind w:firstLine="600"/>
        <w:rPr>
          <w:rFonts w:ascii="宋体" w:hAnsi="宋体" w:cs="宋体"/>
          <w:sz w:val="28"/>
          <w:szCs w:val="28"/>
        </w:rPr>
      </w:pPr>
    </w:p>
    <w:p>
      <w:pPr>
        <w:ind w:firstLine="600"/>
        <w:rPr>
          <w:rFonts w:ascii="宋体" w:hAnsi="宋体" w:cs="宋体"/>
          <w:sz w:val="28"/>
          <w:szCs w:val="28"/>
        </w:rPr>
      </w:pPr>
      <w:r>
        <w:rPr>
          <w:rFonts w:hint="eastAsia" w:ascii="宋体" w:hAnsi="宋体" w:cs="宋体"/>
          <w:sz w:val="28"/>
          <w:szCs w:val="28"/>
        </w:rPr>
        <w:t xml:space="preserve">    为了加强</w:t>
      </w:r>
      <w:r>
        <w:rPr>
          <w:rFonts w:hint="eastAsia" w:ascii="宋体" w:hAnsi="宋体" w:cs="宋体"/>
          <w:sz w:val="28"/>
          <w:szCs w:val="28"/>
          <w:u w:val="single"/>
        </w:rPr>
        <w:t xml:space="preserve">             （项目名称）</w:t>
      </w:r>
      <w:r>
        <w:rPr>
          <w:rFonts w:hint="eastAsia" w:ascii="宋体" w:hAnsi="宋体" w:cs="宋体"/>
          <w:sz w:val="28"/>
          <w:szCs w:val="28"/>
        </w:rPr>
        <w:t>的安全管理，贯彻“安全第一，预防为主”、“谁主管，谁负责”的原则，切实保障建设工程施工现场的治安、空防、消防、交通等安全，现由甲、乙双方签订本安全责任书。</w:t>
      </w:r>
    </w:p>
    <w:p>
      <w:pPr>
        <w:spacing w:line="560" w:lineRule="exact"/>
        <w:ind w:firstLine="560"/>
        <w:rPr>
          <w:rFonts w:ascii="宋体" w:hAnsi="宋体" w:cs="宋体"/>
          <w:bCs/>
          <w:sz w:val="28"/>
          <w:szCs w:val="28"/>
        </w:rPr>
      </w:pPr>
    </w:p>
    <w:p>
      <w:pPr>
        <w:ind w:firstLine="600"/>
        <w:rPr>
          <w:rFonts w:ascii="宋体" w:hAnsi="宋体" w:cs="宋体"/>
          <w:sz w:val="28"/>
          <w:szCs w:val="28"/>
        </w:rPr>
      </w:pPr>
      <w:r>
        <w:rPr>
          <w:rFonts w:hint="eastAsia" w:ascii="宋体" w:hAnsi="宋体" w:cs="宋体"/>
          <w:sz w:val="28"/>
          <w:szCs w:val="28"/>
        </w:rPr>
        <w:t>第一条  甲方责任：</w:t>
      </w:r>
    </w:p>
    <w:p>
      <w:pPr>
        <w:ind w:firstLine="600"/>
        <w:rPr>
          <w:rFonts w:ascii="宋体" w:hAnsi="宋体" w:cs="宋体"/>
          <w:sz w:val="28"/>
          <w:szCs w:val="28"/>
        </w:rPr>
      </w:pPr>
      <w:r>
        <w:rPr>
          <w:rFonts w:hint="eastAsia" w:ascii="宋体" w:hAnsi="宋体" w:cs="宋体"/>
          <w:sz w:val="28"/>
          <w:szCs w:val="28"/>
        </w:rPr>
        <w:t>1.1负责向乙方宣讲有关工程所在地施工现场治安、空防、消防、交通等安全方面的法律、法规和规定。</w:t>
      </w:r>
    </w:p>
    <w:p>
      <w:pPr>
        <w:ind w:firstLine="600"/>
        <w:rPr>
          <w:rFonts w:ascii="宋体" w:hAnsi="宋体" w:cs="宋体"/>
          <w:sz w:val="28"/>
          <w:szCs w:val="28"/>
        </w:rPr>
      </w:pPr>
      <w:r>
        <w:rPr>
          <w:rFonts w:hint="eastAsia" w:ascii="宋体" w:hAnsi="宋体" w:cs="宋体"/>
          <w:sz w:val="28"/>
          <w:szCs w:val="28"/>
        </w:rPr>
        <w:t>1.2督促、检查、指导乙方做好安全工作。对违反本责任书的情况进行相应的责任金扣除。</w:t>
      </w:r>
    </w:p>
    <w:p>
      <w:pPr>
        <w:ind w:firstLine="600"/>
        <w:rPr>
          <w:rFonts w:ascii="宋体" w:hAnsi="宋体" w:cs="宋体"/>
          <w:sz w:val="28"/>
          <w:szCs w:val="28"/>
        </w:rPr>
      </w:pPr>
      <w:r>
        <w:rPr>
          <w:rFonts w:hint="eastAsia" w:ascii="宋体" w:hAnsi="宋体" w:cs="宋体"/>
          <w:sz w:val="28"/>
          <w:szCs w:val="28"/>
        </w:rPr>
        <w:t>1.3依法办理乙方暂住人口《暂住证》，加强暂住人口管理。</w:t>
      </w:r>
    </w:p>
    <w:p>
      <w:pPr>
        <w:ind w:firstLine="600"/>
        <w:rPr>
          <w:rFonts w:ascii="宋体" w:hAnsi="宋体" w:cs="宋体"/>
          <w:sz w:val="28"/>
          <w:szCs w:val="28"/>
        </w:rPr>
      </w:pPr>
      <w:r>
        <w:rPr>
          <w:rFonts w:hint="eastAsia" w:ascii="宋体" w:hAnsi="宋体" w:cs="宋体"/>
          <w:sz w:val="28"/>
          <w:szCs w:val="28"/>
        </w:rPr>
        <w:t>1.4因施工安全或其他安全（如警卫任务、重大节假日等）需要暂停施工的，甲方应提前通知乙方。</w:t>
      </w:r>
    </w:p>
    <w:p>
      <w:pPr>
        <w:ind w:firstLine="600"/>
        <w:rPr>
          <w:rFonts w:ascii="宋体" w:hAnsi="宋体" w:cs="宋体"/>
          <w:sz w:val="28"/>
          <w:szCs w:val="28"/>
        </w:rPr>
      </w:pPr>
      <w:r>
        <w:rPr>
          <w:rFonts w:hint="eastAsia" w:ascii="宋体" w:hAnsi="宋体" w:cs="宋体"/>
          <w:sz w:val="28"/>
          <w:szCs w:val="28"/>
        </w:rPr>
        <w:t>1.5甲方根据具体情况，要求乙方建立安全保卫机构或确定专（兼）职安全员。</w:t>
      </w:r>
    </w:p>
    <w:p>
      <w:pPr>
        <w:ind w:firstLine="600"/>
        <w:rPr>
          <w:rFonts w:ascii="宋体" w:hAnsi="宋体" w:cs="宋体"/>
          <w:sz w:val="28"/>
          <w:szCs w:val="28"/>
        </w:rPr>
      </w:pPr>
      <w:r>
        <w:rPr>
          <w:rFonts w:hint="eastAsia" w:ascii="宋体" w:hAnsi="宋体" w:cs="宋体"/>
          <w:sz w:val="28"/>
          <w:szCs w:val="28"/>
        </w:rPr>
        <w:t>1.6甲方应定期召集乙方安全负责人、专（兼）职安全员召开安全协调会。</w:t>
      </w:r>
    </w:p>
    <w:p>
      <w:pPr>
        <w:ind w:firstLine="600"/>
        <w:rPr>
          <w:rFonts w:ascii="宋体" w:hAnsi="宋体" w:cs="宋体"/>
          <w:sz w:val="28"/>
          <w:szCs w:val="28"/>
        </w:rPr>
      </w:pPr>
      <w:r>
        <w:rPr>
          <w:rFonts w:hint="eastAsia" w:ascii="宋体" w:hAnsi="宋体" w:cs="宋体"/>
          <w:sz w:val="28"/>
          <w:szCs w:val="28"/>
        </w:rPr>
        <w:t>第二条  乙方责任及处罚：</w:t>
      </w:r>
    </w:p>
    <w:p>
      <w:pPr>
        <w:ind w:firstLine="600"/>
        <w:rPr>
          <w:rFonts w:ascii="宋体" w:hAnsi="宋体" w:cs="宋体"/>
          <w:sz w:val="28"/>
          <w:szCs w:val="28"/>
        </w:rPr>
      </w:pPr>
      <w:r>
        <w:rPr>
          <w:rFonts w:hint="eastAsia" w:ascii="宋体" w:hAnsi="宋体" w:cs="宋体"/>
          <w:sz w:val="28"/>
          <w:szCs w:val="28"/>
        </w:rPr>
        <w:t>2.1安全总则</w:t>
      </w:r>
    </w:p>
    <w:p>
      <w:pPr>
        <w:ind w:firstLine="600"/>
        <w:rPr>
          <w:rFonts w:ascii="宋体" w:hAnsi="宋体" w:cs="宋体"/>
          <w:sz w:val="28"/>
          <w:szCs w:val="28"/>
        </w:rPr>
      </w:pPr>
      <w:r>
        <w:rPr>
          <w:rFonts w:hint="eastAsia" w:ascii="宋体" w:hAnsi="宋体" w:cs="宋体"/>
          <w:sz w:val="28"/>
          <w:szCs w:val="28"/>
        </w:rPr>
        <w:t>本工程施工期间所发生的任何安全责任事故，其责任及后果均由乙方完全承担。</w:t>
      </w:r>
    </w:p>
    <w:p>
      <w:pPr>
        <w:ind w:firstLine="600"/>
        <w:rPr>
          <w:rFonts w:ascii="宋体" w:hAnsi="宋体" w:cs="宋体"/>
          <w:sz w:val="28"/>
          <w:szCs w:val="28"/>
        </w:rPr>
      </w:pPr>
      <w:r>
        <w:rPr>
          <w:rFonts w:hint="eastAsia" w:ascii="宋体" w:hAnsi="宋体" w:cs="宋体"/>
          <w:sz w:val="28"/>
          <w:szCs w:val="28"/>
        </w:rPr>
        <w:t>2.2空防安全</w:t>
      </w:r>
    </w:p>
    <w:p>
      <w:pPr>
        <w:ind w:firstLine="600"/>
        <w:rPr>
          <w:rFonts w:ascii="宋体" w:hAnsi="宋体" w:cs="宋体"/>
          <w:sz w:val="28"/>
          <w:szCs w:val="28"/>
        </w:rPr>
      </w:pPr>
      <w:r>
        <w:rPr>
          <w:rFonts w:hint="eastAsia" w:ascii="宋体" w:hAnsi="宋体" w:cs="宋体"/>
          <w:sz w:val="28"/>
          <w:szCs w:val="28"/>
        </w:rPr>
        <w:t xml:space="preserve">2.2.1施工人员、车辆禁止进入飞行控制区。乙方应约束其下属施工人员，不得在施工区域外随意走动，不得翻越围栏进入飞行控制区，对擅自、非法进入飞行控制区的，按无证人员和车辆相关规定进行处罚，扣责任金3000元，并立即整改。 </w:t>
      </w:r>
    </w:p>
    <w:p>
      <w:pPr>
        <w:ind w:firstLine="600"/>
        <w:rPr>
          <w:rFonts w:ascii="宋体" w:hAnsi="宋体" w:cs="宋体"/>
          <w:sz w:val="28"/>
          <w:szCs w:val="28"/>
        </w:rPr>
      </w:pPr>
      <w:r>
        <w:rPr>
          <w:rFonts w:hint="eastAsia" w:ascii="宋体" w:hAnsi="宋体" w:cs="宋体"/>
          <w:sz w:val="28"/>
          <w:szCs w:val="28"/>
        </w:rPr>
        <w:t>2.2.2严格遵守机场净空保护规定，严禁架设超高物体。违者每次扣责任金500元，并立即整改。</w:t>
      </w:r>
    </w:p>
    <w:p>
      <w:pPr>
        <w:ind w:firstLine="600"/>
        <w:rPr>
          <w:rFonts w:ascii="宋体" w:hAnsi="宋体" w:cs="宋体"/>
          <w:sz w:val="28"/>
          <w:szCs w:val="28"/>
        </w:rPr>
      </w:pPr>
      <w:r>
        <w:rPr>
          <w:rFonts w:hint="eastAsia" w:ascii="宋体" w:hAnsi="宋体" w:cs="宋体"/>
          <w:sz w:val="28"/>
          <w:szCs w:val="28"/>
        </w:rPr>
        <w:t>2.3治安安全</w:t>
      </w:r>
    </w:p>
    <w:p>
      <w:pPr>
        <w:ind w:firstLine="600"/>
        <w:rPr>
          <w:rFonts w:ascii="宋体" w:hAnsi="宋体" w:cs="宋体"/>
          <w:sz w:val="28"/>
          <w:szCs w:val="28"/>
        </w:rPr>
      </w:pPr>
      <w:r>
        <w:rPr>
          <w:rFonts w:hint="eastAsia" w:ascii="宋体" w:hAnsi="宋体" w:cs="宋体"/>
          <w:sz w:val="28"/>
          <w:szCs w:val="28"/>
        </w:rPr>
        <w:t>2.3.1 根据甲方要求，乙方应建立本单位安全保卫机构，确定安全负责人和专（兼）职安全干事，并报甲方备案，协助甲方做好安全工作。违者扣责任金500元，并责令限期建立安全保卫机构。</w:t>
      </w:r>
    </w:p>
    <w:p>
      <w:pPr>
        <w:ind w:firstLine="600"/>
        <w:rPr>
          <w:rFonts w:ascii="宋体" w:hAnsi="宋体" w:cs="宋体"/>
          <w:sz w:val="28"/>
          <w:szCs w:val="28"/>
        </w:rPr>
      </w:pPr>
      <w:r>
        <w:rPr>
          <w:rFonts w:hint="eastAsia" w:ascii="宋体" w:hAnsi="宋体" w:cs="宋体"/>
          <w:sz w:val="28"/>
          <w:szCs w:val="28"/>
        </w:rPr>
        <w:t>2.3.2 乙方安全负责人及专（兼）安全员应定期参加甲方召集的安全协调会，无故不参加者，按每人次扣责任金100—500元。</w:t>
      </w:r>
    </w:p>
    <w:p>
      <w:pPr>
        <w:ind w:firstLine="600"/>
        <w:rPr>
          <w:rFonts w:ascii="宋体" w:hAnsi="宋体" w:cs="宋体"/>
          <w:sz w:val="28"/>
          <w:szCs w:val="28"/>
        </w:rPr>
      </w:pPr>
      <w:r>
        <w:rPr>
          <w:rFonts w:hint="eastAsia" w:ascii="宋体" w:hAnsi="宋体" w:cs="宋体"/>
          <w:sz w:val="28"/>
          <w:szCs w:val="28"/>
        </w:rPr>
        <w:t>2.3.3 制订本单位防盗、防抢、防爆炸等安全管理制度和措施，上报甲方备案，并接受甲方对其所制订的安全制度及措施的落实情况进行督促、检查。违者扣责任金500元，并责令限期制订相应制度和措施。</w:t>
      </w:r>
    </w:p>
    <w:p>
      <w:pPr>
        <w:ind w:firstLine="600"/>
        <w:rPr>
          <w:rFonts w:ascii="宋体" w:hAnsi="宋体" w:cs="宋体"/>
          <w:sz w:val="28"/>
          <w:szCs w:val="28"/>
        </w:rPr>
      </w:pPr>
      <w:r>
        <w:rPr>
          <w:rFonts w:hint="eastAsia" w:ascii="宋体" w:hAnsi="宋体" w:cs="宋体"/>
          <w:sz w:val="28"/>
          <w:szCs w:val="28"/>
        </w:rPr>
        <w:t>2.3.4 乙方施工人员、车辆在到达机场4日内，应向甲方申请办理人员、车辆的施工通行证。逾期不办理的，按每人（车）次扣责任金100元，并立即补办相关手续。</w:t>
      </w:r>
    </w:p>
    <w:p>
      <w:pPr>
        <w:ind w:firstLine="600"/>
        <w:rPr>
          <w:rFonts w:ascii="宋体" w:hAnsi="宋体" w:cs="宋体"/>
          <w:sz w:val="28"/>
          <w:szCs w:val="28"/>
        </w:rPr>
      </w:pPr>
      <w:r>
        <w:rPr>
          <w:rFonts w:hint="eastAsia" w:ascii="宋体" w:hAnsi="宋体" w:cs="宋体"/>
          <w:sz w:val="28"/>
          <w:szCs w:val="28"/>
        </w:rPr>
        <w:t>2.3.5 乙方施工人员应正确佩（携）证施工，并自觉接受甲方的检查。严禁无证施工。不佩（携）证或不正确佩（携）证进行施工的，按每人（车）次扣责任金50元；无证施工，按每人（车）次扣责任金100元，并立即整改及加强教育。</w:t>
      </w:r>
    </w:p>
    <w:p>
      <w:pPr>
        <w:ind w:firstLine="600"/>
        <w:rPr>
          <w:rFonts w:ascii="宋体" w:hAnsi="宋体" w:cs="宋体"/>
          <w:sz w:val="28"/>
          <w:szCs w:val="28"/>
        </w:rPr>
      </w:pPr>
      <w:r>
        <w:rPr>
          <w:rFonts w:hint="eastAsia" w:ascii="宋体" w:hAnsi="宋体" w:cs="宋体"/>
          <w:sz w:val="28"/>
          <w:szCs w:val="28"/>
        </w:rPr>
        <w:t>2.3.6 乙方人员应在到达机场的7日内向甲方申请暂住人口登记，办理暂住人口《暂住证》。乙方暂住人口《暂住证》办证率应达到100%。违者按每人次扣责任金50元，并立即补办相关手续。</w:t>
      </w:r>
    </w:p>
    <w:p>
      <w:pPr>
        <w:ind w:firstLine="600"/>
        <w:rPr>
          <w:rFonts w:ascii="宋体" w:hAnsi="宋体" w:cs="宋体"/>
          <w:sz w:val="28"/>
          <w:szCs w:val="28"/>
        </w:rPr>
      </w:pPr>
      <w:r>
        <w:rPr>
          <w:rFonts w:hint="eastAsia" w:ascii="宋体" w:hAnsi="宋体" w:cs="宋体"/>
          <w:sz w:val="28"/>
          <w:szCs w:val="28"/>
        </w:rPr>
        <w:t>2.3.7 乙方暂住人员《暂住证》逾期前，应及时向甲方申请补办。逾期不办理者，按每人次扣责任金50元，并立即补办相关手续。</w:t>
      </w:r>
    </w:p>
    <w:p>
      <w:pPr>
        <w:ind w:firstLine="600"/>
        <w:rPr>
          <w:rFonts w:ascii="宋体" w:hAnsi="宋体" w:cs="宋体"/>
          <w:sz w:val="28"/>
          <w:szCs w:val="28"/>
        </w:rPr>
      </w:pPr>
      <w:r>
        <w:rPr>
          <w:rFonts w:hint="eastAsia" w:ascii="宋体" w:hAnsi="宋体" w:cs="宋体"/>
          <w:sz w:val="28"/>
          <w:szCs w:val="28"/>
        </w:rPr>
        <w:t>2.3.8 乙方应对其下属人员的居民身份证、户口所在地乡、镇政府务工证明、施工现场所在地户口或暂住证依照有关规定严格审查，证件齐全的方可雇用。违者扣责任金100—500元，并立即补办相关手续。</w:t>
      </w:r>
    </w:p>
    <w:p>
      <w:pPr>
        <w:ind w:firstLine="600"/>
        <w:rPr>
          <w:rFonts w:ascii="宋体" w:hAnsi="宋体" w:cs="宋体"/>
          <w:sz w:val="28"/>
          <w:szCs w:val="28"/>
        </w:rPr>
      </w:pPr>
      <w:r>
        <w:rPr>
          <w:rFonts w:hint="eastAsia" w:ascii="宋体" w:hAnsi="宋体" w:cs="宋体"/>
          <w:sz w:val="28"/>
          <w:szCs w:val="28"/>
        </w:rPr>
        <w:t>2.3.9乙方施工人员中暂住人口的《暂住证》、车辆施工通行证、控制区域通行证不得丢失、转借、伪造、假冒、涂改，违者按每人次扣责任金100—500元，并立即补办相关手续。</w:t>
      </w:r>
    </w:p>
    <w:p>
      <w:pPr>
        <w:ind w:firstLine="600"/>
        <w:rPr>
          <w:rFonts w:ascii="宋体" w:hAnsi="宋体" w:cs="宋体"/>
          <w:sz w:val="28"/>
          <w:szCs w:val="28"/>
        </w:rPr>
      </w:pPr>
      <w:r>
        <w:rPr>
          <w:rFonts w:hint="eastAsia" w:ascii="宋体" w:hAnsi="宋体" w:cs="宋体"/>
          <w:sz w:val="28"/>
          <w:szCs w:val="28"/>
        </w:rPr>
        <w:t>2.3.10 乙方不得容留、使用现行犯、在逃犯、犯罪嫌疑人等违法犯罪人员从事施工工作，有犯罪前科人员，应事先向甲方申明，并实事求是地做好登记。违者按每人次扣责任金500—1000元。</w:t>
      </w:r>
    </w:p>
    <w:p>
      <w:pPr>
        <w:ind w:firstLine="600"/>
        <w:rPr>
          <w:rFonts w:ascii="宋体" w:hAnsi="宋体" w:cs="宋体"/>
          <w:sz w:val="28"/>
          <w:szCs w:val="28"/>
        </w:rPr>
      </w:pPr>
      <w:r>
        <w:rPr>
          <w:rFonts w:hint="eastAsia" w:ascii="宋体" w:hAnsi="宋体" w:cs="宋体"/>
          <w:sz w:val="28"/>
          <w:szCs w:val="28"/>
        </w:rPr>
        <w:t>2.3.11 乙方应爱护施工区域内的设施、设备，不得损毁或擅自移动施工区域内的设施、设备、线路等。违者按每次扣除责任金500—3000元，并责令其限期恢复原貌。</w:t>
      </w:r>
    </w:p>
    <w:p>
      <w:pPr>
        <w:ind w:firstLine="600"/>
        <w:rPr>
          <w:rFonts w:ascii="宋体" w:hAnsi="宋体" w:cs="宋体"/>
          <w:sz w:val="28"/>
          <w:szCs w:val="28"/>
        </w:rPr>
      </w:pPr>
      <w:r>
        <w:rPr>
          <w:rFonts w:hint="eastAsia" w:ascii="宋体" w:hAnsi="宋体" w:cs="宋体"/>
          <w:sz w:val="28"/>
          <w:szCs w:val="28"/>
        </w:rPr>
        <w:t>2.3.12乙方人员、车辆应在指定区域内进行施工，其人员、车辆、设备不得超出指定区域范围。违者扣除责任金500—1000元。</w:t>
      </w:r>
    </w:p>
    <w:p>
      <w:pPr>
        <w:ind w:firstLine="600"/>
        <w:rPr>
          <w:rFonts w:ascii="宋体" w:hAnsi="宋体" w:cs="宋体"/>
          <w:sz w:val="28"/>
          <w:szCs w:val="28"/>
        </w:rPr>
      </w:pPr>
      <w:r>
        <w:rPr>
          <w:rFonts w:hint="eastAsia" w:ascii="宋体" w:hAnsi="宋体" w:cs="宋体"/>
          <w:sz w:val="28"/>
          <w:szCs w:val="28"/>
        </w:rPr>
        <w:t>2.3.13易爆、剧毒等危险品及贵重物品，乙方应及时报告甲方，建立保管、存放、领取、看护此类物品的安全制度和措施，并上报甲方备案。违者按每次扣责任金500—3000元，并完善相关制度及措施。</w:t>
      </w:r>
    </w:p>
    <w:p>
      <w:pPr>
        <w:ind w:firstLine="600"/>
        <w:rPr>
          <w:rFonts w:ascii="宋体" w:hAnsi="宋体" w:cs="宋体"/>
          <w:sz w:val="28"/>
          <w:szCs w:val="28"/>
        </w:rPr>
      </w:pPr>
      <w:r>
        <w:rPr>
          <w:rFonts w:hint="eastAsia" w:ascii="宋体" w:hAnsi="宋体" w:cs="宋体"/>
          <w:sz w:val="28"/>
          <w:szCs w:val="28"/>
        </w:rPr>
        <w:t>2.3.14乙方应加强对本单位人员的法制教育，严禁发生打架斗殴、赌博、酗酒、聚众闹事、卖淫嫖娼、偷盗抢劫等违法犯罪行为。违者按每次扣责任金200—5000元，并积极主动协助公安机关进行调查，应及时将违法犯罪人员扭送到公安机关。</w:t>
      </w:r>
    </w:p>
    <w:p>
      <w:pPr>
        <w:ind w:firstLine="600"/>
        <w:rPr>
          <w:rFonts w:ascii="宋体" w:hAnsi="宋体" w:cs="宋体"/>
          <w:sz w:val="28"/>
          <w:szCs w:val="28"/>
        </w:rPr>
      </w:pPr>
      <w:r>
        <w:rPr>
          <w:rFonts w:hint="eastAsia" w:ascii="宋体" w:hAnsi="宋体" w:cs="宋体"/>
          <w:sz w:val="28"/>
          <w:szCs w:val="28"/>
        </w:rPr>
        <w:t>2.3.15乙方应加强对本单位设施、设备、材料的管理，不得发生丢失、被盗情况，违者按每次扣责任金200—1000元，并完善相关管理制度及措施。</w:t>
      </w:r>
    </w:p>
    <w:p>
      <w:pPr>
        <w:ind w:firstLine="600"/>
        <w:rPr>
          <w:rFonts w:ascii="宋体" w:hAnsi="宋体" w:cs="宋体"/>
          <w:sz w:val="28"/>
          <w:szCs w:val="28"/>
        </w:rPr>
      </w:pPr>
      <w:r>
        <w:rPr>
          <w:rFonts w:hint="eastAsia" w:ascii="宋体" w:hAnsi="宋体" w:cs="宋体"/>
          <w:sz w:val="28"/>
          <w:szCs w:val="28"/>
        </w:rPr>
        <w:t>2.3.16乙方不得在施工区域内（含生活区）摆摊设店，违者扣责任金200—500元，并责令其限期撤除。</w:t>
      </w:r>
    </w:p>
    <w:p>
      <w:pPr>
        <w:ind w:firstLine="600"/>
        <w:rPr>
          <w:rFonts w:ascii="宋体" w:hAnsi="宋体" w:cs="宋体"/>
          <w:sz w:val="28"/>
          <w:szCs w:val="28"/>
        </w:rPr>
      </w:pPr>
      <w:r>
        <w:rPr>
          <w:rFonts w:hint="eastAsia" w:ascii="宋体" w:hAnsi="宋体" w:cs="宋体"/>
          <w:sz w:val="28"/>
          <w:szCs w:val="28"/>
        </w:rPr>
        <w:t>2.4交通安全</w:t>
      </w:r>
    </w:p>
    <w:p>
      <w:pPr>
        <w:ind w:firstLine="600"/>
        <w:rPr>
          <w:rFonts w:ascii="宋体" w:hAnsi="宋体" w:cs="宋体"/>
          <w:sz w:val="28"/>
          <w:szCs w:val="28"/>
        </w:rPr>
      </w:pPr>
      <w:r>
        <w:rPr>
          <w:rFonts w:hint="eastAsia" w:ascii="宋体" w:hAnsi="宋体" w:cs="宋体"/>
          <w:sz w:val="28"/>
          <w:szCs w:val="28"/>
        </w:rPr>
        <w:t>2.4.1乙方参加施工的机动车辆必须是经过车辆管理机关检验合格，号牌、行驶证齐全有效的车辆。违者扣责任金500—2000元，并立即补办相关手续。仍然不全的，禁止进行工程施工。</w:t>
      </w:r>
    </w:p>
    <w:p>
      <w:pPr>
        <w:ind w:firstLine="600"/>
        <w:rPr>
          <w:rFonts w:ascii="宋体" w:hAnsi="宋体" w:cs="宋体"/>
          <w:sz w:val="28"/>
          <w:szCs w:val="28"/>
        </w:rPr>
      </w:pPr>
      <w:r>
        <w:rPr>
          <w:rFonts w:hint="eastAsia" w:ascii="宋体" w:hAnsi="宋体" w:cs="宋体"/>
          <w:sz w:val="28"/>
          <w:szCs w:val="28"/>
        </w:rPr>
        <w:t>2.4.2乙方车辆应按核定的载质量、载人数进行装载，严禁超载，严禁人货混装。违者每车次扣责任金100—500元，并立即整改。</w:t>
      </w:r>
    </w:p>
    <w:p>
      <w:pPr>
        <w:ind w:firstLine="600"/>
        <w:rPr>
          <w:rFonts w:ascii="宋体" w:hAnsi="宋体" w:cs="宋体"/>
          <w:sz w:val="28"/>
          <w:szCs w:val="28"/>
        </w:rPr>
      </w:pPr>
      <w:r>
        <w:rPr>
          <w:rFonts w:hint="eastAsia" w:ascii="宋体" w:hAnsi="宋体" w:cs="宋体"/>
          <w:sz w:val="28"/>
          <w:szCs w:val="28"/>
        </w:rPr>
        <w:t>2.4.3乙方车辆必须保持车况良好、车容整洁，制动器、转向器、喇叭、刮水器、后视镜和灯光装置等必须保持齐全有效。违者每车次扣责任金50元，并立即修复。未修复的，不得进行工程施工。</w:t>
      </w:r>
    </w:p>
    <w:p>
      <w:pPr>
        <w:ind w:firstLine="600"/>
        <w:rPr>
          <w:rFonts w:ascii="宋体" w:hAnsi="宋体" w:cs="宋体"/>
          <w:sz w:val="28"/>
          <w:szCs w:val="28"/>
        </w:rPr>
      </w:pPr>
      <w:r>
        <w:rPr>
          <w:rFonts w:hint="eastAsia" w:ascii="宋体" w:hAnsi="宋体" w:cs="宋体"/>
          <w:sz w:val="28"/>
          <w:szCs w:val="28"/>
        </w:rPr>
        <w:t>2.4.4乙方车辆必须是由经过车辆管理机关考试合格，领取有效驾驶证的人员驾驶，驾驶人员所驾车辆必须跟驾驶员核准的准驾车型相符。违者每次扣责任金500元，并立即整改。</w:t>
      </w:r>
    </w:p>
    <w:p>
      <w:pPr>
        <w:ind w:firstLine="600"/>
        <w:rPr>
          <w:rFonts w:ascii="宋体" w:hAnsi="宋体" w:cs="宋体"/>
          <w:sz w:val="28"/>
          <w:szCs w:val="28"/>
        </w:rPr>
      </w:pPr>
      <w:r>
        <w:rPr>
          <w:rFonts w:hint="eastAsia" w:ascii="宋体" w:hAnsi="宋体" w:cs="宋体"/>
          <w:sz w:val="28"/>
          <w:szCs w:val="28"/>
        </w:rPr>
        <w:t>2.4.5乙方车辆在施工区域内，应自觉遵守交通秩序和施工秩序，严禁发生抢道、抢占车位等情况。违者每车次扣责任金100元。</w:t>
      </w:r>
    </w:p>
    <w:p>
      <w:pPr>
        <w:ind w:firstLine="600"/>
        <w:rPr>
          <w:rFonts w:ascii="宋体" w:hAnsi="宋体" w:cs="宋体"/>
          <w:sz w:val="28"/>
          <w:szCs w:val="28"/>
        </w:rPr>
      </w:pPr>
      <w:r>
        <w:rPr>
          <w:rFonts w:hint="eastAsia" w:ascii="宋体" w:hAnsi="宋体" w:cs="宋体"/>
          <w:sz w:val="28"/>
          <w:szCs w:val="28"/>
        </w:rPr>
        <w:t>2.4.6乙方车辆在施工区域主干道上，不得随意停车占道。违者每车次扣责任金100—500元。</w:t>
      </w:r>
    </w:p>
    <w:p>
      <w:pPr>
        <w:ind w:firstLine="600"/>
        <w:rPr>
          <w:rFonts w:ascii="宋体" w:hAnsi="宋体" w:cs="宋体"/>
          <w:sz w:val="28"/>
          <w:szCs w:val="28"/>
        </w:rPr>
      </w:pPr>
      <w:r>
        <w:rPr>
          <w:rFonts w:hint="eastAsia" w:ascii="宋体" w:hAnsi="宋体" w:cs="宋体"/>
          <w:sz w:val="28"/>
          <w:szCs w:val="28"/>
        </w:rPr>
        <w:t>2.4.7乙方车辆应在指定的区域地点停放，不得随意停放。停车时，应拉紧手刹，关好门窗。违者每车次扣责任金100—500元。</w:t>
      </w:r>
    </w:p>
    <w:p>
      <w:pPr>
        <w:ind w:firstLine="600"/>
        <w:rPr>
          <w:rFonts w:ascii="宋体" w:hAnsi="宋体" w:cs="宋体"/>
          <w:sz w:val="28"/>
          <w:szCs w:val="28"/>
        </w:rPr>
      </w:pPr>
      <w:r>
        <w:rPr>
          <w:rFonts w:hint="eastAsia" w:ascii="宋体" w:hAnsi="宋体" w:cs="宋体"/>
          <w:sz w:val="28"/>
          <w:szCs w:val="28"/>
        </w:rPr>
        <w:t>2.4.8乙方车辆货物装载必须紧固、安全，严禁超高、超长装载，所载货物不得散落、飞扬、流漏。违者每车次扣责任金100—500元，并立即整改。</w:t>
      </w:r>
    </w:p>
    <w:p>
      <w:pPr>
        <w:ind w:firstLine="600"/>
        <w:rPr>
          <w:rFonts w:ascii="宋体" w:hAnsi="宋体" w:cs="宋体"/>
          <w:sz w:val="28"/>
          <w:szCs w:val="28"/>
        </w:rPr>
      </w:pPr>
      <w:r>
        <w:rPr>
          <w:rFonts w:hint="eastAsia" w:ascii="宋体" w:hAnsi="宋体" w:cs="宋体"/>
          <w:sz w:val="28"/>
          <w:szCs w:val="28"/>
        </w:rPr>
        <w:t>2.4.9乙方不得损毁、移动、变更施工区域内的交通安全标志、设施、设备，违者扣责任金100—1000元，并限期进行修复。</w:t>
      </w:r>
    </w:p>
    <w:p>
      <w:pPr>
        <w:ind w:firstLine="600"/>
        <w:rPr>
          <w:rFonts w:ascii="宋体" w:hAnsi="宋体" w:cs="宋体"/>
          <w:sz w:val="28"/>
          <w:szCs w:val="28"/>
        </w:rPr>
      </w:pPr>
      <w:r>
        <w:rPr>
          <w:rFonts w:hint="eastAsia" w:ascii="宋体" w:hAnsi="宋体" w:cs="宋体"/>
          <w:sz w:val="28"/>
          <w:szCs w:val="28"/>
        </w:rPr>
        <w:t>2.4.10乙方在施工区域内施工所挖的坑道、深沟及堆积的物品等可能影响交通安全时，乙方应设置安全围栏、警示标志。违者扣责任金200—2000元，并立即整改。</w:t>
      </w:r>
    </w:p>
    <w:p>
      <w:pPr>
        <w:ind w:firstLine="600"/>
        <w:rPr>
          <w:rFonts w:ascii="宋体" w:hAnsi="宋体" w:cs="宋体"/>
          <w:sz w:val="28"/>
          <w:szCs w:val="28"/>
        </w:rPr>
      </w:pPr>
      <w:r>
        <w:rPr>
          <w:rFonts w:hint="eastAsia" w:ascii="宋体" w:hAnsi="宋体" w:cs="宋体"/>
          <w:sz w:val="28"/>
          <w:szCs w:val="28"/>
        </w:rPr>
        <w:t>2.4.11乙方不得发生在施工区域内的道路上堆积物品、搭棚、盖房等妨碍交通安全的行为。违者扣责任金100—500元，并限期恢复道路原貌。</w:t>
      </w:r>
    </w:p>
    <w:p>
      <w:pPr>
        <w:ind w:firstLine="600"/>
        <w:rPr>
          <w:rFonts w:ascii="宋体" w:hAnsi="宋体" w:cs="宋体"/>
          <w:sz w:val="28"/>
          <w:szCs w:val="28"/>
        </w:rPr>
      </w:pPr>
      <w:r>
        <w:rPr>
          <w:rFonts w:hint="eastAsia" w:ascii="宋体" w:hAnsi="宋体" w:cs="宋体"/>
          <w:sz w:val="28"/>
          <w:szCs w:val="28"/>
        </w:rPr>
        <w:t>2.4.12乙方车辆进出施工现场，必须严格遵守交通规则和江北国际机场的有关规定。违者每车次扣责任金100元。</w:t>
      </w:r>
    </w:p>
    <w:p>
      <w:pPr>
        <w:ind w:firstLine="600"/>
        <w:rPr>
          <w:rFonts w:ascii="宋体" w:hAnsi="宋体" w:cs="宋体"/>
          <w:sz w:val="28"/>
          <w:szCs w:val="28"/>
        </w:rPr>
      </w:pPr>
      <w:r>
        <w:rPr>
          <w:rFonts w:hint="eastAsia" w:ascii="宋体" w:hAnsi="宋体" w:cs="宋体"/>
          <w:sz w:val="28"/>
          <w:szCs w:val="28"/>
        </w:rPr>
        <w:t>2.4.13证件不齐、过期的车辆，不得参与施工，违者每车次扣责任金500—2000元。</w:t>
      </w:r>
    </w:p>
    <w:p>
      <w:pPr>
        <w:ind w:firstLine="600"/>
        <w:rPr>
          <w:rFonts w:ascii="宋体" w:hAnsi="宋体" w:cs="宋体"/>
          <w:sz w:val="28"/>
          <w:szCs w:val="28"/>
        </w:rPr>
      </w:pPr>
      <w:r>
        <w:rPr>
          <w:rFonts w:hint="eastAsia" w:ascii="宋体" w:hAnsi="宋体" w:cs="宋体"/>
          <w:sz w:val="28"/>
          <w:szCs w:val="28"/>
        </w:rPr>
        <w:t>2.4.14严禁酒后驾车、超速行车、疲劳驾车、带病驾车和带故障行车等妨碍行车安全的行为。违者每车次扣责任金100—500元。</w:t>
      </w:r>
    </w:p>
    <w:p>
      <w:pPr>
        <w:ind w:firstLine="600"/>
        <w:rPr>
          <w:rFonts w:ascii="宋体" w:hAnsi="宋体" w:cs="宋体"/>
          <w:sz w:val="28"/>
          <w:szCs w:val="28"/>
        </w:rPr>
      </w:pPr>
      <w:r>
        <w:rPr>
          <w:rFonts w:hint="eastAsia" w:ascii="宋体" w:hAnsi="宋体" w:cs="宋体"/>
          <w:sz w:val="28"/>
          <w:szCs w:val="28"/>
        </w:rPr>
        <w:t>2.5消防安全</w:t>
      </w:r>
    </w:p>
    <w:p>
      <w:pPr>
        <w:ind w:firstLine="600"/>
        <w:rPr>
          <w:rFonts w:ascii="宋体" w:hAnsi="宋体" w:cs="宋体"/>
          <w:sz w:val="28"/>
          <w:szCs w:val="28"/>
        </w:rPr>
      </w:pPr>
      <w:r>
        <w:rPr>
          <w:rFonts w:hint="eastAsia" w:ascii="宋体" w:hAnsi="宋体" w:cs="宋体"/>
          <w:sz w:val="28"/>
          <w:szCs w:val="28"/>
        </w:rPr>
        <w:t>2.5.1乙方人员在施工区域（含施工现场、材料储存地等与施工活动相关的区域）及其他禁止烟火处不得吸烟和使用明火，进入储存易燃易爆危险品等严禁烟火的场所还应禁止携带火种。如因工程需要用火、用焊的，应经批准并办理消防审批手续，操作人员持证上岗，严格遵守安全操作规程。违者每次扣责任金200元，并立即整改。</w:t>
      </w:r>
    </w:p>
    <w:p>
      <w:pPr>
        <w:ind w:firstLine="600"/>
        <w:rPr>
          <w:rFonts w:ascii="宋体" w:hAnsi="宋体" w:cs="宋体"/>
          <w:sz w:val="28"/>
          <w:szCs w:val="28"/>
        </w:rPr>
      </w:pPr>
      <w:r>
        <w:rPr>
          <w:rFonts w:hint="eastAsia" w:ascii="宋体" w:hAnsi="宋体" w:cs="宋体"/>
          <w:sz w:val="28"/>
          <w:szCs w:val="28"/>
        </w:rPr>
        <w:t>2.5.2乙方对本单位的施工现场及暂住地的消防工作负责。乙方针对工作环境、居住场所的特点对本单位工作人员进行消防安全教育，做到消防工作与施工同计划、同布置、同检查、同总结。违者扣责任金200元，并立即整改和完善相关制度。</w:t>
      </w:r>
    </w:p>
    <w:p>
      <w:pPr>
        <w:ind w:firstLine="600"/>
        <w:rPr>
          <w:rFonts w:ascii="宋体" w:hAnsi="宋体" w:cs="宋体"/>
          <w:sz w:val="28"/>
          <w:szCs w:val="28"/>
        </w:rPr>
      </w:pPr>
      <w:r>
        <w:rPr>
          <w:rFonts w:hint="eastAsia" w:ascii="宋体" w:hAnsi="宋体" w:cs="宋体"/>
          <w:sz w:val="28"/>
          <w:szCs w:val="28"/>
        </w:rPr>
        <w:t>2.5.3乙方应落实消防安全责任人，指定专人统一管理本单位的防火安全工作。每月对本单位的防火工作情况进行一次自查，并做好记录。及时向安全办上报消防工作情况。违者扣责任金200元，并立即整改。</w:t>
      </w:r>
    </w:p>
    <w:p>
      <w:pPr>
        <w:ind w:firstLine="600"/>
        <w:rPr>
          <w:rFonts w:ascii="宋体" w:hAnsi="宋体" w:cs="宋体"/>
          <w:sz w:val="28"/>
          <w:szCs w:val="28"/>
        </w:rPr>
      </w:pPr>
      <w:r>
        <w:rPr>
          <w:rFonts w:hint="eastAsia" w:ascii="宋体" w:hAnsi="宋体" w:cs="宋体"/>
          <w:sz w:val="28"/>
          <w:szCs w:val="28"/>
        </w:rPr>
        <w:t>2.5.4乙方应在施工区及暂住地设立消防安全标志，配备必需的消防设施及器材，应保证在每一用火处至少有一瓶灭火瓶备用，并根据用火情况随时增加。施工车辆应配备随车灭火器材。乙方所配备的灭火器材应功能完好、取用方便。每月对配备的灭火器材检验、维护一次，并做好日常维护保养工作。违者扣责任金200元，并完善消防器材。</w:t>
      </w:r>
    </w:p>
    <w:p>
      <w:pPr>
        <w:ind w:firstLine="600"/>
        <w:rPr>
          <w:rFonts w:ascii="宋体" w:hAnsi="宋体" w:cs="宋体"/>
          <w:sz w:val="28"/>
          <w:szCs w:val="28"/>
        </w:rPr>
      </w:pPr>
      <w:r>
        <w:rPr>
          <w:rFonts w:hint="eastAsia" w:ascii="宋体" w:hAnsi="宋体" w:cs="宋体"/>
          <w:sz w:val="28"/>
          <w:szCs w:val="28"/>
        </w:rPr>
        <w:t>2.5.5乙方易燃易爆物品储存使用处、暂住地伙房、施工区用火部位等消防重点部位，应设置防火标志，建立防火档案，确定防火责任人，建立巡查制度，制定灭火和应急疏散预案，定期组织消防演练。违者扣责任金200元，并完善相关制度。</w:t>
      </w:r>
    </w:p>
    <w:p>
      <w:pPr>
        <w:ind w:firstLine="600"/>
        <w:rPr>
          <w:rFonts w:ascii="宋体" w:hAnsi="宋体" w:cs="宋体"/>
          <w:sz w:val="28"/>
          <w:szCs w:val="28"/>
        </w:rPr>
      </w:pPr>
      <w:r>
        <w:rPr>
          <w:rFonts w:hint="eastAsia" w:ascii="宋体" w:hAnsi="宋体" w:cs="宋体"/>
          <w:sz w:val="28"/>
          <w:szCs w:val="28"/>
        </w:rPr>
        <w:t>2.5.6乙方不得擅自移动、损坏、撤除、停用消防设施及器材，不得埋压、圈占消火栓，不得占用消火间距，不得堵塞消防通道，不得扰乱救火现场秩序，不得私拉乱拉电线，不得使用电炉等大功率电器。违者扣责任金200元，并立即整改。</w:t>
      </w:r>
    </w:p>
    <w:p>
      <w:pPr>
        <w:ind w:firstLine="600"/>
        <w:rPr>
          <w:rFonts w:ascii="宋体" w:hAnsi="宋体" w:cs="宋体"/>
          <w:sz w:val="28"/>
          <w:szCs w:val="28"/>
        </w:rPr>
      </w:pPr>
      <w:r>
        <w:rPr>
          <w:rFonts w:hint="eastAsia" w:ascii="宋体" w:hAnsi="宋体" w:cs="宋体"/>
          <w:sz w:val="28"/>
          <w:szCs w:val="28"/>
        </w:rPr>
        <w:t>2.5.7乙方应服从安全的监督检查及日常管理，对查出的隐患应及时整改，一般火险隐患不超过一天，重大隐患不超过二天，整改率应达到100%。违者扣责任金200元。对违反消防管理的行为逾期不整改的，可责令停工整改。</w:t>
      </w:r>
    </w:p>
    <w:p>
      <w:pPr>
        <w:ind w:firstLine="600"/>
        <w:rPr>
          <w:rFonts w:ascii="宋体" w:hAnsi="宋体" w:cs="宋体"/>
          <w:sz w:val="28"/>
          <w:szCs w:val="28"/>
        </w:rPr>
      </w:pPr>
      <w:r>
        <w:rPr>
          <w:rFonts w:hint="eastAsia" w:ascii="宋体" w:hAnsi="宋体" w:cs="宋体"/>
          <w:sz w:val="28"/>
          <w:szCs w:val="28"/>
        </w:rPr>
        <w:t>2.5.8乙方应切实做好消防信息传递工作，每季度上报一次工作情况。年初上报本单位消防工作计划，年底上报消防工作总结。违者扣责任金200元。</w:t>
      </w:r>
    </w:p>
    <w:p>
      <w:pPr>
        <w:ind w:firstLine="600"/>
        <w:rPr>
          <w:rFonts w:ascii="宋体" w:hAnsi="宋体" w:cs="宋体"/>
          <w:sz w:val="28"/>
          <w:szCs w:val="28"/>
        </w:rPr>
      </w:pPr>
      <w:r>
        <w:rPr>
          <w:rFonts w:hint="eastAsia" w:ascii="宋体" w:hAnsi="宋体" w:cs="宋体"/>
          <w:sz w:val="28"/>
          <w:szCs w:val="28"/>
        </w:rPr>
        <w:t>2.6施工安全</w:t>
      </w:r>
    </w:p>
    <w:p>
      <w:pPr>
        <w:ind w:firstLine="600"/>
        <w:rPr>
          <w:rFonts w:ascii="宋体" w:hAnsi="宋体" w:cs="宋体"/>
          <w:sz w:val="28"/>
          <w:szCs w:val="28"/>
        </w:rPr>
      </w:pPr>
      <w:r>
        <w:rPr>
          <w:rFonts w:hint="eastAsia" w:ascii="宋体" w:hAnsi="宋体" w:cs="宋体"/>
          <w:sz w:val="28"/>
          <w:szCs w:val="28"/>
        </w:rPr>
        <w:t>2.6.1乙方施工过程中的安全必须按《施工组织设计》相关施工安全篇章执行，每违章一次扣责任金200-500元，其中发生重伤一人以上责任事故扣责任金3000元；死亡一人以上责任事故扣责任金5000元，同时对项目现场负责人处罚3000元，并立即停工整顿。</w:t>
      </w:r>
    </w:p>
    <w:p>
      <w:pPr>
        <w:ind w:firstLine="600"/>
        <w:rPr>
          <w:rFonts w:ascii="宋体" w:hAnsi="宋体" w:cs="宋体"/>
          <w:sz w:val="28"/>
          <w:szCs w:val="28"/>
        </w:rPr>
      </w:pPr>
      <w:r>
        <w:rPr>
          <w:rFonts w:hint="eastAsia" w:ascii="宋体" w:hAnsi="宋体" w:cs="宋体"/>
          <w:sz w:val="28"/>
          <w:szCs w:val="28"/>
        </w:rPr>
        <w:t>2.6.2国家对建筑、施工、竣工、材料等方面有其他规定的，乙方应当遵守。违者扣责任金200元，并立即整改。</w:t>
      </w:r>
    </w:p>
    <w:p>
      <w:pPr>
        <w:ind w:firstLine="600"/>
        <w:rPr>
          <w:rFonts w:ascii="宋体" w:hAnsi="宋体" w:cs="宋体"/>
          <w:sz w:val="28"/>
          <w:szCs w:val="28"/>
        </w:rPr>
      </w:pPr>
      <w:r>
        <w:rPr>
          <w:rFonts w:hint="eastAsia" w:ascii="宋体" w:hAnsi="宋体" w:cs="宋体"/>
          <w:sz w:val="28"/>
          <w:szCs w:val="28"/>
        </w:rPr>
        <w:t>第三条  附则</w:t>
      </w:r>
    </w:p>
    <w:p>
      <w:pPr>
        <w:ind w:firstLine="600"/>
        <w:rPr>
          <w:rFonts w:ascii="宋体" w:hAnsi="宋体" w:cs="宋体"/>
          <w:sz w:val="28"/>
          <w:szCs w:val="28"/>
        </w:rPr>
      </w:pPr>
      <w:r>
        <w:rPr>
          <w:rFonts w:hint="eastAsia" w:ascii="宋体" w:hAnsi="宋体" w:cs="宋体"/>
          <w:sz w:val="28"/>
          <w:szCs w:val="28"/>
        </w:rPr>
        <w:t>3.1乙方行为违反国家法律、法规和集团公司有关规章制度而本责任书未列入的，每次扣责任金200—2000元。触犯法律的，依法追究有关责任人的法律责任。</w:t>
      </w:r>
    </w:p>
    <w:p>
      <w:pPr>
        <w:ind w:firstLine="600"/>
        <w:rPr>
          <w:rFonts w:ascii="宋体" w:hAnsi="宋体" w:cs="宋体"/>
          <w:sz w:val="28"/>
          <w:szCs w:val="28"/>
        </w:rPr>
      </w:pPr>
      <w:r>
        <w:rPr>
          <w:rFonts w:hint="eastAsia" w:ascii="宋体" w:hAnsi="宋体" w:cs="宋体"/>
          <w:sz w:val="28"/>
          <w:szCs w:val="28"/>
        </w:rPr>
        <w:t>3.2本责任书由甲乙双方共同签字盖章后生效，有效期至乙方完成所承建施工内容，人员、车辆、设备全部撤出时为止。</w:t>
      </w:r>
    </w:p>
    <w:p>
      <w:pPr>
        <w:ind w:firstLine="600"/>
        <w:rPr>
          <w:rFonts w:ascii="宋体" w:hAnsi="宋体" w:cs="宋体"/>
          <w:sz w:val="28"/>
          <w:szCs w:val="28"/>
        </w:rPr>
      </w:pPr>
    </w:p>
    <w:p>
      <w:pPr>
        <w:ind w:firstLine="600"/>
        <w:rPr>
          <w:rFonts w:ascii="宋体" w:hAnsi="宋体" w:cs="宋体"/>
          <w:sz w:val="28"/>
          <w:szCs w:val="28"/>
        </w:rPr>
      </w:pPr>
      <w:r>
        <w:rPr>
          <w:rFonts w:hint="eastAsia" w:ascii="宋体" w:hAnsi="宋体" w:cs="宋体"/>
          <w:sz w:val="28"/>
          <w:szCs w:val="28"/>
        </w:rPr>
        <w:t>甲     方：                         乙     方：</w:t>
      </w:r>
    </w:p>
    <w:p>
      <w:pPr>
        <w:ind w:firstLine="600"/>
        <w:rPr>
          <w:rFonts w:ascii="宋体" w:hAnsi="宋体" w:cs="宋体"/>
          <w:sz w:val="28"/>
          <w:szCs w:val="28"/>
        </w:rPr>
      </w:pPr>
      <w:r>
        <w:rPr>
          <w:rFonts w:hint="eastAsia" w:ascii="宋体" w:hAnsi="宋体" w:cs="宋体"/>
          <w:sz w:val="28"/>
          <w:szCs w:val="28"/>
        </w:rPr>
        <w:t xml:space="preserve">法定代表人                          法定代表人                      </w:t>
      </w:r>
    </w:p>
    <w:p>
      <w:pPr>
        <w:ind w:firstLine="600"/>
        <w:rPr>
          <w:rFonts w:ascii="宋体" w:hAnsi="宋体" w:cs="宋体"/>
          <w:sz w:val="28"/>
          <w:szCs w:val="28"/>
        </w:rPr>
      </w:pPr>
      <w:r>
        <w:rPr>
          <w:rFonts w:hint="eastAsia" w:ascii="宋体" w:hAnsi="宋体" w:cs="宋体"/>
          <w:sz w:val="28"/>
          <w:szCs w:val="28"/>
        </w:rPr>
        <w:t>或其授权的代理人：                  或授权的代理人：</w:t>
      </w:r>
    </w:p>
    <w:p>
      <w:pPr>
        <w:ind w:firstLine="600"/>
        <w:rPr>
          <w:rFonts w:ascii="宋体" w:hAnsi="宋体" w:cs="宋体"/>
        </w:rPr>
      </w:pPr>
    </w:p>
    <w:p>
      <w:pPr>
        <w:ind w:firstLine="600"/>
        <w:rPr>
          <w:rFonts w:ascii="宋体" w:hAnsi="宋体" w:cs="宋体"/>
        </w:rPr>
      </w:pPr>
    </w:p>
    <w:p>
      <w:pPr>
        <w:rPr>
          <w:rFonts w:ascii="宋体" w:hAnsi="宋体" w:cs="宋体"/>
          <w:sz w:val="28"/>
          <w:szCs w:val="28"/>
        </w:rPr>
      </w:pPr>
    </w:p>
    <w:sectPr>
      <w:footerReference r:id="rId8"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1"/>
                      <w:jc w:val="center"/>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v:textbox>
            </v:shape>
          </w:pict>
        </mc:Fallback>
      </mc:AlternateContent>
    </w:r>
  </w:p>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rPr>
      <w:t>建设工程施工合同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020E2"/>
    <w:multiLevelType w:val="singleLevel"/>
    <w:tmpl w:val="83E020E2"/>
    <w:lvl w:ilvl="0" w:tentative="0">
      <w:start w:val="1"/>
      <w:numFmt w:val="decimal"/>
      <w:suff w:val="nothing"/>
      <w:lvlText w:val="%1、"/>
      <w:lvlJc w:val="left"/>
    </w:lvl>
  </w:abstractNum>
  <w:abstractNum w:abstractNumId="1">
    <w:nsid w:val="BEACFFE3"/>
    <w:multiLevelType w:val="singleLevel"/>
    <w:tmpl w:val="BEACFFE3"/>
    <w:lvl w:ilvl="0" w:tentative="0">
      <w:start w:val="1"/>
      <w:numFmt w:val="decimal"/>
      <w:suff w:val="nothing"/>
      <w:lvlText w:val="%1、"/>
      <w:lvlJc w:val="left"/>
    </w:lvl>
  </w:abstractNum>
  <w:abstractNum w:abstractNumId="2">
    <w:nsid w:val="E1D8207C"/>
    <w:multiLevelType w:val="singleLevel"/>
    <w:tmpl w:val="E1D8207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4F9E"/>
    <w:rsid w:val="00025AEC"/>
    <w:rsid w:val="000265C7"/>
    <w:rsid w:val="00031BB8"/>
    <w:rsid w:val="00032715"/>
    <w:rsid w:val="00035345"/>
    <w:rsid w:val="000371A2"/>
    <w:rsid w:val="00037CFF"/>
    <w:rsid w:val="00050D62"/>
    <w:rsid w:val="0005249A"/>
    <w:rsid w:val="00053E76"/>
    <w:rsid w:val="0005588C"/>
    <w:rsid w:val="00056869"/>
    <w:rsid w:val="000611DA"/>
    <w:rsid w:val="000625F8"/>
    <w:rsid w:val="000631F6"/>
    <w:rsid w:val="00063CCA"/>
    <w:rsid w:val="00073A28"/>
    <w:rsid w:val="000740F0"/>
    <w:rsid w:val="00075615"/>
    <w:rsid w:val="00076511"/>
    <w:rsid w:val="0008205D"/>
    <w:rsid w:val="000825D0"/>
    <w:rsid w:val="00084B6F"/>
    <w:rsid w:val="00090B76"/>
    <w:rsid w:val="00096C32"/>
    <w:rsid w:val="000A3B23"/>
    <w:rsid w:val="000B4109"/>
    <w:rsid w:val="000B753E"/>
    <w:rsid w:val="000B7659"/>
    <w:rsid w:val="000C02DD"/>
    <w:rsid w:val="000D1DB6"/>
    <w:rsid w:val="000D325E"/>
    <w:rsid w:val="000D521A"/>
    <w:rsid w:val="000E2F2F"/>
    <w:rsid w:val="000E5E1E"/>
    <w:rsid w:val="000E7FA4"/>
    <w:rsid w:val="000F1252"/>
    <w:rsid w:val="000F3310"/>
    <w:rsid w:val="000F44A3"/>
    <w:rsid w:val="000F4E07"/>
    <w:rsid w:val="00103882"/>
    <w:rsid w:val="00106E21"/>
    <w:rsid w:val="00113F74"/>
    <w:rsid w:val="0012539D"/>
    <w:rsid w:val="00126337"/>
    <w:rsid w:val="0013184B"/>
    <w:rsid w:val="00140784"/>
    <w:rsid w:val="001425BF"/>
    <w:rsid w:val="00146445"/>
    <w:rsid w:val="001505AE"/>
    <w:rsid w:val="00150869"/>
    <w:rsid w:val="001559E7"/>
    <w:rsid w:val="00163E7C"/>
    <w:rsid w:val="00165E55"/>
    <w:rsid w:val="00172A27"/>
    <w:rsid w:val="001732F2"/>
    <w:rsid w:val="00180D31"/>
    <w:rsid w:val="00181249"/>
    <w:rsid w:val="00182F1E"/>
    <w:rsid w:val="001838AC"/>
    <w:rsid w:val="001849E2"/>
    <w:rsid w:val="0018716E"/>
    <w:rsid w:val="0018776C"/>
    <w:rsid w:val="0019019A"/>
    <w:rsid w:val="00192AF6"/>
    <w:rsid w:val="0019573C"/>
    <w:rsid w:val="00196FD2"/>
    <w:rsid w:val="001C452E"/>
    <w:rsid w:val="001D0060"/>
    <w:rsid w:val="001E04F7"/>
    <w:rsid w:val="001E0DD3"/>
    <w:rsid w:val="001E320E"/>
    <w:rsid w:val="001F0951"/>
    <w:rsid w:val="001F2E0C"/>
    <w:rsid w:val="001F52E9"/>
    <w:rsid w:val="0020219C"/>
    <w:rsid w:val="002026EA"/>
    <w:rsid w:val="00202EEA"/>
    <w:rsid w:val="002111D0"/>
    <w:rsid w:val="0021206B"/>
    <w:rsid w:val="00212AD5"/>
    <w:rsid w:val="002170C0"/>
    <w:rsid w:val="00220EC8"/>
    <w:rsid w:val="00223328"/>
    <w:rsid w:val="00224DEB"/>
    <w:rsid w:val="00225D07"/>
    <w:rsid w:val="002264F3"/>
    <w:rsid w:val="00230435"/>
    <w:rsid w:val="002334E4"/>
    <w:rsid w:val="002362BD"/>
    <w:rsid w:val="002369A5"/>
    <w:rsid w:val="00250130"/>
    <w:rsid w:val="00257F90"/>
    <w:rsid w:val="00264544"/>
    <w:rsid w:val="0026515D"/>
    <w:rsid w:val="00266533"/>
    <w:rsid w:val="00267F10"/>
    <w:rsid w:val="002755BF"/>
    <w:rsid w:val="0028006E"/>
    <w:rsid w:val="002834F6"/>
    <w:rsid w:val="00286536"/>
    <w:rsid w:val="00287E0A"/>
    <w:rsid w:val="002900C3"/>
    <w:rsid w:val="002B033D"/>
    <w:rsid w:val="002B1A3D"/>
    <w:rsid w:val="002B6C94"/>
    <w:rsid w:val="002B75E8"/>
    <w:rsid w:val="002C0C45"/>
    <w:rsid w:val="002C2951"/>
    <w:rsid w:val="002C46DA"/>
    <w:rsid w:val="002C52F9"/>
    <w:rsid w:val="002C5AA6"/>
    <w:rsid w:val="002D436F"/>
    <w:rsid w:val="002D6F8E"/>
    <w:rsid w:val="002E5FDE"/>
    <w:rsid w:val="002F5A5B"/>
    <w:rsid w:val="002F6E00"/>
    <w:rsid w:val="002F7CA1"/>
    <w:rsid w:val="002F7F31"/>
    <w:rsid w:val="00300C2A"/>
    <w:rsid w:val="00306DDC"/>
    <w:rsid w:val="00307CD9"/>
    <w:rsid w:val="00311324"/>
    <w:rsid w:val="00317034"/>
    <w:rsid w:val="00332BF8"/>
    <w:rsid w:val="00333793"/>
    <w:rsid w:val="00333BD0"/>
    <w:rsid w:val="00340E6F"/>
    <w:rsid w:val="00341E77"/>
    <w:rsid w:val="0034710B"/>
    <w:rsid w:val="00347BDE"/>
    <w:rsid w:val="00351066"/>
    <w:rsid w:val="003534A4"/>
    <w:rsid w:val="00357C50"/>
    <w:rsid w:val="00364409"/>
    <w:rsid w:val="00366A3E"/>
    <w:rsid w:val="00367314"/>
    <w:rsid w:val="00370602"/>
    <w:rsid w:val="003723A5"/>
    <w:rsid w:val="003737DF"/>
    <w:rsid w:val="0038049B"/>
    <w:rsid w:val="00381B3E"/>
    <w:rsid w:val="003840CF"/>
    <w:rsid w:val="0038590C"/>
    <w:rsid w:val="00391B61"/>
    <w:rsid w:val="003920AF"/>
    <w:rsid w:val="00392422"/>
    <w:rsid w:val="0039415B"/>
    <w:rsid w:val="00395594"/>
    <w:rsid w:val="00396376"/>
    <w:rsid w:val="003A2048"/>
    <w:rsid w:val="003A228A"/>
    <w:rsid w:val="003A2974"/>
    <w:rsid w:val="003A4373"/>
    <w:rsid w:val="003A4931"/>
    <w:rsid w:val="003B3EA4"/>
    <w:rsid w:val="003B7133"/>
    <w:rsid w:val="003B79B9"/>
    <w:rsid w:val="003C6710"/>
    <w:rsid w:val="003C7185"/>
    <w:rsid w:val="003D6803"/>
    <w:rsid w:val="003D760C"/>
    <w:rsid w:val="003E074E"/>
    <w:rsid w:val="003F167C"/>
    <w:rsid w:val="003F78CE"/>
    <w:rsid w:val="00407C9D"/>
    <w:rsid w:val="00411BBC"/>
    <w:rsid w:val="00413E38"/>
    <w:rsid w:val="00420115"/>
    <w:rsid w:val="00422256"/>
    <w:rsid w:val="004223B3"/>
    <w:rsid w:val="00422C70"/>
    <w:rsid w:val="00424AC5"/>
    <w:rsid w:val="00425623"/>
    <w:rsid w:val="00425B77"/>
    <w:rsid w:val="0042735B"/>
    <w:rsid w:val="00435EB7"/>
    <w:rsid w:val="00441244"/>
    <w:rsid w:val="00445377"/>
    <w:rsid w:val="00452541"/>
    <w:rsid w:val="00453F3C"/>
    <w:rsid w:val="00455CFC"/>
    <w:rsid w:val="0045706E"/>
    <w:rsid w:val="004655F4"/>
    <w:rsid w:val="00467CD5"/>
    <w:rsid w:val="00467F45"/>
    <w:rsid w:val="00470D3E"/>
    <w:rsid w:val="00474426"/>
    <w:rsid w:val="00485F00"/>
    <w:rsid w:val="00490CF8"/>
    <w:rsid w:val="00493AD9"/>
    <w:rsid w:val="00494B5C"/>
    <w:rsid w:val="0049584A"/>
    <w:rsid w:val="004A06D9"/>
    <w:rsid w:val="004A0C85"/>
    <w:rsid w:val="004A743B"/>
    <w:rsid w:val="004B146A"/>
    <w:rsid w:val="004B3DF7"/>
    <w:rsid w:val="004B7D2E"/>
    <w:rsid w:val="004C0973"/>
    <w:rsid w:val="004C5F7C"/>
    <w:rsid w:val="004C64CA"/>
    <w:rsid w:val="004D050B"/>
    <w:rsid w:val="004D79C1"/>
    <w:rsid w:val="004E45E3"/>
    <w:rsid w:val="004F2FAB"/>
    <w:rsid w:val="004F307F"/>
    <w:rsid w:val="004F3384"/>
    <w:rsid w:val="004F3F16"/>
    <w:rsid w:val="004F6B0B"/>
    <w:rsid w:val="004F732C"/>
    <w:rsid w:val="005204F9"/>
    <w:rsid w:val="0052266E"/>
    <w:rsid w:val="00530BF0"/>
    <w:rsid w:val="00542225"/>
    <w:rsid w:val="00550BF1"/>
    <w:rsid w:val="00562547"/>
    <w:rsid w:val="00566ECB"/>
    <w:rsid w:val="005766B4"/>
    <w:rsid w:val="005806B7"/>
    <w:rsid w:val="0058393D"/>
    <w:rsid w:val="005863EB"/>
    <w:rsid w:val="0058730C"/>
    <w:rsid w:val="00591811"/>
    <w:rsid w:val="005A0F77"/>
    <w:rsid w:val="005A365F"/>
    <w:rsid w:val="005B2C03"/>
    <w:rsid w:val="005B555D"/>
    <w:rsid w:val="005B5E40"/>
    <w:rsid w:val="005B623B"/>
    <w:rsid w:val="005B6DF6"/>
    <w:rsid w:val="005B72F8"/>
    <w:rsid w:val="005C4CBA"/>
    <w:rsid w:val="005C7814"/>
    <w:rsid w:val="005C79AE"/>
    <w:rsid w:val="005D0BCD"/>
    <w:rsid w:val="005D4813"/>
    <w:rsid w:val="005E467A"/>
    <w:rsid w:val="005F4A5B"/>
    <w:rsid w:val="006078C9"/>
    <w:rsid w:val="00607E40"/>
    <w:rsid w:val="00610FBA"/>
    <w:rsid w:val="00622C32"/>
    <w:rsid w:val="00626931"/>
    <w:rsid w:val="006331B5"/>
    <w:rsid w:val="00635872"/>
    <w:rsid w:val="006448B9"/>
    <w:rsid w:val="00646279"/>
    <w:rsid w:val="0064646F"/>
    <w:rsid w:val="0064740A"/>
    <w:rsid w:val="00647788"/>
    <w:rsid w:val="00653540"/>
    <w:rsid w:val="006603E9"/>
    <w:rsid w:val="00661679"/>
    <w:rsid w:val="0066423D"/>
    <w:rsid w:val="00664888"/>
    <w:rsid w:val="0066539F"/>
    <w:rsid w:val="0066710E"/>
    <w:rsid w:val="0066722C"/>
    <w:rsid w:val="006700E0"/>
    <w:rsid w:val="0067214B"/>
    <w:rsid w:val="0067319F"/>
    <w:rsid w:val="00677C64"/>
    <w:rsid w:val="00693C5F"/>
    <w:rsid w:val="00694CA2"/>
    <w:rsid w:val="00694E61"/>
    <w:rsid w:val="006964FC"/>
    <w:rsid w:val="006A3013"/>
    <w:rsid w:val="006B78A8"/>
    <w:rsid w:val="006C49D1"/>
    <w:rsid w:val="006E0BFC"/>
    <w:rsid w:val="006E55F4"/>
    <w:rsid w:val="006E7700"/>
    <w:rsid w:val="006E7EC8"/>
    <w:rsid w:val="006F0D23"/>
    <w:rsid w:val="00701961"/>
    <w:rsid w:val="0070395B"/>
    <w:rsid w:val="00703A25"/>
    <w:rsid w:val="00707958"/>
    <w:rsid w:val="007118BA"/>
    <w:rsid w:val="007126B1"/>
    <w:rsid w:val="007134A6"/>
    <w:rsid w:val="00722EF1"/>
    <w:rsid w:val="00726759"/>
    <w:rsid w:val="00736352"/>
    <w:rsid w:val="00745FF6"/>
    <w:rsid w:val="00751CDF"/>
    <w:rsid w:val="007540E5"/>
    <w:rsid w:val="007544BD"/>
    <w:rsid w:val="00760A24"/>
    <w:rsid w:val="0076301C"/>
    <w:rsid w:val="007641AC"/>
    <w:rsid w:val="00766B00"/>
    <w:rsid w:val="0077011C"/>
    <w:rsid w:val="00780FFC"/>
    <w:rsid w:val="0078149A"/>
    <w:rsid w:val="00783017"/>
    <w:rsid w:val="00783450"/>
    <w:rsid w:val="00784DAA"/>
    <w:rsid w:val="007872F8"/>
    <w:rsid w:val="00790155"/>
    <w:rsid w:val="007950D5"/>
    <w:rsid w:val="007A23F4"/>
    <w:rsid w:val="007A25BA"/>
    <w:rsid w:val="007B21E1"/>
    <w:rsid w:val="007C1F70"/>
    <w:rsid w:val="007D0982"/>
    <w:rsid w:val="007D1C18"/>
    <w:rsid w:val="007E005A"/>
    <w:rsid w:val="007E0D23"/>
    <w:rsid w:val="007E19FA"/>
    <w:rsid w:val="007E4029"/>
    <w:rsid w:val="007F0083"/>
    <w:rsid w:val="008137A3"/>
    <w:rsid w:val="0081544B"/>
    <w:rsid w:val="008171F7"/>
    <w:rsid w:val="00833172"/>
    <w:rsid w:val="00835B1F"/>
    <w:rsid w:val="00853E37"/>
    <w:rsid w:val="008602A9"/>
    <w:rsid w:val="00862BFE"/>
    <w:rsid w:val="008741A8"/>
    <w:rsid w:val="008760AC"/>
    <w:rsid w:val="008800A8"/>
    <w:rsid w:val="00883BBC"/>
    <w:rsid w:val="00883E00"/>
    <w:rsid w:val="008903C7"/>
    <w:rsid w:val="008913B8"/>
    <w:rsid w:val="0089554F"/>
    <w:rsid w:val="00896B20"/>
    <w:rsid w:val="008970E3"/>
    <w:rsid w:val="008A0078"/>
    <w:rsid w:val="008B073C"/>
    <w:rsid w:val="008B5D37"/>
    <w:rsid w:val="008C0239"/>
    <w:rsid w:val="008C21EE"/>
    <w:rsid w:val="008C5EA9"/>
    <w:rsid w:val="008C74BC"/>
    <w:rsid w:val="008E2C9F"/>
    <w:rsid w:val="00900A1E"/>
    <w:rsid w:val="0090286B"/>
    <w:rsid w:val="00927885"/>
    <w:rsid w:val="009325DE"/>
    <w:rsid w:val="0093382A"/>
    <w:rsid w:val="00941604"/>
    <w:rsid w:val="00942CCC"/>
    <w:rsid w:val="0096421C"/>
    <w:rsid w:val="00970BD5"/>
    <w:rsid w:val="00973BDE"/>
    <w:rsid w:val="00982ACB"/>
    <w:rsid w:val="0098379E"/>
    <w:rsid w:val="009844AF"/>
    <w:rsid w:val="009865AA"/>
    <w:rsid w:val="00990B62"/>
    <w:rsid w:val="00990CE0"/>
    <w:rsid w:val="009A2DC6"/>
    <w:rsid w:val="009B30A2"/>
    <w:rsid w:val="009B4B99"/>
    <w:rsid w:val="009C0BF1"/>
    <w:rsid w:val="009C1103"/>
    <w:rsid w:val="009C4130"/>
    <w:rsid w:val="009D00D9"/>
    <w:rsid w:val="009D1F92"/>
    <w:rsid w:val="009D5971"/>
    <w:rsid w:val="009D6756"/>
    <w:rsid w:val="009E193A"/>
    <w:rsid w:val="009E5897"/>
    <w:rsid w:val="009F1A57"/>
    <w:rsid w:val="00A0183C"/>
    <w:rsid w:val="00A079DB"/>
    <w:rsid w:val="00A12488"/>
    <w:rsid w:val="00A1271E"/>
    <w:rsid w:val="00A279E1"/>
    <w:rsid w:val="00A307C5"/>
    <w:rsid w:val="00A51639"/>
    <w:rsid w:val="00A64B28"/>
    <w:rsid w:val="00A6743C"/>
    <w:rsid w:val="00A70F36"/>
    <w:rsid w:val="00A73E6F"/>
    <w:rsid w:val="00A74F64"/>
    <w:rsid w:val="00A75B9D"/>
    <w:rsid w:val="00A81127"/>
    <w:rsid w:val="00A84F15"/>
    <w:rsid w:val="00A90916"/>
    <w:rsid w:val="00A9211E"/>
    <w:rsid w:val="00AA3DFD"/>
    <w:rsid w:val="00AA7541"/>
    <w:rsid w:val="00AB18AB"/>
    <w:rsid w:val="00AB24AC"/>
    <w:rsid w:val="00AC4236"/>
    <w:rsid w:val="00AD0062"/>
    <w:rsid w:val="00AD04F5"/>
    <w:rsid w:val="00AD1B3B"/>
    <w:rsid w:val="00AD3C9F"/>
    <w:rsid w:val="00AD460B"/>
    <w:rsid w:val="00AD4864"/>
    <w:rsid w:val="00AD5218"/>
    <w:rsid w:val="00AE113B"/>
    <w:rsid w:val="00AE1E61"/>
    <w:rsid w:val="00AE4958"/>
    <w:rsid w:val="00AF1739"/>
    <w:rsid w:val="00AF4625"/>
    <w:rsid w:val="00AF6F3E"/>
    <w:rsid w:val="00B07E47"/>
    <w:rsid w:val="00B11888"/>
    <w:rsid w:val="00B14EE4"/>
    <w:rsid w:val="00B1635A"/>
    <w:rsid w:val="00B22AD5"/>
    <w:rsid w:val="00B23001"/>
    <w:rsid w:val="00B27562"/>
    <w:rsid w:val="00B30B85"/>
    <w:rsid w:val="00B31151"/>
    <w:rsid w:val="00B3115C"/>
    <w:rsid w:val="00B32112"/>
    <w:rsid w:val="00B44196"/>
    <w:rsid w:val="00B64691"/>
    <w:rsid w:val="00B719CE"/>
    <w:rsid w:val="00B73FE8"/>
    <w:rsid w:val="00B775E3"/>
    <w:rsid w:val="00B81C3E"/>
    <w:rsid w:val="00B826C1"/>
    <w:rsid w:val="00B83591"/>
    <w:rsid w:val="00BA0571"/>
    <w:rsid w:val="00BA1401"/>
    <w:rsid w:val="00BA1D26"/>
    <w:rsid w:val="00BB07FB"/>
    <w:rsid w:val="00BB0CC3"/>
    <w:rsid w:val="00BB0FB8"/>
    <w:rsid w:val="00BB241D"/>
    <w:rsid w:val="00BC2470"/>
    <w:rsid w:val="00BC4195"/>
    <w:rsid w:val="00BE72AF"/>
    <w:rsid w:val="00BF544F"/>
    <w:rsid w:val="00BF5508"/>
    <w:rsid w:val="00BF6FC3"/>
    <w:rsid w:val="00C03881"/>
    <w:rsid w:val="00C062CB"/>
    <w:rsid w:val="00C06468"/>
    <w:rsid w:val="00C07299"/>
    <w:rsid w:val="00C1020C"/>
    <w:rsid w:val="00C25DD0"/>
    <w:rsid w:val="00C33B30"/>
    <w:rsid w:val="00C36C02"/>
    <w:rsid w:val="00C3798E"/>
    <w:rsid w:val="00C4369F"/>
    <w:rsid w:val="00C43B58"/>
    <w:rsid w:val="00C43FDF"/>
    <w:rsid w:val="00C525AC"/>
    <w:rsid w:val="00C623A9"/>
    <w:rsid w:val="00C636E6"/>
    <w:rsid w:val="00C643C9"/>
    <w:rsid w:val="00C6512E"/>
    <w:rsid w:val="00C72953"/>
    <w:rsid w:val="00C745A1"/>
    <w:rsid w:val="00C7596B"/>
    <w:rsid w:val="00C80539"/>
    <w:rsid w:val="00C826C9"/>
    <w:rsid w:val="00C9189F"/>
    <w:rsid w:val="00C93570"/>
    <w:rsid w:val="00CA22C7"/>
    <w:rsid w:val="00CA629B"/>
    <w:rsid w:val="00CC2123"/>
    <w:rsid w:val="00CC2C5D"/>
    <w:rsid w:val="00CD5BB1"/>
    <w:rsid w:val="00CE020B"/>
    <w:rsid w:val="00CE1943"/>
    <w:rsid w:val="00CE4A87"/>
    <w:rsid w:val="00CE576B"/>
    <w:rsid w:val="00CE70CD"/>
    <w:rsid w:val="00CE73B6"/>
    <w:rsid w:val="00CF5BF8"/>
    <w:rsid w:val="00CF7A22"/>
    <w:rsid w:val="00D125EB"/>
    <w:rsid w:val="00D149F1"/>
    <w:rsid w:val="00D45135"/>
    <w:rsid w:val="00D46010"/>
    <w:rsid w:val="00D47F13"/>
    <w:rsid w:val="00D63B4A"/>
    <w:rsid w:val="00D64587"/>
    <w:rsid w:val="00D66438"/>
    <w:rsid w:val="00D75600"/>
    <w:rsid w:val="00D80CA9"/>
    <w:rsid w:val="00D81DC5"/>
    <w:rsid w:val="00D83800"/>
    <w:rsid w:val="00D85DCE"/>
    <w:rsid w:val="00D91075"/>
    <w:rsid w:val="00DA1CBE"/>
    <w:rsid w:val="00DA4101"/>
    <w:rsid w:val="00DB73DB"/>
    <w:rsid w:val="00DC29D8"/>
    <w:rsid w:val="00DD6002"/>
    <w:rsid w:val="00DD694B"/>
    <w:rsid w:val="00DF0117"/>
    <w:rsid w:val="00DF18B6"/>
    <w:rsid w:val="00DF642B"/>
    <w:rsid w:val="00DF7B78"/>
    <w:rsid w:val="00E00678"/>
    <w:rsid w:val="00E039E8"/>
    <w:rsid w:val="00E053CA"/>
    <w:rsid w:val="00E11B73"/>
    <w:rsid w:val="00E13EEE"/>
    <w:rsid w:val="00E14889"/>
    <w:rsid w:val="00E16198"/>
    <w:rsid w:val="00E20738"/>
    <w:rsid w:val="00E22D77"/>
    <w:rsid w:val="00E259EA"/>
    <w:rsid w:val="00E27397"/>
    <w:rsid w:val="00E30B50"/>
    <w:rsid w:val="00E32680"/>
    <w:rsid w:val="00E32753"/>
    <w:rsid w:val="00E3282B"/>
    <w:rsid w:val="00E35970"/>
    <w:rsid w:val="00E37618"/>
    <w:rsid w:val="00E4025B"/>
    <w:rsid w:val="00E45276"/>
    <w:rsid w:val="00E50CBA"/>
    <w:rsid w:val="00E54D02"/>
    <w:rsid w:val="00E55FD9"/>
    <w:rsid w:val="00E57019"/>
    <w:rsid w:val="00E601AC"/>
    <w:rsid w:val="00E6373A"/>
    <w:rsid w:val="00E7086E"/>
    <w:rsid w:val="00E71B91"/>
    <w:rsid w:val="00E76761"/>
    <w:rsid w:val="00E77B0B"/>
    <w:rsid w:val="00E8758A"/>
    <w:rsid w:val="00E90678"/>
    <w:rsid w:val="00E91556"/>
    <w:rsid w:val="00E927A7"/>
    <w:rsid w:val="00E94D9E"/>
    <w:rsid w:val="00E96BE1"/>
    <w:rsid w:val="00E97D2E"/>
    <w:rsid w:val="00EA3679"/>
    <w:rsid w:val="00EB0F23"/>
    <w:rsid w:val="00EC2756"/>
    <w:rsid w:val="00EC4E18"/>
    <w:rsid w:val="00ED78FC"/>
    <w:rsid w:val="00EE37C8"/>
    <w:rsid w:val="00EE616E"/>
    <w:rsid w:val="00F02E67"/>
    <w:rsid w:val="00F07DCF"/>
    <w:rsid w:val="00F1365F"/>
    <w:rsid w:val="00F16507"/>
    <w:rsid w:val="00F172DB"/>
    <w:rsid w:val="00F23D92"/>
    <w:rsid w:val="00F25E04"/>
    <w:rsid w:val="00F2773C"/>
    <w:rsid w:val="00F3207E"/>
    <w:rsid w:val="00F32B67"/>
    <w:rsid w:val="00F33397"/>
    <w:rsid w:val="00F33FB2"/>
    <w:rsid w:val="00F40190"/>
    <w:rsid w:val="00F40AA2"/>
    <w:rsid w:val="00F45954"/>
    <w:rsid w:val="00F45F62"/>
    <w:rsid w:val="00F479F7"/>
    <w:rsid w:val="00F50101"/>
    <w:rsid w:val="00F5221B"/>
    <w:rsid w:val="00F534C5"/>
    <w:rsid w:val="00F60473"/>
    <w:rsid w:val="00F62AC2"/>
    <w:rsid w:val="00F62E33"/>
    <w:rsid w:val="00F70CF8"/>
    <w:rsid w:val="00F74A15"/>
    <w:rsid w:val="00F8042D"/>
    <w:rsid w:val="00F85181"/>
    <w:rsid w:val="00FA17E2"/>
    <w:rsid w:val="00FA2284"/>
    <w:rsid w:val="00FA6503"/>
    <w:rsid w:val="00FB4220"/>
    <w:rsid w:val="00FD4F40"/>
    <w:rsid w:val="00FD5A31"/>
    <w:rsid w:val="00FE7DA0"/>
    <w:rsid w:val="00FF1C7D"/>
    <w:rsid w:val="00FF5E49"/>
    <w:rsid w:val="01116DA8"/>
    <w:rsid w:val="01610611"/>
    <w:rsid w:val="018E717F"/>
    <w:rsid w:val="024B3FEE"/>
    <w:rsid w:val="02694BF5"/>
    <w:rsid w:val="02B04D6A"/>
    <w:rsid w:val="02DB40F9"/>
    <w:rsid w:val="02DD2A75"/>
    <w:rsid w:val="02E71D9A"/>
    <w:rsid w:val="032B318A"/>
    <w:rsid w:val="0351448D"/>
    <w:rsid w:val="044155BB"/>
    <w:rsid w:val="04581FA0"/>
    <w:rsid w:val="049D6DFD"/>
    <w:rsid w:val="04B66573"/>
    <w:rsid w:val="04C568D1"/>
    <w:rsid w:val="05171D46"/>
    <w:rsid w:val="051E1B0B"/>
    <w:rsid w:val="05786F61"/>
    <w:rsid w:val="05E06F2E"/>
    <w:rsid w:val="062E415F"/>
    <w:rsid w:val="063C3029"/>
    <w:rsid w:val="064471A6"/>
    <w:rsid w:val="066E5C41"/>
    <w:rsid w:val="068F5DDE"/>
    <w:rsid w:val="0694612D"/>
    <w:rsid w:val="06947AAC"/>
    <w:rsid w:val="06CB23C0"/>
    <w:rsid w:val="075D6EE1"/>
    <w:rsid w:val="07A80EC8"/>
    <w:rsid w:val="07C04427"/>
    <w:rsid w:val="07EE4ACA"/>
    <w:rsid w:val="087815BE"/>
    <w:rsid w:val="088D6A43"/>
    <w:rsid w:val="08EF5B5D"/>
    <w:rsid w:val="09461AEA"/>
    <w:rsid w:val="09664B1B"/>
    <w:rsid w:val="0997402A"/>
    <w:rsid w:val="09AD46A5"/>
    <w:rsid w:val="0A0F268D"/>
    <w:rsid w:val="0AB57CE7"/>
    <w:rsid w:val="0AB661E0"/>
    <w:rsid w:val="0AC811E9"/>
    <w:rsid w:val="0B097D41"/>
    <w:rsid w:val="0B2B1774"/>
    <w:rsid w:val="0B8260DB"/>
    <w:rsid w:val="0BB2324C"/>
    <w:rsid w:val="0C75023F"/>
    <w:rsid w:val="0C994D49"/>
    <w:rsid w:val="0C9E28BC"/>
    <w:rsid w:val="0CE423D6"/>
    <w:rsid w:val="0D62447C"/>
    <w:rsid w:val="0DB81109"/>
    <w:rsid w:val="0DF119DC"/>
    <w:rsid w:val="0E4616DB"/>
    <w:rsid w:val="0E5069BB"/>
    <w:rsid w:val="0E9463F6"/>
    <w:rsid w:val="0EB3503E"/>
    <w:rsid w:val="0F70672E"/>
    <w:rsid w:val="0FA01857"/>
    <w:rsid w:val="0FD751D3"/>
    <w:rsid w:val="0FEE3F68"/>
    <w:rsid w:val="1026647F"/>
    <w:rsid w:val="10380514"/>
    <w:rsid w:val="10832D43"/>
    <w:rsid w:val="10E42DD9"/>
    <w:rsid w:val="11153BD2"/>
    <w:rsid w:val="119D609E"/>
    <w:rsid w:val="11B0689F"/>
    <w:rsid w:val="11BC6200"/>
    <w:rsid w:val="11C176A5"/>
    <w:rsid w:val="123C46EC"/>
    <w:rsid w:val="12402C7D"/>
    <w:rsid w:val="125B7090"/>
    <w:rsid w:val="12A878E8"/>
    <w:rsid w:val="12FB6110"/>
    <w:rsid w:val="13632B69"/>
    <w:rsid w:val="13904965"/>
    <w:rsid w:val="13BC128C"/>
    <w:rsid w:val="145971AB"/>
    <w:rsid w:val="14657109"/>
    <w:rsid w:val="14C3706D"/>
    <w:rsid w:val="14CB2B9A"/>
    <w:rsid w:val="14EE20C5"/>
    <w:rsid w:val="14FF0CE9"/>
    <w:rsid w:val="150013C4"/>
    <w:rsid w:val="153A60F7"/>
    <w:rsid w:val="15477744"/>
    <w:rsid w:val="154B4C99"/>
    <w:rsid w:val="15635F65"/>
    <w:rsid w:val="156A3FFC"/>
    <w:rsid w:val="15C57CBC"/>
    <w:rsid w:val="15E00A0F"/>
    <w:rsid w:val="15E91EE9"/>
    <w:rsid w:val="15F55134"/>
    <w:rsid w:val="162B61C5"/>
    <w:rsid w:val="16352327"/>
    <w:rsid w:val="165B148B"/>
    <w:rsid w:val="16843037"/>
    <w:rsid w:val="168F5282"/>
    <w:rsid w:val="169904BF"/>
    <w:rsid w:val="16B67073"/>
    <w:rsid w:val="16F162AB"/>
    <w:rsid w:val="17514CDF"/>
    <w:rsid w:val="17CC7EA2"/>
    <w:rsid w:val="17D40F06"/>
    <w:rsid w:val="18180C0C"/>
    <w:rsid w:val="18453309"/>
    <w:rsid w:val="1851667E"/>
    <w:rsid w:val="18EA6450"/>
    <w:rsid w:val="192B27F7"/>
    <w:rsid w:val="195A30B5"/>
    <w:rsid w:val="196725BE"/>
    <w:rsid w:val="199E4586"/>
    <w:rsid w:val="19A9162D"/>
    <w:rsid w:val="19F34B8F"/>
    <w:rsid w:val="1A1B0ED1"/>
    <w:rsid w:val="1AF138A7"/>
    <w:rsid w:val="1BCE62C8"/>
    <w:rsid w:val="1BD92E82"/>
    <w:rsid w:val="1C1F06C5"/>
    <w:rsid w:val="1C2D30C9"/>
    <w:rsid w:val="1C6B5445"/>
    <w:rsid w:val="1CBB7B16"/>
    <w:rsid w:val="1D5223C2"/>
    <w:rsid w:val="1D534C08"/>
    <w:rsid w:val="1D655101"/>
    <w:rsid w:val="1DD65853"/>
    <w:rsid w:val="1E2044EA"/>
    <w:rsid w:val="1E966A1A"/>
    <w:rsid w:val="1F243374"/>
    <w:rsid w:val="1F7134CF"/>
    <w:rsid w:val="1F88651F"/>
    <w:rsid w:val="1FA20FE6"/>
    <w:rsid w:val="1FE421E3"/>
    <w:rsid w:val="20AD6EAE"/>
    <w:rsid w:val="212D69FF"/>
    <w:rsid w:val="21722310"/>
    <w:rsid w:val="21843FA8"/>
    <w:rsid w:val="21B0404E"/>
    <w:rsid w:val="21F00004"/>
    <w:rsid w:val="224E7360"/>
    <w:rsid w:val="22BA4D37"/>
    <w:rsid w:val="23306F28"/>
    <w:rsid w:val="23453E27"/>
    <w:rsid w:val="23CC5846"/>
    <w:rsid w:val="23D04AA3"/>
    <w:rsid w:val="242971B0"/>
    <w:rsid w:val="24566CA1"/>
    <w:rsid w:val="24DE7F99"/>
    <w:rsid w:val="25692B8D"/>
    <w:rsid w:val="256F0B8C"/>
    <w:rsid w:val="25A9012A"/>
    <w:rsid w:val="25E722F6"/>
    <w:rsid w:val="26282B81"/>
    <w:rsid w:val="265044C8"/>
    <w:rsid w:val="267A63EB"/>
    <w:rsid w:val="26852535"/>
    <w:rsid w:val="26A76454"/>
    <w:rsid w:val="26AE14CF"/>
    <w:rsid w:val="26D61D87"/>
    <w:rsid w:val="274B76DE"/>
    <w:rsid w:val="28995D13"/>
    <w:rsid w:val="28CD5964"/>
    <w:rsid w:val="291A5FB0"/>
    <w:rsid w:val="29352801"/>
    <w:rsid w:val="29E2253A"/>
    <w:rsid w:val="2A1936CA"/>
    <w:rsid w:val="2A1B793F"/>
    <w:rsid w:val="2B081754"/>
    <w:rsid w:val="2B091BD3"/>
    <w:rsid w:val="2B436833"/>
    <w:rsid w:val="2B5368A7"/>
    <w:rsid w:val="2BDA7C49"/>
    <w:rsid w:val="2C1D3E9C"/>
    <w:rsid w:val="2C422200"/>
    <w:rsid w:val="2C58319A"/>
    <w:rsid w:val="2C774A25"/>
    <w:rsid w:val="2C92391E"/>
    <w:rsid w:val="2CCD4E18"/>
    <w:rsid w:val="2D0C2970"/>
    <w:rsid w:val="2D685166"/>
    <w:rsid w:val="2DE4214E"/>
    <w:rsid w:val="2F1A14EB"/>
    <w:rsid w:val="2F8A3997"/>
    <w:rsid w:val="2F9D6190"/>
    <w:rsid w:val="2FCB09D1"/>
    <w:rsid w:val="2FF513A1"/>
    <w:rsid w:val="2FFD5355"/>
    <w:rsid w:val="30471812"/>
    <w:rsid w:val="305B1D6F"/>
    <w:rsid w:val="30A152DA"/>
    <w:rsid w:val="30AC0A88"/>
    <w:rsid w:val="30B11151"/>
    <w:rsid w:val="31485AB1"/>
    <w:rsid w:val="32083E8E"/>
    <w:rsid w:val="32610002"/>
    <w:rsid w:val="32687933"/>
    <w:rsid w:val="334F3B22"/>
    <w:rsid w:val="336E7FF1"/>
    <w:rsid w:val="336F72A4"/>
    <w:rsid w:val="34B95129"/>
    <w:rsid w:val="34BB33B9"/>
    <w:rsid w:val="34CD2F6D"/>
    <w:rsid w:val="34D5751C"/>
    <w:rsid w:val="355A22B3"/>
    <w:rsid w:val="357413FB"/>
    <w:rsid w:val="368A308D"/>
    <w:rsid w:val="36932FF8"/>
    <w:rsid w:val="37414B0B"/>
    <w:rsid w:val="37F90C6F"/>
    <w:rsid w:val="3888794F"/>
    <w:rsid w:val="38C05785"/>
    <w:rsid w:val="38D40399"/>
    <w:rsid w:val="394739C7"/>
    <w:rsid w:val="3AB05828"/>
    <w:rsid w:val="3AEB7649"/>
    <w:rsid w:val="3B636314"/>
    <w:rsid w:val="3BB646AC"/>
    <w:rsid w:val="3C1103D5"/>
    <w:rsid w:val="3C850255"/>
    <w:rsid w:val="3CEF599B"/>
    <w:rsid w:val="3CFB0943"/>
    <w:rsid w:val="3D967BFD"/>
    <w:rsid w:val="3D9D7E5B"/>
    <w:rsid w:val="3DBB4D56"/>
    <w:rsid w:val="3DBC3B4B"/>
    <w:rsid w:val="3E057E5D"/>
    <w:rsid w:val="3EA137CA"/>
    <w:rsid w:val="3EC52623"/>
    <w:rsid w:val="3F170804"/>
    <w:rsid w:val="3F2B6983"/>
    <w:rsid w:val="3F660EBE"/>
    <w:rsid w:val="3F910FED"/>
    <w:rsid w:val="3FDA5B61"/>
    <w:rsid w:val="401F328D"/>
    <w:rsid w:val="40421389"/>
    <w:rsid w:val="41266217"/>
    <w:rsid w:val="42C90073"/>
    <w:rsid w:val="42CF6F9F"/>
    <w:rsid w:val="43235C04"/>
    <w:rsid w:val="435D2BA3"/>
    <w:rsid w:val="437B168B"/>
    <w:rsid w:val="44301E29"/>
    <w:rsid w:val="44603FEC"/>
    <w:rsid w:val="44C26B96"/>
    <w:rsid w:val="44ED5D58"/>
    <w:rsid w:val="450203C0"/>
    <w:rsid w:val="455E1B79"/>
    <w:rsid w:val="45910940"/>
    <w:rsid w:val="45C57A4F"/>
    <w:rsid w:val="45F56D27"/>
    <w:rsid w:val="47950C4F"/>
    <w:rsid w:val="47A21A8F"/>
    <w:rsid w:val="47A328EC"/>
    <w:rsid w:val="47A57DB3"/>
    <w:rsid w:val="481B6106"/>
    <w:rsid w:val="482F185E"/>
    <w:rsid w:val="485F1865"/>
    <w:rsid w:val="487B008D"/>
    <w:rsid w:val="48EE4460"/>
    <w:rsid w:val="48FF00BE"/>
    <w:rsid w:val="492D2135"/>
    <w:rsid w:val="49866927"/>
    <w:rsid w:val="49FF4BA4"/>
    <w:rsid w:val="4A807D55"/>
    <w:rsid w:val="4A911536"/>
    <w:rsid w:val="4AB57861"/>
    <w:rsid w:val="4ABB5E46"/>
    <w:rsid w:val="4AF22EC8"/>
    <w:rsid w:val="4B193D9A"/>
    <w:rsid w:val="4B6852B2"/>
    <w:rsid w:val="4BC16643"/>
    <w:rsid w:val="4BF3650C"/>
    <w:rsid w:val="4C1E1E37"/>
    <w:rsid w:val="4C7314DF"/>
    <w:rsid w:val="4C7F4DE2"/>
    <w:rsid w:val="4C9814C1"/>
    <w:rsid w:val="4D3A6E08"/>
    <w:rsid w:val="4DC93B10"/>
    <w:rsid w:val="4E77237D"/>
    <w:rsid w:val="4EB872AC"/>
    <w:rsid w:val="4EDF3722"/>
    <w:rsid w:val="4EFE5A51"/>
    <w:rsid w:val="4F2A6DBC"/>
    <w:rsid w:val="4F7D436F"/>
    <w:rsid w:val="4F802787"/>
    <w:rsid w:val="4F8F6DCD"/>
    <w:rsid w:val="4F93469F"/>
    <w:rsid w:val="4FEE3E51"/>
    <w:rsid w:val="4FFC0C7E"/>
    <w:rsid w:val="502422B1"/>
    <w:rsid w:val="5090031D"/>
    <w:rsid w:val="50A4245D"/>
    <w:rsid w:val="50C97069"/>
    <w:rsid w:val="516C652E"/>
    <w:rsid w:val="51AC0CA2"/>
    <w:rsid w:val="51B63DFA"/>
    <w:rsid w:val="51F67A96"/>
    <w:rsid w:val="521C4028"/>
    <w:rsid w:val="524B6C45"/>
    <w:rsid w:val="535C14F3"/>
    <w:rsid w:val="535D5E40"/>
    <w:rsid w:val="53BB03E9"/>
    <w:rsid w:val="54212C2A"/>
    <w:rsid w:val="542D51DB"/>
    <w:rsid w:val="54326F39"/>
    <w:rsid w:val="54E84FD2"/>
    <w:rsid w:val="558D6F80"/>
    <w:rsid w:val="55B01204"/>
    <w:rsid w:val="55C0688F"/>
    <w:rsid w:val="55F74047"/>
    <w:rsid w:val="563B237A"/>
    <w:rsid w:val="563C4B84"/>
    <w:rsid w:val="568D1380"/>
    <w:rsid w:val="569503EE"/>
    <w:rsid w:val="56AF1796"/>
    <w:rsid w:val="56C307B9"/>
    <w:rsid w:val="56E376FA"/>
    <w:rsid w:val="574229F3"/>
    <w:rsid w:val="57A71AC0"/>
    <w:rsid w:val="57C42A14"/>
    <w:rsid w:val="58250756"/>
    <w:rsid w:val="58AF1F37"/>
    <w:rsid w:val="591114FF"/>
    <w:rsid w:val="5987049D"/>
    <w:rsid w:val="59F46FBE"/>
    <w:rsid w:val="5A2E13DF"/>
    <w:rsid w:val="5A48212F"/>
    <w:rsid w:val="5A5037F1"/>
    <w:rsid w:val="5AEA24A0"/>
    <w:rsid w:val="5B1C63AC"/>
    <w:rsid w:val="5B39355C"/>
    <w:rsid w:val="5B5D6078"/>
    <w:rsid w:val="5BDE03A5"/>
    <w:rsid w:val="5CF075CB"/>
    <w:rsid w:val="5D0D1408"/>
    <w:rsid w:val="5DDE06C9"/>
    <w:rsid w:val="5E0F08EF"/>
    <w:rsid w:val="5EC83213"/>
    <w:rsid w:val="5ECA5A96"/>
    <w:rsid w:val="5F6857D0"/>
    <w:rsid w:val="5FDB6D21"/>
    <w:rsid w:val="5FFF72A4"/>
    <w:rsid w:val="601C66BC"/>
    <w:rsid w:val="60251519"/>
    <w:rsid w:val="60312746"/>
    <w:rsid w:val="60681418"/>
    <w:rsid w:val="60C64098"/>
    <w:rsid w:val="611F39AC"/>
    <w:rsid w:val="61517A70"/>
    <w:rsid w:val="61A32B88"/>
    <w:rsid w:val="62596298"/>
    <w:rsid w:val="62EA62A7"/>
    <w:rsid w:val="63321889"/>
    <w:rsid w:val="63DF12B1"/>
    <w:rsid w:val="64015FC7"/>
    <w:rsid w:val="640713E7"/>
    <w:rsid w:val="64872412"/>
    <w:rsid w:val="64E94FB5"/>
    <w:rsid w:val="6520192E"/>
    <w:rsid w:val="65CA447A"/>
    <w:rsid w:val="65EF5ACB"/>
    <w:rsid w:val="666F7CF6"/>
    <w:rsid w:val="66FA6DD1"/>
    <w:rsid w:val="67AF0E2E"/>
    <w:rsid w:val="67B637EE"/>
    <w:rsid w:val="67BB37CA"/>
    <w:rsid w:val="680823DB"/>
    <w:rsid w:val="68127E96"/>
    <w:rsid w:val="681B7E65"/>
    <w:rsid w:val="68255F20"/>
    <w:rsid w:val="684C6959"/>
    <w:rsid w:val="693671D6"/>
    <w:rsid w:val="69381E4F"/>
    <w:rsid w:val="69890B88"/>
    <w:rsid w:val="6994704B"/>
    <w:rsid w:val="69D8220C"/>
    <w:rsid w:val="6A09013B"/>
    <w:rsid w:val="6A224DD4"/>
    <w:rsid w:val="6A2F0EC5"/>
    <w:rsid w:val="6A352070"/>
    <w:rsid w:val="6A6455EB"/>
    <w:rsid w:val="6A732B9C"/>
    <w:rsid w:val="6A875665"/>
    <w:rsid w:val="6ABD6513"/>
    <w:rsid w:val="6B3F7107"/>
    <w:rsid w:val="6B7D5427"/>
    <w:rsid w:val="6BCB460E"/>
    <w:rsid w:val="6BFC33D5"/>
    <w:rsid w:val="6C474DE0"/>
    <w:rsid w:val="6C7121E6"/>
    <w:rsid w:val="6CAC73FA"/>
    <w:rsid w:val="6CB43CB1"/>
    <w:rsid w:val="6CBF1A5C"/>
    <w:rsid w:val="6CD9297C"/>
    <w:rsid w:val="6CF340BA"/>
    <w:rsid w:val="6DAA0991"/>
    <w:rsid w:val="6DAF1A11"/>
    <w:rsid w:val="6DBC68D1"/>
    <w:rsid w:val="6E126D9B"/>
    <w:rsid w:val="6E721AC5"/>
    <w:rsid w:val="6EFF3B5F"/>
    <w:rsid w:val="6F0F1ECB"/>
    <w:rsid w:val="6F937375"/>
    <w:rsid w:val="70540F53"/>
    <w:rsid w:val="70703467"/>
    <w:rsid w:val="707F39F0"/>
    <w:rsid w:val="710C2E2B"/>
    <w:rsid w:val="71294130"/>
    <w:rsid w:val="71DE6134"/>
    <w:rsid w:val="71F65285"/>
    <w:rsid w:val="72320D34"/>
    <w:rsid w:val="72611715"/>
    <w:rsid w:val="72A218A6"/>
    <w:rsid w:val="72D8676D"/>
    <w:rsid w:val="7302137A"/>
    <w:rsid w:val="74257AA3"/>
    <w:rsid w:val="74722F74"/>
    <w:rsid w:val="748B4FD5"/>
    <w:rsid w:val="74980230"/>
    <w:rsid w:val="7499754A"/>
    <w:rsid w:val="74B22C64"/>
    <w:rsid w:val="74F8008D"/>
    <w:rsid w:val="752B1FC5"/>
    <w:rsid w:val="755B75DC"/>
    <w:rsid w:val="75E3370C"/>
    <w:rsid w:val="75E714FB"/>
    <w:rsid w:val="75E73569"/>
    <w:rsid w:val="75FE6A3D"/>
    <w:rsid w:val="76C164D6"/>
    <w:rsid w:val="7751008C"/>
    <w:rsid w:val="77C80274"/>
    <w:rsid w:val="77EF553E"/>
    <w:rsid w:val="77F028C8"/>
    <w:rsid w:val="782E26F4"/>
    <w:rsid w:val="78525A7D"/>
    <w:rsid w:val="7882077A"/>
    <w:rsid w:val="78D82FCA"/>
    <w:rsid w:val="7919413A"/>
    <w:rsid w:val="797656C8"/>
    <w:rsid w:val="799D0531"/>
    <w:rsid w:val="7A9103EC"/>
    <w:rsid w:val="7AF52F9D"/>
    <w:rsid w:val="7B0C6F64"/>
    <w:rsid w:val="7B3079BB"/>
    <w:rsid w:val="7B9F744D"/>
    <w:rsid w:val="7BC151B4"/>
    <w:rsid w:val="7BFF511B"/>
    <w:rsid w:val="7C2C141E"/>
    <w:rsid w:val="7C48688C"/>
    <w:rsid w:val="7CC70607"/>
    <w:rsid w:val="7CD116AF"/>
    <w:rsid w:val="7D006046"/>
    <w:rsid w:val="7D183D98"/>
    <w:rsid w:val="7D2C76D3"/>
    <w:rsid w:val="7D543D16"/>
    <w:rsid w:val="7D9C600E"/>
    <w:rsid w:val="7DC30FCD"/>
    <w:rsid w:val="7DEC0A54"/>
    <w:rsid w:val="7E6459CD"/>
    <w:rsid w:val="7EBA2261"/>
    <w:rsid w:val="7ED25EF1"/>
    <w:rsid w:val="7ED515FE"/>
    <w:rsid w:val="7EFB1048"/>
    <w:rsid w:val="7EFF6FF8"/>
    <w:rsid w:val="7F3D6DD2"/>
    <w:rsid w:val="7F656BC9"/>
    <w:rsid w:val="7FE742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9" w:semiHidden="0" w:name="heading 3" w:locked="1"/>
    <w:lsdException w:qFormat="1" w:unhideWhenUsed="0" w:uiPriority="0" w:semiHidden="0" w:name="heading 4" w:locked="1"/>
    <w:lsdException w:qFormat="1" w:uiPriority="9"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line="360" w:lineRule="auto"/>
      <w:jc w:val="center"/>
      <w:outlineLvl w:val="0"/>
    </w:pPr>
    <w:rPr>
      <w:rFonts w:asciiTheme="minorEastAsia" w:hAnsiTheme="minorEastAsia" w:eastAsiaTheme="minorEastAsia" w:cstheme="majorBidi"/>
      <w:b/>
      <w:kern w:val="44"/>
      <w:sz w:val="32"/>
      <w:szCs w:val="32"/>
      <w:lang w:val="zh-TW"/>
    </w:rPr>
  </w:style>
  <w:style w:type="paragraph" w:styleId="4">
    <w:name w:val="heading 2"/>
    <w:basedOn w:val="1"/>
    <w:next w:val="1"/>
    <w:link w:val="36"/>
    <w:qFormat/>
    <w:locked/>
    <w:uiPriority w:val="1"/>
    <w:pPr>
      <w:spacing w:before="120" w:after="120"/>
      <w:outlineLvl w:val="1"/>
    </w:pPr>
    <w:rPr>
      <w:rFonts w:eastAsia="黑体"/>
      <w:sz w:val="32"/>
    </w:rPr>
  </w:style>
  <w:style w:type="paragraph" w:styleId="5">
    <w:name w:val="heading 3"/>
    <w:basedOn w:val="1"/>
    <w:next w:val="1"/>
    <w:unhideWhenUsed/>
    <w:qFormat/>
    <w:locked/>
    <w:uiPriority w:val="9"/>
    <w:pPr>
      <w:keepNext/>
      <w:keepLines/>
      <w:spacing w:line="360" w:lineRule="auto"/>
      <w:outlineLvl w:val="2"/>
    </w:pPr>
    <w:rPr>
      <w:b/>
      <w:bCs/>
      <w:color w:val="000000" w:themeColor="text1"/>
      <w:kern w:val="0"/>
      <w:sz w:val="28"/>
      <w:szCs w:val="28"/>
      <w:lang w:val="zh-TW"/>
      <w14:textFill>
        <w14:solidFill>
          <w14:schemeClr w14:val="tx1"/>
        </w14:solidFill>
      </w14:textFill>
    </w:rPr>
  </w:style>
  <w:style w:type="paragraph" w:styleId="6">
    <w:name w:val="heading 5"/>
    <w:basedOn w:val="1"/>
    <w:next w:val="1"/>
    <w:semiHidden/>
    <w:unhideWhenUsed/>
    <w:qFormat/>
    <w:locked/>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semiHidden/>
    <w:unhideWhenUsed/>
    <w:qFormat/>
    <w:uiPriority w:val="99"/>
    <w:pPr>
      <w:jc w:val="left"/>
    </w:pPr>
  </w:style>
  <w:style w:type="paragraph" w:styleId="9">
    <w:name w:val="toc 3"/>
    <w:basedOn w:val="1"/>
    <w:next w:val="1"/>
    <w:qFormat/>
    <w:locked/>
    <w:uiPriority w:val="39"/>
    <w:pPr>
      <w:ind w:left="840" w:leftChars="400"/>
    </w:pPr>
  </w:style>
  <w:style w:type="paragraph" w:styleId="10">
    <w:name w:val="Balloon Text"/>
    <w:basedOn w:val="1"/>
    <w:link w:val="24"/>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Body Text 2"/>
    <w:basedOn w:val="1"/>
    <w:qFormat/>
    <w:uiPriority w:val="0"/>
    <w:pPr>
      <w:adjustRightInd w:val="0"/>
      <w:snapToGrid w:val="0"/>
      <w:spacing w:beforeLines="50" w:afterLines="5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qFormat/>
    <w:uiPriority w:val="99"/>
    <w:rPr>
      <w:color w:val="666666"/>
      <w:u w:val="none"/>
    </w:rPr>
  </w:style>
  <w:style w:type="character" w:styleId="22">
    <w:name w:val="Hyperlink"/>
    <w:basedOn w:val="20"/>
    <w:semiHidden/>
    <w:unhideWhenUsed/>
    <w:qFormat/>
    <w:uiPriority w:val="99"/>
    <w:rPr>
      <w:color w:val="333333"/>
      <w:u w:val="none"/>
    </w:rPr>
  </w:style>
  <w:style w:type="paragraph" w:customStyle="1" w:styleId="23">
    <w:name w:val="zjb正文"/>
    <w:basedOn w:val="1"/>
    <w:link w:val="35"/>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24">
    <w:name w:val="批注框文本 Char"/>
    <w:basedOn w:val="20"/>
    <w:link w:val="10"/>
    <w:semiHidden/>
    <w:qFormat/>
    <w:locked/>
    <w:uiPriority w:val="99"/>
    <w:rPr>
      <w:rFonts w:ascii="Times New Roman" w:hAnsi="Times New Roman"/>
      <w:kern w:val="2"/>
      <w:sz w:val="18"/>
    </w:rPr>
  </w:style>
  <w:style w:type="character" w:customStyle="1" w:styleId="25">
    <w:name w:val="页脚 Char"/>
    <w:basedOn w:val="20"/>
    <w:link w:val="11"/>
    <w:qFormat/>
    <w:locked/>
    <w:uiPriority w:val="99"/>
    <w:rPr>
      <w:sz w:val="18"/>
    </w:rPr>
  </w:style>
  <w:style w:type="character" w:customStyle="1" w:styleId="26">
    <w:name w:val="页眉 Char"/>
    <w:basedOn w:val="20"/>
    <w:link w:val="12"/>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styleId="32">
    <w:name w:val="List Paragraph"/>
    <w:basedOn w:val="1"/>
    <w:qFormat/>
    <w:uiPriority w:val="34"/>
    <w:pPr>
      <w:ind w:firstLine="420" w:firstLineChars="200"/>
    </w:pPr>
    <w:rPr>
      <w:rFonts w:ascii="Calibri" w:hAnsi="Calibri"/>
      <w:sz w:val="28"/>
      <w:szCs w:val="20"/>
    </w:rPr>
  </w:style>
  <w:style w:type="paragraph" w:customStyle="1" w:styleId="33">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34">
    <w:name w:val="zjb标题3"/>
    <w:basedOn w:val="6"/>
    <w:qFormat/>
    <w:uiPriority w:val="0"/>
    <w:pPr>
      <w:spacing w:before="0" w:after="120" w:line="360" w:lineRule="auto"/>
      <w:ind w:firstLine="200" w:firstLineChars="200"/>
      <w:outlineLvl w:val="9"/>
    </w:pPr>
    <w:rPr>
      <w:rFonts w:ascii="黑体" w:hAnsi="仿宋" w:eastAsia="黑体" w:cs="宋体"/>
      <w:b w:val="0"/>
      <w:color w:val="000000"/>
      <w:sz w:val="30"/>
      <w:szCs w:val="24"/>
    </w:rPr>
  </w:style>
  <w:style w:type="character" w:customStyle="1" w:styleId="35">
    <w:name w:val="zjb正文 字符"/>
    <w:basedOn w:val="20"/>
    <w:link w:val="23"/>
    <w:qFormat/>
    <w:uiPriority w:val="0"/>
    <w:rPr>
      <w:rFonts w:ascii="仿宋_GB2312" w:hAnsi="仿宋" w:eastAsia="仿宋_GB2312" w:cs="宋体"/>
      <w:color w:val="000000"/>
      <w:kern w:val="0"/>
      <w:sz w:val="30"/>
      <w:szCs w:val="30"/>
      <w:lang w:eastAsia="en-US"/>
    </w:rPr>
  </w:style>
  <w:style w:type="character" w:customStyle="1" w:styleId="36">
    <w:name w:val="标题 2 Char"/>
    <w:link w:val="4"/>
    <w:qFormat/>
    <w:uiPriority w:val="1"/>
    <w:rPr>
      <w:rFonts w:eastAsia="黑体"/>
      <w:kern w:val="2"/>
      <w:sz w:val="32"/>
      <w:lang w:eastAsia="zh-CN"/>
    </w:rPr>
  </w:style>
  <w:style w:type="character" w:customStyle="1" w:styleId="37">
    <w:name w:val="selallcontainer"/>
    <w:basedOn w:val="20"/>
    <w:qFormat/>
    <w:uiPriority w:val="0"/>
  </w:style>
  <w:style w:type="character" w:customStyle="1" w:styleId="38">
    <w:name w:val="hover17"/>
    <w:basedOn w:val="20"/>
    <w:qFormat/>
    <w:uiPriority w:val="0"/>
    <w:rPr>
      <w:color w:val="FF6600"/>
      <w:bdr w:val="single" w:color="DDDDDD" w:sz="6" w:space="0"/>
      <w:shd w:val="clear" w:color="auto" w:fill="FFFFFF"/>
    </w:rPr>
  </w:style>
  <w:style w:type="character" w:customStyle="1" w:styleId="39">
    <w:name w:val="over"/>
    <w:basedOn w:val="20"/>
    <w:qFormat/>
    <w:uiPriority w:val="0"/>
    <w:rPr>
      <w:shd w:val="clear" w:color="auto" w:fill="3F82BE"/>
    </w:rPr>
  </w:style>
  <w:style w:type="character" w:customStyle="1" w:styleId="40">
    <w:name w:val="before2"/>
    <w:basedOn w:val="20"/>
    <w:qFormat/>
    <w:uiPriority w:val="0"/>
  </w:style>
  <w:style w:type="character" w:customStyle="1" w:styleId="41">
    <w:name w:val="hover15"/>
    <w:basedOn w:val="20"/>
    <w:qFormat/>
    <w:uiPriority w:val="0"/>
    <w:rPr>
      <w:color w:val="FF6600"/>
      <w:bdr w:val="single" w:color="DDDDDD" w:sz="6" w:space="0"/>
      <w:shd w:val="clear" w:color="auto" w:fill="FFFFFF"/>
    </w:rPr>
  </w:style>
  <w:style w:type="character" w:customStyle="1" w:styleId="42">
    <w:name w:val="before"/>
    <w:basedOn w:val="20"/>
    <w:qFormat/>
    <w:uiPriority w:val="0"/>
  </w:style>
  <w:style w:type="paragraph" w:customStyle="1" w:styleId="43">
    <w:name w:val="zjb標題1"/>
    <w:basedOn w:val="1"/>
    <w:qFormat/>
    <w:uiPriority w:val="0"/>
    <w:pPr>
      <w:ind w:firstLine="1441"/>
    </w:pPr>
    <w:rPr>
      <w:rFonts w:eastAsia="华文中宋"/>
      <w:b/>
      <w:sz w:val="72"/>
      <w:szCs w:val="72"/>
    </w:rPr>
  </w:style>
  <w:style w:type="paragraph" w:customStyle="1" w:styleId="44">
    <w:name w:val="TOC 标题2"/>
    <w:basedOn w:val="3"/>
    <w:next w:val="1"/>
    <w:qFormat/>
    <w:uiPriority w:val="39"/>
    <w:pPr>
      <w:outlineLvl w:val="9"/>
    </w:pPr>
  </w:style>
  <w:style w:type="paragraph" w:customStyle="1" w:styleId="45">
    <w:name w:val="Body text|1"/>
    <w:basedOn w:val="1"/>
    <w:qFormat/>
    <w:uiPriority w:val="0"/>
    <w:pPr>
      <w:spacing w:line="432"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D3F83-DCF6-4BC4-AB75-0EAC8D02FF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3904</Words>
  <Characters>22257</Characters>
  <Lines>185</Lines>
  <Paragraphs>52</Paragraphs>
  <TotalTime>2</TotalTime>
  <ScaleCrop>false</ScaleCrop>
  <LinksUpToDate>false</LinksUpToDate>
  <CharactersWithSpaces>26109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2021-08-16T06:08:00Z</dcterms:created>
  <dc:creator>李凯01</dc:creator>
  <cp:lastModifiedBy>遇见</cp:lastModifiedBy>
  <cp:lastPrinted>2021-08-20T01:41:10Z</cp:lastPrinted>
  <dcterms:modified xsi:type="dcterms:W3CDTF">2021-08-20T01:53:37Z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C1B60D088CEC41F19B947DE1F883C084</vt:lpwstr>
  </property>
</Properties>
</file>