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themeColor="text1"/>
          <w:sz w:val="52"/>
          <w:szCs w:val="52"/>
          <w14:textFill>
            <w14:solidFill>
              <w14:schemeClr w14:val="tx1"/>
            </w14:solidFill>
          </w14:textFill>
        </w:rPr>
      </w:pPr>
      <w:r>
        <w:rPr>
          <w:rFonts w:hint="eastAsia" w:ascii="仿宋_GB2312" w:eastAsia="仿宋_GB2312"/>
          <w:b/>
          <w:color w:val="000000" w:themeColor="text1"/>
          <w:sz w:val="52"/>
          <w:szCs w:val="52"/>
          <w14:textFill>
            <w14:solidFill>
              <w14:schemeClr w14:val="tx1"/>
            </w14:solidFill>
          </w14:textFill>
        </w:rPr>
        <w:t xml:space="preserve"> </w:t>
      </w:r>
    </w:p>
    <w:p>
      <w:pPr>
        <w:pStyle w:val="14"/>
        <w:spacing w:before="156" w:after="156"/>
        <w:rPr>
          <w:color w:val="000000" w:themeColor="text1"/>
          <w14:textFill>
            <w14:solidFill>
              <w14:schemeClr w14:val="tx1"/>
            </w14:solidFill>
          </w14:textFill>
        </w:rPr>
      </w:pPr>
    </w:p>
    <w:p>
      <w:pPr>
        <w:jc w:val="center"/>
        <w:rPr>
          <w:rFonts w:ascii="方正小标宋_GBK" w:eastAsia="方正小标宋_GBK"/>
          <w:color w:val="000000" w:themeColor="text1"/>
          <w:sz w:val="52"/>
          <w:szCs w:val="52"/>
          <w14:textFill>
            <w14:solidFill>
              <w14:schemeClr w14:val="tx1"/>
            </w14:solidFill>
          </w14:textFill>
        </w:rPr>
      </w:pPr>
      <w:r>
        <w:rPr>
          <w:rFonts w:hint="eastAsia" w:ascii="方正小标宋_GBK" w:eastAsia="方正小标宋_GBK"/>
          <w:color w:val="000000" w:themeColor="text1"/>
          <w:sz w:val="52"/>
          <w:szCs w:val="52"/>
          <w14:textFill>
            <w14:solidFill>
              <w14:schemeClr w14:val="tx1"/>
            </w14:solidFill>
          </w14:textFill>
        </w:rPr>
        <w:t>重庆江北国际机场有限公司</w:t>
      </w:r>
    </w:p>
    <w:p>
      <w:pPr>
        <w:jc w:val="center"/>
        <w:rPr>
          <w:rFonts w:ascii="仿宋" w:hAnsi="仿宋" w:eastAsia="仿宋"/>
          <w:b/>
          <w:color w:val="000000" w:themeColor="text1"/>
          <w:sz w:val="52"/>
          <w:szCs w:val="52"/>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p>
    <w:p>
      <w:pPr>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综合服务平台系统升级项目</w:t>
      </w:r>
    </w:p>
    <w:p>
      <w:pPr>
        <w:jc w:val="center"/>
        <w:rPr>
          <w:rFonts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(第二次)比选文件</w:t>
      </w: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jc w:val="center"/>
        <w:rPr>
          <w:rFonts w:ascii="仿宋" w:hAnsi="仿宋" w:eastAsia="仿宋"/>
          <w:b/>
          <w:color w:val="000000" w:themeColor="text1"/>
          <w:sz w:val="32"/>
          <w14:textFill>
            <w14:solidFill>
              <w14:schemeClr w14:val="tx1"/>
            </w14:solidFill>
          </w14:textFill>
        </w:rPr>
      </w:pPr>
    </w:p>
    <w:p>
      <w:pPr>
        <w:ind w:firstLine="2570" w:firstLineChars="800"/>
        <w:rPr>
          <w:rFonts w:ascii="仿宋" w:hAnsi="仿宋" w:eastAsia="仿宋"/>
          <w:b/>
          <w:color w:val="000000" w:themeColor="text1"/>
          <w:sz w:val="5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编号：软件2021-001</w:t>
      </w:r>
      <w:r>
        <w:rPr>
          <w:rFonts w:ascii="仿宋" w:hAnsi="仿宋" w:eastAsia="仿宋"/>
          <w:b/>
          <w:color w:val="000000" w:themeColor="text1"/>
          <w:sz w:val="52"/>
          <w14:textFill>
            <w14:solidFill>
              <w14:schemeClr w14:val="tx1"/>
            </w14:solidFill>
          </w14:textFill>
        </w:rPr>
        <w:t xml:space="preserve"> </w:t>
      </w:r>
    </w:p>
    <w:p>
      <w:pPr>
        <w:jc w:val="center"/>
        <w:rPr>
          <w:rFonts w:ascii="仿宋" w:hAnsi="仿宋" w:eastAsia="仿宋"/>
          <w:b/>
          <w:color w:val="000000" w:themeColor="text1"/>
          <w:sz w:val="52"/>
          <w14:textFill>
            <w14:solidFill>
              <w14:schemeClr w14:val="tx1"/>
            </w14:solidFill>
          </w14:textFill>
        </w:rPr>
      </w:pPr>
    </w:p>
    <w:p>
      <w:pPr>
        <w:jc w:val="center"/>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重庆江北国际机场有限公司</w:t>
      </w:r>
    </w:p>
    <w:p>
      <w:pPr>
        <w:jc w:val="center"/>
        <w:rPr>
          <w:rFonts w:ascii="仿宋_GB2312" w:hAnsi="仿宋" w:eastAsia="仿宋_GB2312"/>
          <w:b/>
          <w:color w:val="000000" w:themeColor="text1"/>
          <w:sz w:val="32"/>
          <w:szCs w:val="32"/>
          <w14:textFill>
            <w14:solidFill>
              <w14:schemeClr w14:val="tx1"/>
            </w14:solidFill>
          </w14:textFill>
        </w:rPr>
      </w:pPr>
      <w:r>
        <w:rPr>
          <w:rFonts w:hint="eastAsia" w:ascii="仿宋_GB2312" w:hAnsi="仿宋" w:eastAsia="仿宋_GB2312"/>
          <w:b/>
          <w:color w:val="000000" w:themeColor="text1"/>
          <w:sz w:val="32"/>
          <w:szCs w:val="32"/>
          <w14:textFill>
            <w14:solidFill>
              <w14:schemeClr w14:val="tx1"/>
            </w14:solidFill>
          </w14:textFill>
        </w:rPr>
        <w:t>市场运营部(代章)</w:t>
      </w:r>
    </w:p>
    <w:p>
      <w:pPr>
        <w:rPr>
          <w:rFonts w:ascii="仿宋_GB2312" w:hAnsi="仿宋" w:eastAsia="仿宋_GB2312"/>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pPr>
    </w:p>
    <w:p>
      <w:pPr>
        <w:ind w:firstLine="3052" w:firstLineChars="95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二〇二一年八月</w:t>
      </w:r>
    </w:p>
    <w:p>
      <w:pPr>
        <w:ind w:firstLine="3052" w:firstLineChars="950"/>
        <w:rPr>
          <w:rFonts w:ascii="仿宋" w:hAnsi="仿宋" w:eastAsia="仿宋"/>
          <w:b/>
          <w:color w:val="000000" w:themeColor="text1"/>
          <w:sz w:val="32"/>
          <w:szCs w:val="32"/>
          <w14:textFill>
            <w14:solidFill>
              <w14:schemeClr w14:val="tx1"/>
            </w14:solidFill>
          </w14:textFill>
        </w:rPr>
      </w:pPr>
    </w:p>
    <w:p>
      <w:pPr>
        <w:rPr>
          <w:rFonts w:ascii="仿宋" w:hAnsi="仿宋" w:eastAsia="仿宋"/>
          <w:b/>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numPr>
          <w:ilvl w:val="0"/>
          <w:numId w:val="1"/>
        </w:num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竞争性比选要求</w:t>
      </w:r>
    </w:p>
    <w:p>
      <w:pPr>
        <w:ind w:firstLine="560"/>
        <w:rPr>
          <w:rFonts w:ascii="仿宋" w:hAnsi="仿宋" w:eastAsia="仿宋"/>
          <w:color w:val="000000" w:themeColor="text1"/>
          <w:sz w:val="28"/>
          <w:szCs w:val="28"/>
          <w14:textFill>
            <w14:solidFill>
              <w14:schemeClr w14:val="tx1"/>
            </w14:solidFill>
          </w14:textFill>
        </w:rPr>
      </w:pPr>
    </w:p>
    <w:p>
      <w:pPr>
        <w:spacing w:after="624" w:afterLines="200" w:line="600" w:lineRule="exact"/>
        <w:ind w:firstLine="840" w:firstLineChars="300"/>
        <w:contextualSpacing/>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重庆江北国际机场有限公司（以下简称“公司”）决定于近期对综合服务平台系统升级项目实施采购，</w:t>
      </w:r>
      <w:r>
        <w:rPr>
          <w:rFonts w:hint="eastAsia" w:ascii="仿宋" w:hAnsi="仿宋" w:eastAsia="仿宋" w:cs="仿宋"/>
          <w:sz w:val="28"/>
          <w:szCs w:val="28"/>
        </w:rPr>
        <w:t>邀请符合相应条件的供应商就本项目进行竞争性比选</w:t>
      </w:r>
      <w:r>
        <w:rPr>
          <w:rFonts w:hint="eastAsia" w:ascii="仿宋" w:hAnsi="仿宋" w:eastAsia="仿宋" w:cs="仿宋"/>
          <w:color w:val="000000" w:themeColor="text1"/>
          <w:sz w:val="28"/>
          <w:szCs w:val="28"/>
          <w14:textFill>
            <w14:solidFill>
              <w14:schemeClr w14:val="tx1"/>
            </w14:solidFill>
          </w14:textFill>
        </w:rPr>
        <w:t>。</w:t>
      </w:r>
    </w:p>
    <w:p>
      <w:pPr>
        <w:spacing w:line="600" w:lineRule="exact"/>
        <w:ind w:firstLine="56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一、项目内容</w:t>
      </w:r>
    </w:p>
    <w:p>
      <w:pPr>
        <w:spacing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1.1项目名称：</w:t>
      </w:r>
      <w:r>
        <w:rPr>
          <w:rFonts w:hint="eastAsia" w:ascii="仿宋" w:hAnsi="仿宋" w:eastAsia="仿宋" w:cs="仿宋"/>
          <w:color w:val="000000" w:themeColor="text1"/>
          <w:sz w:val="28"/>
          <w:szCs w:val="28"/>
          <w14:textFill>
            <w14:solidFill>
              <w14:schemeClr w14:val="tx1"/>
            </w14:solidFill>
          </w14:textFill>
        </w:rPr>
        <w:t>重庆江北国际机场综合服务平台系统升级项目</w:t>
      </w:r>
    </w:p>
    <w:p>
      <w:pPr>
        <w:spacing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1.2项目概述：升级完善综合服务平台（P</w:t>
      </w:r>
      <w:r>
        <w:rPr>
          <w:rFonts w:ascii="仿宋" w:hAnsi="仿宋" w:eastAsia="仿宋"/>
          <w:color w:val="000000" w:themeColor="text1"/>
          <w:sz w:val="28"/>
          <w:szCs w:val="28"/>
          <w14:textFill>
            <w14:solidFill>
              <w14:schemeClr w14:val="tx1"/>
            </w14:solidFill>
          </w14:textFill>
        </w:rPr>
        <w:t>C</w:t>
      </w:r>
      <w:r>
        <w:rPr>
          <w:rFonts w:hint="eastAsia" w:ascii="仿宋" w:hAnsi="仿宋" w:eastAsia="仿宋"/>
          <w:color w:val="000000" w:themeColor="text1"/>
          <w:sz w:val="28"/>
          <w:szCs w:val="28"/>
          <w14:textFill>
            <w14:solidFill>
              <w14:schemeClr w14:val="tx1"/>
            </w14:solidFill>
          </w14:textFill>
        </w:rPr>
        <w:t>端）功能，完成综合服务平台移动端开发并全面接入“综合服务平台（P</w:t>
      </w:r>
      <w:r>
        <w:rPr>
          <w:rFonts w:ascii="仿宋" w:hAnsi="仿宋" w:eastAsia="仿宋"/>
          <w:color w:val="000000" w:themeColor="text1"/>
          <w:sz w:val="28"/>
          <w:szCs w:val="28"/>
          <w14:textFill>
            <w14:solidFill>
              <w14:schemeClr w14:val="tx1"/>
            </w14:solidFill>
          </w14:textFill>
        </w:rPr>
        <w:t>C</w:t>
      </w:r>
      <w:r>
        <w:rPr>
          <w:rFonts w:hint="eastAsia" w:ascii="仿宋" w:hAnsi="仿宋" w:eastAsia="仿宋"/>
          <w:color w:val="000000" w:themeColor="text1"/>
          <w:sz w:val="28"/>
          <w:szCs w:val="28"/>
          <w14:textFill>
            <w14:solidFill>
              <w14:schemeClr w14:val="tx1"/>
            </w14:solidFill>
          </w14:textFill>
        </w:rPr>
        <w:t>端）”。</w:t>
      </w:r>
    </w:p>
    <w:p>
      <w:pPr>
        <w:spacing w:line="600" w:lineRule="exact"/>
        <w:ind w:firstLine="56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二、项目要求</w:t>
      </w:r>
    </w:p>
    <w:p>
      <w:pPr>
        <w:spacing w:line="600" w:lineRule="exact"/>
        <w:ind w:firstLine="420" w:firstLineChars="200"/>
        <w:jc w:val="left"/>
        <w:outlineLvl w:val="0"/>
        <w:rPr>
          <w:rFonts w:ascii="仿宋" w:hAnsi="仿宋" w:eastAsia="仿宋" w:cs="仿宋"/>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2.1升级完善综合服务平台（</w:t>
      </w:r>
      <w:r>
        <w:rPr>
          <w:rFonts w:ascii="仿宋" w:hAnsi="仿宋" w:eastAsia="仿宋" w:cs="仿宋"/>
          <w:color w:val="000000" w:themeColor="text1"/>
          <w:sz w:val="28"/>
          <w:szCs w:val="28"/>
          <w14:textFill>
            <w14:solidFill>
              <w14:schemeClr w14:val="tx1"/>
            </w14:solidFill>
          </w14:textFill>
        </w:rPr>
        <w:t>PC</w:t>
      </w:r>
      <w:r>
        <w:rPr>
          <w:rFonts w:hint="eastAsia" w:ascii="仿宋" w:hAnsi="仿宋" w:eastAsia="仿宋" w:cs="仿宋"/>
          <w:color w:val="000000" w:themeColor="text1"/>
          <w:sz w:val="28"/>
          <w:szCs w:val="28"/>
          <w14:textFill>
            <w14:solidFill>
              <w14:schemeClr w14:val="tx1"/>
            </w14:solidFill>
          </w14:textFill>
        </w:rPr>
        <w:t>端）功能，完成综合服务平台移动端开发并全面接入“综合服务平台（P</w:t>
      </w:r>
      <w:r>
        <w:rPr>
          <w:rFonts w:ascii="仿宋" w:hAnsi="仿宋" w:eastAsia="仿宋" w:cs="仿宋"/>
          <w:color w:val="000000" w:themeColor="text1"/>
          <w:sz w:val="28"/>
          <w:szCs w:val="28"/>
          <w14:textFill>
            <w14:solidFill>
              <w14:schemeClr w14:val="tx1"/>
            </w14:solidFill>
          </w14:textFill>
        </w:rPr>
        <w:t>C</w:t>
      </w:r>
      <w:r>
        <w:rPr>
          <w:rFonts w:hint="eastAsia" w:ascii="仿宋" w:hAnsi="仿宋" w:eastAsia="仿宋" w:cs="仿宋"/>
          <w:color w:val="000000" w:themeColor="text1"/>
          <w:sz w:val="28"/>
          <w:szCs w:val="28"/>
          <w14:textFill>
            <w14:solidFill>
              <w14:schemeClr w14:val="tx1"/>
            </w14:solidFill>
          </w14:textFill>
        </w:rPr>
        <w:t xml:space="preserve">端）”，具体详见下表： </w:t>
      </w:r>
    </w:p>
    <w:tbl>
      <w:tblPr>
        <w:tblStyle w:val="17"/>
        <w:tblW w:w="90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3019"/>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Align w:val="center"/>
          </w:tcPr>
          <w:p>
            <w:pPr>
              <w:spacing w:line="600" w:lineRule="exact"/>
              <w:jc w:val="center"/>
              <w:outlineLvl w:val="0"/>
              <w:rPr>
                <w:rFonts w:ascii="方正黑体_GBK" w:hAnsi="仿宋" w:eastAsia="方正黑体_GBK" w:cs="仿宋"/>
                <w:b/>
                <w:color w:val="000000" w:themeColor="text1"/>
                <w:sz w:val="28"/>
                <w:szCs w:val="28"/>
                <w14:textFill>
                  <w14:solidFill>
                    <w14:schemeClr w14:val="tx1"/>
                  </w14:solidFill>
                </w14:textFill>
              </w:rPr>
            </w:pPr>
            <w:r>
              <w:rPr>
                <w:rFonts w:hint="eastAsia" w:ascii="方正黑体_GBK" w:hAnsi="仿宋" w:eastAsia="方正黑体_GBK" w:cs="仿宋"/>
                <w:b/>
                <w:color w:val="000000" w:themeColor="text1"/>
                <w:sz w:val="28"/>
                <w:szCs w:val="28"/>
                <w14:textFill>
                  <w14:solidFill>
                    <w14:schemeClr w14:val="tx1"/>
                  </w14:solidFill>
                </w14:textFill>
              </w:rPr>
              <w:t>功能模块</w:t>
            </w:r>
          </w:p>
        </w:tc>
        <w:tc>
          <w:tcPr>
            <w:tcW w:w="3019" w:type="dxa"/>
            <w:vAlign w:val="center"/>
          </w:tcPr>
          <w:p>
            <w:pPr>
              <w:spacing w:line="600" w:lineRule="exact"/>
              <w:jc w:val="center"/>
              <w:outlineLvl w:val="0"/>
              <w:rPr>
                <w:rFonts w:ascii="方正黑体_GBK" w:hAnsi="仿宋" w:eastAsia="方正黑体_GBK" w:cs="仿宋"/>
                <w:b/>
                <w:color w:val="000000" w:themeColor="text1"/>
                <w:sz w:val="28"/>
                <w:szCs w:val="28"/>
                <w14:textFill>
                  <w14:solidFill>
                    <w14:schemeClr w14:val="tx1"/>
                  </w14:solidFill>
                </w14:textFill>
              </w:rPr>
            </w:pPr>
            <w:r>
              <w:rPr>
                <w:rFonts w:hint="eastAsia" w:ascii="方正黑体_GBK" w:hAnsi="仿宋" w:eastAsia="方正黑体_GBK" w:cs="仿宋"/>
                <w:b/>
                <w:color w:val="000000" w:themeColor="text1"/>
                <w:sz w:val="28"/>
                <w:szCs w:val="28"/>
                <w14:textFill>
                  <w14:solidFill>
                    <w14:schemeClr w14:val="tx1"/>
                  </w14:solidFill>
                </w14:textFill>
              </w:rPr>
              <w:t>子功能</w:t>
            </w:r>
          </w:p>
        </w:tc>
        <w:tc>
          <w:tcPr>
            <w:tcW w:w="3019" w:type="dxa"/>
            <w:vAlign w:val="center"/>
          </w:tcPr>
          <w:p>
            <w:pPr>
              <w:spacing w:line="600" w:lineRule="exact"/>
              <w:jc w:val="center"/>
              <w:outlineLvl w:val="0"/>
              <w:rPr>
                <w:rFonts w:ascii="方正黑体_GBK" w:hAnsi="仿宋" w:eastAsia="方正黑体_GBK" w:cs="仿宋"/>
                <w:b/>
                <w:color w:val="000000" w:themeColor="text1"/>
                <w:sz w:val="28"/>
                <w:szCs w:val="28"/>
                <w14:textFill>
                  <w14:solidFill>
                    <w14:schemeClr w14:val="tx1"/>
                  </w14:solidFill>
                </w14:textFill>
              </w:rPr>
            </w:pPr>
            <w:r>
              <w:rPr>
                <w:rFonts w:hint="eastAsia" w:ascii="方正黑体_GBK" w:hAnsi="仿宋" w:eastAsia="方正黑体_GBK" w:cs="仿宋"/>
                <w:b/>
                <w:color w:val="000000" w:themeColor="text1"/>
                <w:sz w:val="28"/>
                <w:szCs w:val="28"/>
                <w14:textFill>
                  <w14:solidFill>
                    <w14:schemeClr w14:val="tx1"/>
                  </w14:solidFill>
                </w14:textFill>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开发移动APP</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系统框架及原型图、界面的设计</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良好的交互体验，新怡的界面风格，合理的操作逻辑。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restart"/>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新增功能</w:t>
            </w: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完善系统功能</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附件批量导入、附件批量导出、视频上传、优化业务申请及统计功能、附件查看、用户管理等功能模块进行升级。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飞行区业务</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飞行区违章人员考试申请、飞行区驾驶员违章考试申请、飞行区不停航施工人员考试申请、飞行区机坪作业人员培训教员申请、飞行区驾驶员预约年审、飞行区预约实操模拟考试、飞行区机动车辆信息变更申请、飞行区机动车证件补办、飞行区机动车证件更换、飞行区机动车注销申请、飞行区机动车设施设备注销申请、飞行区非机动设施设备补、换领申请、飞行区机坪违章处理业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航站楼业务</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航站楼维护维修申报审批项目、航站楼特急施工申报。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安检站业务</w:t>
            </w:r>
          </w:p>
        </w:tc>
        <w:tc>
          <w:tcPr>
            <w:tcW w:w="3019" w:type="dxa"/>
            <w:vAlign w:val="center"/>
          </w:tcPr>
          <w:p>
            <w:pPr>
              <w:pStyle w:val="9"/>
              <w:spacing w:line="600" w:lineRule="exact"/>
              <w:jc w:val="left"/>
              <w:rPr>
                <w:rFonts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安检站通行证增减区域申请、安检站增加陪同、增加内场资格项目申请。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动力能源业务</w:t>
            </w:r>
          </w:p>
        </w:tc>
        <w:tc>
          <w:tcPr>
            <w:tcW w:w="3019" w:type="dxa"/>
            <w:vAlign w:val="center"/>
          </w:tcPr>
          <w:p>
            <w:pPr>
              <w:tabs>
                <w:tab w:val="left" w:pos="312"/>
              </w:tabs>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优化用电、给水、中水、排水、用气等申请业务。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restart"/>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移动端用户功能模块</w:t>
            </w: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表单填写</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用户填写需要申请的业务表单，同时系统能够对用户填写的内容进行初步的判断和校验。（电话、身份证等信息）。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附件上传</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用户上传流程需要的相关附件，同时支持删除、在线查看、重传等功能。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业务申请</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涵盖安检站、飞行区、航站楼、动力能源等九大部门的在线业务申请。用户可以通过系统提供的入口进行相应的业务办理。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业务撤销</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如用户发起某业务申请后，若发现之前申请的某业务不再需要，用户可自己撤销先前发起的申请。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消息通知</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实时反馈业务的审核结果，申办部门不再需要电话询问结果。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审核进度</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业务发起人能够看到发起业务的申办进度，实时掌握流程的进度。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意见查看</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能够看到各个审核部门的审核人员提出的审核意见，迅速找到驳回原因，提升业务申办的通过率。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历史记录</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能够查询过往申请的历史记录，同时提供多种条件的检索功能。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驳回中心</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快速定位被驳回的申请，通过审核人员提供的意见，及时的做出修正。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restart"/>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移动端审核功能模块</w:t>
            </w: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表单查看</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在线查看用户填写的表单，表单支持适配不同分辨率的手机终端。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附件查看</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在线产看用户提交的附件。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p>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业务审核</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根据用户填写的表单内容和附件做出相应的审核。审核的结果将直接通知到申请用户。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意见查看</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能够看到前面审核人填写的意见。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历史记录</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查询自己之前审核的历史记录。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18" w:type="dxa"/>
            <w:vMerge w:val="continue"/>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tc>
        <w:tc>
          <w:tcPr>
            <w:tcW w:w="3019" w:type="dxa"/>
            <w:vAlign w:val="center"/>
          </w:tcPr>
          <w:p>
            <w:pPr>
              <w:spacing w:line="600" w:lineRule="exact"/>
              <w:jc w:val="center"/>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消息通知</w:t>
            </w:r>
          </w:p>
        </w:tc>
        <w:tc>
          <w:tcPr>
            <w:tcW w:w="3019" w:type="dxa"/>
            <w:vAlign w:val="center"/>
          </w:tcPr>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当有新的审核任务的时候，系统能够及时的给予提示。</w:t>
            </w:r>
          </w:p>
        </w:tc>
      </w:tr>
    </w:tbl>
    <w:p>
      <w:pPr>
        <w:spacing w:line="600" w:lineRule="exact"/>
        <w:jc w:val="left"/>
        <w:outlineLvl w:val="0"/>
        <w:rPr>
          <w:rFonts w:ascii="仿宋" w:hAnsi="仿宋" w:eastAsia="仿宋" w:cs="仿宋"/>
          <w:color w:val="000000" w:themeColor="text1"/>
          <w:sz w:val="28"/>
          <w:szCs w:val="28"/>
          <w14:textFill>
            <w14:solidFill>
              <w14:schemeClr w14:val="tx1"/>
            </w14:solidFill>
          </w14:textFill>
        </w:rPr>
      </w:pPr>
    </w:p>
    <w:p>
      <w:pPr>
        <w:spacing w:line="60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2.2</w:t>
      </w:r>
      <w:r>
        <w:rPr>
          <w:rFonts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依托综合服务平台建立考试系统模块，该模块至少具有如下功能：</w:t>
      </w:r>
    </w:p>
    <w:tbl>
      <w:tblPr>
        <w:tblStyle w:val="17"/>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6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tcPr>
          <w:p>
            <w:pPr>
              <w:pStyle w:val="9"/>
              <w:spacing w:line="600" w:lineRule="exac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模块名称</w:t>
            </w:r>
          </w:p>
        </w:tc>
        <w:tc>
          <w:tcPr>
            <w:tcW w:w="6509" w:type="dxa"/>
          </w:tcPr>
          <w:p>
            <w:pPr>
              <w:pStyle w:val="9"/>
              <w:spacing w:line="600" w:lineRule="exact"/>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功能简介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前端效果实现</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良好的</w:t>
            </w:r>
            <w:r>
              <w:rPr>
                <w:rFonts w:ascii="仿宋" w:hAnsi="仿宋" w:eastAsia="仿宋" w:cs="仿宋"/>
                <w:color w:val="000000" w:themeColor="text1"/>
                <w:sz w:val="28"/>
                <w:szCs w:val="28"/>
                <w14:textFill>
                  <w14:solidFill>
                    <w14:schemeClr w14:val="tx1"/>
                  </w14:solidFill>
                </w14:textFill>
              </w:rPr>
              <w:t>UI</w:t>
            </w:r>
            <w:r>
              <w:rPr>
                <w:rFonts w:hint="eastAsia" w:ascii="仿宋" w:hAnsi="仿宋" w:eastAsia="仿宋" w:cs="仿宋"/>
                <w:color w:val="000000" w:themeColor="text1"/>
                <w:sz w:val="28"/>
                <w:szCs w:val="28"/>
                <w14:textFill>
                  <w14:solidFill>
                    <w14:schemeClr w14:val="tx1"/>
                  </w14:solidFill>
                </w14:textFill>
              </w:rPr>
              <w:t>设计，界面简洁、美观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考生信息管理</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结合综合服务平台，采用接口调用的方式录入考试用户信息，同时也提供手动录入和</w:t>
            </w:r>
            <w:r>
              <w:rPr>
                <w:rFonts w:ascii="仿宋" w:hAnsi="仿宋" w:eastAsia="仿宋" w:cs="仿宋"/>
                <w:color w:val="000000" w:themeColor="text1"/>
                <w:sz w:val="28"/>
                <w:szCs w:val="28"/>
                <w14:textFill>
                  <w14:solidFill>
                    <w14:schemeClr w14:val="tx1"/>
                  </w14:solidFill>
                </w14:textFill>
              </w:rPr>
              <w:t>excel</w:t>
            </w:r>
            <w:r>
              <w:rPr>
                <w:rFonts w:hint="eastAsia" w:ascii="仿宋" w:hAnsi="仿宋" w:eastAsia="仿宋" w:cs="仿宋"/>
                <w:color w:val="000000" w:themeColor="text1"/>
                <w:sz w:val="28"/>
                <w:szCs w:val="28"/>
                <w14:textFill>
                  <w14:solidFill>
                    <w14:schemeClr w14:val="tx1"/>
                  </w14:solidFill>
                </w14:textFill>
              </w:rPr>
              <w:t>录入的方式，以满足其他场景的需求。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考前练习</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用户可通过平台提供的移动端进行考前的试题训练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试题入库</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可采用手动录入、</w:t>
            </w:r>
            <w:r>
              <w:rPr>
                <w:rFonts w:ascii="仿宋" w:hAnsi="仿宋" w:eastAsia="仿宋" w:cs="仿宋"/>
                <w:color w:val="000000" w:themeColor="text1"/>
                <w:sz w:val="28"/>
                <w:szCs w:val="28"/>
                <w14:textFill>
                  <w14:solidFill>
                    <w14:schemeClr w14:val="tx1"/>
                  </w14:solidFill>
                </w14:textFill>
              </w:rPr>
              <w:t>excel</w:t>
            </w:r>
            <w:r>
              <w:rPr>
                <w:rFonts w:hint="eastAsia" w:ascii="仿宋" w:hAnsi="仿宋" w:eastAsia="仿宋" w:cs="仿宋"/>
                <w:color w:val="000000" w:themeColor="text1"/>
                <w:sz w:val="28"/>
                <w:szCs w:val="28"/>
                <w14:textFill>
                  <w14:solidFill>
                    <w14:schemeClr w14:val="tx1"/>
                  </w14:solidFill>
                </w14:textFill>
              </w:rPr>
              <w:t>导入、原数据库录入等多种方式录入题库。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试题管理</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提供关键词检索功能，方便对录入系统的试题进行查询、修改、删除等操作，确保试题库数据的有效性。同时也方便用户了解各个试题类型的数量和比重。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试题分类</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给录入的试题贴上相关的标签，便于系统根据标签智能化生成考试试卷。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试卷预览</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管理员动态设置各部门考试比例、难度，系统将根据试题相关的标签，生成对应的试卷。生成的试卷管理员可在线预览。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试卷生成</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根据管理员设置的相关出题比例及考试难度，系统自动的生成试卷。多种排列组合，避免漏题，泄题。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试题修改</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系统生成考试试卷后，若管理员想对试卷进行部分的修改，则可以手动的删除、修改、重新匹配。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试题匹配</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考生登录系统后，会根据申请的考试区域、考生的年龄、考生的学历等条件，匹配相应的考试试卷、考试难度。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智能判分</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用户在线答题后，自动进行成绩计算，同时将数据保存和传送至其他第三方系统。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成绩统计与导出</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统计各部门的考试情况，并支持多维度数据的筛选，导出相应的数据为</w:t>
            </w:r>
            <w:r>
              <w:rPr>
                <w:rFonts w:ascii="仿宋" w:hAnsi="仿宋" w:eastAsia="仿宋" w:cs="仿宋"/>
                <w:color w:val="000000" w:themeColor="text1"/>
                <w:sz w:val="28"/>
                <w:szCs w:val="28"/>
                <w14:textFill>
                  <w14:solidFill>
                    <w14:schemeClr w14:val="tx1"/>
                  </w14:solidFill>
                </w14:textFill>
              </w:rPr>
              <w:t>excel</w:t>
            </w:r>
            <w:r>
              <w:rPr>
                <w:rFonts w:hint="eastAsia" w:ascii="仿宋" w:hAnsi="仿宋" w:eastAsia="仿宋" w:cs="仿宋"/>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考试成绩通知</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用户考试结束后，系统将调用综合服务平台的消息通知系统，将考试的结果通知到部门负责人，方便各报考部门及时了解内部员工的考试结果。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风险控制功能</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当监考人发现用户考试作弊等情况，可以通过后台管理系统修改或取消该用户本次考试成绩。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第三方系统无缝融合</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连接综合服务平台，完成考试预约、考试、办证等整条业务线的流程，提升用户的办证效率，减轻办证业务员的工作量。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用户登录</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搭建以综合服务平台为中心的系统，管理员不再需要记录单独的账号，实现平台的统一登录。而考试用户可联合综合服务平台，用户只需要身份证号即可登录，登录后选择相关的考试，即可开始考试，减轻对用户信息维护的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权限管理</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搭建以综合服务平台为中心的系统，进行权限的分配。各部门只能管理自己部门的考试数据，确保数据的安全性。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角色管理</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实现对系统的角色管理，不同的角色拥有不同的权限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部门管理</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实现相关部门管理，避免维护多个系统的部门架构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移动端小程序界面设计</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良好的U</w:t>
            </w:r>
            <w:r>
              <w:rPr>
                <w:rFonts w:ascii="仿宋" w:hAnsi="仿宋" w:eastAsia="仿宋" w:cs="仿宋"/>
                <w:color w:val="000000" w:themeColor="text1"/>
                <w:sz w:val="28"/>
                <w:szCs w:val="28"/>
                <w14:textFill>
                  <w14:solidFill>
                    <w14:schemeClr w14:val="tx1"/>
                  </w14:solidFill>
                </w14:textFill>
              </w:rPr>
              <w:t>I</w:t>
            </w:r>
            <w:r>
              <w:rPr>
                <w:rFonts w:hint="eastAsia" w:ascii="仿宋" w:hAnsi="仿宋" w:eastAsia="仿宋" w:cs="仿宋"/>
                <w:color w:val="000000" w:themeColor="text1"/>
                <w:sz w:val="28"/>
                <w:szCs w:val="28"/>
                <w14:textFill>
                  <w14:solidFill>
                    <w14:schemeClr w14:val="tx1"/>
                  </w14:solidFill>
                </w14:textFill>
              </w:rPr>
              <w:t>设计，界面简洁、美观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移动端答题小程序</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管理员可在后台临时创建非证件考试的考试题库，创建后系统将自动生成二维码，用户扫码后即可进行相关的考试，并记录用户的考试成绩。例如：党建问答、素质考核等相关考试内容。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47" w:type="dxa"/>
            <w:vAlign w:val="center"/>
          </w:tcPr>
          <w:p>
            <w:pPr>
              <w:spacing w:line="6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移动端答题小程序</w:t>
            </w:r>
          </w:p>
        </w:tc>
        <w:tc>
          <w:tcPr>
            <w:tcW w:w="6509" w:type="dxa"/>
          </w:tcPr>
          <w:p>
            <w:pPr>
              <w:spacing w:line="6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移动端答题成绩查询。考过试的用户再次扫二维码，即可查看之前该项考试成绩。</w:t>
            </w:r>
          </w:p>
        </w:tc>
      </w:tr>
    </w:tbl>
    <w:p>
      <w:pPr>
        <w:pStyle w:val="9"/>
        <w:spacing w:line="600" w:lineRule="exact"/>
        <w:ind w:firstLine="810"/>
        <w:jc w:val="left"/>
        <w:rPr>
          <w:rFonts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2.3</w:t>
      </w:r>
      <w:r>
        <w:rPr>
          <w:rFonts w:ascii="仿宋" w:hAnsi="仿宋" w:eastAsia="仿宋" w:cs="仿宋"/>
          <w:b w:val="0"/>
          <w:bCs/>
          <w:color w:val="000000" w:themeColor="text1"/>
          <w:sz w:val="28"/>
          <w:szCs w:val="28"/>
          <w14:textFill>
            <w14:solidFill>
              <w14:schemeClr w14:val="tx1"/>
            </w14:solidFill>
          </w14:textFill>
        </w:rPr>
        <w:t xml:space="preserve"> </w:t>
      </w:r>
      <w:r>
        <w:rPr>
          <w:rFonts w:hint="eastAsia" w:ascii="仿宋" w:hAnsi="仿宋" w:eastAsia="仿宋" w:cs="仿宋"/>
          <w:b w:val="0"/>
          <w:bCs/>
          <w:color w:val="000000" w:themeColor="text1"/>
          <w:sz w:val="28"/>
          <w:szCs w:val="28"/>
          <w14:textFill>
            <w14:solidFill>
              <w14:schemeClr w14:val="tx1"/>
            </w14:solidFill>
          </w14:textFill>
        </w:rPr>
        <w:t>升级公安系统员工比对信息查看功能，实现人员信息录入错误原因提示，并提供系统所需服务器硬件及正版操作系统（内存大小16GB以上，硬盘大小1TB以上，确保系统流畅运行）。</w:t>
      </w:r>
    </w:p>
    <w:p>
      <w:pPr>
        <w:spacing w:line="600" w:lineRule="exact"/>
        <w:ind w:firstLine="81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2.4</w:t>
      </w:r>
      <w:r>
        <w:rPr>
          <w:rFonts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接入航站楼准入积分管理系统，实现数据信息互通。</w:t>
      </w:r>
    </w:p>
    <w:p>
      <w:pPr>
        <w:pStyle w:val="9"/>
        <w:spacing w:line="600" w:lineRule="exact"/>
        <w:ind w:firstLine="840" w:firstLineChars="300"/>
        <w:jc w:val="left"/>
        <w:rPr>
          <w:rFonts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14:textFill>
            <w14:solidFill>
              <w14:schemeClr w14:val="tx1"/>
            </w14:solidFill>
          </w14:textFill>
        </w:rPr>
        <w:t>2</w:t>
      </w:r>
      <w:r>
        <w:rPr>
          <w:rFonts w:ascii="仿宋" w:hAnsi="仿宋" w:eastAsia="仿宋" w:cs="仿宋"/>
          <w:b w:val="0"/>
          <w:bCs/>
          <w:color w:val="000000" w:themeColor="text1"/>
          <w:sz w:val="28"/>
          <w:szCs w:val="28"/>
          <w14:textFill>
            <w14:solidFill>
              <w14:schemeClr w14:val="tx1"/>
            </w14:solidFill>
          </w14:textFill>
        </w:rPr>
        <w:t xml:space="preserve">.5 </w:t>
      </w:r>
      <w:r>
        <w:rPr>
          <w:rFonts w:hint="eastAsia" w:ascii="仿宋" w:hAnsi="仿宋" w:eastAsia="仿宋" w:cs="仿宋"/>
          <w:b w:val="0"/>
          <w:bCs/>
          <w:color w:val="000000" w:themeColor="text1"/>
          <w:sz w:val="28"/>
          <w:szCs w:val="28"/>
          <w14:textFill>
            <w14:solidFill>
              <w14:schemeClr w14:val="tx1"/>
            </w14:solidFill>
          </w14:textFill>
        </w:rPr>
        <w:t>提供相关系统源代码。</w:t>
      </w:r>
    </w:p>
    <w:p>
      <w:pPr>
        <w:spacing w:line="6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三、资格要求</w:t>
      </w:r>
    </w:p>
    <w:p>
      <w:pPr>
        <w:spacing w:line="600" w:lineRule="exact"/>
        <w:ind w:firstLine="560" w:firstLineChars="200"/>
        <w:rPr>
          <w:rFonts w:ascii="仿宋" w:hAnsi="仿宋" w:eastAsia="仿宋"/>
          <w:color w:val="000000" w:themeColor="text1"/>
          <w:sz w:val="28"/>
          <w:szCs w:val="28"/>
          <w14:textFill>
            <w14:solidFill>
              <w14:schemeClr w14:val="tx1"/>
            </w14:solidFill>
          </w14:textFill>
        </w:rPr>
      </w:pPr>
      <w:bookmarkStart w:id="0" w:name="_Hlk78186631"/>
      <w:r>
        <w:rPr>
          <w:rFonts w:hint="eastAsia" w:ascii="仿宋" w:hAnsi="仿宋" w:eastAsia="仿宋"/>
          <w:color w:val="000000" w:themeColor="text1"/>
          <w:sz w:val="28"/>
          <w:szCs w:val="28"/>
          <w14:textFill>
            <w14:solidFill>
              <w14:schemeClr w14:val="tx1"/>
            </w14:solidFill>
          </w14:textFill>
        </w:rPr>
        <w:t>3.1</w:t>
      </w:r>
      <w:r>
        <w:rPr>
          <w:rFonts w:hint="eastAsia" w:ascii="仿宋" w:hAnsi="仿宋" w:eastAsia="仿宋" w:cs="仿宋"/>
          <w:sz w:val="28"/>
          <w:szCs w:val="28"/>
        </w:rPr>
        <w:t>响应人必须是中华人民共和国注册的具有独立法人资格的企业（须提供营业执照复印件加盖鲜章）。</w:t>
      </w:r>
    </w:p>
    <w:bookmarkEnd w:id="0"/>
    <w:p>
      <w:pPr>
        <w:spacing w:line="600" w:lineRule="exact"/>
        <w:ind w:firstLine="560" w:firstLineChars="200"/>
        <w:rPr>
          <w:rFonts w:ascii="仿宋" w:hAnsi="仿宋" w:eastAsia="仿宋" w:cs="仿宋"/>
          <w:color w:val="000000" w:themeColor="text1"/>
          <w:sz w:val="28"/>
          <w:szCs w:val="28"/>
          <w14:textFill>
            <w14:solidFill>
              <w14:schemeClr w14:val="tx1"/>
            </w14:solidFill>
          </w14:textFill>
        </w:rPr>
      </w:pPr>
      <w:bookmarkStart w:id="1" w:name="_Hlk78186620"/>
      <w:r>
        <w:rPr>
          <w:rFonts w:hint="eastAsia" w:ascii="仿宋" w:hAnsi="仿宋" w:eastAsia="仿宋"/>
          <w:color w:val="000000" w:themeColor="text1"/>
          <w:sz w:val="28"/>
          <w:szCs w:val="28"/>
          <w14:textFill>
            <w14:solidFill>
              <w14:schemeClr w14:val="tx1"/>
            </w14:solidFill>
          </w14:textFill>
        </w:rPr>
        <w:t>3.2</w:t>
      </w:r>
      <w:r>
        <w:rPr>
          <w:rFonts w:hint="eastAsia" w:ascii="仿宋" w:hAnsi="仿宋" w:eastAsia="仿宋" w:cs="仿宋"/>
          <w:color w:val="000000" w:themeColor="text1"/>
          <w:sz w:val="28"/>
          <w:szCs w:val="28"/>
          <w14:textFill>
            <w14:solidFill>
              <w14:schemeClr w14:val="tx1"/>
            </w14:solidFill>
          </w14:textFill>
        </w:rPr>
        <w:t>业绩要求：2020年1月1日至今，比选响应人应至少完成过一个单个合同金额30万以上的软件开发项目（提供相关合同及对应发票，复印件并盖投标人鲜章，原合同备查，以合同签订时间为准）。</w:t>
      </w:r>
      <w:bookmarkEnd w:id="1"/>
    </w:p>
    <w:p>
      <w:pPr>
        <w:spacing w:line="600" w:lineRule="exact"/>
        <w:ind w:firstLine="560" w:firstLineChars="200"/>
        <w:rPr>
          <w:rFonts w:ascii="仿宋" w:hAnsi="仿宋" w:eastAsia="仿宋"/>
          <w:color w:val="000000" w:themeColor="text1"/>
          <w:sz w:val="28"/>
          <w:szCs w:val="28"/>
          <w14:textFill>
            <w14:solidFill>
              <w14:schemeClr w14:val="tx1"/>
            </w14:solidFill>
          </w14:textFill>
        </w:rPr>
      </w:pPr>
      <w:bookmarkStart w:id="2" w:name="_Hlk78186642"/>
      <w:r>
        <w:rPr>
          <w:rFonts w:hint="eastAsia" w:ascii="仿宋" w:hAnsi="仿宋" w:eastAsia="仿宋"/>
          <w:color w:val="000000" w:themeColor="text1"/>
          <w:sz w:val="28"/>
          <w:szCs w:val="28"/>
          <w14:textFill>
            <w14:solidFill>
              <w14:schemeClr w14:val="tx1"/>
            </w14:solidFill>
          </w14:textFill>
        </w:rPr>
        <w:t>3.3</w:t>
      </w:r>
      <w:r>
        <w:rPr>
          <w:rFonts w:hint="eastAsia" w:ascii="仿宋" w:hAnsi="仿宋" w:eastAsia="仿宋" w:cs="仿宋"/>
          <w:sz w:val="28"/>
          <w:szCs w:val="28"/>
        </w:rPr>
        <w:t>竞争性比选响应人在“信用中国”网（www.creditchina.gov.cn）失信惩戒显示为“0”，在响应文件资格审查资料中提供相关查询截图并加盖比选响应人公章。</w:t>
      </w:r>
    </w:p>
    <w:bookmarkEnd w:id="2"/>
    <w:p>
      <w:pPr>
        <w:spacing w:line="600" w:lineRule="exact"/>
        <w:ind w:firstLine="560" w:firstLineChars="200"/>
        <w:rPr>
          <w:rFonts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 xml:space="preserve">3.4 </w:t>
      </w:r>
      <w:r>
        <w:rPr>
          <w:rFonts w:hint="eastAsia" w:ascii="仿宋" w:hAnsi="仿宋" w:eastAsia="仿宋" w:cs="仿宋"/>
          <w:sz w:val="28"/>
          <w:szCs w:val="28"/>
        </w:rPr>
        <w:t>法定代表人为同一个人的两个及两个以上法人，母公司、全资子公司及其控股公司，以及其他形式有管理关系的响应人，都不得参与同一比选项目。</w:t>
      </w:r>
    </w:p>
    <w:p>
      <w:pPr>
        <w:pStyle w:val="9"/>
        <w:spacing w:line="600" w:lineRule="exact"/>
        <w:ind w:firstLine="560" w:firstLineChars="200"/>
        <w:jc w:val="left"/>
        <w:rPr>
          <w:rFonts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3.5</w:t>
      </w:r>
      <w:r>
        <w:rPr>
          <w:rFonts w:ascii="仿宋" w:hAnsi="仿宋" w:eastAsia="仿宋" w:cs="仿宋"/>
          <w:b w:val="0"/>
          <w:color w:val="000000" w:themeColor="text1"/>
          <w:sz w:val="28"/>
          <w:szCs w:val="28"/>
          <w14:textFill>
            <w14:solidFill>
              <w14:schemeClr w14:val="tx1"/>
            </w14:solidFill>
          </w14:textFill>
        </w:rPr>
        <w:t xml:space="preserve"> </w:t>
      </w:r>
      <w:r>
        <w:rPr>
          <w:rFonts w:hint="eastAsia" w:ascii="仿宋" w:hAnsi="仿宋" w:eastAsia="仿宋" w:cs="仿宋"/>
          <w:b w:val="0"/>
          <w:color w:val="000000" w:themeColor="text1"/>
          <w:sz w:val="28"/>
          <w:szCs w:val="28"/>
          <w14:textFill>
            <w14:solidFill>
              <w14:schemeClr w14:val="tx1"/>
            </w14:solidFill>
          </w14:textFill>
        </w:rPr>
        <w:t>本项目不接受联合体投标，不得转包、分包。</w:t>
      </w:r>
    </w:p>
    <w:p>
      <w:pPr>
        <w:spacing w:line="60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四、竞争性比选时间及地点安排</w:t>
      </w:r>
    </w:p>
    <w:p>
      <w:pPr>
        <w:widowControl/>
        <w:spacing w:line="600" w:lineRule="exact"/>
        <w:ind w:firstLine="560" w:firstLineChars="200"/>
        <w:rPr>
          <w:rFonts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widowControl/>
        <w:spacing w:line="60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rPr>
        <w:t>竞争性比选文件及相关资料于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8</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13</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widowControl/>
        <w:spacing w:line="600" w:lineRule="exact"/>
        <w:ind w:firstLine="560" w:firstLineChars="200"/>
        <w:jc w:val="left"/>
        <w:rPr>
          <w:rFonts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提出问题的截止时间及采购人澄清时间：</w:t>
      </w:r>
    </w:p>
    <w:p>
      <w:pPr>
        <w:widowControl/>
        <w:spacing w:line="6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响应人对竞争性比选采购文件如有疑问，须于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8</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16</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16</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前将疑问（需盖单位鲜章）以电子邮件形式发至采购人电子邮箱</w:t>
      </w:r>
      <w:r>
        <w:rPr>
          <w:rFonts w:hint="eastAsia" w:ascii="仿宋" w:hAnsi="仿宋" w:eastAsia="仿宋" w:cs="仿宋"/>
          <w:color w:val="000000"/>
          <w:kern w:val="0"/>
          <w:sz w:val="28"/>
          <w:szCs w:val="28"/>
          <w:u w:val="single"/>
        </w:rPr>
        <w:t xml:space="preserve">      @cqa.com</w:t>
      </w:r>
      <w:r>
        <w:rPr>
          <w:rFonts w:hint="eastAsia" w:ascii="仿宋" w:hAnsi="仿宋" w:eastAsia="仿宋" w:cs="仿宋"/>
          <w:color w:val="000000"/>
          <w:kern w:val="0"/>
          <w:sz w:val="28"/>
          <w:szCs w:val="28"/>
        </w:rPr>
        <w:t>，并电话告知采购人，过期不再受理。采购人将答疑、澄清、补遗的内容在重庆江北机场官网（www.cqa.cn）以公告形式发布，各响应人应当随时关注重庆江北机场官网（www.cqa.cn）所发布的相关信息资料，各响应人不管下载与否都将被视为已知晓。由此产生的一切后果由响应人自负。</w:t>
      </w:r>
    </w:p>
    <w:p>
      <w:pPr>
        <w:widowControl/>
        <w:adjustRightInd w:val="0"/>
        <w:snapToGrid w:val="0"/>
        <w:spacing w:line="600" w:lineRule="exact"/>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4.3竞争性比选时间</w:t>
      </w:r>
    </w:p>
    <w:p>
      <w:pPr>
        <w:widowControl/>
        <w:adjustRightInd w:val="0"/>
        <w:snapToGrid w:val="0"/>
        <w:spacing w:line="600" w:lineRule="exact"/>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4.3.1竞争性比选</w:t>
      </w:r>
      <w:r>
        <w:rPr>
          <w:rFonts w:hint="eastAsia" w:ascii="仿宋" w:hAnsi="仿宋" w:eastAsia="仿宋" w:cs="仿宋"/>
          <w:color w:val="000000"/>
          <w:sz w:val="28"/>
          <w:szCs w:val="28"/>
          <w:lang w:val="zh-CN"/>
        </w:rPr>
        <w:t>响应文件</w:t>
      </w:r>
      <w:r>
        <w:rPr>
          <w:rFonts w:hint="eastAsia" w:ascii="仿宋" w:hAnsi="仿宋" w:eastAsia="仿宋" w:cs="仿宋"/>
          <w:kern w:val="0"/>
          <w:sz w:val="28"/>
          <w:szCs w:val="28"/>
        </w:rPr>
        <w:t>必须在</w:t>
      </w:r>
      <w:r>
        <w:rPr>
          <w:rFonts w:hint="eastAsia" w:ascii="仿宋" w:hAnsi="仿宋" w:eastAsia="仿宋" w:cs="仿宋"/>
          <w:color w:val="FF0000"/>
          <w:kern w:val="0"/>
          <w:sz w:val="28"/>
          <w:szCs w:val="28"/>
          <w:u w:val="single"/>
        </w:rPr>
        <w:t>202</w:t>
      </w:r>
      <w:r>
        <w:rPr>
          <w:rFonts w:hint="eastAsia" w:ascii="仿宋" w:hAnsi="仿宋" w:eastAsia="仿宋" w:cs="仿宋"/>
          <w:color w:val="FF0000"/>
          <w:kern w:val="0"/>
          <w:sz w:val="28"/>
          <w:szCs w:val="28"/>
          <w:u w:val="single"/>
          <w:lang w:val="en-US" w:eastAsia="zh-CN"/>
        </w:rPr>
        <w:t>1</w:t>
      </w:r>
      <w:r>
        <w:rPr>
          <w:rFonts w:hint="eastAsia" w:ascii="仿宋" w:hAnsi="仿宋" w:eastAsia="仿宋" w:cs="仿宋"/>
          <w:color w:val="FF0000"/>
          <w:kern w:val="0"/>
          <w:sz w:val="28"/>
          <w:szCs w:val="28"/>
          <w:u w:val="single"/>
        </w:rPr>
        <w:t>年</w:t>
      </w:r>
      <w:r>
        <w:rPr>
          <w:rFonts w:hint="eastAsia" w:ascii="仿宋" w:hAnsi="仿宋" w:eastAsia="仿宋" w:cs="仿宋"/>
          <w:color w:val="FF0000"/>
          <w:kern w:val="0"/>
          <w:sz w:val="28"/>
          <w:szCs w:val="28"/>
          <w:u w:val="single"/>
          <w:lang w:val="en-US" w:eastAsia="zh-CN"/>
        </w:rPr>
        <w:t>8</w:t>
      </w:r>
      <w:r>
        <w:rPr>
          <w:rFonts w:hint="eastAsia" w:ascii="仿宋" w:hAnsi="仿宋" w:eastAsia="仿宋" w:cs="仿宋"/>
          <w:color w:val="FF0000"/>
          <w:kern w:val="0"/>
          <w:sz w:val="28"/>
          <w:szCs w:val="28"/>
          <w:u w:val="single"/>
        </w:rPr>
        <w:t>月</w:t>
      </w:r>
      <w:r>
        <w:rPr>
          <w:rFonts w:hint="eastAsia" w:ascii="仿宋" w:hAnsi="仿宋" w:eastAsia="仿宋" w:cs="仿宋"/>
          <w:color w:val="FF0000"/>
          <w:kern w:val="0"/>
          <w:sz w:val="28"/>
          <w:szCs w:val="28"/>
          <w:u w:val="single"/>
          <w:lang w:val="en-US" w:eastAsia="zh-CN"/>
        </w:rPr>
        <w:t>17</w:t>
      </w:r>
      <w:r>
        <w:rPr>
          <w:rFonts w:hint="eastAsia" w:ascii="仿宋" w:hAnsi="仿宋" w:eastAsia="仿宋" w:cs="仿宋"/>
          <w:color w:val="FF0000"/>
          <w:kern w:val="0"/>
          <w:sz w:val="28"/>
          <w:szCs w:val="28"/>
          <w:u w:val="single"/>
        </w:rPr>
        <w:t>日</w:t>
      </w:r>
      <w:r>
        <w:rPr>
          <w:rFonts w:hint="eastAsia" w:ascii="仿宋" w:hAnsi="仿宋" w:eastAsia="仿宋" w:cs="仿宋"/>
          <w:color w:val="FF0000"/>
          <w:kern w:val="0"/>
          <w:sz w:val="28"/>
          <w:szCs w:val="28"/>
          <w:u w:val="single"/>
          <w:lang w:val="en-US" w:eastAsia="zh-CN"/>
        </w:rPr>
        <w:t>10</w:t>
      </w:r>
      <w:r>
        <w:rPr>
          <w:rFonts w:hint="eastAsia" w:ascii="仿宋" w:hAnsi="仿宋" w:eastAsia="仿宋" w:cs="仿宋"/>
          <w:kern w:val="0"/>
          <w:sz w:val="28"/>
          <w:szCs w:val="28"/>
        </w:rPr>
        <w:t>时送到重庆江北国际机场有限公司办公楼102会议室，过期不予受理。</w:t>
      </w:r>
    </w:p>
    <w:p>
      <w:pPr>
        <w:widowControl/>
        <w:adjustRightInd w:val="0"/>
        <w:snapToGrid w:val="0"/>
        <w:spacing w:line="600" w:lineRule="exact"/>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 xml:space="preserve"> 2021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8</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17</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 xml:space="preserve"> </w:t>
      </w:r>
      <w:r>
        <w:rPr>
          <w:rFonts w:hint="eastAsia" w:ascii="仿宋" w:hAnsi="仿宋" w:eastAsia="仿宋" w:cs="仿宋"/>
          <w:sz w:val="28"/>
          <w:szCs w:val="28"/>
        </w:rPr>
        <w:t>时在重庆江北国际机场有限公司（重庆市</w:t>
      </w:r>
      <w:r>
        <w:rPr>
          <w:rFonts w:hint="eastAsia" w:ascii="仿宋" w:hAnsi="仿宋" w:eastAsia="仿宋" w:cs="仿宋"/>
          <w:color w:val="000000"/>
          <w:kern w:val="0"/>
          <w:sz w:val="28"/>
          <w:szCs w:val="28"/>
        </w:rPr>
        <w:t>渝北区机场西路26号</w:t>
      </w:r>
      <w:r>
        <w:rPr>
          <w:rFonts w:hint="eastAsia" w:ascii="仿宋" w:hAnsi="仿宋" w:eastAsia="仿宋" w:cs="仿宋"/>
          <w:sz w:val="28"/>
          <w:szCs w:val="28"/>
        </w:rPr>
        <w:t>）办公楼102室对本项目进行竞争性比选，各响应人须参加。</w:t>
      </w:r>
    </w:p>
    <w:p>
      <w:pPr>
        <w:autoSpaceDE w:val="0"/>
        <w:autoSpaceDN w:val="0"/>
        <w:adjustRightInd w:val="0"/>
        <w:snapToGrid w:val="0"/>
        <w:spacing w:line="60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4.3.3参加竞争性比选唱价会议的响应人的法定代表人或其授权的代理人应当随身携带本人身份证（原件），授权的代理人还应当随身携带法定代表人授权委托书（原件），以备核验其合法身份。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60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4.4竞争性</w:t>
      </w:r>
      <w:r>
        <w:rPr>
          <w:rFonts w:hint="eastAsia" w:ascii="仿宋" w:hAnsi="仿宋" w:eastAsia="仿宋" w:cs="仿宋"/>
          <w:color w:val="000000"/>
          <w:kern w:val="0"/>
          <w:sz w:val="28"/>
          <w:szCs w:val="28"/>
        </w:rPr>
        <w:t>比选</w:t>
      </w:r>
      <w:r>
        <w:rPr>
          <w:rFonts w:hint="eastAsia" w:ascii="仿宋" w:hAnsi="仿宋" w:eastAsia="仿宋" w:cs="仿宋"/>
          <w:sz w:val="28"/>
          <w:szCs w:val="28"/>
        </w:rPr>
        <w:t>结果通知</w:t>
      </w:r>
    </w:p>
    <w:p>
      <w:pPr>
        <w:autoSpaceDE w:val="0"/>
        <w:autoSpaceDN w:val="0"/>
        <w:adjustRightInd w:val="0"/>
        <w:snapToGrid w:val="0"/>
        <w:spacing w:line="600" w:lineRule="exact"/>
        <w:ind w:firstLine="560" w:firstLineChars="200"/>
        <w:textAlignment w:val="bottom"/>
        <w:rPr>
          <w:rFonts w:ascii="仿宋" w:hAnsi="仿宋" w:eastAsia="仿宋" w:cs="仿宋"/>
          <w:sz w:val="28"/>
          <w:szCs w:val="28"/>
        </w:rPr>
      </w:pPr>
      <w:r>
        <w:rPr>
          <w:rFonts w:hint="eastAsia" w:ascii="仿宋" w:hAnsi="仿宋" w:eastAsia="仿宋" w:cs="仿宋"/>
          <w:sz w:val="28"/>
          <w:szCs w:val="28"/>
        </w:rPr>
        <w:t>拟成交结果将公示在重庆江北机场官网，待结果确定后会及时通知，原则上只通知被选中的</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，对未被选中的</w:t>
      </w:r>
      <w:r>
        <w:rPr>
          <w:rFonts w:hint="eastAsia" w:ascii="仿宋" w:hAnsi="仿宋" w:eastAsia="仿宋" w:cs="仿宋"/>
          <w:color w:val="000000"/>
          <w:spacing w:val="-8"/>
          <w:sz w:val="28"/>
          <w:szCs w:val="28"/>
        </w:rPr>
        <w:t>响应人</w:t>
      </w:r>
      <w:r>
        <w:rPr>
          <w:rFonts w:hint="eastAsia" w:ascii="仿宋" w:hAnsi="仿宋" w:eastAsia="仿宋" w:cs="仿宋"/>
          <w:sz w:val="28"/>
          <w:szCs w:val="28"/>
        </w:rPr>
        <w:t>不通知、不解释，竞争性比选响应文件不予退还。</w:t>
      </w:r>
    </w:p>
    <w:p>
      <w:pPr>
        <w:spacing w:line="600" w:lineRule="exact"/>
        <w:ind w:firstLine="562" w:firstLineChars="200"/>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五、报价要求</w:t>
      </w:r>
    </w:p>
    <w:p>
      <w:pPr>
        <w:spacing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s="仿宋"/>
          <w:color w:val="000000"/>
          <w:kern w:val="0"/>
          <w:sz w:val="28"/>
          <w:szCs w:val="28"/>
        </w:rPr>
        <w:t>报价应包括：</w:t>
      </w:r>
      <w:r>
        <w:rPr>
          <w:rFonts w:hint="eastAsia" w:ascii="仿宋" w:hAnsi="仿宋" w:eastAsia="仿宋"/>
          <w:color w:val="000000" w:themeColor="text1"/>
          <w:sz w:val="28"/>
          <w:szCs w:val="28"/>
          <w14:textFill>
            <w14:solidFill>
              <w14:schemeClr w14:val="tx1"/>
            </w14:solidFill>
          </w14:textFill>
        </w:rPr>
        <w:t>完成本项目所需的</w:t>
      </w:r>
      <w:r>
        <w:rPr>
          <w:rFonts w:hint="eastAsia" w:ascii="仿宋" w:hAnsi="仿宋" w:eastAsia="仿宋" w:cs="仿宋"/>
          <w:color w:val="000000" w:themeColor="text1"/>
          <w:sz w:val="28"/>
          <w:szCs w:val="28"/>
          <w14:textFill>
            <w14:solidFill>
              <w14:schemeClr w14:val="tx1"/>
            </w14:solidFill>
          </w14:textFill>
        </w:rPr>
        <w:t>软件开发费、人工费、交通费、</w:t>
      </w:r>
      <w:r>
        <w:rPr>
          <w:rFonts w:hint="eastAsia" w:ascii="仿宋" w:hAnsi="仿宋" w:eastAsia="仿宋"/>
          <w:color w:val="000000" w:themeColor="text1"/>
          <w:sz w:val="28"/>
          <w:szCs w:val="28"/>
          <w14:textFill>
            <w14:solidFill>
              <w14:schemeClr w14:val="tx1"/>
            </w14:solidFill>
          </w14:textFill>
        </w:rPr>
        <w:t>调研费、设备费、培训费等所有费用，本项目报价为包干价，不再另行增加费用。</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本项目最高限价为不含税</w:t>
      </w:r>
      <w:r>
        <w:rPr>
          <w:rFonts w:hint="eastAsia" w:ascii="仿宋" w:hAnsi="仿宋" w:eastAsia="仿宋"/>
          <w:color w:val="000000" w:themeColor="text1"/>
          <w:sz w:val="28"/>
          <w:szCs w:val="28"/>
          <w14:textFill>
            <w14:solidFill>
              <w14:schemeClr w14:val="tx1"/>
            </w14:solidFill>
          </w14:textFill>
        </w:rPr>
        <w:t>人民币</w:t>
      </w: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2万元（大写：叁拾贰万元整）</w:t>
      </w:r>
      <w:r>
        <w:rPr>
          <w:rFonts w:hint="eastAsia" w:ascii="仿宋" w:hAnsi="仿宋" w:eastAsia="仿宋" w:cs="仿宋"/>
          <w:sz w:val="28"/>
          <w:szCs w:val="28"/>
        </w:rPr>
        <w:t>，报价超过最高限价将取消响应方的竞争性比选资格。</w:t>
      </w:r>
    </w:p>
    <w:p>
      <w:pPr>
        <w:spacing w:line="600" w:lineRule="exact"/>
        <w:ind w:firstLine="560" w:firstLineChars="200"/>
        <w:rPr>
          <w:rFonts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w:t>
      </w:r>
      <w:r>
        <w:rPr>
          <w:rFonts w:hint="eastAsia" w:ascii="仿宋" w:hAnsi="仿宋" w:eastAsia="仿宋" w:cs="仿宋"/>
          <w:color w:val="000000"/>
          <w:sz w:val="28"/>
          <w:szCs w:val="28"/>
        </w:rPr>
        <w:t>竞争性</w:t>
      </w:r>
      <w:r>
        <w:rPr>
          <w:rFonts w:hint="eastAsia" w:ascii="仿宋" w:hAnsi="仿宋" w:eastAsia="仿宋" w:cs="仿宋"/>
          <w:color w:val="000000"/>
          <w:sz w:val="28"/>
          <w:szCs w:val="28"/>
          <w:lang w:val="en-GB"/>
        </w:rPr>
        <w:t>比选响应文件作废的依据：</w:t>
      </w:r>
    </w:p>
    <w:p>
      <w:pPr>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（1）竞争性比选响应文件中的大写金额与小写金额不一致的，以大写金额为准；</w:t>
      </w:r>
    </w:p>
    <w:p>
      <w:pPr>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（2）数字表示的数额与用文字表示的数额不一致时，以文字数额为准；</w:t>
      </w:r>
    </w:p>
    <w:p>
      <w:pPr>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（3）总价金额与依据单价计算出的结果不一致的，以单价金额为准修正总价，但单价金额小数点有明显错误的除外。</w:t>
      </w:r>
    </w:p>
    <w:p>
      <w:pPr>
        <w:widowControl/>
        <w:spacing w:line="600" w:lineRule="exact"/>
        <w:ind w:firstLine="56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六、</w:t>
      </w:r>
      <w:r>
        <w:rPr>
          <w:rFonts w:hint="eastAsia" w:ascii="仿宋" w:hAnsi="仿宋" w:eastAsia="仿宋"/>
          <w:b/>
          <w:bCs/>
          <w:color w:val="000000" w:themeColor="text1"/>
          <w:sz w:val="28"/>
          <w:szCs w:val="28"/>
          <w14:textFill>
            <w14:solidFill>
              <w14:schemeClr w14:val="tx1"/>
            </w14:solidFill>
          </w14:textFill>
        </w:rPr>
        <w:t>成交标准</w:t>
      </w:r>
    </w:p>
    <w:p>
      <w:pPr>
        <w:spacing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本次比选成交人确定办法采用经评审满足条件的综合得分最高成交。</w:t>
      </w:r>
    </w:p>
    <w:p>
      <w:pPr>
        <w:spacing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6.1比选规则</w:t>
      </w:r>
    </w:p>
    <w:p>
      <w:pPr>
        <w:pStyle w:val="9"/>
        <w:spacing w:line="600" w:lineRule="exact"/>
        <w:ind w:firstLine="560" w:firstLineChars="200"/>
        <w:jc w:val="left"/>
        <w:rPr>
          <w:rFonts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本次竞争性比选采用综合评估法成交（评分方法详见第二章）。</w:t>
      </w:r>
    </w:p>
    <w:p>
      <w:pPr>
        <w:pStyle w:val="9"/>
        <w:spacing w:line="600" w:lineRule="exact"/>
        <w:ind w:firstLine="560" w:firstLineChars="200"/>
        <w:jc w:val="left"/>
        <w:rPr>
          <w:rFonts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竞争性比选规则如下：</w:t>
      </w:r>
    </w:p>
    <w:p>
      <w:pPr>
        <w:pStyle w:val="9"/>
        <w:spacing w:line="600" w:lineRule="exact"/>
        <w:ind w:firstLine="560" w:firstLineChars="200"/>
        <w:jc w:val="left"/>
        <w:rPr>
          <w:rFonts w:ascii="仿宋" w:hAnsi="仿宋" w:eastAsia="仿宋" w:cs="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6.1递交竞争性比选响应文件截止时，送达的竞争性比选响应文件2个及以上的，正常进行竞争性比选活动；送达的竞争性比选响应文件只有1个的，经评审满足条件的响应人按单一来源采购方式确定结果；无送达的竞争性比选响应文件的，应重新组织竞争性比选。</w:t>
      </w:r>
    </w:p>
    <w:p>
      <w:pPr>
        <w:pStyle w:val="9"/>
        <w:spacing w:line="600" w:lineRule="exact"/>
        <w:ind w:firstLine="560" w:firstLineChars="200"/>
        <w:jc w:val="left"/>
        <w:rPr>
          <w:rFonts w:ascii="仿宋" w:hAnsi="仿宋" w:eastAsia="仿宋"/>
          <w:b w:val="0"/>
          <w:color w:val="000000" w:themeColor="text1"/>
          <w:sz w:val="28"/>
          <w:szCs w:val="28"/>
          <w14:textFill>
            <w14:solidFill>
              <w14:schemeClr w14:val="tx1"/>
            </w14:solidFill>
          </w14:textFill>
        </w:rPr>
      </w:pPr>
      <w:r>
        <w:rPr>
          <w:rFonts w:hint="eastAsia" w:ascii="仿宋" w:hAnsi="仿宋" w:eastAsia="仿宋" w:cs="仿宋"/>
          <w:b w:val="0"/>
          <w:color w:val="000000" w:themeColor="text1"/>
          <w:sz w:val="28"/>
          <w:szCs w:val="28"/>
          <w14:textFill>
            <w14:solidFill>
              <w14:schemeClr w14:val="tx1"/>
            </w14:solidFill>
          </w14:textFill>
        </w:rPr>
        <w:t>6.2项目重新组织竞争性比选时，经评审有有效响应人的，应当按规定程序确定成交候选人，无有效响应人的，由市场运营部出具书面说明告知项目单位，由项目单位另行研究。</w:t>
      </w:r>
    </w:p>
    <w:p>
      <w:pPr>
        <w:spacing w:line="6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七、</w:t>
      </w:r>
      <w:r>
        <w:rPr>
          <w:rFonts w:hint="eastAsia" w:ascii="仿宋" w:hAnsi="仿宋" w:eastAsia="仿宋" w:cs="仿宋"/>
          <w:b/>
          <w:color w:val="000000"/>
          <w:kern w:val="0"/>
          <w:sz w:val="28"/>
          <w:szCs w:val="28"/>
        </w:rPr>
        <w:t>竞争性比选响应保证金及履约保证金</w:t>
      </w:r>
    </w:p>
    <w:p>
      <w:pPr>
        <w:adjustRightInd w:val="0"/>
        <w:snapToGrid w:val="0"/>
        <w:spacing w:line="6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7.1 </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比选响应保证金：金额为人民币5000元整。</w:t>
      </w:r>
    </w:p>
    <w:p>
      <w:pPr>
        <w:adjustRightInd w:val="0"/>
        <w:snapToGrid w:val="0"/>
        <w:spacing w:line="6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7.1.1 提交方式：由响应人企业基本账户银行转账。响应人提交响应保证金后应到采购人计财部（重庆市渝北区机场西路26号重庆江北国际机场有限公司办公楼1楼）换取保证金收据，并在竞争性比选开始前，递交竞争性比选响应文件时应出示采购人计财部开具的项目响应保证金收据原件，否则，采购人将拒收竞争性比选响应文件。</w:t>
      </w:r>
    </w:p>
    <w:p>
      <w:pPr>
        <w:adjustRightInd w:val="0"/>
        <w:snapToGrid w:val="0"/>
        <w:spacing w:line="6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开户名：重庆江北国际机场有限公司</w:t>
      </w:r>
    </w:p>
    <w:p>
      <w:pPr>
        <w:adjustRightInd w:val="0"/>
        <w:snapToGrid w:val="0"/>
        <w:spacing w:line="6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开户银行：中国建设银行股份有限公司重庆渝北机场支行</w:t>
      </w:r>
    </w:p>
    <w:p>
      <w:pPr>
        <w:adjustRightInd w:val="0"/>
        <w:snapToGrid w:val="0"/>
        <w:spacing w:line="6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账号：5005 0108 3800 0000 0060</w:t>
      </w:r>
    </w:p>
    <w:p>
      <w:pPr>
        <w:adjustRightInd w:val="0"/>
        <w:snapToGrid w:val="0"/>
        <w:spacing w:line="60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7.1.2 提交时间：</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比选开始前</w:t>
      </w:r>
    </w:p>
    <w:p>
      <w:pPr>
        <w:adjustRightInd w:val="0"/>
        <w:snapToGrid w:val="0"/>
        <w:spacing w:line="600" w:lineRule="exact"/>
        <w:ind w:left="1"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rPr>
        <w:t>7.1.3 项目响应保证金的退还：成交候选人以外的项目</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比选响应保证金在成交结果公示期结束且无异议后，</w:t>
      </w:r>
      <w:r>
        <w:rPr>
          <w:rFonts w:hint="eastAsia" w:ascii="仿宋" w:hAnsi="仿宋" w:eastAsia="仿宋" w:cs="仿宋"/>
          <w:b/>
          <w:color w:val="000000"/>
          <w:kern w:val="0"/>
          <w:sz w:val="28"/>
          <w:szCs w:val="28"/>
        </w:rPr>
        <w:t>响应人开具收据（加盖响应人财务专用章），附响应保证金退还申请（加盖公章）</w:t>
      </w:r>
      <w:r>
        <w:rPr>
          <w:rFonts w:hint="eastAsia" w:ascii="仿宋" w:hAnsi="仿宋" w:eastAsia="仿宋" w:cs="仿宋"/>
          <w:color w:val="000000"/>
          <w:kern w:val="0"/>
          <w:sz w:val="28"/>
          <w:szCs w:val="28"/>
        </w:rPr>
        <w:t>一并递交我司市场运营部，我司凭借该收据根据相关规定在20个工作日内将项目响应保证金以银行转账方式退还至响应人，该项目响应保证金递交期间不计利息。</w:t>
      </w:r>
      <w:r>
        <w:rPr>
          <w:rFonts w:hint="eastAsia" w:ascii="仿宋" w:hAnsi="仿宋" w:eastAsia="仿宋" w:cs="仿宋"/>
          <w:color w:val="000000"/>
          <w:sz w:val="28"/>
          <w:szCs w:val="28"/>
        </w:rPr>
        <w:t>成交的响应人交纳的响应保证金将自动转为</w:t>
      </w:r>
      <w:r>
        <w:rPr>
          <w:rFonts w:hint="eastAsia" w:ascii="仿宋" w:hAnsi="仿宋" w:eastAsia="仿宋" w:cs="仿宋"/>
          <w:sz w:val="28"/>
          <w:szCs w:val="28"/>
        </w:rPr>
        <w:t>履约保证金。</w:t>
      </w:r>
    </w:p>
    <w:p>
      <w:pPr>
        <w:adjustRightInd w:val="0"/>
        <w:snapToGrid w:val="0"/>
        <w:spacing w:line="600" w:lineRule="exact"/>
        <w:ind w:left="1" w:firstLine="560" w:firstLineChars="200"/>
        <w:jc w:val="left"/>
        <w:rPr>
          <w:rFonts w:ascii="仿宋" w:hAnsi="仿宋" w:eastAsia="仿宋" w:cs="仿宋"/>
          <w:sz w:val="28"/>
          <w:szCs w:val="28"/>
        </w:rPr>
      </w:pPr>
      <w:r>
        <w:rPr>
          <w:rFonts w:hint="eastAsia" w:ascii="仿宋" w:hAnsi="仿宋" w:eastAsia="仿宋" w:cs="仿宋"/>
          <w:sz w:val="28"/>
          <w:szCs w:val="28"/>
        </w:rPr>
        <w:t>7.2 履约保证金为</w:t>
      </w:r>
      <w:r>
        <w:rPr>
          <w:rFonts w:hint="eastAsia" w:ascii="仿宋" w:eastAsia="仿宋"/>
          <w:color w:val="000000" w:themeColor="text1"/>
          <w:sz w:val="28"/>
          <w:szCs w:val="28"/>
          <w14:textFill>
            <w14:solidFill>
              <w14:schemeClr w14:val="tx1"/>
            </w14:solidFill>
          </w14:textFill>
        </w:rPr>
        <w:t>合同总价款的5%</w:t>
      </w:r>
      <w:r>
        <w:rPr>
          <w:rFonts w:hint="eastAsia" w:ascii="仿宋" w:hAnsi="仿宋" w:eastAsia="仿宋" w:cs="仿宋"/>
          <w:sz w:val="28"/>
          <w:szCs w:val="28"/>
        </w:rPr>
        <w:t>，在收到成交通知书10日内且在合同签订前缴齐，</w:t>
      </w:r>
      <w:r>
        <w:rPr>
          <w:rFonts w:hint="eastAsia" w:ascii="仿宋" w:eastAsia="仿宋"/>
          <w:color w:val="000000" w:themeColor="text1"/>
          <w:sz w:val="28"/>
          <w:szCs w:val="28"/>
          <w14:textFill>
            <w14:solidFill>
              <w14:schemeClr w14:val="tx1"/>
            </w14:solidFill>
          </w14:textFill>
        </w:rPr>
        <w:t>于履约结束后，</w:t>
      </w:r>
      <w:r>
        <w:rPr>
          <w:rFonts w:ascii="仿宋" w:eastAsia="仿宋"/>
          <w:color w:val="000000" w:themeColor="text1"/>
          <w:sz w:val="28"/>
          <w:szCs w:val="28"/>
          <w14:textFill>
            <w14:solidFill>
              <w14:schemeClr w14:val="tx1"/>
            </w14:solidFill>
          </w14:textFill>
        </w:rPr>
        <w:t>待所供</w:t>
      </w:r>
      <w:r>
        <w:rPr>
          <w:rFonts w:hint="eastAsia" w:ascii="仿宋" w:eastAsia="仿宋"/>
          <w:color w:val="000000" w:themeColor="text1"/>
          <w:sz w:val="28"/>
          <w:szCs w:val="28"/>
          <w14:textFill>
            <w14:solidFill>
              <w14:schemeClr w14:val="tx1"/>
            </w14:solidFill>
          </w14:textFill>
        </w:rPr>
        <w:t>系统</w:t>
      </w:r>
      <w:r>
        <w:rPr>
          <w:rFonts w:ascii="仿宋" w:eastAsia="仿宋"/>
          <w:color w:val="000000" w:themeColor="text1"/>
          <w:sz w:val="28"/>
          <w:szCs w:val="28"/>
          <w14:textFill>
            <w14:solidFill>
              <w14:schemeClr w14:val="tx1"/>
            </w14:solidFill>
          </w14:textFill>
        </w:rPr>
        <w:t>验收合格后15个工作日内无息退还</w:t>
      </w:r>
      <w:r>
        <w:rPr>
          <w:rFonts w:hint="eastAsia" w:ascii="仿宋" w:hAnsi="仿宋" w:eastAsia="仿宋" w:cs="仿宋"/>
          <w:sz w:val="28"/>
          <w:szCs w:val="28"/>
        </w:rPr>
        <w:t>，一次性退还（不计利息）。</w:t>
      </w:r>
    </w:p>
    <w:p>
      <w:pPr>
        <w:spacing w:line="6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八、支付方式</w:t>
      </w:r>
    </w:p>
    <w:p>
      <w:pPr>
        <w:spacing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8.1项目验收合格后3</w:t>
      </w:r>
      <w:r>
        <w:rPr>
          <w:rFonts w:ascii="仿宋" w:hAnsi="仿宋" w:eastAsia="仿宋"/>
          <w:color w:val="000000" w:themeColor="text1"/>
          <w:sz w:val="28"/>
          <w:szCs w:val="28"/>
          <w14:textFill>
            <w14:solidFill>
              <w14:schemeClr w14:val="tx1"/>
            </w14:solidFill>
          </w14:textFill>
        </w:rPr>
        <w:t>0个工作日内支付9</w:t>
      </w:r>
      <w:r>
        <w:rPr>
          <w:rFonts w:hint="eastAsia" w:ascii="仿宋" w:hAnsi="仿宋" w:eastAsia="仿宋"/>
          <w:color w:val="000000" w:themeColor="text1"/>
          <w:sz w:val="28"/>
          <w:szCs w:val="28"/>
          <w14:textFill>
            <w14:solidFill>
              <w14:schemeClr w14:val="tx1"/>
            </w14:solidFill>
          </w14:textFill>
        </w:rPr>
        <w:t>7</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合同价</w:t>
      </w:r>
      <w:r>
        <w:rPr>
          <w:rFonts w:ascii="仿宋" w:hAnsi="仿宋" w:eastAsia="仿宋"/>
          <w:color w:val="000000" w:themeColor="text1"/>
          <w:sz w:val="28"/>
          <w:szCs w:val="28"/>
          <w14:textFill>
            <w14:solidFill>
              <w14:schemeClr w14:val="tx1"/>
            </w14:solidFill>
          </w14:textFill>
        </w:rPr>
        <w:t>款。</w:t>
      </w:r>
    </w:p>
    <w:p>
      <w:pPr>
        <w:spacing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8.2两</w:t>
      </w:r>
      <w:r>
        <w:rPr>
          <w:rFonts w:ascii="仿宋" w:hAnsi="仿宋" w:eastAsia="仿宋"/>
          <w:color w:val="000000" w:themeColor="text1"/>
          <w:sz w:val="28"/>
          <w:szCs w:val="28"/>
          <w14:textFill>
            <w14:solidFill>
              <w14:schemeClr w14:val="tx1"/>
            </w14:solidFill>
          </w14:textFill>
        </w:rPr>
        <w:t>年质保期结束无质量问题后</w:t>
      </w:r>
      <w:r>
        <w:rPr>
          <w:rFonts w:hint="eastAsia" w:ascii="仿宋" w:hAnsi="仿宋" w:eastAsia="仿宋"/>
          <w:color w:val="000000" w:themeColor="text1"/>
          <w:sz w:val="28"/>
          <w:szCs w:val="28"/>
          <w14:textFill>
            <w14:solidFill>
              <w14:schemeClr w14:val="tx1"/>
            </w14:solidFill>
          </w14:textFill>
        </w:rPr>
        <w:t>45个工作日内</w:t>
      </w:r>
      <w:r>
        <w:rPr>
          <w:rFonts w:ascii="仿宋" w:hAnsi="仿宋" w:eastAsia="仿宋"/>
          <w:color w:val="000000" w:themeColor="text1"/>
          <w:sz w:val="28"/>
          <w:szCs w:val="28"/>
          <w14:textFill>
            <w14:solidFill>
              <w14:schemeClr w14:val="tx1"/>
            </w14:solidFill>
          </w14:textFill>
        </w:rPr>
        <w:t>支付剩下</w:t>
      </w:r>
      <w:r>
        <w:rPr>
          <w:rFonts w:hint="eastAsia" w:ascii="仿宋" w:hAnsi="仿宋" w:eastAsia="仿宋"/>
          <w:color w:val="000000" w:themeColor="text1"/>
          <w:sz w:val="28"/>
          <w:szCs w:val="28"/>
          <w14:textFill>
            <w14:solidFill>
              <w14:schemeClr w14:val="tx1"/>
            </w14:solidFill>
          </w14:textFill>
        </w:rPr>
        <w:t>3</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合同价</w:t>
      </w:r>
      <w:r>
        <w:rPr>
          <w:rFonts w:ascii="仿宋" w:hAnsi="仿宋" w:eastAsia="仿宋"/>
          <w:color w:val="000000" w:themeColor="text1"/>
          <w:sz w:val="28"/>
          <w:szCs w:val="28"/>
          <w14:textFill>
            <w14:solidFill>
              <w14:schemeClr w14:val="tx1"/>
            </w14:solidFill>
          </w14:textFill>
        </w:rPr>
        <w:t>款</w:t>
      </w:r>
      <w:r>
        <w:rPr>
          <w:rFonts w:hint="eastAsia" w:ascii="仿宋" w:hAnsi="仿宋" w:eastAsia="仿宋"/>
          <w:color w:val="000000" w:themeColor="text1"/>
          <w:sz w:val="28"/>
          <w:szCs w:val="28"/>
          <w14:textFill>
            <w14:solidFill>
              <w14:schemeClr w14:val="tx1"/>
            </w14:solidFill>
          </w14:textFill>
        </w:rPr>
        <w:t>。</w:t>
      </w:r>
    </w:p>
    <w:p>
      <w:pPr>
        <w:spacing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8.3乙方需向甲方提供正规增值税发票。如果乙方提供增值税普通发票，甲方支付金额为不含增值税金额；如果乙方提供增值税专用发票，甲方支付金额=不含增值税金额+增值税税额。</w:t>
      </w:r>
    </w:p>
    <w:p>
      <w:pPr>
        <w:spacing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8.4付款方式为银行转账或银行承兑汇票。</w:t>
      </w:r>
    </w:p>
    <w:p>
      <w:pPr>
        <w:spacing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8.5如税率发生国家法规调整，折算为不含税价后以新适用税率结算。</w:t>
      </w:r>
    </w:p>
    <w:p>
      <w:pPr>
        <w:spacing w:line="6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九、工期</w:t>
      </w:r>
      <w:bookmarkStart w:id="18" w:name="_GoBack"/>
      <w:bookmarkEnd w:id="18"/>
    </w:p>
    <w:p>
      <w:pPr>
        <w:spacing w:line="6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自合同签订之日起90</w:t>
      </w:r>
      <w:r>
        <w:rPr>
          <w:rFonts w:ascii="仿宋" w:hAnsi="仿宋" w:eastAsia="仿宋"/>
          <w:color w:val="000000" w:themeColor="text1"/>
          <w:sz w:val="28"/>
          <w:szCs w:val="28"/>
          <w14:textFill>
            <w14:solidFill>
              <w14:schemeClr w14:val="tx1"/>
            </w14:solidFill>
          </w14:textFill>
        </w:rPr>
        <w:t>日历</w:t>
      </w:r>
      <w:r>
        <w:rPr>
          <w:rFonts w:hint="eastAsia" w:ascii="仿宋" w:hAnsi="仿宋" w:eastAsia="仿宋"/>
          <w:color w:val="000000" w:themeColor="text1"/>
          <w:sz w:val="28"/>
          <w:szCs w:val="28"/>
          <w14:textFill>
            <w14:solidFill>
              <w14:schemeClr w14:val="tx1"/>
            </w14:solidFill>
          </w14:textFill>
        </w:rPr>
        <w:t>天。</w:t>
      </w:r>
    </w:p>
    <w:p>
      <w:pPr>
        <w:spacing w:line="6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十、比选响应有效期</w:t>
      </w:r>
    </w:p>
    <w:p>
      <w:pPr>
        <w:autoSpaceDE w:val="0"/>
        <w:autoSpaceDN w:val="0"/>
        <w:adjustRightInd w:val="0"/>
        <w:spacing w:line="600" w:lineRule="exact"/>
        <w:ind w:firstLine="630" w:firstLineChars="225"/>
        <w:rPr>
          <w:rFonts w:ascii="仿宋" w:hAnsi="仿宋" w:eastAsia="仿宋" w:cs="仿宋"/>
          <w:color w:val="000000"/>
          <w:sz w:val="28"/>
          <w:szCs w:val="28"/>
        </w:rPr>
      </w:pPr>
      <w:r>
        <w:rPr>
          <w:rFonts w:hint="eastAsia" w:ascii="仿宋" w:hAnsi="仿宋" w:eastAsia="仿宋" w:cs="仿宋"/>
          <w:color w:val="000000"/>
          <w:sz w:val="28"/>
          <w:szCs w:val="28"/>
        </w:rPr>
        <w:t>90天（自响应人提交竞争性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spacing w:line="600" w:lineRule="exact"/>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十一、</w:t>
      </w:r>
      <w:r>
        <w:rPr>
          <w:rFonts w:hint="eastAsia" w:ascii="仿宋" w:hAnsi="仿宋" w:eastAsia="仿宋" w:cs="仿宋"/>
          <w:b/>
          <w:color w:val="000000"/>
          <w:sz w:val="28"/>
          <w:szCs w:val="28"/>
        </w:rPr>
        <w:t>竞争性</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spacing w:line="600" w:lineRule="exact"/>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11.1</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spacing w:line="600" w:lineRule="exact"/>
        <w:ind w:firstLine="560" w:firstLineChars="200"/>
        <w:rPr>
          <w:rFonts w:ascii="仿宋" w:hAnsi="仿宋" w:eastAsia="仿宋" w:cs="仿宋"/>
          <w:color w:val="000000"/>
          <w:sz w:val="28"/>
          <w:szCs w:val="28"/>
          <w:lang w:val="zh-CN"/>
        </w:rPr>
      </w:pPr>
      <w:r>
        <w:rPr>
          <w:rFonts w:hint="eastAsia" w:ascii="仿宋" w:hAnsi="仿宋" w:eastAsia="仿宋"/>
          <w:color w:val="000000" w:themeColor="text1"/>
          <w:sz w:val="28"/>
          <w:szCs w:val="28"/>
          <w14:textFill>
            <w14:solidFill>
              <w14:schemeClr w14:val="tx1"/>
            </w14:solidFill>
          </w14:textFill>
        </w:rPr>
        <w:t>11.2</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spacing w:line="600" w:lineRule="exact"/>
        <w:ind w:firstLine="560" w:firstLineChars="200"/>
        <w:rPr>
          <w:rFonts w:ascii="仿宋" w:hAnsi="仿宋" w:eastAsia="仿宋" w:cs="仿宋"/>
          <w:color w:val="000000" w:themeColor="text1"/>
          <w:sz w:val="28"/>
          <w:lang w:val="zh-CN"/>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11.2.1</w:t>
      </w:r>
      <w:r>
        <w:rPr>
          <w:rFonts w:hint="eastAsia" w:ascii="仿宋" w:hAnsi="仿宋" w:eastAsia="仿宋" w:cs="仿宋"/>
          <w:color w:val="000000" w:themeColor="text1"/>
          <w:sz w:val="28"/>
          <w:lang w:val="zh-CN"/>
          <w14:textFill>
            <w14:solidFill>
              <w14:schemeClr w14:val="tx1"/>
            </w14:solidFill>
          </w14:textFill>
        </w:rPr>
        <w:t>封面。</w:t>
      </w:r>
    </w:p>
    <w:p>
      <w:pPr>
        <w:spacing w:line="600" w:lineRule="exact"/>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11.2.2报价</w:t>
      </w:r>
      <w:r>
        <w:rPr>
          <w:rFonts w:hint="eastAsia" w:ascii="仿宋" w:hAnsi="仿宋" w:eastAsia="仿宋"/>
          <w:color w:val="000000" w:themeColor="text1"/>
          <w:sz w:val="28"/>
          <w:szCs w:val="28"/>
          <w:lang w:val="zh-CN"/>
          <w14:textFill>
            <w14:solidFill>
              <w14:schemeClr w14:val="tx1"/>
            </w14:solidFill>
          </w14:textFill>
        </w:rPr>
        <w:t>部分。</w:t>
      </w:r>
      <w:r>
        <w:rPr>
          <w:rFonts w:hint="eastAsia" w:ascii="仿宋" w:hAnsi="仿宋" w:eastAsia="仿宋" w:cs="仿宋"/>
          <w:color w:val="000000"/>
          <w:sz w:val="28"/>
          <w:szCs w:val="28"/>
          <w:lang w:val="zh-CN"/>
        </w:rPr>
        <w:t>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竞争性比选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仿宋" w:hAnsi="仿宋" w:eastAsia="仿宋" w:cs="仿宋"/>
          <w:color w:val="000000"/>
          <w:sz w:val="28"/>
          <w:szCs w:val="28"/>
          <w:lang w:val="zh-CN"/>
        </w:rPr>
        <w:t>报出</w:t>
      </w:r>
      <w:r>
        <w:rPr>
          <w:rFonts w:hint="eastAsia" w:ascii="仿宋" w:hAnsi="仿宋" w:eastAsia="仿宋" w:cs="仿宋"/>
          <w:color w:val="000000"/>
          <w:sz w:val="28"/>
          <w:szCs w:val="28"/>
          <w:u w:val="single"/>
        </w:rPr>
        <w:t xml:space="preserve">    </w:t>
      </w:r>
      <w:r>
        <w:rPr>
          <w:rFonts w:hint="eastAsia" w:ascii="仿宋" w:hAnsi="仿宋" w:eastAsia="仿宋" w:cs="仿宋"/>
          <w:sz w:val="28"/>
          <w:szCs w:val="28"/>
          <w:lang w:val="zh-CN"/>
        </w:rPr>
        <w:t>内容，报价应包括</w:t>
      </w:r>
      <w:r>
        <w:rPr>
          <w:rFonts w:hint="eastAsia" w:ascii="仿宋" w:hAnsi="仿宋" w:eastAsia="仿宋" w:cs="仿宋"/>
          <w:color w:val="000000" w:themeColor="text1"/>
          <w:sz w:val="28"/>
          <w:szCs w:val="28"/>
          <w14:textFill>
            <w14:solidFill>
              <w14:schemeClr w14:val="tx1"/>
            </w14:solidFill>
          </w14:textFill>
        </w:rPr>
        <w:t>软件开发费、人工费、交通费、</w:t>
      </w:r>
      <w:r>
        <w:rPr>
          <w:rFonts w:hint="eastAsia" w:ascii="仿宋" w:hAnsi="仿宋" w:eastAsia="仿宋"/>
          <w:color w:val="000000" w:themeColor="text1"/>
          <w:sz w:val="28"/>
          <w:szCs w:val="28"/>
          <w14:textFill>
            <w14:solidFill>
              <w14:schemeClr w14:val="tx1"/>
            </w14:solidFill>
          </w14:textFill>
        </w:rPr>
        <w:t>调研费、设备费、培训费等所有费用，本项目报价为包干价，不再另行增加费用</w:t>
      </w:r>
      <w:r>
        <w:rPr>
          <w:rFonts w:hint="eastAsia" w:ascii="仿宋" w:hAnsi="仿宋" w:eastAsia="仿宋" w:cs="仿宋"/>
          <w:sz w:val="28"/>
          <w:szCs w:val="28"/>
          <w:lang w:val="zh-CN"/>
        </w:rPr>
        <w:t>，报价为不</w:t>
      </w:r>
      <w:r>
        <w:rPr>
          <w:rFonts w:hint="eastAsia" w:ascii="仿宋" w:hAnsi="仿宋" w:eastAsia="仿宋" w:cs="仿宋"/>
          <w:sz w:val="28"/>
          <w:szCs w:val="28"/>
        </w:rPr>
        <w:t>含税</w:t>
      </w:r>
      <w:r>
        <w:rPr>
          <w:rFonts w:hint="eastAsia" w:ascii="仿宋" w:hAnsi="仿宋" w:eastAsia="仿宋" w:cs="仿宋"/>
          <w:sz w:val="28"/>
          <w:szCs w:val="28"/>
          <w:lang w:val="zh-CN"/>
        </w:rPr>
        <w:t>报价，增值税税率单列。</w:t>
      </w:r>
      <w:r>
        <w:rPr>
          <w:rFonts w:hint="eastAsia" w:ascii="仿宋" w:hAnsi="仿宋" w:eastAsia="仿宋"/>
          <w:color w:val="000000" w:themeColor="text1"/>
          <w:sz w:val="28"/>
          <w:szCs w:val="28"/>
          <w:lang w:val="zh-CN"/>
          <w14:textFill>
            <w14:solidFill>
              <w14:schemeClr w14:val="tx1"/>
            </w14:solidFill>
          </w14:textFill>
        </w:rPr>
        <w:t xml:space="preserve"> </w:t>
      </w:r>
      <w:r>
        <w:rPr>
          <w:rFonts w:ascii="仿宋" w:hAnsi="仿宋" w:eastAsia="仿宋"/>
          <w:color w:val="000000" w:themeColor="text1"/>
          <w:sz w:val="28"/>
          <w:szCs w:val="28"/>
          <w:lang w:val="zh-CN"/>
          <w14:textFill>
            <w14:solidFill>
              <w14:schemeClr w14:val="tx1"/>
            </w14:solidFill>
          </w14:textFill>
        </w:rPr>
        <w:t xml:space="preserve">    </w:t>
      </w:r>
    </w:p>
    <w:p>
      <w:pPr>
        <w:spacing w:line="600" w:lineRule="exact"/>
        <w:ind w:firstLine="560" w:firstLineChars="200"/>
        <w:rPr>
          <w:rFonts w:ascii="仿宋" w:hAnsi="仿宋" w:eastAsia="仿宋" w:cs="仿宋"/>
          <w:sz w:val="28"/>
          <w:szCs w:val="28"/>
        </w:rPr>
      </w:pPr>
      <w:r>
        <w:rPr>
          <w:rFonts w:hint="eastAsia" w:ascii="仿宋" w:hAnsi="仿宋" w:eastAsia="仿宋"/>
          <w:color w:val="000000" w:themeColor="text1"/>
          <w:sz w:val="28"/>
          <w:szCs w:val="28"/>
          <w14:textFill>
            <w14:solidFill>
              <w14:schemeClr w14:val="tx1"/>
            </w14:solidFill>
          </w14:textFill>
        </w:rPr>
        <w:t>11.2.3</w:t>
      </w:r>
      <w:r>
        <w:rPr>
          <w:rFonts w:hint="eastAsia" w:ascii="仿宋" w:hAnsi="仿宋" w:eastAsia="仿宋"/>
          <w:color w:val="000000" w:themeColor="text1"/>
          <w:sz w:val="28"/>
          <w:szCs w:val="28"/>
          <w:lang w:val="zh-CN"/>
          <w14:textFill>
            <w14:solidFill>
              <w14:schemeClr w14:val="tx1"/>
            </w14:solidFill>
          </w14:textFill>
        </w:rPr>
        <w:t>技术部分。</w:t>
      </w:r>
      <w:r>
        <w:rPr>
          <w:rFonts w:hint="eastAsia" w:ascii="仿宋" w:hAnsi="仿宋" w:eastAsia="仿宋" w:cs="仿宋"/>
          <w:color w:val="000000"/>
          <w:sz w:val="28"/>
          <w:szCs w:val="28"/>
        </w:rPr>
        <w:t>主要包括项目技术方案、软硬件架构设计方案、功能模块设计方案、提供服务器参数以及项目进度计划表等和技术相关的资料。</w:t>
      </w:r>
      <w:r>
        <w:rPr>
          <w:rFonts w:hint="eastAsia" w:ascii="仿宋" w:hAnsi="仿宋" w:eastAsia="仿宋" w:cs="仿宋"/>
          <w:sz w:val="28"/>
          <w:szCs w:val="28"/>
          <w:lang w:val="zh-CN"/>
        </w:rPr>
        <w:t>如果提供的</w:t>
      </w:r>
      <w:r>
        <w:rPr>
          <w:rFonts w:hint="eastAsia" w:ascii="仿宋" w:hAnsi="仿宋" w:eastAsia="仿宋" w:cs="仿宋"/>
          <w:color w:val="000000"/>
          <w:sz w:val="28"/>
          <w:szCs w:val="28"/>
        </w:rPr>
        <w:t>功能模块设计方案</w:t>
      </w:r>
      <w:r>
        <w:rPr>
          <w:rFonts w:hint="eastAsia" w:ascii="仿宋" w:hAnsi="仿宋" w:eastAsia="仿宋" w:cs="仿宋"/>
          <w:sz w:val="28"/>
          <w:szCs w:val="28"/>
          <w:lang w:val="zh-CN"/>
        </w:rPr>
        <w:t>与</w:t>
      </w:r>
      <w:r>
        <w:rPr>
          <w:rFonts w:hint="eastAsia" w:ascii="仿宋" w:hAnsi="仿宋" w:eastAsia="仿宋" w:cs="仿宋"/>
          <w:color w:val="000000"/>
          <w:sz w:val="28"/>
          <w:szCs w:val="28"/>
        </w:rPr>
        <w:t>竞争性</w:t>
      </w:r>
      <w:r>
        <w:rPr>
          <w:rFonts w:hint="eastAsia" w:ascii="仿宋" w:hAnsi="仿宋" w:eastAsia="仿宋" w:cs="仿宋"/>
          <w:sz w:val="28"/>
          <w:szCs w:val="28"/>
        </w:rPr>
        <w:t>比选</w:t>
      </w:r>
      <w:r>
        <w:rPr>
          <w:rFonts w:hint="eastAsia" w:ascii="仿宋" w:hAnsi="仿宋" w:eastAsia="仿宋" w:cs="仿宋"/>
          <w:sz w:val="28"/>
          <w:szCs w:val="28"/>
          <w:lang w:val="zh-CN"/>
        </w:rPr>
        <w:t>采购文件要求有偏差，必须详细说明，</w:t>
      </w:r>
      <w:r>
        <w:rPr>
          <w:rFonts w:hint="eastAsia" w:ascii="仿宋" w:hAnsi="仿宋" w:eastAsia="仿宋" w:cs="仿宋"/>
          <w:sz w:val="28"/>
          <w:szCs w:val="28"/>
        </w:rPr>
        <w:t>须经评审委员会评定并认可，才能作为供应商实质性响应。</w:t>
      </w:r>
    </w:p>
    <w:p>
      <w:pPr>
        <w:autoSpaceDE w:val="0"/>
        <w:autoSpaceDN w:val="0"/>
        <w:adjustRightInd w:val="0"/>
        <w:spacing w:line="600" w:lineRule="exact"/>
        <w:ind w:firstLine="630" w:firstLineChars="225"/>
        <w:rPr>
          <w:rFonts w:ascii="仿宋" w:hAnsi="仿宋" w:eastAsia="仿宋" w:cs="仿宋"/>
          <w:color w:val="000000"/>
          <w:sz w:val="28"/>
          <w:szCs w:val="28"/>
          <w:lang w:val="zh-CN"/>
        </w:rPr>
      </w:pPr>
      <w:r>
        <w:rPr>
          <w:rFonts w:hint="eastAsia" w:ascii="仿宋" w:hAnsi="仿宋" w:eastAsia="仿宋" w:cs="仿宋"/>
          <w:color w:val="000000"/>
          <w:sz w:val="28"/>
          <w:szCs w:val="28"/>
        </w:rPr>
        <w:t>11</w:t>
      </w:r>
      <w:r>
        <w:rPr>
          <w:rFonts w:hint="eastAsia" w:ascii="仿宋" w:hAnsi="仿宋" w:eastAsia="仿宋" w:cs="仿宋"/>
          <w:color w:val="000000"/>
          <w:sz w:val="28"/>
          <w:szCs w:val="28"/>
          <w:lang w:val="zh-CN"/>
        </w:rPr>
        <w:t>.2.4</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）、若有：制造商或代理商授权（或货物销售资格证明）文件以及所提供产品的合格证明、其它资</w:t>
      </w:r>
      <w:r>
        <w:rPr>
          <w:rFonts w:hint="eastAsia" w:ascii="仿宋" w:hAnsi="仿宋" w:eastAsia="仿宋" w:cs="仿宋"/>
          <w:color w:val="000000"/>
          <w:sz w:val="28"/>
          <w:szCs w:val="28"/>
          <w:lang w:val="zh-CN"/>
        </w:rPr>
        <w:t>格证明（如企业资信证明、</w:t>
      </w:r>
      <w:r>
        <w:rPr>
          <w:rFonts w:hint="eastAsia" w:ascii="仿宋" w:hAnsi="仿宋" w:eastAsia="仿宋" w:cs="仿宋"/>
          <w:color w:val="000000"/>
          <w:sz w:val="28"/>
          <w:szCs w:val="28"/>
        </w:rPr>
        <w:t>业绩</w:t>
      </w:r>
      <w:r>
        <w:rPr>
          <w:rFonts w:hint="eastAsia" w:ascii="仿宋" w:hAnsi="仿宋" w:eastAsia="仿宋" w:cs="仿宋"/>
          <w:color w:val="000000"/>
          <w:sz w:val="28"/>
          <w:szCs w:val="28"/>
          <w:lang w:val="zh-CN"/>
        </w:rPr>
        <w:t>等）以及服务承诺等。</w:t>
      </w:r>
    </w:p>
    <w:p>
      <w:pPr>
        <w:spacing w:line="600" w:lineRule="exact"/>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11.2.5</w:t>
      </w:r>
      <w:r>
        <w:rPr>
          <w:rFonts w:hint="eastAsia" w:ascii="仿宋" w:hAnsi="仿宋" w:eastAsia="仿宋"/>
          <w:color w:val="000000" w:themeColor="text1"/>
          <w:sz w:val="28"/>
          <w:szCs w:val="28"/>
          <w:lang w:val="zh-CN"/>
          <w14:textFill>
            <w14:solidFill>
              <w14:schemeClr w14:val="tx1"/>
            </w14:solidFill>
          </w14:textFill>
        </w:rPr>
        <w:t>比选响应文件可合并装订成册，纸质文件一式</w:t>
      </w:r>
      <w:r>
        <w:rPr>
          <w:rFonts w:hint="eastAsia"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lang w:val="zh-CN"/>
          <w14:textFill>
            <w14:solidFill>
              <w14:schemeClr w14:val="tx1"/>
            </w14:solidFill>
          </w14:textFill>
        </w:rPr>
        <w:t>份，其中正本1份，副本</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lang w:val="zh-CN"/>
          <w14:textFill>
            <w14:solidFill>
              <w14:schemeClr w14:val="tx1"/>
            </w14:solidFill>
          </w14:textFill>
        </w:rPr>
        <w:t>份；电子比选响应文件1份（U盘形式）。</w:t>
      </w:r>
    </w:p>
    <w:p>
      <w:pPr>
        <w:spacing w:line="600" w:lineRule="exact"/>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十二、</w:t>
      </w:r>
      <w:r>
        <w:rPr>
          <w:rFonts w:hint="eastAsia" w:ascii="仿宋" w:hAnsi="仿宋" w:eastAsia="仿宋" w:cs="仿宋"/>
          <w:b/>
          <w:color w:val="000000"/>
          <w:sz w:val="28"/>
          <w:szCs w:val="28"/>
          <w:lang w:val="zh-CN"/>
        </w:rPr>
        <w:t>竞争性</w:t>
      </w:r>
      <w:r>
        <w:rPr>
          <w:rFonts w:hint="eastAsia" w:ascii="仿宋" w:hAnsi="仿宋" w:eastAsia="仿宋" w:cs="仿宋"/>
          <w:b/>
          <w:color w:val="000000"/>
          <w:sz w:val="28"/>
          <w:szCs w:val="28"/>
        </w:rPr>
        <w:t>比选须知</w:t>
      </w:r>
    </w:p>
    <w:p>
      <w:pPr>
        <w:spacing w:line="600" w:lineRule="exact"/>
        <w:ind w:firstLine="560"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12.1 </w:t>
      </w:r>
      <w:r>
        <w:rPr>
          <w:rFonts w:hint="eastAsia" w:ascii="仿宋" w:hAnsi="仿宋" w:eastAsia="仿宋" w:cs="仿宋"/>
          <w:color w:val="000000"/>
          <w:sz w:val="28"/>
          <w:szCs w:val="28"/>
        </w:rPr>
        <w:t>竞争性比选响应人有以下情形之一的，采购人有权拒收响应人文件：</w:t>
      </w:r>
    </w:p>
    <w:p>
      <w:pPr>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12.1.1</w:t>
      </w:r>
      <w:r>
        <w:rPr>
          <w:rFonts w:hint="eastAsia" w:ascii="仿宋" w:hAnsi="仿宋" w:eastAsia="仿宋"/>
          <w:color w:val="000000"/>
          <w:sz w:val="28"/>
          <w:szCs w:val="28"/>
        </w:rPr>
        <w:t>未在递交</w:t>
      </w:r>
      <w:r>
        <w:rPr>
          <w:rFonts w:hint="eastAsia" w:ascii="仿宋" w:hAnsi="仿宋" w:eastAsia="仿宋" w:cs="仿宋"/>
          <w:color w:val="000000"/>
          <w:sz w:val="28"/>
          <w:szCs w:val="28"/>
        </w:rPr>
        <w:t>竞争性</w:t>
      </w:r>
      <w:r>
        <w:rPr>
          <w:rFonts w:hint="eastAsia" w:ascii="仿宋" w:hAnsi="仿宋" w:eastAsia="仿宋"/>
          <w:color w:val="000000"/>
          <w:sz w:val="28"/>
          <w:szCs w:val="28"/>
        </w:rPr>
        <w:t>比选响应文件时出示采购人计财部开具的</w:t>
      </w:r>
      <w:r>
        <w:rPr>
          <w:rFonts w:hint="eastAsia" w:ascii="仿宋" w:hAnsi="仿宋" w:eastAsia="仿宋" w:cs="仿宋"/>
          <w:color w:val="000000"/>
          <w:sz w:val="28"/>
          <w:szCs w:val="28"/>
        </w:rPr>
        <w:t>响应保证金收据的；</w:t>
      </w:r>
    </w:p>
    <w:p>
      <w:pPr>
        <w:autoSpaceDE w:val="0"/>
        <w:autoSpaceDN w:val="0"/>
        <w:adjustRightInd w:val="0"/>
        <w:spacing w:line="60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12.1.2</w:t>
      </w:r>
      <w:r>
        <w:rPr>
          <w:rFonts w:hint="eastAsia" w:ascii="仿宋" w:hAnsi="仿宋" w:eastAsia="仿宋"/>
          <w:color w:val="000000"/>
          <w:sz w:val="28"/>
          <w:szCs w:val="28"/>
        </w:rPr>
        <w:t>未在递交</w:t>
      </w:r>
      <w:r>
        <w:rPr>
          <w:rFonts w:hint="eastAsia" w:ascii="仿宋" w:hAnsi="仿宋" w:eastAsia="仿宋" w:cs="仿宋"/>
          <w:color w:val="000000"/>
          <w:sz w:val="28"/>
          <w:szCs w:val="28"/>
        </w:rPr>
        <w:t>竞争性</w:t>
      </w:r>
      <w:r>
        <w:rPr>
          <w:rFonts w:hint="eastAsia" w:ascii="仿宋" w:hAnsi="仿宋" w:eastAsia="仿宋"/>
          <w:color w:val="000000"/>
          <w:sz w:val="28"/>
          <w:szCs w:val="28"/>
        </w:rPr>
        <w:t>比选响应文件截止时间前递交响应文件的；</w:t>
      </w:r>
    </w:p>
    <w:p>
      <w:pPr>
        <w:autoSpaceDE w:val="0"/>
        <w:autoSpaceDN w:val="0"/>
        <w:adjustRightInd w:val="0"/>
        <w:spacing w:line="600" w:lineRule="exact"/>
        <w:ind w:firstLine="560" w:firstLineChars="200"/>
      </w:pPr>
      <w:r>
        <w:rPr>
          <w:rFonts w:hint="eastAsia" w:ascii="仿宋" w:hAnsi="仿宋" w:eastAsia="仿宋"/>
          <w:color w:val="000000"/>
          <w:sz w:val="28"/>
          <w:szCs w:val="28"/>
        </w:rPr>
        <w:t>12.1.3</w:t>
      </w:r>
      <w:r>
        <w:rPr>
          <w:rFonts w:hint="eastAsia" w:ascii="仿宋" w:hAnsi="仿宋" w:eastAsia="仿宋"/>
          <w:color w:val="000000"/>
          <w:sz w:val="28"/>
          <w:szCs w:val="28"/>
          <w:lang w:val="zh-CN"/>
        </w:rPr>
        <w:t>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环节，或出席唱价环节的响应人未能提供有效身份证原件、提供身份证原件与</w:t>
      </w:r>
      <w:r>
        <w:rPr>
          <w:rFonts w:hint="eastAsia" w:ascii="仿宋" w:hAnsi="仿宋" w:eastAsia="仿宋" w:cs="仿宋"/>
          <w:color w:val="000000"/>
          <w:sz w:val="28"/>
          <w:szCs w:val="28"/>
        </w:rPr>
        <w:t>竞争性</w:t>
      </w:r>
      <w:r>
        <w:rPr>
          <w:rFonts w:hint="eastAsia" w:ascii="仿宋" w:hAnsi="仿宋" w:eastAsia="仿宋"/>
          <w:color w:val="000000"/>
          <w:sz w:val="28"/>
          <w:szCs w:val="28"/>
        </w:rPr>
        <w:t>比选文件中不符的；</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12.1.4未按要求密封竞争性比选响应文件的。</w:t>
      </w:r>
    </w:p>
    <w:p>
      <w:pPr>
        <w:spacing w:line="600" w:lineRule="exact"/>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十三、</w:t>
      </w:r>
      <w:r>
        <w:rPr>
          <w:rFonts w:hint="eastAsia" w:ascii="仿宋" w:hAnsi="仿宋" w:eastAsia="仿宋" w:cs="仿宋"/>
          <w:b/>
          <w:bCs/>
          <w:color w:val="000000"/>
          <w:sz w:val="28"/>
          <w:szCs w:val="28"/>
        </w:rPr>
        <w:t>竞争性比选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6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val="zh-CN"/>
        </w:rPr>
        <w:t>无报价或两个以上报价的；</w:t>
      </w:r>
    </w:p>
    <w:p>
      <w:pPr>
        <w:autoSpaceDE w:val="0"/>
        <w:autoSpaceDN w:val="0"/>
        <w:adjustRightInd w:val="0"/>
        <w:spacing w:line="6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（二）</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竞争性比选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竞争性响应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6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（三）</w:t>
      </w:r>
      <w:r>
        <w:rPr>
          <w:rFonts w:hint="eastAsia" w:ascii="仿宋" w:hAnsi="仿宋" w:eastAsia="仿宋" w:cs="仿宋"/>
          <w:color w:val="000000"/>
          <w:sz w:val="28"/>
          <w:szCs w:val="28"/>
          <w:lang w:val="zh-CN"/>
        </w:rPr>
        <w:t>报价超过最高限价的；</w:t>
      </w:r>
    </w:p>
    <w:p>
      <w:pPr>
        <w:autoSpaceDE w:val="0"/>
        <w:autoSpaceDN w:val="0"/>
        <w:adjustRightInd w:val="0"/>
        <w:spacing w:line="6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（四）竞争性</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注明“项目名称”“项目编号”“</w:t>
      </w:r>
      <w:r>
        <w:rPr>
          <w:rFonts w:hint="eastAsia" w:ascii="仿宋" w:hAnsi="仿宋" w:eastAsia="仿宋" w:cs="仿宋"/>
          <w:color w:val="000000"/>
          <w:sz w:val="28"/>
          <w:szCs w:val="28"/>
        </w:rPr>
        <w:t>竞争性</w:t>
      </w:r>
      <w:r>
        <w:rPr>
          <w:rFonts w:hint="eastAsia" w:ascii="仿宋" w:hAnsi="仿宋" w:eastAsia="仿宋" w:cs="仿宋"/>
          <w:color w:val="000000"/>
          <w:sz w:val="28"/>
          <w:szCs w:val="28"/>
          <w:lang w:val="zh-CN"/>
        </w:rPr>
        <w:t>比选响应单位名称”，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（五）竞争性</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6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（六）竞争性</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6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（七）竞争性</w:t>
      </w:r>
      <w:r>
        <w:rPr>
          <w:rFonts w:hint="eastAsia" w:ascii="仿宋" w:hAnsi="仿宋" w:eastAsia="仿宋" w:cs="仿宋"/>
          <w:color w:val="000000"/>
          <w:sz w:val="28"/>
          <w:szCs w:val="28"/>
          <w:lang w:val="zh-CN"/>
        </w:rPr>
        <w:t>比选响应文件份数不足；</w:t>
      </w:r>
    </w:p>
    <w:p>
      <w:pPr>
        <w:autoSpaceDE w:val="0"/>
        <w:autoSpaceDN w:val="0"/>
        <w:adjustRightInd w:val="0"/>
        <w:spacing w:line="6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（八）竞争性</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6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（九）竞争性</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6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（十）</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6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（十一）未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竞争性比选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竞争性比选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（十二）未按竞争性比选文件要求编制的、明显不符合技术规范和标准的要求、对竞争性比选文件中主要条款未响应的；</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（十三）竞争性比选响应文件附有采购人不能接受的条件；</w:t>
      </w:r>
    </w:p>
    <w:p>
      <w:pPr>
        <w:autoSpaceDE w:val="0"/>
        <w:autoSpaceDN w:val="0"/>
        <w:adjustRightInd w:val="0"/>
        <w:spacing w:line="600" w:lineRule="exact"/>
        <w:ind w:firstLine="560" w:firstLineChars="200"/>
        <w:rPr>
          <w:rFonts w:ascii="仿宋" w:hAnsi="仿宋" w:eastAsia="仿宋" w:cs="仿宋"/>
          <w:color w:val="000000"/>
          <w:sz w:val="28"/>
          <w:szCs w:val="28"/>
          <w:lang w:val="zh-CN"/>
        </w:rPr>
      </w:pPr>
      <w:r>
        <w:rPr>
          <w:rFonts w:hint="eastAsia" w:ascii="仿宋" w:hAnsi="仿宋" w:eastAsia="仿宋" w:cs="仿宋"/>
          <w:color w:val="000000"/>
          <w:sz w:val="28"/>
          <w:szCs w:val="28"/>
        </w:rPr>
        <w:t>（十四）</w:t>
      </w:r>
      <w:r>
        <w:rPr>
          <w:rFonts w:hint="eastAsia" w:ascii="仿宋" w:hAnsi="仿宋" w:eastAsia="仿宋" w:cs="仿宋"/>
          <w:color w:val="000000"/>
          <w:sz w:val="28"/>
          <w:szCs w:val="28"/>
          <w:lang w:val="zh-CN"/>
        </w:rPr>
        <w:t>有串通比选或弄虚作假或有其他违法行为的。</w:t>
      </w:r>
    </w:p>
    <w:p>
      <w:pPr>
        <w:spacing w:line="600" w:lineRule="exact"/>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十四、</w:t>
      </w:r>
      <w:r>
        <w:rPr>
          <w:rFonts w:hint="eastAsia" w:ascii="仿宋" w:hAnsi="仿宋" w:eastAsia="仿宋" w:cs="仿宋"/>
          <w:b/>
          <w:color w:val="000000"/>
          <w:sz w:val="28"/>
          <w:szCs w:val="28"/>
        </w:rPr>
        <w:t>响应人违规行为处罚条款</w:t>
      </w:r>
    </w:p>
    <w:p>
      <w:pPr>
        <w:adjustRightInd w:val="0"/>
        <w:snapToGrid w:val="0"/>
        <w:spacing w:line="600" w:lineRule="exact"/>
        <w:ind w:left="1" w:firstLine="560" w:firstLineChars="200"/>
        <w:rPr>
          <w:rFonts w:ascii="仿宋" w:hAnsi="仿宋" w:eastAsia="仿宋" w:cs="仿宋"/>
          <w:color w:val="000000"/>
          <w:kern w:val="0"/>
          <w:sz w:val="28"/>
          <w:szCs w:val="28"/>
        </w:rPr>
      </w:pP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比选响应人有以下情形之一的，采购人有权取消其</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比选资格，并纳入重庆江北国际机场有限公司供应商黑名单，其响应保证金不予退还：</w:t>
      </w:r>
    </w:p>
    <w:p>
      <w:pPr>
        <w:adjustRightInd w:val="0"/>
        <w:snapToGrid w:val="0"/>
        <w:spacing w:line="60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（一）在</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比选期间发现响应人提供了虚假资料、伪造、变造、借用或者冒用他人资质证书或营业执照等证明材料的。</w:t>
      </w:r>
    </w:p>
    <w:p>
      <w:pPr>
        <w:adjustRightInd w:val="0"/>
        <w:snapToGrid w:val="0"/>
        <w:spacing w:line="60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（二）竞争性</w:t>
      </w:r>
      <w:r>
        <w:rPr>
          <w:rFonts w:hint="eastAsia" w:ascii="仿宋" w:hAnsi="仿宋" w:eastAsia="仿宋" w:cs="仿宋"/>
          <w:color w:val="000000"/>
          <w:kern w:val="0"/>
          <w:sz w:val="28"/>
          <w:szCs w:val="28"/>
        </w:rPr>
        <w:t>比选过程中发现存在贿赂行为的。</w:t>
      </w:r>
    </w:p>
    <w:p>
      <w:pPr>
        <w:adjustRightInd w:val="0"/>
        <w:snapToGrid w:val="0"/>
        <w:spacing w:line="60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（三）</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600" w:lineRule="exact"/>
        <w:ind w:firstLine="560" w:firstLineChars="200"/>
      </w:pPr>
      <w:r>
        <w:rPr>
          <w:rFonts w:hint="eastAsia" w:ascii="仿宋" w:hAnsi="仿宋" w:eastAsia="仿宋" w:cs="仿宋"/>
          <w:color w:val="000000"/>
          <w:sz w:val="28"/>
          <w:szCs w:val="28"/>
        </w:rPr>
        <w:t>（四）在竞争性比选有效期内，撤销竞争性比选响应文件的。</w:t>
      </w:r>
    </w:p>
    <w:p>
      <w:pPr>
        <w:adjustRightInd w:val="0"/>
        <w:snapToGrid w:val="0"/>
        <w:spacing w:line="60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（五）</w:t>
      </w:r>
      <w:r>
        <w:rPr>
          <w:rFonts w:hint="eastAsia" w:ascii="仿宋" w:hAnsi="仿宋" w:eastAsia="仿宋" w:cs="仿宋"/>
          <w:color w:val="000000"/>
          <w:kern w:val="0"/>
          <w:sz w:val="28"/>
          <w:szCs w:val="28"/>
        </w:rPr>
        <w:t>成交人在合同签订期间违背</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比选响应文件承诺的。</w:t>
      </w:r>
    </w:p>
    <w:p>
      <w:pPr>
        <w:adjustRightInd w:val="0"/>
        <w:snapToGrid w:val="0"/>
        <w:spacing w:line="60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（六）</w:t>
      </w:r>
      <w:r>
        <w:rPr>
          <w:rFonts w:hint="eastAsia" w:ascii="仿宋" w:hAnsi="仿宋" w:eastAsia="仿宋" w:cs="仿宋"/>
          <w:color w:val="000000"/>
          <w:kern w:val="0"/>
          <w:sz w:val="28"/>
          <w:szCs w:val="28"/>
        </w:rPr>
        <w:t>在</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比选有效期内，响应人无故放弃中标候选人资格的或在领取成交通知书后拒签合同，不缴纳履约保证金的。</w:t>
      </w:r>
    </w:p>
    <w:p>
      <w:pPr>
        <w:adjustRightInd w:val="0"/>
        <w:snapToGrid w:val="0"/>
        <w:spacing w:line="60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rPr>
        <w:t>（七）</w:t>
      </w:r>
      <w:r>
        <w:rPr>
          <w:rFonts w:ascii="仿宋" w:hAnsi="仿宋" w:eastAsia="仿宋" w:cs="仿宋"/>
          <w:color w:val="000000"/>
          <w:kern w:val="0"/>
          <w:sz w:val="28"/>
          <w:szCs w:val="28"/>
        </w:rPr>
        <w:t>在</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w:t>
      </w:r>
      <w:r>
        <w:rPr>
          <w:rFonts w:hint="eastAsia" w:ascii="仿宋" w:hAnsi="仿宋" w:eastAsia="仿宋" w:cs="仿宋"/>
          <w:color w:val="000000"/>
          <w:sz w:val="28"/>
          <w:szCs w:val="28"/>
        </w:rPr>
        <w:t>竞争性</w:t>
      </w:r>
      <w:r>
        <w:rPr>
          <w:rFonts w:hint="eastAsia" w:ascii="仿宋" w:hAnsi="仿宋" w:eastAsia="仿宋" w:cs="仿宋"/>
          <w:color w:val="000000"/>
          <w:kern w:val="0"/>
          <w:sz w:val="28"/>
          <w:szCs w:val="28"/>
        </w:rPr>
        <w:t>比选公正性</w:t>
      </w:r>
      <w:r>
        <w:rPr>
          <w:rFonts w:ascii="仿宋" w:hAnsi="仿宋" w:eastAsia="仿宋" w:cs="仿宋"/>
          <w:color w:val="000000"/>
          <w:kern w:val="0"/>
          <w:sz w:val="28"/>
          <w:szCs w:val="28"/>
        </w:rPr>
        <w:t>的行为。</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（八）</w:t>
      </w:r>
      <w:r>
        <w:rPr>
          <w:rFonts w:ascii="仿宋" w:hAnsi="仿宋" w:eastAsia="仿宋" w:cs="仿宋"/>
          <w:color w:val="000000"/>
          <w:sz w:val="28"/>
          <w:szCs w:val="28"/>
        </w:rPr>
        <w:t>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（九）</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（十一）</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13.1 黑名单供应商惩诫标准及措施</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（二）被列入黑名单的供应商及相关人员，从被确认之日起3年内，取消其参与重庆江北国际机场有限公司采购项目的资格。</w:t>
      </w:r>
    </w:p>
    <w:p>
      <w:pPr>
        <w:spacing w:line="600" w:lineRule="exact"/>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十五、异议</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14.1 竞争性比选响应人或其他利害关系人认为采购活动不符合法律、行政等规定的，应当在采购结果公示期之内以书面形式向采购人提出异议（以采购人收到书面异议之日为准）。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14.2 异议提出人向采购人提起异议时，应当提交异议书。异议书应当包括下列内容：</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（一）异议提出人的名称、地址及有效联系方式。</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（二）异议事项的基本事实。</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（三）异议请求及主张。</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（四）有效线索和相关证据、证明材料。</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14.3 异议提出人对异议事项提出的请求和主张，有责任提供证据；只有自己陈述而不能提出其他相关证据的，对其请求和主张不予支持。</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14.4 异议提出人不得虚假异议、恶意异议，不得以异议为名排挤竞争对手，阻碍采购活动的正常进行。若出现该情况，视为无效异议，不再受理。</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（一）招标投标法第二十二条规定的招标投标保密信息。</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（二）应当保密的采购响应文件（但采购人提起异议时，采购响应文件不作为非法证据）。</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（三）招标投标法第四十四条规定保密的投标文件评审和比较情况、中标候选人推荐情况和评标有关的其他情况。</w:t>
      </w:r>
    </w:p>
    <w:p>
      <w:pPr>
        <w:autoSpaceDE w:val="0"/>
        <w:autoSpaceDN w:val="0"/>
        <w:adjustRightInd w:val="0"/>
        <w:spacing w:line="60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（四）其他依法应当保密的信息和资料。</w:t>
      </w:r>
    </w:p>
    <w:p>
      <w:pPr>
        <w:autoSpaceDE w:val="0"/>
        <w:autoSpaceDN w:val="0"/>
        <w:adjustRightIn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14.6 有下列情形之一的异议，不予受理：</w:t>
      </w:r>
    </w:p>
    <w:p>
      <w:pPr>
        <w:autoSpaceDE w:val="0"/>
        <w:autoSpaceDN w:val="0"/>
        <w:adjustRightIn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（一）异议事项不具体，且未提供有效线索、相关证据和证明材料，难以查证。</w:t>
      </w:r>
    </w:p>
    <w:p>
      <w:pPr>
        <w:autoSpaceDE w:val="0"/>
        <w:autoSpaceDN w:val="0"/>
        <w:adjustRightIn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（二）未署异议提出人真实姓名、签字和有效联系方式。</w:t>
      </w:r>
    </w:p>
    <w:p>
      <w:pPr>
        <w:autoSpaceDE w:val="0"/>
        <w:autoSpaceDN w:val="0"/>
        <w:adjustRightIn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（三）未经法定代表人或授权的委托代理人签字并加盖公章，或未经主要负责人或异议提出人本人签字。</w:t>
      </w:r>
    </w:p>
    <w:p>
      <w:pPr>
        <w:autoSpaceDE w:val="0"/>
        <w:autoSpaceDN w:val="0"/>
        <w:adjustRightIn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（四）不在结果公示期内的。</w:t>
      </w:r>
    </w:p>
    <w:p>
      <w:pPr>
        <w:autoSpaceDE w:val="0"/>
        <w:autoSpaceDN w:val="0"/>
        <w:adjustRightIn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（五）已对异议事项做出答复的。</w:t>
      </w:r>
    </w:p>
    <w:p>
      <w:pPr>
        <w:autoSpaceDE w:val="0"/>
        <w:autoSpaceDN w:val="0"/>
        <w:adjustRightIn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注：对竞争性比选文件内容的异议应在竞争性比选文件规定的质疑期内提出；对竞争性比选唱价环节的异议应在唱价环节提出。</w:t>
      </w:r>
    </w:p>
    <w:p>
      <w:pPr>
        <w:autoSpaceDE w:val="0"/>
        <w:autoSpaceDN w:val="0"/>
        <w:adjustRightIn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560" w:lineRule="exact"/>
        <w:ind w:firstLine="562" w:firstLineChars="200"/>
        <w:rPr>
          <w:rFonts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14:textFill>
            <w14:solidFill>
              <w14:schemeClr w14:val="tx1"/>
            </w14:solidFill>
          </w14:textFill>
        </w:rPr>
        <w:t>十六、监督部门</w:t>
      </w:r>
    </w:p>
    <w:p>
      <w:pPr>
        <w:autoSpaceDE w:val="0"/>
        <w:autoSpaceDN w:val="0"/>
        <w:adjustRightIn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重庆江北国际机场有限公司</w:t>
      </w:r>
    </w:p>
    <w:p>
      <w:pPr>
        <w:autoSpaceDE w:val="0"/>
        <w:autoSpaceDN w:val="0"/>
        <w:adjustRightIn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地址：重庆江北国际机场有限公司办公楼</w:t>
      </w:r>
    </w:p>
    <w:p>
      <w:pPr>
        <w:autoSpaceDE w:val="0"/>
        <w:autoSpaceDN w:val="0"/>
        <w:adjustRightIn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电话：023-67156296</w:t>
      </w:r>
    </w:p>
    <w:p>
      <w:pPr>
        <w:autoSpaceDE w:val="0"/>
        <w:autoSpaceDN w:val="0"/>
        <w:adjustRightInd w:val="0"/>
        <w:spacing w:line="5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十七、结果异议提交渠道</w:t>
      </w:r>
    </w:p>
    <w:p>
      <w:pPr>
        <w:autoSpaceDE w:val="0"/>
        <w:autoSpaceDN w:val="0"/>
        <w:adjustRightInd w:val="0"/>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560" w:lineRule="exact"/>
        <w:ind w:firstLine="551" w:firstLineChars="196"/>
        <w:rPr>
          <w:rFonts w:ascii="仿宋" w:hAnsi="仿宋" w:eastAsia="仿宋" w:cs="仿宋"/>
          <w:b/>
          <w:sz w:val="28"/>
          <w:szCs w:val="28"/>
        </w:rPr>
      </w:pPr>
      <w:r>
        <w:rPr>
          <w:rFonts w:hint="eastAsia" w:ascii="仿宋" w:hAnsi="仿宋" w:eastAsia="仿宋" w:cs="仿宋"/>
          <w:b/>
          <w:color w:val="000000"/>
          <w:sz w:val="28"/>
          <w:szCs w:val="28"/>
        </w:rPr>
        <w:t>十八、</w:t>
      </w:r>
      <w:r>
        <w:rPr>
          <w:rFonts w:hint="eastAsia" w:ascii="仿宋" w:hAnsi="仿宋" w:eastAsia="仿宋" w:cs="仿宋"/>
          <w:b/>
          <w:sz w:val="28"/>
          <w:szCs w:val="28"/>
        </w:rPr>
        <w:t>联系方式</w:t>
      </w:r>
    </w:p>
    <w:p>
      <w:pPr>
        <w:spacing w:line="560" w:lineRule="exact"/>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业主：</w:t>
      </w:r>
      <w:r>
        <w:rPr>
          <w:rFonts w:hint="eastAsia" w:ascii="仿宋" w:hAnsi="仿宋" w:eastAsia="仿宋" w:cs="仿宋"/>
          <w:color w:val="000000" w:themeColor="text1"/>
          <w:sz w:val="28"/>
          <w:szCs w:val="28"/>
          <w14:textFill>
            <w14:solidFill>
              <w14:schemeClr w14:val="tx1"/>
            </w14:solidFill>
          </w14:textFill>
        </w:rPr>
        <w:t>重庆江北国际机场有限公司</w:t>
      </w:r>
    </w:p>
    <w:p>
      <w:pPr>
        <w:spacing w:line="560" w:lineRule="exact"/>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联系人：</w:t>
      </w:r>
      <w:r>
        <w:rPr>
          <w:rFonts w:hint="eastAsia" w:ascii="仿宋" w:hAnsi="仿宋" w:eastAsia="仿宋" w:cs="仿宋"/>
          <w:color w:val="000000" w:themeColor="text1"/>
          <w:sz w:val="28"/>
          <w:szCs w:val="28"/>
          <w14:textFill>
            <w14:solidFill>
              <w14:schemeClr w14:val="tx1"/>
            </w14:solidFill>
          </w14:textFill>
        </w:rPr>
        <w:t>曾女士</w:t>
      </w:r>
      <w:r>
        <w:rPr>
          <w:rFonts w:ascii="仿宋" w:hAnsi="仿宋" w:eastAsia="仿宋"/>
          <w:color w:val="000000" w:themeColor="text1"/>
          <w:sz w:val="28"/>
          <w:szCs w:val="28"/>
          <w:lang w:val="zh-CN"/>
          <w14:textFill>
            <w14:solidFill>
              <w14:schemeClr w14:val="tx1"/>
            </w14:solidFill>
          </w14:textFill>
        </w:rPr>
        <w:t xml:space="preserve"> </w:t>
      </w:r>
    </w:p>
    <w:p>
      <w:pPr>
        <w:spacing w:line="56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电话：</w:t>
      </w:r>
      <w:r>
        <w:rPr>
          <w:rFonts w:hint="eastAsia" w:ascii="仿宋" w:hAnsi="仿宋" w:eastAsia="仿宋" w:cs="仿宋"/>
          <w:color w:val="000000" w:themeColor="text1"/>
          <w:sz w:val="28"/>
          <w:szCs w:val="28"/>
          <w14:textFill>
            <w14:solidFill>
              <w14:schemeClr w14:val="tx1"/>
            </w14:solidFill>
          </w14:textFill>
        </w:rPr>
        <w:t>023-67156296</w:t>
      </w:r>
    </w:p>
    <w:p>
      <w:pPr>
        <w:spacing w:line="560" w:lineRule="exact"/>
        <w:ind w:firstLine="560"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邮编：401120</w:t>
      </w: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竞争性比选办法（综合评估法）</w:t>
      </w:r>
    </w:p>
    <w:p>
      <w:pPr>
        <w:widowControl/>
        <w:adjustRightInd w:val="0"/>
        <w:snapToGrid w:val="0"/>
        <w:spacing w:line="460" w:lineRule="atLeast"/>
        <w:ind w:firstLine="560" w:firstLineChars="200"/>
        <w:jc w:val="left"/>
        <w:textAlignment w:val="bottom"/>
        <w:rPr>
          <w:rFonts w:ascii="仿宋" w:hAnsi="仿宋" w:eastAsia="仿宋" w:cs="仿宋"/>
          <w:sz w:val="28"/>
          <w:szCs w:val="28"/>
        </w:rPr>
      </w:pPr>
      <w:r>
        <w:rPr>
          <w:rFonts w:hint="eastAsia" w:ascii="仿宋" w:hAnsi="仿宋" w:eastAsia="仿宋" w:cs="仿宋"/>
          <w:sz w:val="28"/>
          <w:szCs w:val="28"/>
        </w:rPr>
        <w:t>本次</w:t>
      </w:r>
      <w:r>
        <w:rPr>
          <w:rFonts w:hint="eastAsia" w:ascii="仿宋" w:hAnsi="仿宋" w:eastAsia="仿宋" w:cs="仿宋"/>
          <w:color w:val="000000"/>
          <w:sz w:val="28"/>
          <w:szCs w:val="28"/>
        </w:rPr>
        <w:t>竞争性</w:t>
      </w:r>
      <w:r>
        <w:rPr>
          <w:rFonts w:hint="eastAsia" w:ascii="仿宋" w:hAnsi="仿宋" w:eastAsia="仿宋" w:cs="仿宋"/>
          <w:sz w:val="28"/>
          <w:szCs w:val="28"/>
        </w:rPr>
        <w:t>比选采取综合评估法。在经过响应性评审后对符合本文件基本要求的响应人进行详细评审，总得分为经济、技术、商务三种评定因素分别按照相应分值计算分项得分后相加，满分为100分，评审委员会根据综合得分从高到低排名前2的响应人作为拟成交候选人（若通过响应性评审的</w:t>
      </w:r>
      <w:r>
        <w:rPr>
          <w:rFonts w:hint="eastAsia" w:ascii="仿宋" w:hAnsi="仿宋" w:eastAsia="仿宋" w:cs="仿宋"/>
          <w:bCs/>
          <w:color w:val="000000"/>
          <w:sz w:val="28"/>
          <w:szCs w:val="28"/>
        </w:rPr>
        <w:t>比选响应人只有1名，则按单一来源采购方式确定结果）</w:t>
      </w:r>
      <w:r>
        <w:rPr>
          <w:rFonts w:hint="eastAsia" w:ascii="仿宋" w:hAnsi="仿宋" w:eastAsia="仿宋" w:cs="仿宋"/>
          <w:sz w:val="28"/>
          <w:szCs w:val="28"/>
        </w:rPr>
        <w:t>，采购人根据评审委员会提出的书面报告和推荐的拟成交候选人排名，确定排名第1的拟成交候选人为成交人。</w:t>
      </w:r>
    </w:p>
    <w:tbl>
      <w:tblPr>
        <w:tblStyle w:val="16"/>
        <w:tblpPr w:leftFromText="180" w:rightFromText="180" w:vertAnchor="text" w:tblpXSpec="center" w:tblpY="1"/>
        <w:tblOverlap w:val="never"/>
        <w:tblW w:w="1003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851"/>
        <w:gridCol w:w="1701"/>
        <w:gridCol w:w="6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55" w:type="dxa"/>
            <w:gridSpan w:val="2"/>
            <w:tcBorders>
              <w:bottom w:val="single" w:color="auto" w:sz="4" w:space="0"/>
              <w:right w:val="single" w:color="auto" w:sz="4" w:space="0"/>
            </w:tcBorders>
            <w:vAlign w:val="center"/>
          </w:tcPr>
          <w:p>
            <w:pPr>
              <w:spacing w:line="600" w:lineRule="exact"/>
              <w:jc w:val="center"/>
              <w:rPr>
                <w:rFonts w:ascii="宋体" w:hAnsi="宋体"/>
                <w:b/>
                <w:color w:val="000000" w:themeColor="text1"/>
                <w14:textFill>
                  <w14:solidFill>
                    <w14:schemeClr w14:val="tx1"/>
                  </w14:solidFill>
                </w14:textFill>
              </w:rPr>
            </w:pPr>
            <w:bookmarkStart w:id="3" w:name="_Hlk79764857"/>
            <w:r>
              <w:rPr>
                <w:rFonts w:hint="eastAsia" w:ascii="宋体" w:hAnsi="宋体"/>
                <w:b/>
                <w:color w:val="000000" w:themeColor="text1"/>
                <w14:textFill>
                  <w14:solidFill>
                    <w14:schemeClr w14:val="tx1"/>
                  </w14:solidFill>
                </w14:textFill>
              </w:rPr>
              <w:t>序</w:t>
            </w:r>
            <w:r>
              <w:rPr>
                <w:rFonts w:ascii="宋体" w:hAnsi="宋体"/>
                <w:b/>
                <w:color w:val="000000" w:themeColor="text1"/>
                <w14:textFill>
                  <w14:solidFill>
                    <w14:schemeClr w14:val="tx1"/>
                  </w14:solidFill>
                </w14:textFill>
              </w:rPr>
              <w:t>号</w:t>
            </w:r>
          </w:p>
        </w:tc>
        <w:tc>
          <w:tcPr>
            <w:tcW w:w="170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条款内容</w:t>
            </w:r>
          </w:p>
        </w:tc>
        <w:tc>
          <w:tcPr>
            <w:tcW w:w="67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b/>
                <w:color w:val="000000" w:themeColor="text1"/>
                <w14:textFill>
                  <w14:solidFill>
                    <w14:schemeClr w14:val="tx1"/>
                  </w14:solidFill>
                </w14:textFill>
              </w:rPr>
            </w:pPr>
            <w:r>
              <w:rPr>
                <w:rFonts w:ascii="宋体" w:hAnsi="宋体"/>
                <w:b/>
                <w:color w:val="000000" w:themeColor="text1"/>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55" w:type="dxa"/>
            <w:gridSpan w:val="2"/>
            <w:tcBorders>
              <w:bottom w:val="single" w:color="auto" w:sz="4" w:space="0"/>
              <w:right w:val="single" w:color="auto" w:sz="4" w:space="0"/>
            </w:tcBorders>
            <w:vAlign w:val="center"/>
          </w:tcPr>
          <w:p>
            <w:pPr>
              <w:spacing w:line="6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1701"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分值构成</w:t>
            </w:r>
          </w:p>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(总分100分)</w:t>
            </w:r>
          </w:p>
        </w:tc>
        <w:tc>
          <w:tcPr>
            <w:tcW w:w="6775"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技术部分：</w:t>
            </w:r>
            <w:r>
              <w:rPr>
                <w:rFonts w:ascii="仿宋" w:hAnsi="仿宋" w:eastAsia="仿宋"/>
                <w:color w:val="000000" w:themeColor="text1"/>
                <w:sz w:val="24"/>
                <w14:textFill>
                  <w14:solidFill>
                    <w14:schemeClr w14:val="tx1"/>
                  </w14:solidFill>
                </w14:textFill>
              </w:rPr>
              <w:t>20</w:t>
            </w:r>
            <w:r>
              <w:rPr>
                <w:rFonts w:hint="eastAsia" w:ascii="仿宋" w:hAnsi="仿宋" w:eastAsia="仿宋"/>
                <w:color w:val="000000" w:themeColor="text1"/>
                <w:sz w:val="24"/>
                <w14:textFill>
                  <w14:solidFill>
                    <w14:schemeClr w14:val="tx1"/>
                  </w14:solidFill>
                </w14:textFill>
              </w:rPr>
              <w:t>分</w:t>
            </w:r>
          </w:p>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经济部分：</w:t>
            </w:r>
            <w:r>
              <w:rPr>
                <w:rFonts w:ascii="仿宋" w:hAnsi="仿宋" w:eastAsia="仿宋"/>
                <w:color w:val="000000" w:themeColor="text1"/>
                <w:sz w:val="24"/>
                <w14:textFill>
                  <w14:solidFill>
                    <w14:schemeClr w14:val="tx1"/>
                  </w14:solidFill>
                </w14:textFill>
              </w:rPr>
              <w:t>80</w:t>
            </w:r>
            <w:r>
              <w:rPr>
                <w:rFonts w:hint="eastAsia" w:ascii="仿宋" w:hAnsi="仿宋" w:eastAsia="仿宋"/>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555" w:type="dxa"/>
            <w:gridSpan w:val="2"/>
            <w:tcBorders>
              <w:top w:val="single" w:color="auto" w:sz="4" w:space="0"/>
              <w:right w:val="single" w:color="auto" w:sz="4" w:space="0"/>
            </w:tcBorders>
            <w:vAlign w:val="center"/>
          </w:tcPr>
          <w:p>
            <w:pPr>
              <w:spacing w:line="6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评标基准价计算方法</w:t>
            </w:r>
          </w:p>
        </w:tc>
        <w:tc>
          <w:tcPr>
            <w:tcW w:w="6775"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olor w:val="000000" w:themeColor="text1"/>
                <w:sz w:val="24"/>
                <w:highlight w:val="yellow"/>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在比选人公布的控制价以内的所有经初步评审合格的投标人的报价中去掉其中（有效报价不足六家（含）报价则不去掉）的最高价和最低价后进行算术平均，为评标基础报价。报价等于评标基础报价的，得80分；除80分情况以外的其他报价，按照以下标准计算分值：报价每高于评标基础报价的1%，扣1分，报价每低于评标基础报价的</w:t>
            </w:r>
            <w:r>
              <w:rPr>
                <w:rFonts w:ascii="仿宋" w:hAnsi="仿宋" w:eastAsia="仿宋"/>
                <w:color w:val="000000" w:themeColor="text1"/>
                <w:sz w:val="24"/>
                <w14:textFill>
                  <w14:solidFill>
                    <w14:schemeClr w14:val="tx1"/>
                  </w14:solidFill>
                </w14:textFill>
              </w:rPr>
              <w:t>1%，扣0.5分</w:t>
            </w:r>
            <w:r>
              <w:rPr>
                <w:rFonts w:hint="eastAsia" w:ascii="仿宋" w:hAnsi="仿宋" w:eastAsia="仿宋"/>
                <w:color w:val="000000" w:themeColor="text1"/>
                <w:sz w:val="24"/>
                <w14:textFill>
                  <w14:solidFill>
                    <w14:schemeClr w14:val="tx1"/>
                  </w14:solidFill>
                </w14:textFill>
              </w:rPr>
              <w:t>，以此类推直至扣完为止。（保留小数点后两位，第三位四舍五入。）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1555" w:type="dxa"/>
            <w:gridSpan w:val="2"/>
            <w:tcBorders>
              <w:top w:val="single" w:color="auto" w:sz="4" w:space="0"/>
              <w:bottom w:val="single" w:color="auto" w:sz="4" w:space="0"/>
              <w:right w:val="single" w:color="auto" w:sz="4" w:space="0"/>
            </w:tcBorders>
            <w:vAlign w:val="center"/>
          </w:tcPr>
          <w:p>
            <w:pPr>
              <w:spacing w:line="6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p>
        </w:tc>
        <w:tc>
          <w:tcPr>
            <w:tcW w:w="1701" w:type="dxa"/>
            <w:tcBorders>
              <w:top w:val="single" w:color="auto" w:sz="4" w:space="0"/>
              <w:left w:val="single" w:color="auto" w:sz="4" w:space="0"/>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报价的偏差率</w:t>
            </w:r>
          </w:p>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计算公式</w:t>
            </w:r>
          </w:p>
        </w:tc>
        <w:tc>
          <w:tcPr>
            <w:tcW w:w="6775" w:type="dxa"/>
            <w:tcBorders>
              <w:top w:val="single" w:color="auto" w:sz="4" w:space="0"/>
              <w:left w:val="single" w:color="auto" w:sz="4" w:space="0"/>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偏差率=100% ×（响应人报价－评标基准价）/评标基准价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trPr>
        <w:tc>
          <w:tcPr>
            <w:tcW w:w="704" w:type="dxa"/>
            <w:vMerge w:val="restart"/>
            <w:tcBorders>
              <w:top w:val="single" w:color="auto" w:sz="4" w:space="0"/>
              <w:right w:val="single" w:color="auto" w:sz="4" w:space="0"/>
            </w:tcBorders>
            <w:vAlign w:val="center"/>
          </w:tcPr>
          <w:p>
            <w:pPr>
              <w:spacing w:line="6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1</w:t>
            </w:r>
          </w:p>
        </w:tc>
        <w:tc>
          <w:tcPr>
            <w:tcW w:w="851" w:type="dxa"/>
            <w:vMerge w:val="restart"/>
            <w:tcBorders>
              <w:top w:val="single" w:color="auto" w:sz="4" w:space="0"/>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技术部分标准</w:t>
            </w:r>
          </w:p>
          <w:p>
            <w:pPr>
              <w:pStyle w:val="9"/>
              <w:spacing w:line="600" w:lineRule="exact"/>
              <w:rPr>
                <w:color w:val="000000" w:themeColor="text1"/>
                <w14:textFill>
                  <w14:solidFill>
                    <w14:schemeClr w14:val="tx1"/>
                  </w14:solidFill>
                </w14:textFill>
              </w:rPr>
            </w:pPr>
            <w:r>
              <w:rPr>
                <w:rFonts w:hint="eastAsia" w:ascii="仿宋" w:hAnsi="仿宋" w:eastAsia="仿宋"/>
                <w:b w:val="0"/>
                <w:color w:val="000000" w:themeColor="text1"/>
                <w:sz w:val="24"/>
                <w14:textFill>
                  <w14:solidFill>
                    <w14:schemeClr w14:val="tx1"/>
                  </w14:solidFill>
                </w14:textFill>
              </w:rPr>
              <w:t>（A）</w:t>
            </w:r>
          </w:p>
        </w:tc>
        <w:tc>
          <w:tcPr>
            <w:tcW w:w="1701" w:type="dxa"/>
            <w:tcBorders>
              <w:top w:val="single" w:color="auto" w:sz="4" w:space="0"/>
              <w:left w:val="single" w:color="auto" w:sz="4" w:space="0"/>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技术方案</w:t>
            </w:r>
          </w:p>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分）</w:t>
            </w:r>
          </w:p>
        </w:tc>
        <w:tc>
          <w:tcPr>
            <w:tcW w:w="6775" w:type="dxa"/>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根据建设项目的技术方案，软硬件架构设计安全合理，功能模块设计完善，具有可执行性。优秀的得6-8分，良好的得4-6分；一般的得2-4分；差的得0-2分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05" w:hRule="atLeast"/>
        </w:trPr>
        <w:tc>
          <w:tcPr>
            <w:tcW w:w="704" w:type="dxa"/>
            <w:vMerge w:val="continue"/>
            <w:tcBorders>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p>
        </w:tc>
        <w:tc>
          <w:tcPr>
            <w:tcW w:w="851" w:type="dxa"/>
            <w:vMerge w:val="continue"/>
            <w:tcBorders>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p>
        </w:tc>
        <w:tc>
          <w:tcPr>
            <w:tcW w:w="1701" w:type="dxa"/>
            <w:tcBorders>
              <w:top w:val="single" w:color="auto" w:sz="4" w:space="0"/>
              <w:left w:val="single" w:color="auto" w:sz="4" w:space="0"/>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项目进度计划（4分）</w:t>
            </w:r>
          </w:p>
        </w:tc>
        <w:tc>
          <w:tcPr>
            <w:tcW w:w="6775" w:type="dxa"/>
            <w:tcBorders>
              <w:top w:val="single" w:color="auto" w:sz="4" w:space="0"/>
              <w:left w:val="single" w:color="auto" w:sz="4" w:space="0"/>
              <w:bottom w:val="single" w:color="auto" w:sz="4" w:space="0"/>
              <w:right w:val="single" w:color="auto" w:sz="4" w:space="0"/>
            </w:tcBorders>
          </w:tcPr>
          <w:p>
            <w:pPr>
              <w:snapToGrid w:val="0"/>
              <w:spacing w:line="6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制定详细的项目进度计划表，进度计划的合理、全面，根据功能模块设计有明确的时间节点，关键线路的清晰。优秀的得3-4分；良好的得1-2分；较差的得0-1分。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35" w:hRule="atLeast"/>
        </w:trPr>
        <w:tc>
          <w:tcPr>
            <w:tcW w:w="704" w:type="dxa"/>
            <w:vMerge w:val="continue"/>
            <w:tcBorders>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p>
        </w:tc>
        <w:tc>
          <w:tcPr>
            <w:tcW w:w="851" w:type="dxa"/>
            <w:vMerge w:val="continue"/>
            <w:tcBorders>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计算机类工程师数量</w:t>
            </w:r>
          </w:p>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（3分）</w:t>
            </w:r>
          </w:p>
        </w:tc>
        <w:tc>
          <w:tcPr>
            <w:tcW w:w="6775" w:type="dxa"/>
            <w:tcBorders>
              <w:top w:val="single" w:color="auto" w:sz="4" w:space="0"/>
              <w:left w:val="single" w:color="auto" w:sz="4" w:space="0"/>
              <w:bottom w:val="single" w:color="auto" w:sz="4" w:space="0"/>
              <w:right w:val="single" w:color="auto" w:sz="4" w:space="0"/>
            </w:tcBorders>
          </w:tcPr>
          <w:p>
            <w:pPr>
              <w:tabs>
                <w:tab w:val="left" w:pos="546"/>
                <w:tab w:val="left" w:pos="711"/>
              </w:tabs>
              <w:snapToGrid w:val="0"/>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实施服务初级及以上工程师5人及以上，得3分。</w:t>
            </w:r>
          </w:p>
          <w:p>
            <w:pPr>
              <w:tabs>
                <w:tab w:val="left" w:pos="546"/>
                <w:tab w:val="left" w:pos="711"/>
              </w:tabs>
              <w:snapToGrid w:val="0"/>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实施服务初级及以上工程师3人及以上，得1分。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71" w:hRule="atLeast"/>
        </w:trPr>
        <w:tc>
          <w:tcPr>
            <w:tcW w:w="704" w:type="dxa"/>
            <w:vMerge w:val="continue"/>
            <w:tcBorders>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p>
        </w:tc>
        <w:tc>
          <w:tcPr>
            <w:tcW w:w="851" w:type="dxa"/>
            <w:vMerge w:val="continue"/>
            <w:tcBorders>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p>
        </w:tc>
        <w:tc>
          <w:tcPr>
            <w:tcW w:w="1701" w:type="dxa"/>
            <w:tcBorders>
              <w:top w:val="single" w:color="auto" w:sz="4" w:space="0"/>
              <w:left w:val="single" w:color="auto" w:sz="4" w:space="0"/>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维保情况（3分）</w:t>
            </w:r>
          </w:p>
        </w:tc>
        <w:tc>
          <w:tcPr>
            <w:tcW w:w="6775" w:type="dxa"/>
            <w:tcBorders>
              <w:top w:val="single" w:color="auto" w:sz="4" w:space="0"/>
              <w:left w:val="single" w:color="auto" w:sz="4" w:space="0"/>
              <w:right w:val="single" w:color="auto" w:sz="4" w:space="0"/>
            </w:tcBorders>
          </w:tcPr>
          <w:p>
            <w:pPr>
              <w:tabs>
                <w:tab w:val="left" w:pos="546"/>
                <w:tab w:val="left" w:pos="711"/>
              </w:tabs>
              <w:snapToGrid w:val="0"/>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两年质保后，根据维保费用收取金额由低到高进行排序，第一位得3分，第二位得2分，第三位1分，其余不得分。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1" w:hRule="atLeast"/>
        </w:trPr>
        <w:tc>
          <w:tcPr>
            <w:tcW w:w="704" w:type="dxa"/>
            <w:tcBorders>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p>
        </w:tc>
        <w:tc>
          <w:tcPr>
            <w:tcW w:w="851" w:type="dxa"/>
            <w:tcBorders>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p>
        </w:tc>
        <w:tc>
          <w:tcPr>
            <w:tcW w:w="1701" w:type="dxa"/>
            <w:tcBorders>
              <w:top w:val="single" w:color="auto" w:sz="4" w:space="0"/>
              <w:left w:val="single" w:color="auto" w:sz="4" w:space="0"/>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项目经验（2分）</w:t>
            </w:r>
          </w:p>
        </w:tc>
        <w:tc>
          <w:tcPr>
            <w:tcW w:w="6775" w:type="dxa"/>
            <w:tcBorders>
              <w:top w:val="single" w:color="auto" w:sz="4" w:space="0"/>
              <w:left w:val="single" w:color="auto" w:sz="4" w:space="0"/>
              <w:right w:val="single" w:color="auto" w:sz="4" w:space="0"/>
            </w:tcBorders>
          </w:tcPr>
          <w:p>
            <w:pPr>
              <w:tabs>
                <w:tab w:val="left" w:pos="546"/>
                <w:tab w:val="left" w:pos="711"/>
              </w:tabs>
              <w:snapToGrid w:val="0"/>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具有类似系统建设经验，并提供相应合同证明材料。根据经验情况得分，总分2分，不具有相关经验的得0分。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3" w:hRule="atLeast"/>
        </w:trPr>
        <w:tc>
          <w:tcPr>
            <w:tcW w:w="704" w:type="dxa"/>
            <w:tcBorders>
              <w:top w:val="single" w:color="auto" w:sz="4" w:space="0"/>
              <w:right w:val="single" w:color="auto" w:sz="4" w:space="0"/>
            </w:tcBorders>
            <w:vAlign w:val="center"/>
          </w:tcPr>
          <w:p>
            <w:pPr>
              <w:spacing w:line="6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2</w:t>
            </w:r>
          </w:p>
        </w:tc>
        <w:tc>
          <w:tcPr>
            <w:tcW w:w="851" w:type="dxa"/>
            <w:tcBorders>
              <w:top w:val="single" w:color="auto" w:sz="4" w:space="0"/>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报价部分（B）</w:t>
            </w:r>
          </w:p>
        </w:tc>
        <w:tc>
          <w:tcPr>
            <w:tcW w:w="170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总费用报价（</w:t>
            </w:r>
            <w:r>
              <w:rPr>
                <w:rFonts w:ascii="仿宋" w:hAnsi="仿宋" w:eastAsia="仿宋"/>
                <w:color w:val="000000" w:themeColor="text1"/>
                <w:sz w:val="24"/>
                <w14:textFill>
                  <w14:solidFill>
                    <w14:schemeClr w14:val="tx1"/>
                  </w14:solidFill>
                </w14:textFill>
              </w:rPr>
              <w:t>80</w:t>
            </w:r>
            <w:r>
              <w:rPr>
                <w:rFonts w:hint="eastAsia" w:ascii="仿宋" w:hAnsi="仿宋" w:eastAsia="仿宋"/>
                <w:color w:val="000000" w:themeColor="text1"/>
                <w:sz w:val="24"/>
                <w14:textFill>
                  <w14:solidFill>
                    <w14:schemeClr w14:val="tx1"/>
                  </w14:solidFill>
                </w14:textFill>
              </w:rPr>
              <w:t>分）</w:t>
            </w:r>
          </w:p>
        </w:tc>
        <w:tc>
          <w:tcPr>
            <w:tcW w:w="6775"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包含本次系统建设所有报价。响应人的报价与评标基准价相比，相同得80分，每增加1%扣1分，每减少1%扣0.5分，扣完为止。</w:t>
            </w:r>
          </w:p>
          <w:p>
            <w:pPr>
              <w:spacing w:line="6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trPr>
        <w:tc>
          <w:tcPr>
            <w:tcW w:w="704" w:type="dxa"/>
            <w:tcBorders>
              <w:top w:val="single" w:color="auto" w:sz="4" w:space="0"/>
              <w:bottom w:val="single" w:color="auto" w:sz="4" w:space="0"/>
              <w:right w:val="single" w:color="auto" w:sz="4" w:space="0"/>
            </w:tcBorders>
            <w:vAlign w:val="center"/>
          </w:tcPr>
          <w:p>
            <w:pPr>
              <w:spacing w:line="6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851" w:type="dxa"/>
            <w:tcBorders>
              <w:top w:val="single" w:color="auto" w:sz="4" w:space="0"/>
              <w:bottom w:val="single" w:color="auto" w:sz="4" w:space="0"/>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响应人得分</w:t>
            </w:r>
          </w:p>
        </w:tc>
        <w:tc>
          <w:tcPr>
            <w:tcW w:w="847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响应人得分=A+B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trPr>
        <w:tc>
          <w:tcPr>
            <w:tcW w:w="704" w:type="dxa"/>
            <w:tcBorders>
              <w:top w:val="single" w:color="auto" w:sz="4" w:space="0"/>
              <w:bottom w:val="single" w:color="auto" w:sz="4" w:space="0"/>
              <w:right w:val="single" w:color="auto" w:sz="4" w:space="0"/>
            </w:tcBorders>
            <w:vAlign w:val="center"/>
          </w:tcPr>
          <w:p>
            <w:pPr>
              <w:spacing w:line="600" w:lineRule="exact"/>
              <w:jc w:val="center"/>
              <w:rPr>
                <w:rFonts w:ascii="仿宋" w:hAnsi="仿宋" w:eastAsia="仿宋"/>
                <w:color w:val="000000" w:themeColor="text1"/>
                <w:sz w:val="24"/>
                <w14:textFill>
                  <w14:solidFill>
                    <w14:schemeClr w14:val="tx1"/>
                  </w14:solidFill>
                </w14:textFill>
              </w:rPr>
            </w:pPr>
          </w:p>
        </w:tc>
        <w:tc>
          <w:tcPr>
            <w:tcW w:w="851" w:type="dxa"/>
            <w:tcBorders>
              <w:top w:val="single" w:color="auto" w:sz="4" w:space="0"/>
              <w:bottom w:val="single" w:color="auto" w:sz="4" w:space="0"/>
              <w:right w:val="single" w:color="auto" w:sz="4" w:space="0"/>
            </w:tcBorders>
            <w:vAlign w:val="center"/>
          </w:tcPr>
          <w:p>
            <w:pPr>
              <w:spacing w:line="60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评审程序</w:t>
            </w:r>
          </w:p>
        </w:tc>
        <w:tc>
          <w:tcPr>
            <w:tcW w:w="8476"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1.评分分值计算保留小数点后两位，第三位四舍五入。响应人最终得分=技术部分得分+经济部分得分。</w:t>
            </w:r>
          </w:p>
          <w:p>
            <w:pPr>
              <w:spacing w:line="6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 按照竞争性比选文件的规定对所有竞争性比选响应文件进行响应性评审，只有通过响应性评审的竞争性比选响应文件才能进行后续评审。</w:t>
            </w:r>
          </w:p>
          <w:p>
            <w:pPr>
              <w:spacing w:line="6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3.详细评审，按  1.2.2 规定对响应报价有算术性错误的进行修正，并按修正后的经济部分报价进行后续评审。</w:t>
            </w:r>
          </w:p>
          <w:p>
            <w:pPr>
              <w:spacing w:line="6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按本章办法进行评审，评审委员会根据综合得分从高到底排名前2的响应人作为拟成交候选人（若通过响应性评审的比选响应人只有1名，则按单一来源采购方式确定结果），采购人根据评审委员会提出的书面报告和推荐的拟成交候选人排名，确定排名第1的拟成交候选人为成交人。</w:t>
            </w:r>
          </w:p>
          <w:p>
            <w:pPr>
              <w:spacing w:line="6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5.如经过对所有比选响应人的比选响应文件进行评审，有效比选响应不足三个使得比选明显缺乏竞争的，评审委员会可以否决全部比选响应人。</w:t>
            </w:r>
          </w:p>
        </w:tc>
      </w:tr>
      <w:bookmarkEnd w:id="3"/>
    </w:tbl>
    <w:p>
      <w:pPr>
        <w:rPr>
          <w:lang w:val="zh-CN"/>
        </w:rPr>
        <w:sectPr>
          <w:headerReference r:id="rId4" w:type="default"/>
          <w:footerReference r:id="rId5" w:type="default"/>
          <w:pgSz w:w="11900" w:h="16840"/>
          <w:pgMar w:top="1417" w:right="1417" w:bottom="1417" w:left="1417" w:header="851" w:footer="992" w:gutter="0"/>
          <w:cols w:space="720" w:num="1"/>
          <w:docGrid w:type="lines" w:linePitch="312" w:charSpace="0"/>
        </w:sectPr>
      </w:pPr>
    </w:p>
    <w:p>
      <w:pPr>
        <w:snapToGrid w:val="0"/>
        <w:spacing w:line="460" w:lineRule="exact"/>
        <w:rPr>
          <w:rFonts w:ascii="仿宋" w:hAnsi="仿宋" w:eastAsia="仿宋" w:cs="仿宋"/>
          <w:sz w:val="28"/>
          <w:szCs w:val="28"/>
        </w:rPr>
      </w:pPr>
      <w:r>
        <w:rPr>
          <w:rFonts w:hint="eastAsia" w:ascii="仿宋" w:hAnsi="仿宋" w:eastAsia="仿宋"/>
          <w:b/>
          <w:bCs/>
          <w:color w:val="000000" w:themeColor="text1"/>
          <w:sz w:val="28"/>
          <w:szCs w:val="28"/>
          <w14:textFill>
            <w14:solidFill>
              <w14:schemeClr w14:val="tx1"/>
            </w14:solidFill>
          </w14:textFill>
        </w:rPr>
        <w:t xml:space="preserve"> </w:t>
      </w:r>
      <w:r>
        <w:rPr>
          <w:rFonts w:ascii="仿宋" w:hAnsi="仿宋" w:eastAsia="仿宋"/>
          <w:b/>
          <w:bCs/>
          <w:color w:val="000000" w:themeColor="text1"/>
          <w:sz w:val="28"/>
          <w:szCs w:val="28"/>
          <w14:textFill>
            <w14:solidFill>
              <w14:schemeClr w14:val="tx1"/>
            </w14:solidFill>
          </w14:textFill>
        </w:rPr>
        <w:t xml:space="preserve">  </w:t>
      </w:r>
      <w:r>
        <w:rPr>
          <w:rFonts w:hint="eastAsia" w:ascii="仿宋" w:hAnsi="仿宋" w:eastAsia="仿宋" w:cs="仿宋"/>
          <w:b/>
          <w:bCs/>
          <w:sz w:val="28"/>
          <w:szCs w:val="28"/>
        </w:rPr>
        <w:t>附件1：</w:t>
      </w:r>
    </w:p>
    <w:p>
      <w:pPr>
        <w:spacing w:line="460" w:lineRule="exact"/>
        <w:jc w:val="center"/>
        <w:rPr>
          <w:rFonts w:ascii="仿宋" w:hAnsi="仿宋" w:eastAsia="仿宋" w:cs="仿宋"/>
          <w:b/>
          <w:sz w:val="32"/>
          <w:szCs w:val="32"/>
        </w:rPr>
      </w:pPr>
      <w:r>
        <w:rPr>
          <w:rFonts w:hint="eastAsia" w:ascii="仿宋" w:hAnsi="仿宋" w:eastAsia="仿宋" w:cs="仿宋"/>
          <w:b/>
          <w:sz w:val="32"/>
          <w:szCs w:val="32"/>
        </w:rPr>
        <w:t>报价函</w:t>
      </w:r>
    </w:p>
    <w:p>
      <w:pPr>
        <w:spacing w:line="460" w:lineRule="exact"/>
        <w:jc w:val="left"/>
        <w:rPr>
          <w:rFonts w:ascii="仿宋" w:hAnsi="仿宋" w:eastAsia="仿宋" w:cs="仿宋"/>
          <w:sz w:val="28"/>
          <w:szCs w:val="28"/>
        </w:rPr>
      </w:pPr>
      <w:r>
        <w:rPr>
          <w:rFonts w:hint="eastAsia" w:ascii="仿宋" w:hAnsi="仿宋" w:eastAsia="仿宋" w:cs="仿宋"/>
          <w:sz w:val="28"/>
          <w:szCs w:val="28"/>
        </w:rPr>
        <w:t>重庆江北国际机场有限公司：</w:t>
      </w:r>
    </w:p>
    <w:p>
      <w:pPr>
        <w:tabs>
          <w:tab w:val="left" w:pos="2090"/>
          <w:tab w:val="left" w:pos="3520"/>
          <w:tab w:val="left" w:pos="5715"/>
          <w:tab w:val="left" w:pos="6945"/>
          <w:tab w:val="left" w:pos="8260"/>
        </w:tabs>
        <w:autoSpaceDE w:val="0"/>
        <w:autoSpaceDN w:val="0"/>
        <w:adjustRightInd w:val="0"/>
        <w:spacing w:line="560" w:lineRule="exact"/>
        <w:ind w:left="120" w:leftChars="57" w:right="94"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rPr>
        <w:tab/>
      </w:r>
      <w:r>
        <w:rPr>
          <w:rFonts w:hint="eastAsia" w:ascii="仿宋" w:hAnsi="仿宋" w:eastAsia="仿宋" w:cs="仿宋"/>
          <w:sz w:val="28"/>
          <w:szCs w:val="28"/>
          <w:u w:val="single"/>
        </w:rPr>
        <w:t>（项目名称）</w:t>
      </w:r>
      <w:r>
        <w:rPr>
          <w:rFonts w:hint="eastAsia" w:ascii="仿宋" w:hAnsi="仿宋" w:eastAsia="仿宋" w:cs="仿宋"/>
          <w:sz w:val="28"/>
          <w:szCs w:val="28"/>
        </w:rPr>
        <w:t>项目</w:t>
      </w:r>
      <w:r>
        <w:rPr>
          <w:rFonts w:hint="eastAsia" w:ascii="仿宋" w:hAnsi="仿宋" w:eastAsia="仿宋" w:cs="仿宋"/>
          <w:color w:val="000000"/>
          <w:sz w:val="28"/>
          <w:szCs w:val="28"/>
        </w:rPr>
        <w:t>竞争性</w:t>
      </w:r>
      <w:r>
        <w:rPr>
          <w:rFonts w:hint="eastAsia" w:ascii="仿宋" w:hAnsi="仿宋" w:eastAsia="仿宋" w:cs="仿宋"/>
          <w:sz w:val="28"/>
          <w:szCs w:val="28"/>
        </w:rPr>
        <w:t>比选文件的全部内容，愿意以人民币</w:t>
      </w:r>
      <w:r>
        <w:rPr>
          <w:rFonts w:hint="eastAsia" w:ascii="仿宋" w:hAnsi="仿宋" w:eastAsia="仿宋" w:cs="仿宋"/>
          <w:sz w:val="28"/>
          <w:szCs w:val="28"/>
          <w:u w:val="single"/>
        </w:rPr>
        <w:t xml:space="preserve">（大写） </w:t>
      </w:r>
      <w:r>
        <w:rPr>
          <w:rFonts w:ascii="仿宋" w:hAnsi="仿宋" w:eastAsia="仿宋" w:cs="仿宋"/>
          <w:sz w:val="28"/>
          <w:szCs w:val="28"/>
          <w:u w:val="single"/>
        </w:rPr>
        <w:t xml:space="preserve"> </w:t>
      </w:r>
      <w:r>
        <w:rPr>
          <w:rFonts w:hint="eastAsia" w:ascii="仿宋" w:hAnsi="仿宋" w:eastAsia="仿宋" w:cs="仿宋"/>
          <w:sz w:val="28"/>
          <w:szCs w:val="28"/>
          <w:u w:val="single"/>
        </w:rPr>
        <w:tab/>
      </w:r>
      <w:r>
        <w:rPr>
          <w:rFonts w:hint="eastAsia" w:ascii="仿宋" w:hAnsi="仿宋" w:eastAsia="仿宋" w:cs="仿宋"/>
          <w:sz w:val="28"/>
          <w:szCs w:val="28"/>
          <w:u w:val="single"/>
        </w:rPr>
        <w:t>元（¥</w:t>
      </w:r>
      <w:r>
        <w:rPr>
          <w:rFonts w:hint="eastAsia" w:ascii="仿宋" w:hAnsi="仿宋" w:eastAsia="仿宋" w:cs="仿宋"/>
          <w:sz w:val="28"/>
          <w:szCs w:val="28"/>
          <w:u w:val="single"/>
        </w:rPr>
        <w:tab/>
      </w:r>
      <w:r>
        <w:rPr>
          <w:rFonts w:hint="eastAsia" w:ascii="仿宋" w:hAnsi="仿宋" w:eastAsia="仿宋" w:cs="仿宋"/>
          <w:sz w:val="28"/>
          <w:szCs w:val="28"/>
          <w:u w:val="single"/>
        </w:rPr>
        <w:t>）</w:t>
      </w:r>
      <w:r>
        <w:rPr>
          <w:rFonts w:hint="eastAsia" w:ascii="仿宋" w:hAnsi="仿宋" w:eastAsia="仿宋" w:cs="仿宋"/>
          <w:b/>
          <w:bCs/>
          <w:sz w:val="28"/>
          <w:szCs w:val="28"/>
        </w:rPr>
        <w:t>不含增值税</w:t>
      </w:r>
      <w:r>
        <w:rPr>
          <w:rFonts w:hint="eastAsia" w:ascii="仿宋" w:hAnsi="仿宋" w:eastAsia="仿宋" w:cs="仿宋"/>
          <w:sz w:val="28"/>
          <w:szCs w:val="28"/>
        </w:rPr>
        <w:t>的总报价，增值税税率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，工期</w:t>
      </w:r>
      <w:r>
        <w:rPr>
          <w:rFonts w:hint="eastAsia" w:ascii="仿宋" w:hAnsi="仿宋" w:eastAsia="仿宋" w:cs="仿宋"/>
          <w:sz w:val="28"/>
          <w:szCs w:val="28"/>
          <w:u w:val="single"/>
        </w:rPr>
        <w:t xml:space="preserve">     </w:t>
      </w:r>
      <w:r>
        <w:rPr>
          <w:rFonts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color w:val="000000" w:themeColor="text1"/>
          <w:sz w:val="28"/>
          <w:szCs w:val="28"/>
          <w14:textFill>
            <w14:solidFill>
              <w14:schemeClr w14:val="tx1"/>
            </w14:solidFill>
          </w14:textFill>
        </w:rPr>
        <w:t>两年质保期满后，每年维保费用为人民币（大写）</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元（</w:t>
      </w:r>
      <w:r>
        <w:rPr>
          <w:rFonts w:hint="eastAsia" w:ascii="仿宋" w:hAnsi="仿宋" w:eastAsia="仿宋" w:cs="仿宋"/>
          <w:sz w:val="28"/>
          <w:szCs w:val="28"/>
          <w:u w:val="single"/>
        </w:rPr>
        <w:t>¥</w:t>
      </w:r>
      <w:r>
        <w:rPr>
          <w:rFonts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）按合同约定实施和完成承包项目的全部工作。</w:t>
      </w:r>
    </w:p>
    <w:p>
      <w:pPr>
        <w:autoSpaceDE w:val="0"/>
        <w:autoSpaceDN w:val="0"/>
        <w:adjustRightInd w:val="0"/>
        <w:spacing w:before="15"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2．我方承诺在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3．如我方成交：</w:t>
      </w:r>
    </w:p>
    <w:p>
      <w:pPr>
        <w:autoSpaceDE w:val="0"/>
        <w:autoSpaceDN w:val="0"/>
        <w:adjustRightInd w:val="0"/>
        <w:spacing w:line="460" w:lineRule="exact"/>
        <w:ind w:right="-80" w:firstLine="560" w:firstLineChars="200"/>
        <w:jc w:val="left"/>
        <w:rPr>
          <w:rFonts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autoSpaceDE w:val="0"/>
        <w:autoSpaceDN w:val="0"/>
        <w:adjustRightInd w:val="0"/>
        <w:spacing w:line="460" w:lineRule="exact"/>
        <w:ind w:right="-20" w:firstLine="560" w:firstLineChars="200"/>
        <w:jc w:val="left"/>
        <w:rPr>
          <w:rFonts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autoSpaceDE w:val="0"/>
        <w:autoSpaceDN w:val="0"/>
        <w:adjustRightInd w:val="0"/>
        <w:spacing w:line="46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4．我方在此声明，所递交的</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比选响应文件及有关资料内容完整、真实和准确。</w:t>
      </w:r>
    </w:p>
    <w:p>
      <w:pPr>
        <w:autoSpaceDE w:val="0"/>
        <w:autoSpaceDN w:val="0"/>
        <w:adjustRightInd w:val="0"/>
        <w:spacing w:line="460" w:lineRule="exact"/>
        <w:ind w:left="120" w:right="-9" w:firstLine="560" w:firstLineChars="200"/>
        <w:jc w:val="left"/>
        <w:rPr>
          <w:rFonts w:ascii="仿宋" w:hAnsi="仿宋" w:eastAsia="仿宋" w:cs="仿宋"/>
          <w:sz w:val="28"/>
          <w:szCs w:val="28"/>
        </w:rPr>
      </w:pPr>
      <w:r>
        <w:rPr>
          <w:rFonts w:hint="eastAsia" w:ascii="仿宋" w:hAnsi="仿宋" w:eastAsia="仿宋" w:cs="仿宋"/>
          <w:sz w:val="28"/>
          <w:szCs w:val="28"/>
        </w:rPr>
        <w:t>5．除非达到另外协议并生效，你方的成交通知书和本</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比选响应文件将成为约束双方的合同文件组成部分。</w:t>
      </w:r>
    </w:p>
    <w:p>
      <w:pPr>
        <w:tabs>
          <w:tab w:val="left" w:pos="7140"/>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响应人全称：</w:t>
      </w:r>
      <w:r>
        <w:rPr>
          <w:rFonts w:hint="eastAsia" w:ascii="仿宋" w:hAnsi="仿宋" w:eastAsia="仿宋" w:cs="仿宋"/>
          <w:sz w:val="28"/>
          <w:szCs w:val="28"/>
          <w:u w:val="single"/>
        </w:rPr>
        <w:t xml:space="preserve">         （加盖单位公章）</w:t>
      </w:r>
    </w:p>
    <w:p>
      <w:pPr>
        <w:tabs>
          <w:tab w:val="left" w:pos="7140"/>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tabs>
          <w:tab w:val="left" w:pos="7035"/>
          <w:tab w:val="left" w:pos="7560"/>
          <w:tab w:val="left" w:pos="8300"/>
        </w:tabs>
        <w:autoSpaceDE w:val="0"/>
        <w:autoSpaceDN w:val="0"/>
        <w:adjustRightInd w:val="0"/>
        <w:spacing w:line="460" w:lineRule="exact"/>
        <w:ind w:right="210" w:firstLine="756" w:firstLineChars="270"/>
        <w:jc w:val="left"/>
        <w:rPr>
          <w:rFonts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p>
    <w:p>
      <w:pPr>
        <w:tabs>
          <w:tab w:val="left" w:pos="6000"/>
          <w:tab w:val="left" w:pos="7040"/>
          <w:tab w:val="left" w:pos="8100"/>
        </w:tabs>
        <w:autoSpaceDE w:val="0"/>
        <w:autoSpaceDN w:val="0"/>
        <w:adjustRightInd w:val="0"/>
        <w:spacing w:line="460" w:lineRule="exact"/>
        <w:ind w:left="2246" w:leftChars="571" w:right="-20" w:hanging="1047" w:hangingChars="374"/>
        <w:jc w:val="center"/>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460" w:lineRule="exact"/>
        <w:jc w:val="left"/>
        <w:rPr>
          <w:rFonts w:ascii="方正仿宋_GBK" w:hAnsi="仿宋" w:eastAsia="方正仿宋_GBK"/>
          <w:szCs w:val="21"/>
        </w:rPr>
      </w:pPr>
    </w:p>
    <w:p>
      <w:pPr>
        <w:snapToGrid w:val="0"/>
        <w:spacing w:line="360" w:lineRule="auto"/>
        <w:rPr>
          <w:rFonts w:asciiTheme="minorEastAsia" w:hAnsiTheme="minorEastAsia" w:eastAsiaTheme="minorEastAsia"/>
          <w:b/>
          <w:bCs/>
          <w:color w:val="000000" w:themeColor="text1"/>
          <w:szCs w:val="32"/>
          <w14:textFill>
            <w14:solidFill>
              <w14:schemeClr w14:val="tx1"/>
            </w14:solidFill>
          </w14:textFill>
        </w:rPr>
        <w:sectPr>
          <w:pgSz w:w="11900" w:h="16840"/>
          <w:pgMar w:top="1417" w:right="1417" w:bottom="1417" w:left="1417" w:header="851" w:footer="992" w:gutter="0"/>
          <w:cols w:space="720" w:num="1"/>
          <w:docGrid w:type="lines" w:linePitch="312" w:charSpace="0"/>
        </w:sectPr>
      </w:pP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附件2：</w:t>
      </w:r>
    </w:p>
    <w:p>
      <w:pPr>
        <w:spacing w:line="460" w:lineRule="exact"/>
        <w:jc w:val="center"/>
        <w:rPr>
          <w:rFonts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（响应人全称）的法定代表人。</w:t>
      </w:r>
    </w:p>
    <w:p>
      <w:pPr>
        <w:autoSpaceDE w:val="0"/>
        <w:autoSpaceDN w:val="0"/>
        <w:adjustRightInd w:val="0"/>
        <w:snapToGrid w:val="0"/>
        <w:spacing w:line="460" w:lineRule="exact"/>
        <w:ind w:firstLine="520" w:firstLineChars="186"/>
        <w:jc w:val="left"/>
        <w:rPr>
          <w:rFonts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ascii="仿宋" w:hAnsi="仿宋" w:eastAsia="仿宋" w:cs="仿宋"/>
          <w:kern w:val="0"/>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5460"/>
        </w:tabs>
        <w:autoSpaceDE w:val="0"/>
        <w:autoSpaceDN w:val="0"/>
        <w:adjustRightInd w:val="0"/>
        <w:snapToGrid w:val="0"/>
        <w:spacing w:line="460" w:lineRule="exact"/>
        <w:jc w:val="left"/>
        <w:rPr>
          <w:rFonts w:ascii="仿宋" w:hAnsi="仿宋" w:eastAsia="仿宋" w:cs="仿宋"/>
          <w:kern w:val="0"/>
          <w:sz w:val="28"/>
          <w:szCs w:val="28"/>
        </w:rPr>
      </w:pPr>
      <w:r>
        <w:rPr>
          <w:rFonts w:hint="eastAsia" w:ascii="仿宋" w:hAnsi="仿宋" w:eastAsia="仿宋" w:cs="仿宋"/>
          <w:kern w:val="0"/>
          <w:sz w:val="28"/>
          <w:szCs w:val="28"/>
        </w:rPr>
        <w:t>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pStyle w:val="5"/>
        <w:rPr>
          <w:lang w:val="en-US"/>
        </w:rPr>
        <w:sectPr>
          <w:pgSz w:w="11900" w:h="16840"/>
          <w:pgMar w:top="1417" w:right="1417" w:bottom="1417" w:left="1417" w:header="851" w:footer="992" w:gutter="0"/>
          <w:cols w:space="720" w:num="1"/>
          <w:docGrid w:type="lines" w:linePitch="312" w:charSpace="0"/>
        </w:sectPr>
      </w:pPr>
    </w:p>
    <w:p>
      <w:pPr>
        <w:snapToGrid w:val="0"/>
        <w:spacing w:line="460" w:lineRule="exact"/>
        <w:rPr>
          <w:rFonts w:ascii="仿宋" w:hAnsi="仿宋" w:eastAsia="仿宋" w:cs="仿宋"/>
          <w:b/>
          <w:bCs/>
          <w:sz w:val="28"/>
          <w:szCs w:val="28"/>
        </w:rPr>
      </w:pPr>
      <w:r>
        <w:rPr>
          <w:rFonts w:hint="eastAsia" w:ascii="仿宋" w:hAnsi="仿宋" w:eastAsia="仿宋" w:cs="仿宋"/>
          <w:b/>
          <w:bCs/>
          <w:sz w:val="28"/>
          <w:szCs w:val="28"/>
        </w:rPr>
        <w:t>附件3：</w:t>
      </w:r>
    </w:p>
    <w:p>
      <w:pPr>
        <w:spacing w:before="120"/>
        <w:jc w:val="center"/>
        <w:rPr>
          <w:rFonts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ascii="仿宋" w:hAnsi="仿宋" w:eastAsia="仿宋" w:cs="仿宋"/>
        </w:rPr>
      </w:pPr>
    </w:p>
    <w:p>
      <w:pPr>
        <w:topLinePunct/>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ascii="仿宋" w:hAnsi="仿宋" w:eastAsia="仿宋" w:cs="仿宋"/>
          <w:kern w:val="0"/>
          <w:sz w:val="28"/>
          <w:szCs w:val="28"/>
        </w:rPr>
      </w:pPr>
    </w:p>
    <w:p>
      <w:pPr>
        <w:spacing w:before="120" w:line="440" w:lineRule="exact"/>
        <w:ind w:firstLine="480"/>
        <w:rPr>
          <w:rFonts w:ascii="仿宋" w:hAnsi="仿宋" w:eastAsia="仿宋" w:cs="仿宋"/>
          <w:kern w:val="0"/>
          <w:sz w:val="28"/>
          <w:szCs w:val="28"/>
        </w:rPr>
      </w:pPr>
      <w:r>
        <w:rPr>
          <w:rFonts w:hint="eastAsia" w:ascii="仿宋" w:hAnsi="仿宋" w:eastAsia="仿宋" w:cs="仿宋"/>
          <w:kern w:val="0"/>
          <w:sz w:val="28"/>
          <w:szCs w:val="28"/>
        </w:rPr>
        <w:t>注：本授权委托书需由响应人加盖单位鲜公章并由其法定代表人和委托代理人签字。</w:t>
      </w:r>
    </w:p>
    <w:p>
      <w:pPr>
        <w:spacing w:before="120" w:line="440" w:lineRule="exact"/>
        <w:ind w:firstLine="480"/>
        <w:rPr>
          <w:rFonts w:ascii="仿宋" w:hAnsi="仿宋" w:eastAsia="仿宋" w:cs="仿宋"/>
          <w:kern w:val="0"/>
          <w:sz w:val="28"/>
          <w:szCs w:val="28"/>
        </w:rPr>
      </w:pP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响应人</w:t>
      </w:r>
      <w:r>
        <w:rPr>
          <w:rFonts w:hint="eastAsia" w:ascii="仿宋" w:hAnsi="仿宋" w:eastAsia="仿宋" w:cs="仿宋"/>
          <w:kern w:val="0"/>
          <w:sz w:val="28"/>
          <w:szCs w:val="28"/>
          <w:lang w:val="en-US" w:eastAsia="zh-CN"/>
        </w:rPr>
        <w:t>全称</w:t>
      </w:r>
      <w:r>
        <w:rPr>
          <w:rFonts w:hint="eastAsia" w:ascii="仿宋" w:hAnsi="仿宋" w:eastAsia="仿宋" w:cs="仿宋"/>
          <w:kern w:val="0"/>
          <w:sz w:val="28"/>
          <w:szCs w:val="28"/>
        </w:rPr>
        <w:t>：（单位鲜公章）</w:t>
      </w:r>
    </w:p>
    <w:p>
      <w:pPr>
        <w:spacing w:before="120" w:line="440" w:lineRule="exact"/>
        <w:ind w:firstLine="3586" w:firstLineChars="1281"/>
        <w:jc w:val="left"/>
        <w:rPr>
          <w:rFonts w:ascii="仿宋" w:hAnsi="仿宋" w:eastAsia="仿宋" w:cs="仿宋"/>
          <w:kern w:val="0"/>
          <w:sz w:val="28"/>
          <w:szCs w:val="28"/>
        </w:rPr>
      </w:pPr>
      <w:r>
        <w:rPr>
          <w:rFonts w:hint="eastAsia" w:ascii="仿宋" w:hAnsi="仿宋" w:eastAsia="仿宋" w:cs="仿宋"/>
          <w:kern w:val="0"/>
          <w:sz w:val="28"/>
          <w:szCs w:val="28"/>
        </w:rPr>
        <w:t>法定代表人：（签字）</w:t>
      </w:r>
    </w:p>
    <w:p>
      <w:pPr>
        <w:spacing w:before="120" w:line="440" w:lineRule="exact"/>
        <w:ind w:firstLine="3589" w:firstLineChars="1282"/>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ascii="仿宋" w:hAnsi="仿宋" w:eastAsia="仿宋" w:cs="仿宋"/>
        </w:rPr>
      </w:pPr>
    </w:p>
    <w:p>
      <w:pPr>
        <w:snapToGrid w:val="0"/>
        <w:spacing w:line="460" w:lineRule="exact"/>
        <w:rPr>
          <w:color w:val="000000" w:themeColor="text1"/>
          <w14:textFill>
            <w14:solidFill>
              <w14:schemeClr w14:val="tx1"/>
            </w14:solidFill>
          </w14:textFill>
        </w:rPr>
        <w:sectPr>
          <w:footerReference r:id="rId6" w:type="default"/>
          <w:pgSz w:w="11900" w:h="16840"/>
          <w:pgMar w:top="1417" w:right="1417" w:bottom="1417" w:left="1417" w:header="851" w:footer="992" w:gutter="0"/>
          <w:cols w:space="720" w:num="1"/>
          <w:docGrid w:type="lines" w:linePitch="312" w:charSpace="0"/>
        </w:sectPr>
      </w:pPr>
      <w:r>
        <w:rPr>
          <w:rFonts w:hint="eastAsia" w:ascii="仿宋" w:hAnsi="仿宋" w:eastAsia="仿宋" w:cs="仿宋"/>
          <w:b/>
          <w:bCs/>
          <w:sz w:val="28"/>
          <w:szCs w:val="28"/>
        </w:rPr>
        <w:t>附委托代理人</w:t>
      </w:r>
    </w:p>
    <w:p>
      <w:pPr>
        <w:widowControl/>
        <w:jc w:val="left"/>
        <w:rPr>
          <w:rFonts w:ascii="仿宋_GB2312" w:hAnsi="仿宋_GB2312" w:eastAsia="仿宋_GB2312"/>
          <w:b/>
          <w:bCs/>
          <w:color w:val="000000" w:themeColor="text1"/>
          <w:sz w:val="28"/>
          <w:szCs w:val="28"/>
          <w14:textFill>
            <w14:solidFill>
              <w14:schemeClr w14:val="tx1"/>
            </w14:solidFill>
          </w14:textFill>
        </w:rPr>
      </w:pPr>
      <w:r>
        <w:rPr>
          <w:rFonts w:hint="eastAsia" w:ascii="仿宋_GB2312" w:hAnsi="仿宋_GB2312" w:eastAsia="仿宋_GB2312"/>
          <w:b/>
          <w:bCs/>
          <w:color w:val="000000" w:themeColor="text1"/>
          <w:sz w:val="28"/>
          <w:szCs w:val="28"/>
          <w14:textFill>
            <w14:solidFill>
              <w14:schemeClr w14:val="tx1"/>
            </w14:solidFill>
          </w14:textFill>
        </w:rPr>
        <w:t>附件</w:t>
      </w:r>
      <w:r>
        <w:rPr>
          <w:rFonts w:ascii="仿宋_GB2312" w:hAnsi="仿宋_GB2312" w:eastAsia="仿宋_GB2312"/>
          <w:b/>
          <w:bCs/>
          <w:color w:val="000000" w:themeColor="text1"/>
          <w:sz w:val="28"/>
          <w:szCs w:val="28"/>
          <w14:textFill>
            <w14:solidFill>
              <w14:schemeClr w14:val="tx1"/>
            </w14:solidFill>
          </w14:textFill>
        </w:rPr>
        <w:t>4</w:t>
      </w:r>
      <w:r>
        <w:rPr>
          <w:rFonts w:hint="eastAsia" w:ascii="仿宋_GB2312" w:hAnsi="仿宋_GB2312" w:eastAsia="仿宋_GB2312"/>
          <w:b/>
          <w:bCs/>
          <w:color w:val="000000" w:themeColor="text1"/>
          <w:sz w:val="28"/>
          <w:szCs w:val="28"/>
          <w14:textFill>
            <w14:solidFill>
              <w14:schemeClr w14:val="tx1"/>
            </w14:solidFill>
          </w14:textFill>
        </w:rPr>
        <w:t>：</w:t>
      </w:r>
    </w:p>
    <w:p>
      <w:pPr>
        <w:rPr>
          <w:rFonts w:ascii="黑体" w:eastAsia="黑体"/>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wordWrap w:val="0"/>
        <w:spacing w:after="156" w:afterLines="50"/>
        <w:ind w:right="964" w:firstLine="480" w:firstLineChars="200"/>
        <w:jc w:val="right"/>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 xml:space="preserve">合同编号：CQA    </w:t>
      </w:r>
    </w:p>
    <w:p>
      <w:pPr>
        <w:spacing w:after="156" w:afterLines="50"/>
        <w:ind w:firstLine="422" w:firstLineChars="200"/>
        <w:jc w:val="center"/>
        <w:rPr>
          <w:rFonts w:ascii="仿宋" w:hAnsi="仿宋" w:eastAsia="仿宋"/>
          <w:b/>
          <w:color w:val="000000" w:themeColor="text1"/>
          <w14:textFill>
            <w14:solidFill>
              <w14:schemeClr w14:val="tx1"/>
            </w14:solidFill>
          </w14:textFill>
        </w:rPr>
      </w:pPr>
    </w:p>
    <w:p>
      <w:pPr>
        <w:snapToGrid w:val="0"/>
        <w:spacing w:before="100" w:beforeAutospacing="1" w:after="100" w:afterAutospacing="1" w:line="360" w:lineRule="auto"/>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line="360" w:lineRule="auto"/>
        <w:jc w:val="center"/>
        <w:rPr>
          <w:rFonts w:ascii="宋体" w:hAnsi="宋体" w:cs="Calibri"/>
          <w:b/>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4" name="直接箭头连接符 4"/>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60288;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v3vUdQAAAAJAQAA&#10;DwAAAAAAAAABACAAAAAiAAAAZHJzL2Rvd25yZXYueG1sUEsBAhQAFAAAAAgAh07iQKxQs4XkAQAA&#10;nwMAAA4AAAAAAAAAAQAgAAAAIwEAAGRycy9lMm9Eb2MueG1sUEsFBgAAAAAGAAYAWQEAAHkFAAAA&#10;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line="360" w:lineRule="auto"/>
        <w:jc w:val="center"/>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重庆江北国际机场</w:t>
      </w:r>
    </w:p>
    <w:p>
      <w:pPr>
        <w:snapToGrid w:val="0"/>
        <w:spacing w:before="100" w:beforeAutospacing="1" w:after="100" w:afterAutospacing="1" w:line="360" w:lineRule="auto"/>
        <w:jc w:val="center"/>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综合服务平台系统升级项目合同</w:t>
      </w:r>
    </w:p>
    <w:p>
      <w:pPr>
        <w:snapToGrid w:val="0"/>
        <w:spacing w:before="100" w:beforeAutospacing="1" w:after="100" w:afterAutospacing="1" w:line="360" w:lineRule="auto"/>
        <w:rPr>
          <w:rFonts w:ascii="宋体" w:hAnsi="宋体"/>
          <w:b/>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3" name="直接箭头连接符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1312;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T0Ueq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line="360" w:lineRule="auto"/>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line="360" w:lineRule="auto"/>
        <w:ind w:firstLine="2100" w:firstLineChars="700"/>
        <w:rPr>
          <w:rFonts w:ascii="黑体" w:hAnsi="黑体" w:eastAsia="黑体"/>
          <w:color w:val="000000" w:themeColor="text1"/>
          <w:sz w:val="30"/>
          <w:szCs w:val="30"/>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甲方：重庆江北国际机场有限公司</w:t>
      </w:r>
    </w:p>
    <w:p>
      <w:pPr>
        <w:snapToGrid w:val="0"/>
        <w:spacing w:line="360" w:lineRule="auto"/>
        <w:rPr>
          <w:rFonts w:ascii="黑体" w:hAnsi="黑体" w:eastAsia="黑体" w:cs="宋体"/>
          <w:b/>
          <w:bCs/>
          <w:color w:val="000000" w:themeColor="text1"/>
          <w:sz w:val="30"/>
          <w:szCs w:val="30"/>
          <w:u w:val="single"/>
          <w14:textFill>
            <w14:solidFill>
              <w14:schemeClr w14:val="tx1"/>
            </w14:solidFill>
          </w14:textFill>
        </w:rPr>
      </w:pPr>
      <w:r>
        <w:rPr>
          <w:rFonts w:hint="eastAsia" w:ascii="黑体" w:hAnsi="黑体" w:eastAsia="黑体"/>
          <w:color w:val="000000" w:themeColor="text1"/>
          <w:sz w:val="30"/>
          <w:szCs w:val="30"/>
          <w14:textFill>
            <w14:solidFill>
              <w14:schemeClr w14:val="tx1"/>
            </w14:solidFill>
          </w14:textFill>
        </w:rPr>
        <w:t xml:space="preserve">              乙方：</w:t>
      </w:r>
    </w:p>
    <w:p>
      <w:pPr>
        <w:spacing w:line="520" w:lineRule="exact"/>
        <w:jc w:val="center"/>
        <w:rPr>
          <w:rFonts w:ascii="黑体" w:hAnsi="黑体" w:eastAsia="黑体"/>
          <w:b/>
          <w:bCs/>
          <w:color w:val="000000" w:themeColor="text1"/>
          <w:sz w:val="32"/>
          <w:szCs w:val="32"/>
          <w14:textFill>
            <w14:solidFill>
              <w14:schemeClr w14:val="tx1"/>
            </w14:solidFill>
          </w14:textFill>
        </w:rPr>
      </w:pPr>
    </w:p>
    <w:p>
      <w:pPr>
        <w:widowControl/>
        <w:jc w:val="left"/>
        <w:rPr>
          <w:rFonts w:ascii="黑体" w:hAnsi="黑体" w:eastAsia="黑体"/>
          <w:b/>
          <w:bCs/>
          <w:color w:val="000000" w:themeColor="text1"/>
          <w:sz w:val="32"/>
          <w:szCs w:val="32"/>
          <w14:textFill>
            <w14:solidFill>
              <w14:schemeClr w14:val="tx1"/>
            </w14:solidFill>
          </w14:textFill>
        </w:rPr>
        <w:sectPr>
          <w:pgSz w:w="11900" w:h="16840"/>
          <w:pgMar w:top="1417" w:right="1417" w:bottom="1417" w:left="1417" w:header="851" w:footer="992" w:gutter="0"/>
          <w:cols w:space="720" w:num="1"/>
          <w:docGrid w:type="lines" w:linePitch="312" w:charSpace="0"/>
        </w:sectPr>
      </w:pP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甲方：重庆江北国际机场有限公司</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统一社会信用代码：91500</w:t>
      </w:r>
      <w:r>
        <w:rPr>
          <w:rFonts w:ascii="仿宋" w:eastAsia="仿宋"/>
          <w:color w:val="000000" w:themeColor="text1"/>
          <w:sz w:val="24"/>
          <w:szCs w:val="24"/>
          <w:lang w:eastAsia="zh-CN"/>
          <w14:textFill>
            <w14:solidFill>
              <w14:schemeClr w14:val="tx1"/>
            </w14:solidFill>
          </w14:textFill>
        </w:rPr>
        <w:t xml:space="preserve"> </w:t>
      </w:r>
      <w:r>
        <w:rPr>
          <w:rFonts w:hint="eastAsia" w:ascii="仿宋" w:eastAsia="仿宋"/>
          <w:color w:val="000000" w:themeColor="text1"/>
          <w:sz w:val="24"/>
          <w:szCs w:val="24"/>
          <w:lang w:eastAsia="zh-CN"/>
          <w14:textFill>
            <w14:solidFill>
              <w14:schemeClr w14:val="tx1"/>
            </w14:solidFill>
          </w14:textFill>
        </w:rPr>
        <w:t>112</w:t>
      </w:r>
      <w:r>
        <w:rPr>
          <w:rFonts w:ascii="仿宋" w:eastAsia="仿宋"/>
          <w:color w:val="000000" w:themeColor="text1"/>
          <w:sz w:val="24"/>
          <w:szCs w:val="24"/>
          <w:lang w:eastAsia="zh-CN"/>
          <w14:textFill>
            <w14:solidFill>
              <w14:schemeClr w14:val="tx1"/>
            </w14:solidFill>
          </w14:textFill>
        </w:rPr>
        <w:t xml:space="preserve">MA </w:t>
      </w:r>
      <w:r>
        <w:rPr>
          <w:rFonts w:hint="eastAsia" w:ascii="仿宋" w:eastAsia="仿宋"/>
          <w:color w:val="000000" w:themeColor="text1"/>
          <w:sz w:val="24"/>
          <w:szCs w:val="24"/>
          <w:lang w:eastAsia="zh-CN"/>
          <w14:textFill>
            <w14:solidFill>
              <w14:schemeClr w14:val="tx1"/>
            </w14:solidFill>
          </w14:textFill>
        </w:rPr>
        <w:t>5</w:t>
      </w:r>
      <w:r>
        <w:rPr>
          <w:rFonts w:ascii="仿宋" w:eastAsia="仿宋"/>
          <w:color w:val="000000" w:themeColor="text1"/>
          <w:sz w:val="24"/>
          <w:szCs w:val="24"/>
          <w:lang w:eastAsia="zh-CN"/>
          <w14:textFill>
            <w14:solidFill>
              <w14:schemeClr w14:val="tx1"/>
            </w14:solidFill>
          </w14:textFill>
        </w:rPr>
        <w:t>U</w:t>
      </w:r>
      <w:r>
        <w:rPr>
          <w:rFonts w:hint="eastAsia" w:ascii="仿宋" w:eastAsia="仿宋"/>
          <w:color w:val="000000" w:themeColor="text1"/>
          <w:sz w:val="24"/>
          <w:szCs w:val="24"/>
          <w:lang w:eastAsia="zh-CN"/>
          <w14:textFill>
            <w14:solidFill>
              <w14:schemeClr w14:val="tx1"/>
            </w14:solidFill>
          </w14:textFill>
        </w:rPr>
        <w:t>9</w:t>
      </w:r>
      <w:r>
        <w:rPr>
          <w:rFonts w:ascii="仿宋" w:eastAsia="仿宋"/>
          <w:color w:val="000000" w:themeColor="text1"/>
          <w:sz w:val="24"/>
          <w:szCs w:val="24"/>
          <w:lang w:eastAsia="zh-CN"/>
          <w14:textFill>
            <w14:solidFill>
              <w14:schemeClr w14:val="tx1"/>
            </w14:solidFill>
          </w14:textFill>
        </w:rPr>
        <w:t>Q0 03T</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通讯地址：重庆市渝北区机场西路26号</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法定代表人或委托代理人： 陈驰</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联系电话：023-67152518</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邮箱地址：</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 xml:space="preserve">开户银行：中国建设银行股份有限公司重庆渝北机场支行 </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开户名称：重庆江北国际机场有限公司</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账号：5005</w:t>
      </w:r>
      <w:r>
        <w:rPr>
          <w:rFonts w:ascii="仿宋" w:eastAsia="仿宋"/>
          <w:color w:val="000000" w:themeColor="text1"/>
          <w:sz w:val="24"/>
          <w:szCs w:val="24"/>
          <w:lang w:eastAsia="zh-CN"/>
          <w14:textFill>
            <w14:solidFill>
              <w14:schemeClr w14:val="tx1"/>
            </w14:solidFill>
          </w14:textFill>
        </w:rPr>
        <w:t xml:space="preserve"> </w:t>
      </w:r>
      <w:r>
        <w:rPr>
          <w:rFonts w:hint="eastAsia" w:ascii="仿宋" w:eastAsia="仿宋"/>
          <w:color w:val="000000" w:themeColor="text1"/>
          <w:sz w:val="24"/>
          <w:szCs w:val="24"/>
          <w:lang w:eastAsia="zh-CN"/>
          <w14:textFill>
            <w14:solidFill>
              <w14:schemeClr w14:val="tx1"/>
            </w14:solidFill>
          </w14:textFill>
        </w:rPr>
        <w:t>0108</w:t>
      </w:r>
      <w:r>
        <w:rPr>
          <w:rFonts w:ascii="仿宋" w:eastAsia="仿宋"/>
          <w:color w:val="000000" w:themeColor="text1"/>
          <w:sz w:val="24"/>
          <w:szCs w:val="24"/>
          <w:lang w:eastAsia="zh-CN"/>
          <w14:textFill>
            <w14:solidFill>
              <w14:schemeClr w14:val="tx1"/>
            </w14:solidFill>
          </w14:textFill>
        </w:rPr>
        <w:t xml:space="preserve"> </w:t>
      </w:r>
      <w:r>
        <w:rPr>
          <w:rFonts w:hint="eastAsia" w:ascii="仿宋" w:eastAsia="仿宋"/>
          <w:color w:val="000000" w:themeColor="text1"/>
          <w:sz w:val="24"/>
          <w:szCs w:val="24"/>
          <w:lang w:eastAsia="zh-CN"/>
          <w14:textFill>
            <w14:solidFill>
              <w14:schemeClr w14:val="tx1"/>
            </w14:solidFill>
          </w14:textFill>
        </w:rPr>
        <w:t>3800</w:t>
      </w:r>
      <w:r>
        <w:rPr>
          <w:rFonts w:ascii="仿宋" w:eastAsia="仿宋"/>
          <w:color w:val="000000" w:themeColor="text1"/>
          <w:sz w:val="24"/>
          <w:szCs w:val="24"/>
          <w:lang w:eastAsia="zh-CN"/>
          <w14:textFill>
            <w14:solidFill>
              <w14:schemeClr w14:val="tx1"/>
            </w14:solidFill>
          </w14:textFill>
        </w:rPr>
        <w:t xml:space="preserve"> </w:t>
      </w:r>
      <w:r>
        <w:rPr>
          <w:rFonts w:hint="eastAsia" w:ascii="仿宋" w:eastAsia="仿宋"/>
          <w:color w:val="000000" w:themeColor="text1"/>
          <w:sz w:val="24"/>
          <w:szCs w:val="24"/>
          <w:lang w:eastAsia="zh-CN"/>
          <w14:textFill>
            <w14:solidFill>
              <w14:schemeClr w14:val="tx1"/>
            </w14:solidFill>
          </w14:textFill>
        </w:rPr>
        <w:t>0000</w:t>
      </w:r>
      <w:r>
        <w:rPr>
          <w:rFonts w:ascii="仿宋" w:eastAsia="仿宋"/>
          <w:color w:val="000000" w:themeColor="text1"/>
          <w:sz w:val="24"/>
          <w:szCs w:val="24"/>
          <w:lang w:eastAsia="zh-CN"/>
          <w14:textFill>
            <w14:solidFill>
              <w14:schemeClr w14:val="tx1"/>
            </w14:solidFill>
          </w14:textFill>
        </w:rPr>
        <w:t xml:space="preserve"> </w:t>
      </w:r>
      <w:r>
        <w:rPr>
          <w:rFonts w:hint="eastAsia" w:ascii="仿宋" w:eastAsia="仿宋"/>
          <w:color w:val="000000" w:themeColor="text1"/>
          <w:sz w:val="24"/>
          <w:szCs w:val="24"/>
          <w:lang w:eastAsia="zh-CN"/>
          <w14:textFill>
            <w14:solidFill>
              <w14:schemeClr w14:val="tx1"/>
            </w14:solidFill>
          </w14:textFill>
        </w:rPr>
        <w:t>0060</w:t>
      </w:r>
    </w:p>
    <w:p>
      <w:pPr>
        <w:pStyle w:val="21"/>
        <w:ind w:firstLine="480"/>
        <w:rPr>
          <w:rFonts w:ascii="仿宋" w:eastAsia="仿宋"/>
          <w:color w:val="000000" w:themeColor="text1"/>
          <w:sz w:val="24"/>
          <w:szCs w:val="24"/>
          <w:lang w:eastAsia="zh-CN"/>
          <w14:textFill>
            <w14:solidFill>
              <w14:schemeClr w14:val="tx1"/>
            </w14:solidFill>
          </w14:textFill>
        </w:rPr>
      </w:pP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乙方：</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统一社会信用代码：</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通讯地址：</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 xml:space="preserve">法定代表人或委托代理人： </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联系电话：</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邮箱地址：</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 xml:space="preserve">开户银行： </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开户名称：</w:t>
      </w:r>
    </w:p>
    <w:p>
      <w:pPr>
        <w:pStyle w:val="21"/>
        <w:ind w:firstLine="0" w:firstLineChars="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账号：</w:t>
      </w:r>
    </w:p>
    <w:p>
      <w:pPr>
        <w:pStyle w:val="21"/>
        <w:ind w:firstLine="480"/>
        <w:rPr>
          <w:color w:val="000000" w:themeColor="text1"/>
          <w:sz w:val="24"/>
          <w:szCs w:val="24"/>
          <w:lang w:eastAsia="zh-CN"/>
          <w14:textFill>
            <w14:solidFill>
              <w14:schemeClr w14:val="tx1"/>
            </w14:solidFill>
          </w14:textFill>
        </w:rPr>
      </w:pPr>
    </w:p>
    <w:p>
      <w:pPr>
        <w:pStyle w:val="21"/>
        <w:ind w:firstLine="480"/>
        <w:rPr>
          <w:color w:val="000000" w:themeColor="text1"/>
          <w:sz w:val="24"/>
          <w:szCs w:val="24"/>
          <w:lang w:eastAsia="zh-CN"/>
          <w14:textFill>
            <w14:solidFill>
              <w14:schemeClr w14:val="tx1"/>
            </w14:solidFill>
          </w14:textFill>
        </w:rPr>
      </w:pPr>
    </w:p>
    <w:p>
      <w:pPr>
        <w:pStyle w:val="21"/>
        <w:ind w:firstLine="480"/>
        <w:rPr>
          <w:color w:val="000000" w:themeColor="text1"/>
          <w:sz w:val="24"/>
          <w:szCs w:val="24"/>
          <w:lang w:eastAsia="zh-CN"/>
          <w14:textFill>
            <w14:solidFill>
              <w14:schemeClr w14:val="tx1"/>
            </w14:solidFill>
          </w14:textFill>
        </w:rPr>
      </w:pP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甲乙双方依照《中华人民共和国</w:t>
      </w:r>
      <w:r>
        <w:rPr>
          <w:rFonts w:hint="eastAsia" w:ascii="仿宋" w:eastAsia="仿宋"/>
          <w:color w:val="000000" w:themeColor="text1"/>
          <w:sz w:val="24"/>
          <w:szCs w:val="24"/>
          <w:lang w:eastAsia="zh-CN"/>
          <w14:textFill>
            <w14:solidFill>
              <w14:schemeClr w14:val="tx1"/>
            </w14:solidFill>
          </w14:textFill>
        </w:rPr>
        <w:t>民法典</w:t>
      </w:r>
      <w:r>
        <w:rPr>
          <w:rFonts w:ascii="仿宋" w:eastAsia="仿宋"/>
          <w:color w:val="000000" w:themeColor="text1"/>
          <w:sz w:val="24"/>
          <w:szCs w:val="24"/>
          <w:lang w:eastAsia="zh-CN"/>
          <w14:textFill>
            <w14:solidFill>
              <w14:schemeClr w14:val="tx1"/>
            </w14:solidFill>
          </w14:textFill>
        </w:rPr>
        <w:t>》及相关法律、法规规定，本着平等、自愿的原则，经友好协商，现就甲方向乙方购买</w:t>
      </w:r>
      <w:r>
        <w:rPr>
          <w:rFonts w:ascii="仿宋" w:eastAsia="仿宋"/>
          <w:color w:val="000000" w:themeColor="text1"/>
          <w:sz w:val="24"/>
          <w:szCs w:val="24"/>
          <w:u w:val="single"/>
          <w:lang w:eastAsia="zh-CN"/>
          <w14:textFill>
            <w14:solidFill>
              <w14:schemeClr w14:val="tx1"/>
            </w14:solidFill>
          </w14:textFill>
        </w:rPr>
        <w:t>综合服务中心系统</w:t>
      </w:r>
      <w:r>
        <w:rPr>
          <w:rFonts w:hint="eastAsia" w:ascii="仿宋" w:eastAsia="仿宋"/>
          <w:color w:val="000000" w:themeColor="text1"/>
          <w:sz w:val="24"/>
          <w:szCs w:val="24"/>
          <w:u w:val="single"/>
          <w:lang w:eastAsia="zh-CN"/>
          <w14:textFill>
            <w14:solidFill>
              <w14:schemeClr w14:val="tx1"/>
            </w14:solidFill>
          </w14:textFill>
        </w:rPr>
        <w:t>移动平台</w:t>
      </w:r>
      <w:r>
        <w:rPr>
          <w:rFonts w:ascii="仿宋" w:eastAsia="仿宋"/>
          <w:color w:val="000000" w:themeColor="text1"/>
          <w:sz w:val="24"/>
          <w:szCs w:val="24"/>
          <w:lang w:eastAsia="zh-CN"/>
          <w14:textFill>
            <w14:solidFill>
              <w14:schemeClr w14:val="tx1"/>
            </w14:solidFill>
          </w14:textFill>
        </w:rPr>
        <w:t>，（并安装，调试）事宜达成一致，签订本协议。</w:t>
      </w:r>
    </w:p>
    <w:p>
      <w:pPr>
        <w:pStyle w:val="4"/>
        <w:ind w:firstLine="640"/>
        <w:rPr>
          <w:rFonts w:ascii="仿宋" w:hAnsi="仿宋" w:eastAsia="仿宋"/>
          <w:color w:val="000000" w:themeColor="text1"/>
          <w:sz w:val="24"/>
          <w14:textFill>
            <w14:solidFill>
              <w14:schemeClr w14:val="tx1"/>
            </w14:solidFill>
          </w14:textFill>
        </w:rPr>
      </w:pPr>
      <w:bookmarkStart w:id="4" w:name="_Toc25588100"/>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一</w:t>
      </w:r>
      <w:r>
        <w:rPr>
          <w:rFonts w:ascii="仿宋" w:hAnsi="仿宋" w:eastAsia="仿宋"/>
          <w:color w:val="000000" w:themeColor="text1"/>
          <w:sz w:val="24"/>
          <w14:textFill>
            <w14:solidFill>
              <w14:schemeClr w14:val="tx1"/>
            </w14:solidFill>
          </w14:textFill>
        </w:rPr>
        <w:t>条 货</w:t>
      </w:r>
      <w:r>
        <w:rPr>
          <w:rFonts w:hint="eastAsia" w:ascii="仿宋" w:hAnsi="仿宋" w:eastAsia="仿宋"/>
          <w:color w:val="000000" w:themeColor="text1"/>
          <w:sz w:val="24"/>
          <w14:textFill>
            <w14:solidFill>
              <w14:schemeClr w14:val="tx1"/>
            </w14:solidFill>
          </w14:textFill>
        </w:rPr>
        <w:t>物</w:t>
      </w:r>
      <w:r>
        <w:rPr>
          <w:rFonts w:ascii="仿宋" w:hAnsi="仿宋" w:eastAsia="仿宋"/>
          <w:color w:val="000000" w:themeColor="text1"/>
          <w:sz w:val="24"/>
          <w14:textFill>
            <w14:solidFill>
              <w14:schemeClr w14:val="tx1"/>
            </w14:solidFill>
          </w14:textFill>
        </w:rPr>
        <w:t>名称、数量及规格</w:t>
      </w:r>
      <w:bookmarkEnd w:id="4"/>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1.1本合同项下乙方所供货物情况如下：</w:t>
      </w:r>
      <w:r>
        <w:rPr>
          <w:rFonts w:hint="eastAsia" w:ascii="仿宋" w:eastAsia="仿宋"/>
          <w:color w:val="000000" w:themeColor="text1"/>
          <w:sz w:val="24"/>
          <w:szCs w:val="24"/>
          <w:lang w:eastAsia="zh-CN"/>
          <w14:textFill>
            <w14:solidFill>
              <w14:schemeClr w14:val="tx1"/>
            </w14:solidFill>
          </w14:textFill>
        </w:rPr>
        <w:t>综合服务中心系统移动平台定制开发以及综合服务中心系统升级。</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1.2 正版服务器</w:t>
      </w:r>
      <w:r>
        <w:rPr>
          <w:rFonts w:hint="eastAsia" w:ascii="仿宋" w:eastAsia="仿宋"/>
          <w:color w:val="000000" w:themeColor="text1"/>
          <w:sz w:val="24"/>
          <w:szCs w:val="24"/>
          <w:lang w:eastAsia="zh-CN"/>
          <w14:textFill>
            <w14:solidFill>
              <w14:schemeClr w14:val="tx1"/>
            </w14:solidFill>
          </w14:textFill>
        </w:rPr>
        <w:t>操作系统</w:t>
      </w:r>
      <w:r>
        <w:rPr>
          <w:rFonts w:ascii="仿宋" w:eastAsia="仿宋"/>
          <w:color w:val="000000" w:themeColor="text1"/>
          <w:sz w:val="24"/>
          <w:szCs w:val="24"/>
          <w:lang w:eastAsia="zh-CN"/>
          <w14:textFill>
            <w14:solidFill>
              <w14:schemeClr w14:val="tx1"/>
            </w14:solidFill>
          </w14:textFill>
        </w:rPr>
        <w:t>。</w:t>
      </w:r>
    </w:p>
    <w:p>
      <w:pPr>
        <w:pStyle w:val="4"/>
        <w:ind w:firstLine="640"/>
        <w:rPr>
          <w:rFonts w:ascii="仿宋" w:hAnsi="仿宋" w:eastAsia="仿宋"/>
          <w:color w:val="000000" w:themeColor="text1"/>
          <w:sz w:val="24"/>
          <w14:textFill>
            <w14:solidFill>
              <w14:schemeClr w14:val="tx1"/>
            </w14:solidFill>
          </w14:textFill>
        </w:rPr>
      </w:pPr>
      <w:bookmarkStart w:id="5" w:name="_Toc25588101"/>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二</w:t>
      </w:r>
      <w:r>
        <w:rPr>
          <w:rFonts w:ascii="仿宋" w:hAnsi="仿宋" w:eastAsia="仿宋"/>
          <w:color w:val="000000" w:themeColor="text1"/>
          <w:sz w:val="24"/>
          <w14:textFill>
            <w14:solidFill>
              <w14:schemeClr w14:val="tx1"/>
            </w14:solidFill>
          </w14:textFill>
        </w:rPr>
        <w:t>条 合同价款</w:t>
      </w:r>
      <w:bookmarkEnd w:id="5"/>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2.1 合同金额</w:t>
      </w:r>
      <w:r>
        <w:rPr>
          <w:rFonts w:ascii="仿宋" w:eastAsia="仿宋"/>
          <w:b/>
          <w:bCs/>
          <w:color w:val="000000" w:themeColor="text1"/>
          <w:sz w:val="24"/>
          <w:szCs w:val="24"/>
          <w:u w:val="single"/>
          <w:lang w:eastAsia="zh-CN"/>
          <w14:textFill>
            <w14:solidFill>
              <w14:schemeClr w14:val="tx1"/>
            </w14:solidFill>
          </w14:textFill>
        </w:rPr>
        <w:t>（不含增值税）</w:t>
      </w:r>
      <w:r>
        <w:rPr>
          <w:rFonts w:ascii="仿宋" w:eastAsia="仿宋"/>
          <w:color w:val="000000" w:themeColor="text1"/>
          <w:sz w:val="24"/>
          <w:szCs w:val="24"/>
          <w:lang w:eastAsia="zh-CN"/>
          <w14:textFill>
            <w14:solidFill>
              <w14:schemeClr w14:val="tx1"/>
            </w14:solidFill>
          </w14:textFill>
        </w:rPr>
        <w:t>为人</w:t>
      </w:r>
      <w:r>
        <w:rPr>
          <w:rFonts w:hint="eastAsia" w:ascii="仿宋" w:eastAsia="仿宋"/>
          <w:color w:val="000000" w:themeColor="text1"/>
          <w:sz w:val="24"/>
          <w:szCs w:val="24"/>
          <w:lang w:eastAsia="zh-CN"/>
          <w14:textFill>
            <w14:solidFill>
              <w14:schemeClr w14:val="tx1"/>
            </w14:solidFill>
          </w14:textFill>
        </w:rPr>
        <w:t>民</w:t>
      </w:r>
      <w:r>
        <w:rPr>
          <w:rFonts w:ascii="仿宋" w:eastAsia="仿宋"/>
          <w:color w:val="000000" w:themeColor="text1"/>
          <w:sz w:val="24"/>
          <w:szCs w:val="24"/>
          <w:lang w:eastAsia="zh-CN"/>
          <w14:textFill>
            <w14:solidFill>
              <w14:schemeClr w14:val="tx1"/>
            </w14:solidFill>
          </w14:textFill>
        </w:rPr>
        <w:t>币</w:t>
      </w:r>
      <w:r>
        <w:rPr>
          <w:rFonts w:ascii="仿宋" w:eastAsia="仿宋"/>
          <w:color w:val="000000" w:themeColor="text1"/>
          <w:sz w:val="24"/>
          <w:szCs w:val="24"/>
          <w:u w:val="single"/>
          <w:lang w:eastAsia="zh-CN"/>
          <w14:textFill>
            <w14:solidFill>
              <w14:schemeClr w14:val="tx1"/>
            </w14:solidFill>
          </w14:textFill>
        </w:rPr>
        <w:t xml:space="preserve"> </w:t>
      </w:r>
      <w:r>
        <w:rPr>
          <w:rFonts w:ascii="Calibri" w:hAnsi="Calibri" w:eastAsia="仿宋" w:cs="Calibri"/>
          <w:color w:val="000000" w:themeColor="text1"/>
          <w:sz w:val="24"/>
          <w:szCs w:val="24"/>
          <w:u w:val="single"/>
          <w:lang w:eastAsia="zh-CN"/>
          <w14:textFill>
            <w14:solidFill>
              <w14:schemeClr w14:val="tx1"/>
            </w14:solidFill>
          </w14:textFill>
        </w:rPr>
        <w:t>   </w:t>
      </w:r>
      <w:r>
        <w:rPr>
          <w:rFonts w:ascii="仿宋" w:eastAsia="仿宋" w:cs="Calibri"/>
          <w:color w:val="000000" w:themeColor="text1"/>
          <w:sz w:val="24"/>
          <w:szCs w:val="24"/>
          <w:u w:val="single"/>
          <w:lang w:eastAsia="zh-CN"/>
          <w14:textFill>
            <w14:solidFill>
              <w14:schemeClr w14:val="tx1"/>
            </w14:solidFill>
          </w14:textFill>
        </w:rPr>
        <w:t xml:space="preserve">    </w:t>
      </w:r>
      <w:r>
        <w:rPr>
          <w:rFonts w:ascii="仿宋" w:eastAsia="仿宋"/>
          <w:color w:val="000000" w:themeColor="text1"/>
          <w:sz w:val="24"/>
          <w:szCs w:val="24"/>
          <w:u w:val="single"/>
          <w:lang w:eastAsia="zh-CN"/>
          <w14:textFill>
            <w14:solidFill>
              <w14:schemeClr w14:val="tx1"/>
            </w14:solidFill>
          </w14:textFill>
        </w:rPr>
        <w:t xml:space="preserve"> </w:t>
      </w:r>
      <w:r>
        <w:rPr>
          <w:rFonts w:ascii="Calibri" w:hAnsi="Calibri" w:eastAsia="仿宋" w:cs="Calibri"/>
          <w:color w:val="000000" w:themeColor="text1"/>
          <w:sz w:val="24"/>
          <w:szCs w:val="24"/>
          <w:u w:val="single"/>
          <w:lang w:eastAsia="zh-CN"/>
          <w14:textFill>
            <w14:solidFill>
              <w14:schemeClr w14:val="tx1"/>
            </w14:solidFill>
          </w14:textFill>
        </w:rPr>
        <w:t>  </w:t>
      </w:r>
      <w:r>
        <w:rPr>
          <w:rFonts w:ascii="仿宋" w:eastAsia="仿宋"/>
          <w:color w:val="000000" w:themeColor="text1"/>
          <w:sz w:val="24"/>
          <w:szCs w:val="24"/>
          <w:lang w:eastAsia="zh-CN"/>
          <w14:textFill>
            <w14:solidFill>
              <w14:schemeClr w14:val="tx1"/>
            </w14:solidFill>
          </w14:textFill>
        </w:rPr>
        <w:t>元整(大写</w:t>
      </w:r>
      <w:r>
        <w:rPr>
          <w:rFonts w:ascii="仿宋" w:eastAsia="仿宋" w:cs="Calibri"/>
          <w:color w:val="000000" w:themeColor="text1"/>
          <w:sz w:val="24"/>
          <w:szCs w:val="24"/>
          <w:u w:val="single"/>
          <w:lang w:eastAsia="zh-CN"/>
          <w14:textFill>
            <w14:solidFill>
              <w14:schemeClr w14:val="tx1"/>
            </w14:solidFill>
          </w14:textFill>
        </w:rPr>
        <w:t xml:space="preserve">  </w:t>
      </w:r>
      <w:r>
        <w:rPr>
          <w:rFonts w:ascii="仿宋" w:eastAsia="仿宋"/>
          <w:color w:val="000000" w:themeColor="text1"/>
          <w:sz w:val="24"/>
          <w:szCs w:val="24"/>
          <w:u w:val="single"/>
          <w:lang w:eastAsia="zh-CN"/>
          <w14:textFill>
            <w14:solidFill>
              <w14:schemeClr w14:val="tx1"/>
            </w14:solidFill>
          </w14:textFill>
        </w:rPr>
        <w:t xml:space="preserve"> </w:t>
      </w:r>
      <w:r>
        <w:rPr>
          <w:rFonts w:ascii="Calibri" w:hAnsi="Calibri" w:eastAsia="仿宋" w:cs="Calibri"/>
          <w:color w:val="000000" w:themeColor="text1"/>
          <w:sz w:val="24"/>
          <w:szCs w:val="24"/>
          <w:u w:val="single"/>
          <w:lang w:eastAsia="zh-CN"/>
          <w14:textFill>
            <w14:solidFill>
              <w14:schemeClr w14:val="tx1"/>
            </w14:solidFill>
          </w14:textFill>
        </w:rPr>
        <w:t>  </w:t>
      </w:r>
      <w:r>
        <w:rPr>
          <w:rFonts w:ascii="仿宋" w:eastAsia="仿宋"/>
          <w:color w:val="000000" w:themeColor="text1"/>
          <w:sz w:val="24"/>
          <w:szCs w:val="24"/>
          <w:lang w:eastAsia="zh-CN"/>
          <w14:textFill>
            <w14:solidFill>
              <w14:schemeClr w14:val="tx1"/>
            </w14:solidFill>
          </w14:textFill>
        </w:rPr>
        <w:t>元）；</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 xml:space="preserve">2.2 </w:t>
      </w:r>
      <w:r>
        <w:rPr>
          <w:rFonts w:hint="eastAsia" w:ascii="仿宋" w:eastAsia="仿宋"/>
          <w:color w:val="000000" w:themeColor="text1"/>
          <w:sz w:val="24"/>
          <w:szCs w:val="24"/>
          <w:lang w:eastAsia="zh-CN"/>
          <w14:textFill>
            <w14:solidFill>
              <w14:schemeClr w14:val="tx1"/>
            </w14:solidFill>
          </w14:textFill>
        </w:rPr>
        <w:t>本项目的报价应包括该项目所涉及的加软件开发费、人工费、交通费等所有相关费用。</w:t>
      </w:r>
    </w:p>
    <w:p>
      <w:pPr>
        <w:pStyle w:val="4"/>
        <w:ind w:firstLine="640"/>
        <w:rPr>
          <w:rFonts w:ascii="仿宋" w:hAnsi="仿宋" w:eastAsia="仿宋"/>
          <w:color w:val="000000" w:themeColor="text1"/>
          <w:sz w:val="24"/>
          <w14:textFill>
            <w14:solidFill>
              <w14:schemeClr w14:val="tx1"/>
            </w14:solidFill>
          </w14:textFill>
        </w:rPr>
      </w:pPr>
      <w:bookmarkStart w:id="6" w:name="_Toc25588102"/>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三</w:t>
      </w:r>
      <w:r>
        <w:rPr>
          <w:rFonts w:ascii="仿宋" w:hAnsi="仿宋" w:eastAsia="仿宋"/>
          <w:color w:val="000000" w:themeColor="text1"/>
          <w:sz w:val="24"/>
          <w14:textFill>
            <w14:solidFill>
              <w14:schemeClr w14:val="tx1"/>
            </w14:solidFill>
          </w14:textFill>
        </w:rPr>
        <w:t>条 技术标准及要求</w:t>
      </w:r>
      <w:bookmarkEnd w:id="6"/>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3.1 乙方应严格按甲方要求，并符合有关国家标准和行业标准进行供货。</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3.2 在质保期内的使用过程中，乙方应负责处理出现的缺陷和服务问题，所需费用由乙方承担，对于甲方操作失误造成的问题，乙方应积极配合，予以解决，费用由甲方承担。</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3.3 乙方所供货物的质量保证期为</w:t>
      </w:r>
      <w:r>
        <w:rPr>
          <w:rFonts w:ascii="仿宋" w:eastAsia="仿宋"/>
          <w:color w:val="000000" w:themeColor="text1"/>
          <w:sz w:val="24"/>
          <w:szCs w:val="24"/>
          <w:u w:val="single"/>
          <w:lang w:eastAsia="zh-CN"/>
          <w14:textFill>
            <w14:solidFill>
              <w14:schemeClr w14:val="tx1"/>
            </w14:solidFill>
          </w14:textFill>
        </w:rPr>
        <w:t xml:space="preserve">  </w:t>
      </w:r>
      <w:r>
        <w:rPr>
          <w:rFonts w:hint="eastAsia" w:ascii="仿宋" w:eastAsia="仿宋"/>
          <w:color w:val="000000" w:themeColor="text1"/>
          <w:sz w:val="24"/>
          <w:szCs w:val="24"/>
          <w:u w:val="single"/>
          <w:lang w:eastAsia="zh-CN"/>
          <w14:textFill>
            <w14:solidFill>
              <w14:schemeClr w14:val="tx1"/>
            </w14:solidFill>
          </w14:textFill>
        </w:rPr>
        <w:t>2</w:t>
      </w:r>
      <w:r>
        <w:rPr>
          <w:rFonts w:ascii="仿宋" w:eastAsia="仿宋"/>
          <w:color w:val="000000" w:themeColor="text1"/>
          <w:sz w:val="24"/>
          <w:szCs w:val="24"/>
          <w:u w:val="single"/>
          <w:lang w:eastAsia="zh-CN"/>
          <w14:textFill>
            <w14:solidFill>
              <w14:schemeClr w14:val="tx1"/>
            </w14:solidFill>
          </w14:textFill>
        </w:rPr>
        <w:t xml:space="preserve">  </w:t>
      </w:r>
      <w:r>
        <w:rPr>
          <w:rFonts w:ascii="仿宋" w:eastAsia="仿宋"/>
          <w:color w:val="000000" w:themeColor="text1"/>
          <w:sz w:val="24"/>
          <w:szCs w:val="24"/>
          <w:lang w:eastAsia="zh-CN"/>
          <w14:textFill>
            <w14:solidFill>
              <w14:schemeClr w14:val="tx1"/>
            </w14:solidFill>
          </w14:textFill>
        </w:rPr>
        <w:t>年，自货到并验收合格之日起算。</w:t>
      </w:r>
    </w:p>
    <w:p>
      <w:pPr>
        <w:pStyle w:val="4"/>
        <w:ind w:firstLine="640"/>
        <w:rPr>
          <w:rFonts w:ascii="仿宋" w:hAnsi="仿宋" w:eastAsia="仿宋"/>
          <w:color w:val="000000" w:themeColor="text1"/>
          <w:sz w:val="24"/>
          <w14:textFill>
            <w14:solidFill>
              <w14:schemeClr w14:val="tx1"/>
            </w14:solidFill>
          </w14:textFill>
        </w:rPr>
      </w:pPr>
      <w:bookmarkStart w:id="7" w:name="_Toc25588103"/>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四</w:t>
      </w:r>
      <w:r>
        <w:rPr>
          <w:rFonts w:ascii="仿宋" w:hAnsi="仿宋" w:eastAsia="仿宋"/>
          <w:color w:val="000000" w:themeColor="text1"/>
          <w:sz w:val="24"/>
          <w14:textFill>
            <w14:solidFill>
              <w14:schemeClr w14:val="tx1"/>
            </w14:solidFill>
          </w14:textFill>
        </w:rPr>
        <w:t>条 交货日期</w:t>
      </w:r>
      <w:bookmarkEnd w:id="7"/>
    </w:p>
    <w:p>
      <w:pPr>
        <w:ind w:firstLine="480" w:firstLineChars="200"/>
        <w:rPr>
          <w:rFonts w:ascii="仿宋" w:hAnsi="仿宋" w:eastAsia="仿宋"/>
          <w:color w:val="000000" w:themeColor="text1"/>
          <w:sz w:val="28"/>
          <w:szCs w:val="28"/>
          <w14:textFill>
            <w14:solidFill>
              <w14:schemeClr w14:val="tx1"/>
            </w14:solidFill>
          </w14:textFill>
        </w:rPr>
      </w:pPr>
      <w:r>
        <w:rPr>
          <w:rFonts w:ascii="仿宋" w:eastAsia="仿宋"/>
          <w:color w:val="000000" w:themeColor="text1"/>
          <w:sz w:val="24"/>
          <w14:textFill>
            <w14:solidFill>
              <w14:schemeClr w14:val="tx1"/>
            </w14:solidFill>
          </w14:textFill>
        </w:rPr>
        <w:t xml:space="preserve">4.1 </w:t>
      </w:r>
      <w:r>
        <w:rPr>
          <w:rFonts w:hint="eastAsia" w:ascii="仿宋" w:hAnsi="仿宋" w:eastAsia="仿宋"/>
          <w:color w:val="000000" w:themeColor="text1"/>
          <w:sz w:val="24"/>
          <w14:textFill>
            <w14:solidFill>
              <w14:schemeClr w14:val="tx1"/>
            </w14:solidFill>
          </w14:textFill>
        </w:rPr>
        <w:t>自合同签订之日起90</w:t>
      </w:r>
      <w:r>
        <w:rPr>
          <w:rFonts w:ascii="仿宋" w:hAnsi="仿宋" w:eastAsia="仿宋"/>
          <w:color w:val="000000" w:themeColor="text1"/>
          <w:sz w:val="24"/>
          <w14:textFill>
            <w14:solidFill>
              <w14:schemeClr w14:val="tx1"/>
            </w14:solidFill>
          </w14:textFill>
        </w:rPr>
        <w:t>日历</w:t>
      </w:r>
      <w:r>
        <w:rPr>
          <w:rFonts w:hint="eastAsia" w:ascii="仿宋" w:hAnsi="仿宋" w:eastAsia="仿宋"/>
          <w:color w:val="000000" w:themeColor="text1"/>
          <w:sz w:val="24"/>
          <w14:textFill>
            <w14:solidFill>
              <w14:schemeClr w14:val="tx1"/>
            </w14:solidFill>
          </w14:textFill>
        </w:rPr>
        <w:t>天。</w:t>
      </w:r>
    </w:p>
    <w:p>
      <w:pPr>
        <w:pStyle w:val="4"/>
        <w:ind w:firstLine="640"/>
        <w:rPr>
          <w:rFonts w:ascii="仿宋" w:hAnsi="仿宋" w:eastAsia="仿宋"/>
          <w:color w:val="000000" w:themeColor="text1"/>
          <w:sz w:val="24"/>
          <w14:textFill>
            <w14:solidFill>
              <w14:schemeClr w14:val="tx1"/>
            </w14:solidFill>
          </w14:textFill>
        </w:rPr>
      </w:pPr>
      <w:bookmarkStart w:id="8" w:name="_Toc25588104"/>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五</w:t>
      </w:r>
      <w:r>
        <w:rPr>
          <w:rFonts w:ascii="仿宋" w:hAnsi="仿宋" w:eastAsia="仿宋"/>
          <w:color w:val="000000" w:themeColor="text1"/>
          <w:sz w:val="24"/>
          <w14:textFill>
            <w14:solidFill>
              <w14:schemeClr w14:val="tx1"/>
            </w14:solidFill>
          </w14:textFill>
        </w:rPr>
        <w:t>条 验收办法</w:t>
      </w:r>
      <w:bookmarkEnd w:id="8"/>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 xml:space="preserve">5.1 </w:t>
      </w:r>
      <w:r>
        <w:rPr>
          <w:rFonts w:hint="eastAsia" w:ascii="仿宋" w:eastAsia="仿宋"/>
          <w:color w:val="000000" w:themeColor="text1"/>
          <w:sz w:val="24"/>
          <w:szCs w:val="24"/>
          <w:lang w:eastAsia="zh-CN"/>
          <w14:textFill>
            <w14:solidFill>
              <w14:schemeClr w14:val="tx1"/>
            </w14:solidFill>
          </w14:textFill>
        </w:rPr>
        <w:t>按照系统设计方案验收。</w:t>
      </w:r>
    </w:p>
    <w:p>
      <w:pPr>
        <w:pStyle w:val="21"/>
        <w:ind w:firstLine="48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5</w:t>
      </w:r>
      <w:r>
        <w:rPr>
          <w:rFonts w:ascii="仿宋" w:eastAsia="仿宋"/>
          <w:color w:val="000000" w:themeColor="text1"/>
          <w:sz w:val="24"/>
          <w:szCs w:val="24"/>
          <w:lang w:eastAsia="zh-CN"/>
          <w14:textFill>
            <w14:solidFill>
              <w14:schemeClr w14:val="tx1"/>
            </w14:solidFill>
          </w14:textFill>
        </w:rPr>
        <w:t>.</w:t>
      </w:r>
      <w:r>
        <w:rPr>
          <w:rFonts w:hint="eastAsia" w:ascii="仿宋" w:eastAsia="仿宋"/>
          <w:color w:val="000000" w:themeColor="text1"/>
          <w:sz w:val="24"/>
          <w:szCs w:val="24"/>
          <w:lang w:eastAsia="zh-CN"/>
          <w14:textFill>
            <w14:solidFill>
              <w14:schemeClr w14:val="tx1"/>
            </w14:solidFill>
          </w14:textFill>
        </w:rPr>
        <w:t>2 提供相关系统源代码。</w:t>
      </w:r>
    </w:p>
    <w:p>
      <w:pPr>
        <w:pStyle w:val="4"/>
        <w:ind w:firstLine="640"/>
        <w:rPr>
          <w:rFonts w:ascii="仿宋" w:hAnsi="仿宋" w:eastAsia="仿宋"/>
          <w:color w:val="000000" w:themeColor="text1"/>
          <w:sz w:val="24"/>
          <w14:textFill>
            <w14:solidFill>
              <w14:schemeClr w14:val="tx1"/>
            </w14:solidFill>
          </w14:textFill>
        </w:rPr>
      </w:pPr>
      <w:bookmarkStart w:id="9" w:name="_Toc25588105"/>
      <w:r>
        <w:rPr>
          <w:rFonts w:hint="eastAsia" w:ascii="仿宋" w:hAnsi="仿宋" w:eastAsia="仿宋"/>
          <w:color w:val="000000" w:themeColor="text1"/>
          <w:sz w:val="24"/>
          <w14:textFill>
            <w14:solidFill>
              <w14:schemeClr w14:val="tx1"/>
            </w14:solidFill>
          </w14:textFill>
        </w:rPr>
        <w:t>第六条</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履约保证金</w:t>
      </w:r>
      <w:bookmarkEnd w:id="9"/>
    </w:p>
    <w:p>
      <w:pPr>
        <w:pStyle w:val="21"/>
        <w:ind w:left="210" w:leftChars="100" w:firstLine="240" w:firstLineChars="10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6.1乙方应在成交通知书发出10天日内，一次性向甲方缴纳履约保证金人民币：</w:t>
      </w:r>
      <w:r>
        <w:rPr>
          <w:rFonts w:ascii="仿宋" w:eastAsia="仿宋"/>
          <w:color w:val="000000" w:themeColor="text1"/>
          <w:sz w:val="24"/>
          <w:szCs w:val="24"/>
          <w:u w:val="single"/>
          <w:lang w:eastAsia="zh-CN"/>
          <w14:textFill>
            <w14:solidFill>
              <w14:schemeClr w14:val="tx1"/>
            </w14:solidFill>
          </w14:textFill>
        </w:rPr>
        <w:t xml:space="preserve">   </w:t>
      </w:r>
      <w:r>
        <w:rPr>
          <w:rFonts w:hint="eastAsia" w:ascii="仿宋" w:eastAsia="仿宋"/>
          <w:color w:val="000000" w:themeColor="text1"/>
          <w:sz w:val="24"/>
          <w:szCs w:val="24"/>
          <w:lang w:eastAsia="zh-CN"/>
          <w14:textFill>
            <w14:solidFill>
              <w14:schemeClr w14:val="tx1"/>
            </w14:solidFill>
          </w14:textFill>
        </w:rPr>
        <w:t>元。履约保证金不计利息。</w:t>
      </w:r>
    </w:p>
    <w:p>
      <w:pPr>
        <w:pStyle w:val="21"/>
        <w:ind w:firstLine="48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6.2履约保证金应由乙方名义开立的账户支付到甲方账户，否则视为未支付，甲方有权追究乙方逾期付款责任。</w:t>
      </w:r>
    </w:p>
    <w:p>
      <w:pPr>
        <w:pStyle w:val="21"/>
        <w:ind w:firstLine="480"/>
        <w:rPr>
          <w:rFonts w:ascii="仿宋" w:eastAsia="仿宋"/>
          <w:color w:val="000000" w:themeColor="text1"/>
          <w:sz w:val="24"/>
          <w:szCs w:val="24"/>
          <w:lang w:eastAsia="zh-CN"/>
          <w14:textFill>
            <w14:solidFill>
              <w14:schemeClr w14:val="tx1"/>
            </w14:solidFill>
          </w14:textFill>
        </w:rPr>
      </w:pPr>
      <w:r>
        <w:rPr>
          <w:rFonts w:hint="eastAsia" w:ascii="仿宋" w:eastAsia="仿宋"/>
          <w:color w:val="000000" w:themeColor="text1"/>
          <w:sz w:val="24"/>
          <w:szCs w:val="24"/>
          <w:lang w:eastAsia="zh-CN"/>
          <w14:textFill>
            <w14:solidFill>
              <w14:schemeClr w14:val="tx1"/>
            </w14:solidFill>
          </w14:textFill>
        </w:rPr>
        <w:t>6.3 乙方支付履约保证金时，应在“付款备注”中写明“（合同编号）XX技术服务合同履约保证金”。乙方不得与其他合同、其他缴费项目一起支付履约保证金，若因混合支付造成无法确认为本合同款项到账的，视为逾期未支付。</w:t>
      </w:r>
    </w:p>
    <w:p>
      <w:pPr>
        <w:pStyle w:val="4"/>
        <w:ind w:firstLine="480" w:firstLineChars="200"/>
        <w:rPr>
          <w:rFonts w:ascii="仿宋" w:eastAsia="仿宋"/>
          <w:color w:val="000000" w:themeColor="text1"/>
          <w:sz w:val="24"/>
          <w14:textFill>
            <w14:solidFill>
              <w14:schemeClr w14:val="tx1"/>
            </w14:solidFill>
          </w14:textFill>
        </w:rPr>
      </w:pPr>
      <w:r>
        <w:rPr>
          <w:rFonts w:hint="eastAsia" w:ascii="仿宋" w:eastAsia="仿宋"/>
          <w:color w:val="000000" w:themeColor="text1"/>
          <w:sz w:val="24"/>
          <w14:textFill>
            <w14:solidFill>
              <w14:schemeClr w14:val="tx1"/>
            </w14:solidFill>
          </w14:textFill>
        </w:rPr>
        <w:t>6.4本合同期限届满，若乙方在约定时间内履行完成合同义务且无违约情形，甲方在收到乙方退还履约保证金的申请后，15个工作日内无息退还。</w:t>
      </w:r>
      <w:bookmarkStart w:id="10" w:name="_Toc25588106"/>
    </w:p>
    <w:p>
      <w:pPr>
        <w:pStyle w:val="4"/>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第七条 付款方式</w:t>
      </w:r>
      <w:bookmarkEnd w:id="10"/>
      <w:r>
        <w:rPr>
          <w:rFonts w:ascii="仿宋" w:hAnsi="仿宋" w:eastAsia="仿宋"/>
          <w:color w:val="000000" w:themeColor="text1"/>
          <w:sz w:val="24"/>
          <w14:textFill>
            <w14:solidFill>
              <w14:schemeClr w14:val="tx1"/>
            </w14:solidFill>
          </w14:textFill>
        </w:rPr>
        <w:t xml:space="preserve"> </w:t>
      </w: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7.1 甲乙双方签订合同后，乙方按要求开具全额增值税专用发票，甲方在收到发票且项目经甲方人员验收合格后，甲方在30个工作日内支付合同价款的97%，质保期结束45个工作日内支付剩下合同款的3%。</w:t>
      </w: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7.2乙方需向甲方提供正规增值税发票。如果乙方提供增值税普通发票，甲方支付金额为不含增值税金额；如果乙方提供增值税专用发票，甲方支付金额=不含增值税金额+增值税税额。</w:t>
      </w: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7.3付款方式为银行转账或银行承兑汇票。</w:t>
      </w:r>
    </w:p>
    <w:p>
      <w:pPr>
        <w:pStyle w:val="4"/>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7.4如税率发生国家法规调整，折算为不含税价后以新适用税率结算。</w:t>
      </w:r>
      <w:bookmarkStart w:id="11" w:name="_Toc25588107"/>
    </w:p>
    <w:p>
      <w:pPr>
        <w:pStyle w:val="4"/>
        <w:ind w:firstLine="600" w:firstLineChars="25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八</w:t>
      </w:r>
      <w:r>
        <w:rPr>
          <w:rFonts w:ascii="仿宋" w:hAnsi="仿宋" w:eastAsia="仿宋"/>
          <w:color w:val="000000" w:themeColor="text1"/>
          <w:sz w:val="24"/>
          <w14:textFill>
            <w14:solidFill>
              <w14:schemeClr w14:val="tx1"/>
            </w14:solidFill>
          </w14:textFill>
        </w:rPr>
        <w:t>条 违约和索赔</w:t>
      </w:r>
      <w:bookmarkEnd w:id="11"/>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8. 1乙方逾期交货，乙方应向甲方偿付逾期交付违约金。逾期违约金按照合同总价款每日万分之三计算。甲方可在货物结算款中扣除。违约金尚不能补偿对方损失时，有权向对方追索实际损失的赔偿金。</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8.2 乙方逾期交货，或不履行售后服务，经甲方催告后仍不能履行的，甲方有权解除合同，保证金作为违约金不予退还。保证金不足以弥补甲方损失的，甲方有权追偿。</w:t>
      </w:r>
    </w:p>
    <w:p>
      <w:pPr>
        <w:pStyle w:val="21"/>
        <w:ind w:firstLine="480"/>
        <w:rPr>
          <w:rFonts w:ascii="仿宋" w:eastAsia="仿宋"/>
          <w:bCs/>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 xml:space="preserve">8.3 </w:t>
      </w:r>
      <w:r>
        <w:rPr>
          <w:rFonts w:ascii="仿宋" w:eastAsia="仿宋"/>
          <w:bCs/>
          <w:color w:val="000000" w:themeColor="text1"/>
          <w:sz w:val="24"/>
          <w:szCs w:val="24"/>
          <w:lang w:eastAsia="zh-CN"/>
          <w14:textFill>
            <w14:solidFill>
              <w14:schemeClr w14:val="tx1"/>
            </w14:solidFill>
          </w14:textFill>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21"/>
        <w:ind w:firstLine="480"/>
        <w:rPr>
          <w:rFonts w:ascii="仿宋" w:eastAsia="仿宋"/>
          <w:bCs/>
          <w:color w:val="000000" w:themeColor="text1"/>
          <w:sz w:val="24"/>
          <w:szCs w:val="24"/>
          <w:lang w:eastAsia="zh-CN"/>
          <w14:textFill>
            <w14:solidFill>
              <w14:schemeClr w14:val="tx1"/>
            </w14:solidFill>
          </w14:textFill>
        </w:rPr>
      </w:pPr>
      <w:r>
        <w:rPr>
          <w:rFonts w:ascii="仿宋" w:eastAsia="仿宋"/>
          <w:bCs/>
          <w:color w:val="000000" w:themeColor="text1"/>
          <w:sz w:val="24"/>
          <w:szCs w:val="24"/>
          <w:lang w:eastAsia="zh-CN"/>
          <w14:textFill>
            <w14:solidFill>
              <w14:schemeClr w14:val="tx1"/>
            </w14:solidFill>
          </w14:textFill>
        </w:rPr>
        <w:t>8.4因产品质量瑕疵或缺陷导致甲方或第三人损害的，甲方有权向乙方索赔。</w:t>
      </w:r>
    </w:p>
    <w:p>
      <w:pPr>
        <w:pStyle w:val="4"/>
        <w:ind w:firstLine="640"/>
        <w:rPr>
          <w:rFonts w:ascii="仿宋" w:hAnsi="仿宋" w:eastAsia="仿宋"/>
          <w:color w:val="000000" w:themeColor="text1"/>
          <w:sz w:val="24"/>
          <w14:textFill>
            <w14:solidFill>
              <w14:schemeClr w14:val="tx1"/>
            </w14:solidFill>
          </w14:textFill>
        </w:rPr>
      </w:pPr>
      <w:bookmarkStart w:id="12" w:name="_Toc25588108"/>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九</w:t>
      </w:r>
      <w:r>
        <w:rPr>
          <w:rFonts w:ascii="仿宋" w:hAnsi="仿宋" w:eastAsia="仿宋"/>
          <w:color w:val="000000" w:themeColor="text1"/>
          <w:sz w:val="24"/>
          <w14:textFill>
            <w14:solidFill>
              <w14:schemeClr w14:val="tx1"/>
            </w14:solidFill>
          </w14:textFill>
        </w:rPr>
        <w:t>条 不可抗力</w:t>
      </w:r>
      <w:bookmarkEnd w:id="12"/>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仿宋" w:hAnsi="仿宋" w:eastAsia="仿宋"/>
          <w:color w:val="000000" w:themeColor="text1"/>
          <w:sz w:val="24"/>
          <w14:textFill>
            <w14:solidFill>
              <w14:schemeClr w14:val="tx1"/>
            </w14:solidFill>
          </w14:textFill>
        </w:rPr>
      </w:pPr>
      <w:bookmarkStart w:id="13" w:name="_Toc25588109"/>
      <w:r>
        <w:rPr>
          <w:rFonts w:hint="eastAsia" w:ascii="仿宋" w:hAnsi="仿宋" w:eastAsia="仿宋"/>
          <w:color w:val="000000" w:themeColor="text1"/>
          <w:sz w:val="24"/>
          <w14:textFill>
            <w14:solidFill>
              <w14:schemeClr w14:val="tx1"/>
            </w14:solidFill>
          </w14:textFill>
        </w:rPr>
        <w:t>第十条</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通知条款</w:t>
      </w:r>
      <w:bookmarkEnd w:id="13"/>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甲方指定的联系方式：</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联系人：</w:t>
      </w:r>
      <w:r>
        <w:rPr>
          <w:rFonts w:hint="eastAsia" w:ascii="仿宋" w:eastAsia="仿宋"/>
          <w:color w:val="000000" w:themeColor="text1"/>
          <w:sz w:val="24"/>
          <w:szCs w:val="24"/>
          <w:u w:val="single"/>
          <w:lang w:eastAsia="zh-CN"/>
          <w14:textFill>
            <w14:solidFill>
              <w14:schemeClr w14:val="tx1"/>
            </w14:solidFill>
          </w14:textFill>
        </w:rPr>
        <w:t>李冠男</w:t>
      </w:r>
      <w:r>
        <w:rPr>
          <w:rFonts w:ascii="仿宋" w:eastAsia="仿宋" w:cs="Times New Roman"/>
          <w:color w:val="000000" w:themeColor="text1"/>
          <w:sz w:val="24"/>
          <w:szCs w:val="24"/>
          <w:u w:val="single"/>
          <w:lang w:eastAsia="zh-CN"/>
          <w14:textFill>
            <w14:solidFill>
              <w14:schemeClr w14:val="tx1"/>
            </w14:solidFill>
          </w14:textFill>
        </w:rPr>
        <w:t>_______________________</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联系电话：</w:t>
      </w:r>
      <w:r>
        <w:rPr>
          <w:rFonts w:hint="eastAsia" w:ascii="仿宋" w:eastAsia="仿宋"/>
          <w:color w:val="000000" w:themeColor="text1"/>
          <w:sz w:val="24"/>
          <w:szCs w:val="24"/>
          <w:u w:val="single"/>
          <w:lang w:eastAsia="zh-CN"/>
          <w14:textFill>
            <w14:solidFill>
              <w14:schemeClr w14:val="tx1"/>
            </w14:solidFill>
          </w14:textFill>
        </w:rPr>
        <w:t>02367152518</w:t>
      </w:r>
      <w:r>
        <w:rPr>
          <w:rFonts w:ascii="仿宋" w:eastAsia="仿宋" w:cs="Times New Roman"/>
          <w:color w:val="000000" w:themeColor="text1"/>
          <w:sz w:val="24"/>
          <w:szCs w:val="24"/>
          <w:u w:val="single"/>
          <w:lang w:eastAsia="zh-CN"/>
          <w14:textFill>
            <w14:solidFill>
              <w14:schemeClr w14:val="tx1"/>
            </w14:solidFill>
          </w14:textFill>
        </w:rPr>
        <w:t>________________</w:t>
      </w:r>
    </w:p>
    <w:p>
      <w:pPr>
        <w:pStyle w:val="21"/>
        <w:ind w:firstLine="480"/>
        <w:rPr>
          <w:rFonts w:ascii="仿宋" w:eastAsia="仿宋" w:cs="Times New Roman"/>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通讯地址：</w:t>
      </w:r>
      <w:r>
        <w:rPr>
          <w:rFonts w:hint="eastAsia" w:ascii="仿宋" w:eastAsia="仿宋"/>
          <w:color w:val="000000" w:themeColor="text1"/>
          <w:sz w:val="24"/>
          <w:szCs w:val="24"/>
          <w:u w:val="single"/>
          <w:lang w:eastAsia="zh-CN"/>
          <w14:textFill>
            <w14:solidFill>
              <w14:schemeClr w14:val="tx1"/>
            </w14:solidFill>
          </w14:textFill>
        </w:rPr>
        <w:t>重庆江北国际机场有限公司</w:t>
      </w:r>
      <w:r>
        <w:rPr>
          <w:rFonts w:ascii="仿宋" w:eastAsia="仿宋" w:cs="Times New Roman"/>
          <w:color w:val="000000" w:themeColor="text1"/>
          <w:sz w:val="24"/>
          <w:szCs w:val="24"/>
          <w:u w:val="single"/>
          <w:lang w:eastAsia="zh-CN"/>
          <w14:textFill>
            <w14:solidFill>
              <w14:schemeClr w14:val="tx1"/>
            </w14:solidFill>
          </w14:textFill>
        </w:rPr>
        <w:t>___</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电子邮件：</w:t>
      </w:r>
      <w:r>
        <w:rPr>
          <w:rFonts w:ascii="仿宋" w:eastAsia="仿宋" w:cs="Times New Roman"/>
          <w:color w:val="000000" w:themeColor="text1"/>
          <w:sz w:val="24"/>
          <w:szCs w:val="24"/>
          <w:lang w:eastAsia="zh-CN"/>
          <w14:textFill>
            <w14:solidFill>
              <w14:schemeClr w14:val="tx1"/>
            </w14:solidFill>
          </w14:textFill>
        </w:rPr>
        <w:t>___________________________</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乙方指定的联系方式：</w:t>
      </w:r>
    </w:p>
    <w:p>
      <w:pPr>
        <w:pStyle w:val="21"/>
        <w:ind w:firstLine="480"/>
        <w:rPr>
          <w:rFonts w:ascii="仿宋" w:eastAsia="仿宋" w:cs="Times New Roman"/>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联系人：</w:t>
      </w:r>
      <w:r>
        <w:rPr>
          <w:rFonts w:ascii="仿宋" w:eastAsia="仿宋" w:cs="Times New Roman"/>
          <w:color w:val="000000" w:themeColor="text1"/>
          <w:sz w:val="24"/>
          <w:szCs w:val="24"/>
          <w:lang w:eastAsia="zh-CN"/>
          <w14:textFill>
            <w14:solidFill>
              <w14:schemeClr w14:val="tx1"/>
            </w14:solidFill>
          </w14:textFill>
        </w:rPr>
        <w:t>_____________________________</w:t>
      </w:r>
    </w:p>
    <w:p>
      <w:pPr>
        <w:pStyle w:val="21"/>
        <w:ind w:firstLine="480"/>
        <w:rPr>
          <w:rFonts w:ascii="仿宋" w:eastAsia="仿宋" w:cs="Times New Roman"/>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联系电话：</w:t>
      </w:r>
      <w:r>
        <w:rPr>
          <w:rFonts w:ascii="仿宋" w:eastAsia="仿宋" w:cs="Times New Roman"/>
          <w:color w:val="000000" w:themeColor="text1"/>
          <w:sz w:val="24"/>
          <w:szCs w:val="24"/>
          <w:lang w:eastAsia="zh-CN"/>
          <w14:textFill>
            <w14:solidFill>
              <w14:schemeClr w14:val="tx1"/>
            </w14:solidFill>
          </w14:textFill>
        </w:rPr>
        <w:t>___________________________</w:t>
      </w:r>
    </w:p>
    <w:p>
      <w:pPr>
        <w:pStyle w:val="21"/>
        <w:ind w:firstLine="480"/>
        <w:rPr>
          <w:rFonts w:ascii="仿宋" w:eastAsia="仿宋" w:cs="Times New Roman"/>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通讯地址：</w:t>
      </w:r>
      <w:r>
        <w:rPr>
          <w:rFonts w:ascii="仿宋" w:eastAsia="仿宋" w:cs="Times New Roman"/>
          <w:color w:val="000000" w:themeColor="text1"/>
          <w:sz w:val="24"/>
          <w:szCs w:val="24"/>
          <w:lang w:eastAsia="zh-CN"/>
          <w14:textFill>
            <w14:solidFill>
              <w14:schemeClr w14:val="tx1"/>
            </w14:solidFill>
          </w14:textFill>
        </w:rPr>
        <w:t>___________________________</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电子邮件：</w:t>
      </w:r>
      <w:r>
        <w:rPr>
          <w:rFonts w:ascii="仿宋" w:eastAsia="仿宋" w:cs="Times New Roman"/>
          <w:color w:val="000000" w:themeColor="text1"/>
          <w:sz w:val="24"/>
          <w:szCs w:val="24"/>
          <w:lang w:eastAsia="zh-CN"/>
          <w14:textFill>
            <w14:solidFill>
              <w14:schemeClr w14:val="tx1"/>
            </w14:solidFill>
          </w14:textFill>
        </w:rPr>
        <w:t>___________________________</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10.1采用当面签收的，应由合同中指定的联系人或双方授权的代表签收，签收日期即为送达时间。</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10.5收件一方若认为邮件封面标题与邮件中实际文件内容不符的，应在收到邮件后三日内通知相对人，逾期视为邮件封面标题与邮件中实际文件内容一致，并视为有效送达收件人。</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10.7本合同约定的联系方式与送达方式同时可作为法律文书的联系方式与送达方式。</w:t>
      </w:r>
    </w:p>
    <w:p>
      <w:pPr>
        <w:pStyle w:val="4"/>
        <w:ind w:firstLine="640"/>
        <w:rPr>
          <w:rFonts w:ascii="仿宋" w:hAnsi="仿宋" w:eastAsia="仿宋"/>
          <w:color w:val="000000" w:themeColor="text1"/>
          <w:sz w:val="24"/>
          <w14:textFill>
            <w14:solidFill>
              <w14:schemeClr w14:val="tx1"/>
            </w14:solidFill>
          </w14:textFill>
        </w:rPr>
      </w:pPr>
      <w:bookmarkStart w:id="14" w:name="_Toc25588110"/>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十一</w:t>
      </w:r>
      <w:r>
        <w:rPr>
          <w:rFonts w:ascii="仿宋" w:hAnsi="仿宋" w:eastAsia="仿宋"/>
          <w:color w:val="000000" w:themeColor="text1"/>
          <w:sz w:val="24"/>
          <w14:textFill>
            <w14:solidFill>
              <w14:schemeClr w14:val="tx1"/>
            </w14:solidFill>
          </w14:textFill>
        </w:rPr>
        <w:t xml:space="preserve">条 </w:t>
      </w:r>
      <w:r>
        <w:rPr>
          <w:rFonts w:hint="eastAsia" w:ascii="仿宋" w:hAnsi="仿宋" w:eastAsia="仿宋"/>
          <w:color w:val="000000" w:themeColor="text1"/>
          <w:sz w:val="24"/>
          <w14:textFill>
            <w14:solidFill>
              <w14:schemeClr w14:val="tx1"/>
            </w14:solidFill>
          </w14:textFill>
        </w:rPr>
        <w:t>保密条款</w:t>
      </w:r>
      <w:bookmarkEnd w:id="14"/>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仿宋" w:hAnsi="仿宋" w:eastAsia="仿宋"/>
          <w:color w:val="000000" w:themeColor="text1"/>
          <w:sz w:val="24"/>
          <w14:textFill>
            <w14:solidFill>
              <w14:schemeClr w14:val="tx1"/>
            </w14:solidFill>
          </w14:textFill>
        </w:rPr>
      </w:pPr>
      <w:bookmarkStart w:id="15" w:name="_Toc25588111"/>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十二</w:t>
      </w:r>
      <w:r>
        <w:rPr>
          <w:rFonts w:ascii="仿宋" w:hAnsi="仿宋" w:eastAsia="仿宋"/>
          <w:color w:val="000000" w:themeColor="text1"/>
          <w:sz w:val="24"/>
          <w14:textFill>
            <w14:solidFill>
              <w14:schemeClr w14:val="tx1"/>
            </w14:solidFill>
          </w14:textFill>
        </w:rPr>
        <w:t xml:space="preserve">条 </w:t>
      </w:r>
      <w:r>
        <w:rPr>
          <w:rFonts w:hint="eastAsia" w:ascii="仿宋" w:hAnsi="仿宋" w:eastAsia="仿宋"/>
          <w:color w:val="000000" w:themeColor="text1"/>
          <w:sz w:val="24"/>
          <w14:textFill>
            <w14:solidFill>
              <w14:schemeClr w14:val="tx1"/>
            </w14:solidFill>
          </w14:textFill>
        </w:rPr>
        <w:t>合同争议的解决方式</w:t>
      </w:r>
      <w:bookmarkEnd w:id="15"/>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12.1 若在合同履行过程中发生争议，甲乙双方应当友好协商解决，协商不成，按以下第（</w:t>
      </w:r>
      <w:r>
        <w:rPr>
          <w:rFonts w:hint="eastAsia" w:ascii="仿宋" w:eastAsia="仿宋"/>
          <w:color w:val="000000" w:themeColor="text1"/>
          <w:sz w:val="24"/>
          <w:szCs w:val="24"/>
          <w:lang w:eastAsia="zh-CN"/>
          <w14:textFill>
            <w14:solidFill>
              <w14:schemeClr w14:val="tx1"/>
            </w14:solidFill>
          </w14:textFill>
        </w:rPr>
        <w:t>一</w:t>
      </w:r>
      <w:r>
        <w:rPr>
          <w:rFonts w:ascii="仿宋" w:eastAsia="仿宋"/>
          <w:color w:val="000000" w:themeColor="text1"/>
          <w:sz w:val="24"/>
          <w:szCs w:val="24"/>
          <w:lang w:eastAsia="zh-CN"/>
          <w14:textFill>
            <w14:solidFill>
              <w14:schemeClr w14:val="tx1"/>
            </w14:solidFill>
          </w14:textFill>
        </w:rPr>
        <w:t>） 种方式解决：</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（一）提交重庆仲裁委员会，按照申请仲裁时该会现行有效的仲裁规则进行仲裁。</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（二）向甲方所在地人民法院起诉。</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12.2在</w:t>
      </w:r>
      <w:r>
        <w:rPr>
          <w:rFonts w:hint="eastAsia" w:ascii="仿宋" w:eastAsia="仿宋"/>
          <w:color w:val="000000" w:themeColor="text1"/>
          <w:sz w:val="24"/>
          <w:szCs w:val="24"/>
          <w:lang w:eastAsia="zh-CN"/>
          <w14:textFill>
            <w14:solidFill>
              <w14:schemeClr w14:val="tx1"/>
            </w14:solidFill>
          </w14:textFill>
        </w:rPr>
        <w:t>仲裁或</w:t>
      </w:r>
      <w:r>
        <w:rPr>
          <w:rFonts w:ascii="仿宋" w:eastAsia="仿宋"/>
          <w:color w:val="000000" w:themeColor="text1"/>
          <w:sz w:val="24"/>
          <w:szCs w:val="24"/>
          <w:lang w:eastAsia="zh-CN"/>
          <w14:textFill>
            <w14:solidFill>
              <w14:schemeClr w14:val="tx1"/>
            </w14:solidFill>
          </w14:textFill>
        </w:rPr>
        <w:t>诉讼期间，除正在进行诉讼的部分外，合同其它部分继续执行。</w:t>
      </w:r>
    </w:p>
    <w:p>
      <w:pPr>
        <w:pStyle w:val="4"/>
        <w:ind w:firstLine="640"/>
        <w:rPr>
          <w:rFonts w:ascii="仿宋" w:hAnsi="仿宋" w:eastAsia="仿宋"/>
          <w:color w:val="000000" w:themeColor="text1"/>
          <w:sz w:val="24"/>
          <w14:textFill>
            <w14:solidFill>
              <w14:schemeClr w14:val="tx1"/>
            </w14:solidFill>
          </w14:textFill>
        </w:rPr>
      </w:pPr>
      <w:bookmarkStart w:id="16" w:name="_Toc25588112"/>
      <w:r>
        <w:rPr>
          <w:rFonts w:hint="eastAsia" w:ascii="仿宋" w:hAnsi="仿宋" w:eastAsia="仿宋"/>
          <w:color w:val="000000" w:themeColor="text1"/>
          <w:sz w:val="24"/>
          <w14:textFill>
            <w14:solidFill>
              <w14:schemeClr w14:val="tx1"/>
            </w14:solidFill>
          </w14:textFill>
        </w:rPr>
        <w:t>第十三条</w:t>
      </w:r>
      <w:r>
        <w:rPr>
          <w:rFonts w:ascii="仿宋" w:hAnsi="仿宋" w:eastAsia="仿宋"/>
          <w:color w:val="000000" w:themeColor="text1"/>
          <w:sz w:val="24"/>
          <w14:textFill>
            <w14:solidFill>
              <w14:schemeClr w14:val="tx1"/>
            </w14:solidFill>
          </w14:textFill>
        </w:rPr>
        <w:t xml:space="preserve"> 合同的变更和解除</w:t>
      </w:r>
      <w:bookmarkEnd w:id="16"/>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13.2 经双方协商一致，并达成书面合同后，本合同可以解除，双方应就合同解除的后果在解约合同中一并做出约定。一方也可根据合同约定单方行使合同解除权。</w:t>
      </w:r>
    </w:p>
    <w:p>
      <w:pPr>
        <w:pStyle w:val="4"/>
        <w:ind w:firstLine="640"/>
        <w:rPr>
          <w:rFonts w:ascii="仿宋" w:hAnsi="仿宋" w:eastAsia="仿宋"/>
          <w:color w:val="000000" w:themeColor="text1"/>
          <w:sz w:val="24"/>
          <w14:textFill>
            <w14:solidFill>
              <w14:schemeClr w14:val="tx1"/>
            </w14:solidFill>
          </w14:textFill>
        </w:rPr>
      </w:pPr>
      <w:bookmarkStart w:id="17" w:name="_Toc25588113"/>
      <w:r>
        <w:rPr>
          <w:rFonts w:ascii="仿宋" w:hAnsi="仿宋" w:eastAsia="仿宋"/>
          <w:color w:val="000000" w:themeColor="text1"/>
          <w:sz w:val="24"/>
          <w14:textFill>
            <w14:solidFill>
              <w14:schemeClr w14:val="tx1"/>
            </w14:solidFill>
          </w14:textFill>
        </w:rPr>
        <w:t>第</w:t>
      </w:r>
      <w:r>
        <w:rPr>
          <w:rFonts w:hint="eastAsia" w:ascii="仿宋" w:hAnsi="仿宋" w:eastAsia="仿宋"/>
          <w:color w:val="000000" w:themeColor="text1"/>
          <w:sz w:val="24"/>
          <w14:textFill>
            <w14:solidFill>
              <w14:schemeClr w14:val="tx1"/>
            </w14:solidFill>
          </w14:textFill>
        </w:rPr>
        <w:t>十四</w:t>
      </w:r>
      <w:r>
        <w:rPr>
          <w:rFonts w:ascii="仿宋" w:hAnsi="仿宋" w:eastAsia="仿宋"/>
          <w:color w:val="000000" w:themeColor="text1"/>
          <w:sz w:val="24"/>
          <w14:textFill>
            <w14:solidFill>
              <w14:schemeClr w14:val="tx1"/>
            </w14:solidFill>
          </w14:textFill>
        </w:rPr>
        <w:t>条 合同生效及其他</w:t>
      </w:r>
      <w:bookmarkEnd w:id="17"/>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14.1 乙方和甲方约定合同内容双方签字或盖章后生效，生效后不得以其他原因单方取消约定。</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 xml:space="preserve">14.2 本合同一式【 </w:t>
      </w:r>
      <w:r>
        <w:rPr>
          <w:rFonts w:hint="eastAsia" w:ascii="仿宋" w:eastAsia="仿宋"/>
          <w:color w:val="000000" w:themeColor="text1"/>
          <w:sz w:val="24"/>
          <w:szCs w:val="24"/>
          <w:lang w:eastAsia="zh-CN"/>
          <w14:textFill>
            <w14:solidFill>
              <w14:schemeClr w14:val="tx1"/>
            </w14:solidFill>
          </w14:textFill>
        </w:rPr>
        <w:t>七</w:t>
      </w:r>
      <w:r>
        <w:rPr>
          <w:rFonts w:ascii="仿宋" w:eastAsia="仿宋"/>
          <w:color w:val="000000" w:themeColor="text1"/>
          <w:sz w:val="24"/>
          <w:szCs w:val="24"/>
          <w:lang w:eastAsia="zh-CN"/>
          <w14:textFill>
            <w14:solidFill>
              <w14:schemeClr w14:val="tx1"/>
            </w14:solidFill>
          </w14:textFill>
        </w:rPr>
        <w:t xml:space="preserve"> 】份，甲方执【 </w:t>
      </w:r>
      <w:r>
        <w:rPr>
          <w:rFonts w:hint="eastAsia" w:ascii="仿宋" w:eastAsia="仿宋"/>
          <w:color w:val="000000" w:themeColor="text1"/>
          <w:sz w:val="24"/>
          <w:szCs w:val="24"/>
          <w:lang w:eastAsia="zh-CN"/>
          <w14:textFill>
            <w14:solidFill>
              <w14:schemeClr w14:val="tx1"/>
            </w14:solidFill>
          </w14:textFill>
        </w:rPr>
        <w:t>四</w:t>
      </w:r>
      <w:r>
        <w:rPr>
          <w:rFonts w:ascii="仿宋" w:eastAsia="仿宋"/>
          <w:color w:val="000000" w:themeColor="text1"/>
          <w:sz w:val="24"/>
          <w:szCs w:val="24"/>
          <w:lang w:eastAsia="zh-CN"/>
          <w14:textFill>
            <w14:solidFill>
              <w14:schemeClr w14:val="tx1"/>
            </w14:solidFill>
          </w14:textFill>
        </w:rPr>
        <w:t xml:space="preserve"> 】份，乙方执【 </w:t>
      </w:r>
      <w:r>
        <w:rPr>
          <w:rFonts w:hint="eastAsia" w:ascii="仿宋" w:eastAsia="仿宋"/>
          <w:color w:val="000000" w:themeColor="text1"/>
          <w:sz w:val="24"/>
          <w:szCs w:val="24"/>
          <w:lang w:eastAsia="zh-CN"/>
          <w14:textFill>
            <w14:solidFill>
              <w14:schemeClr w14:val="tx1"/>
            </w14:solidFill>
          </w14:textFill>
        </w:rPr>
        <w:t>三</w:t>
      </w:r>
      <w:r>
        <w:rPr>
          <w:rFonts w:ascii="仿宋" w:eastAsia="仿宋"/>
          <w:color w:val="000000" w:themeColor="text1"/>
          <w:sz w:val="24"/>
          <w:szCs w:val="24"/>
          <w:lang w:eastAsia="zh-CN"/>
          <w14:textFill>
            <w14:solidFill>
              <w14:schemeClr w14:val="tx1"/>
            </w14:solidFill>
          </w14:textFill>
        </w:rPr>
        <w:t xml:space="preserve"> 】份，具有同等法律效力。</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br w:type="textWrapping"/>
      </w:r>
      <w:r>
        <w:rPr>
          <w:rFonts w:ascii="仿宋" w:eastAsia="仿宋"/>
          <w:b/>
          <w:bCs/>
          <w:color w:val="000000" w:themeColor="text1"/>
          <w:sz w:val="24"/>
          <w:szCs w:val="24"/>
          <w:lang w:eastAsia="zh-CN"/>
          <w14:textFill>
            <w14:solidFill>
              <w14:schemeClr w14:val="tx1"/>
            </w14:solidFill>
          </w14:textFill>
        </w:rPr>
        <w:t>甲方（盖章）：</w:t>
      </w: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法定代表人或授权代表（签字）：</w:t>
      </w:r>
    </w:p>
    <w:p>
      <w:pPr>
        <w:pStyle w:val="21"/>
        <w:ind w:firstLine="480"/>
        <w:rPr>
          <w:rFonts w:ascii="仿宋" w:eastAsia="仿宋"/>
          <w:color w:val="000000" w:themeColor="text1"/>
          <w:sz w:val="24"/>
          <w:szCs w:val="24"/>
          <w:lang w:eastAsia="zh-CN"/>
          <w14:textFill>
            <w14:solidFill>
              <w14:schemeClr w14:val="tx1"/>
            </w14:solidFill>
          </w14:textFill>
        </w:rPr>
      </w:pPr>
    </w:p>
    <w:p>
      <w:pPr>
        <w:pStyle w:val="21"/>
        <w:ind w:firstLine="480"/>
        <w:rPr>
          <w:rFonts w:ascii="仿宋" w:eastAsia="仿宋"/>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br w:type="textWrapping"/>
      </w:r>
      <w:r>
        <w:rPr>
          <w:rFonts w:ascii="仿宋" w:eastAsia="仿宋"/>
          <w:b/>
          <w:bCs/>
          <w:color w:val="000000" w:themeColor="text1"/>
          <w:sz w:val="24"/>
          <w:szCs w:val="24"/>
          <w:lang w:eastAsia="zh-CN"/>
          <w14:textFill>
            <w14:solidFill>
              <w14:schemeClr w14:val="tx1"/>
            </w14:solidFill>
          </w14:textFill>
        </w:rPr>
        <w:t>乙方（盖章）：</w:t>
      </w:r>
    </w:p>
    <w:p>
      <w:pPr>
        <w:pStyle w:val="21"/>
        <w:ind w:firstLine="480"/>
        <w:rPr>
          <w:rFonts w:asciiTheme="minorEastAsia" w:hAnsiTheme="minorEastAsia" w:eastAsiaTheme="minorEastAsia"/>
          <w:color w:val="000000" w:themeColor="text1"/>
          <w:sz w:val="24"/>
          <w:szCs w:val="24"/>
          <w:lang w:eastAsia="zh-CN"/>
          <w14:textFill>
            <w14:solidFill>
              <w14:schemeClr w14:val="tx1"/>
            </w14:solidFill>
          </w14:textFill>
        </w:rPr>
      </w:pPr>
      <w:r>
        <w:rPr>
          <w:rFonts w:ascii="仿宋" w:eastAsia="仿宋"/>
          <w:color w:val="000000" w:themeColor="text1"/>
          <w:sz w:val="24"/>
          <w:szCs w:val="24"/>
          <w:lang w:eastAsia="zh-CN"/>
          <w14:textFill>
            <w14:solidFill>
              <w14:schemeClr w14:val="tx1"/>
            </w14:solidFill>
          </w14:textFill>
        </w:rPr>
        <w:t>法定代表人或授权代表（签字）</w:t>
      </w:r>
      <w:r>
        <w:rPr>
          <w:rFonts w:asciiTheme="minorEastAsia" w:hAnsiTheme="minorEastAsia" w:eastAsiaTheme="minorEastAsia"/>
          <w:color w:val="000000" w:themeColor="text1"/>
          <w:sz w:val="24"/>
          <w:szCs w:val="24"/>
          <w:lang w:eastAsia="zh-CN"/>
          <w14:textFill>
            <w14:solidFill>
              <w14:schemeClr w14:val="tx1"/>
            </w14:solidFill>
          </w14:textFill>
        </w:rPr>
        <w:t>：</w:t>
      </w:r>
    </w:p>
    <w:p>
      <w:pPr>
        <w:pStyle w:val="21"/>
        <w:ind w:firstLine="0" w:firstLineChars="0"/>
        <w:rPr>
          <w:color w:val="000000" w:themeColor="text1"/>
          <w:lang w:eastAsia="zh-CN"/>
          <w14:textFill>
            <w14:solidFill>
              <w14:schemeClr w14:val="tx1"/>
            </w14:solidFill>
          </w14:textFill>
        </w:rPr>
      </w:pPr>
    </w:p>
    <w:sectPr>
      <w:footerReference r:id="rId7" w:type="default"/>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IF7qcBAAA/AwAADgAAAGRycy9lMm9Eb2MueG1srVLNahsxEL4H8g5C&#10;91obQ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wCBe6nAQAAPwMAAA4AAAAA&#10;AAAAAQAgAAAAHgEAAGRycy9lMm9Eb2MueG1sUEsFBgAAAAAGAAYAWQEAADcFAAAAAA==&#10;">
              <v:fill on="f" focussize="0,0"/>
              <v:stroke on="f"/>
              <v:imagedata o:title=""/>
              <o:lock v:ext="edit" aspectratio="f"/>
              <v:textbox inset="0mm,0mm,0mm,0mm" style="mso-fit-shape-to-text:t;">
                <w:txbxContent>
                  <w:p>
                    <w:pPr>
                      <w:pStyle w:val="11"/>
                      <w:jc w:val="center"/>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12</w:t>
    </w:r>
    <w:r>
      <w:rPr>
        <w:lang w:val="zh-CN"/>
      </w:rP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7068600"/>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00082D"/>
    <w:multiLevelType w:val="singleLevel"/>
    <w:tmpl w:val="A000082D"/>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7F"/>
    <w:rsid w:val="00000D67"/>
    <w:rsid w:val="00005333"/>
    <w:rsid w:val="000064FB"/>
    <w:rsid w:val="00006788"/>
    <w:rsid w:val="00012C2B"/>
    <w:rsid w:val="00012FAD"/>
    <w:rsid w:val="00013540"/>
    <w:rsid w:val="000159A7"/>
    <w:rsid w:val="000162C5"/>
    <w:rsid w:val="00017CC8"/>
    <w:rsid w:val="000223CD"/>
    <w:rsid w:val="0002289E"/>
    <w:rsid w:val="00023008"/>
    <w:rsid w:val="00024F9E"/>
    <w:rsid w:val="00025AEC"/>
    <w:rsid w:val="000265C7"/>
    <w:rsid w:val="00031BB8"/>
    <w:rsid w:val="00032715"/>
    <w:rsid w:val="00035345"/>
    <w:rsid w:val="000371A2"/>
    <w:rsid w:val="00037CFF"/>
    <w:rsid w:val="00050D62"/>
    <w:rsid w:val="0005249A"/>
    <w:rsid w:val="00053E76"/>
    <w:rsid w:val="0005588C"/>
    <w:rsid w:val="00056869"/>
    <w:rsid w:val="000611DA"/>
    <w:rsid w:val="000625F8"/>
    <w:rsid w:val="000631F6"/>
    <w:rsid w:val="00063CCA"/>
    <w:rsid w:val="00073A28"/>
    <w:rsid w:val="000740F0"/>
    <w:rsid w:val="00075615"/>
    <w:rsid w:val="00076511"/>
    <w:rsid w:val="0008205D"/>
    <w:rsid w:val="000825D0"/>
    <w:rsid w:val="00084B6F"/>
    <w:rsid w:val="00086542"/>
    <w:rsid w:val="000875B7"/>
    <w:rsid w:val="00090B76"/>
    <w:rsid w:val="00097144"/>
    <w:rsid w:val="000A3B23"/>
    <w:rsid w:val="000B00EE"/>
    <w:rsid w:val="000B4109"/>
    <w:rsid w:val="000B69BF"/>
    <w:rsid w:val="000B753E"/>
    <w:rsid w:val="000B7659"/>
    <w:rsid w:val="000C02DD"/>
    <w:rsid w:val="000C120A"/>
    <w:rsid w:val="000C6199"/>
    <w:rsid w:val="000D18C6"/>
    <w:rsid w:val="000D1DB6"/>
    <w:rsid w:val="000D325E"/>
    <w:rsid w:val="000D521A"/>
    <w:rsid w:val="000E2F2F"/>
    <w:rsid w:val="000E5E1E"/>
    <w:rsid w:val="000F1252"/>
    <w:rsid w:val="000F3310"/>
    <w:rsid w:val="000F40DE"/>
    <w:rsid w:val="000F4E07"/>
    <w:rsid w:val="000F76FD"/>
    <w:rsid w:val="00103882"/>
    <w:rsid w:val="00106E21"/>
    <w:rsid w:val="00115DC3"/>
    <w:rsid w:val="001176B9"/>
    <w:rsid w:val="001205C9"/>
    <w:rsid w:val="00126315"/>
    <w:rsid w:val="00126336"/>
    <w:rsid w:val="00126337"/>
    <w:rsid w:val="00131171"/>
    <w:rsid w:val="0013184B"/>
    <w:rsid w:val="0013267E"/>
    <w:rsid w:val="001351C4"/>
    <w:rsid w:val="00140784"/>
    <w:rsid w:val="00146445"/>
    <w:rsid w:val="001505AE"/>
    <w:rsid w:val="00150869"/>
    <w:rsid w:val="001559E7"/>
    <w:rsid w:val="00163E7C"/>
    <w:rsid w:val="00165E55"/>
    <w:rsid w:val="00172A27"/>
    <w:rsid w:val="001732F2"/>
    <w:rsid w:val="00174716"/>
    <w:rsid w:val="00180D31"/>
    <w:rsid w:val="00181249"/>
    <w:rsid w:val="00182F1E"/>
    <w:rsid w:val="001849E2"/>
    <w:rsid w:val="0018716E"/>
    <w:rsid w:val="0018776C"/>
    <w:rsid w:val="0019019A"/>
    <w:rsid w:val="00190364"/>
    <w:rsid w:val="00192AF6"/>
    <w:rsid w:val="0019573C"/>
    <w:rsid w:val="00196FD2"/>
    <w:rsid w:val="001B288F"/>
    <w:rsid w:val="001C452E"/>
    <w:rsid w:val="001C4A58"/>
    <w:rsid w:val="001C4BD9"/>
    <w:rsid w:val="001C647B"/>
    <w:rsid w:val="001D0060"/>
    <w:rsid w:val="001D649B"/>
    <w:rsid w:val="001E04F7"/>
    <w:rsid w:val="001E0DD3"/>
    <w:rsid w:val="001E6559"/>
    <w:rsid w:val="001E65FA"/>
    <w:rsid w:val="001F2E0C"/>
    <w:rsid w:val="001F52E9"/>
    <w:rsid w:val="001F5581"/>
    <w:rsid w:val="002026EA"/>
    <w:rsid w:val="00202EEA"/>
    <w:rsid w:val="002111D0"/>
    <w:rsid w:val="00212067"/>
    <w:rsid w:val="0021206B"/>
    <w:rsid w:val="00212AD5"/>
    <w:rsid w:val="002170C0"/>
    <w:rsid w:val="00220EC8"/>
    <w:rsid w:val="00223328"/>
    <w:rsid w:val="00224AA2"/>
    <w:rsid w:val="00224DEB"/>
    <w:rsid w:val="00225D07"/>
    <w:rsid w:val="002264F3"/>
    <w:rsid w:val="00230435"/>
    <w:rsid w:val="002334E4"/>
    <w:rsid w:val="002362BD"/>
    <w:rsid w:val="002369A5"/>
    <w:rsid w:val="002436AB"/>
    <w:rsid w:val="00243785"/>
    <w:rsid w:val="00250130"/>
    <w:rsid w:val="00251563"/>
    <w:rsid w:val="00256EEC"/>
    <w:rsid w:val="00257F90"/>
    <w:rsid w:val="00264544"/>
    <w:rsid w:val="00266533"/>
    <w:rsid w:val="0027328B"/>
    <w:rsid w:val="0028006E"/>
    <w:rsid w:val="00280577"/>
    <w:rsid w:val="002834F6"/>
    <w:rsid w:val="00286536"/>
    <w:rsid w:val="00287E0A"/>
    <w:rsid w:val="002900C3"/>
    <w:rsid w:val="002A1E8E"/>
    <w:rsid w:val="002B033D"/>
    <w:rsid w:val="002B75E8"/>
    <w:rsid w:val="002C0C45"/>
    <w:rsid w:val="002C2951"/>
    <w:rsid w:val="002C46DA"/>
    <w:rsid w:val="002C52F9"/>
    <w:rsid w:val="002C6DA6"/>
    <w:rsid w:val="002D436F"/>
    <w:rsid w:val="002D6F8E"/>
    <w:rsid w:val="002E5FDE"/>
    <w:rsid w:val="002E71E1"/>
    <w:rsid w:val="002E79BC"/>
    <w:rsid w:val="002F5A5B"/>
    <w:rsid w:val="002F6E00"/>
    <w:rsid w:val="002F7CA1"/>
    <w:rsid w:val="002F7F31"/>
    <w:rsid w:val="00300C2A"/>
    <w:rsid w:val="00305BDC"/>
    <w:rsid w:val="00306DDC"/>
    <w:rsid w:val="00307CD9"/>
    <w:rsid w:val="00311324"/>
    <w:rsid w:val="00315DFD"/>
    <w:rsid w:val="00317034"/>
    <w:rsid w:val="00317387"/>
    <w:rsid w:val="00320CC1"/>
    <w:rsid w:val="00324612"/>
    <w:rsid w:val="00332BF8"/>
    <w:rsid w:val="00333793"/>
    <w:rsid w:val="00333BD0"/>
    <w:rsid w:val="00333E9B"/>
    <w:rsid w:val="00334C9F"/>
    <w:rsid w:val="00336620"/>
    <w:rsid w:val="00340E6F"/>
    <w:rsid w:val="00341E77"/>
    <w:rsid w:val="00342399"/>
    <w:rsid w:val="00343523"/>
    <w:rsid w:val="0034710B"/>
    <w:rsid w:val="00347BDE"/>
    <w:rsid w:val="00351066"/>
    <w:rsid w:val="003534A4"/>
    <w:rsid w:val="00357C50"/>
    <w:rsid w:val="00364409"/>
    <w:rsid w:val="00366A3E"/>
    <w:rsid w:val="00367314"/>
    <w:rsid w:val="00370602"/>
    <w:rsid w:val="003723A5"/>
    <w:rsid w:val="003737DF"/>
    <w:rsid w:val="0038049B"/>
    <w:rsid w:val="00381B3E"/>
    <w:rsid w:val="003840CF"/>
    <w:rsid w:val="00391B61"/>
    <w:rsid w:val="003920AF"/>
    <w:rsid w:val="00392422"/>
    <w:rsid w:val="0039415B"/>
    <w:rsid w:val="00395594"/>
    <w:rsid w:val="00396376"/>
    <w:rsid w:val="003977C7"/>
    <w:rsid w:val="003A0E27"/>
    <w:rsid w:val="003A2048"/>
    <w:rsid w:val="003A228A"/>
    <w:rsid w:val="003A2974"/>
    <w:rsid w:val="003A4373"/>
    <w:rsid w:val="003A4931"/>
    <w:rsid w:val="003B3EA4"/>
    <w:rsid w:val="003B5957"/>
    <w:rsid w:val="003B7133"/>
    <w:rsid w:val="003B79B9"/>
    <w:rsid w:val="003C6710"/>
    <w:rsid w:val="003C7185"/>
    <w:rsid w:val="003D2FBE"/>
    <w:rsid w:val="003D6803"/>
    <w:rsid w:val="003D760C"/>
    <w:rsid w:val="003E074E"/>
    <w:rsid w:val="003E286A"/>
    <w:rsid w:val="003E679D"/>
    <w:rsid w:val="003F167C"/>
    <w:rsid w:val="003F5B03"/>
    <w:rsid w:val="003F78CE"/>
    <w:rsid w:val="00407C9D"/>
    <w:rsid w:val="00411BBC"/>
    <w:rsid w:val="00413E38"/>
    <w:rsid w:val="00420115"/>
    <w:rsid w:val="00422256"/>
    <w:rsid w:val="00422C70"/>
    <w:rsid w:val="00424AC5"/>
    <w:rsid w:val="00425623"/>
    <w:rsid w:val="00425B77"/>
    <w:rsid w:val="0042735B"/>
    <w:rsid w:val="00434136"/>
    <w:rsid w:val="00435E67"/>
    <w:rsid w:val="00441244"/>
    <w:rsid w:val="00445377"/>
    <w:rsid w:val="00450DEB"/>
    <w:rsid w:val="00452541"/>
    <w:rsid w:val="00453F3C"/>
    <w:rsid w:val="00455CFC"/>
    <w:rsid w:val="004655F4"/>
    <w:rsid w:val="00467F45"/>
    <w:rsid w:val="00480973"/>
    <w:rsid w:val="00481724"/>
    <w:rsid w:val="00485F00"/>
    <w:rsid w:val="00486128"/>
    <w:rsid w:val="0048730E"/>
    <w:rsid w:val="00490CF8"/>
    <w:rsid w:val="00493AD9"/>
    <w:rsid w:val="0049584A"/>
    <w:rsid w:val="004A06D9"/>
    <w:rsid w:val="004A0C85"/>
    <w:rsid w:val="004A1B70"/>
    <w:rsid w:val="004A743B"/>
    <w:rsid w:val="004B146A"/>
    <w:rsid w:val="004B3A32"/>
    <w:rsid w:val="004B3DF7"/>
    <w:rsid w:val="004B7D2E"/>
    <w:rsid w:val="004C0973"/>
    <w:rsid w:val="004C54FE"/>
    <w:rsid w:val="004D050B"/>
    <w:rsid w:val="004D4673"/>
    <w:rsid w:val="004D6364"/>
    <w:rsid w:val="004D79C1"/>
    <w:rsid w:val="004E45E3"/>
    <w:rsid w:val="004E4EA7"/>
    <w:rsid w:val="004F10EE"/>
    <w:rsid w:val="004F2FAB"/>
    <w:rsid w:val="004F307F"/>
    <w:rsid w:val="004F3384"/>
    <w:rsid w:val="004F3F16"/>
    <w:rsid w:val="004F6B0B"/>
    <w:rsid w:val="004F732C"/>
    <w:rsid w:val="00514FC6"/>
    <w:rsid w:val="0051751E"/>
    <w:rsid w:val="005204F9"/>
    <w:rsid w:val="0052266E"/>
    <w:rsid w:val="00523FB4"/>
    <w:rsid w:val="005301E7"/>
    <w:rsid w:val="00550BF1"/>
    <w:rsid w:val="00554216"/>
    <w:rsid w:val="00562547"/>
    <w:rsid w:val="00566ECB"/>
    <w:rsid w:val="00567FD3"/>
    <w:rsid w:val="00574821"/>
    <w:rsid w:val="00575CF2"/>
    <w:rsid w:val="005766B4"/>
    <w:rsid w:val="005806B7"/>
    <w:rsid w:val="0058393D"/>
    <w:rsid w:val="005863EB"/>
    <w:rsid w:val="00591811"/>
    <w:rsid w:val="0059298A"/>
    <w:rsid w:val="005945D3"/>
    <w:rsid w:val="00594AC4"/>
    <w:rsid w:val="005A0F77"/>
    <w:rsid w:val="005A365F"/>
    <w:rsid w:val="005A7D0B"/>
    <w:rsid w:val="005B2C03"/>
    <w:rsid w:val="005B555D"/>
    <w:rsid w:val="005B5E40"/>
    <w:rsid w:val="005B623B"/>
    <w:rsid w:val="005B6DF6"/>
    <w:rsid w:val="005B72F8"/>
    <w:rsid w:val="005C4CBA"/>
    <w:rsid w:val="005C613F"/>
    <w:rsid w:val="005C7814"/>
    <w:rsid w:val="005C79AE"/>
    <w:rsid w:val="005D0BCD"/>
    <w:rsid w:val="005D4813"/>
    <w:rsid w:val="005E0EC4"/>
    <w:rsid w:val="005E467A"/>
    <w:rsid w:val="005E632D"/>
    <w:rsid w:val="005F4A5B"/>
    <w:rsid w:val="006078C9"/>
    <w:rsid w:val="00610FBA"/>
    <w:rsid w:val="00622C32"/>
    <w:rsid w:val="0062591F"/>
    <w:rsid w:val="00626931"/>
    <w:rsid w:val="0063247F"/>
    <w:rsid w:val="006331B5"/>
    <w:rsid w:val="0064013E"/>
    <w:rsid w:val="00640DF6"/>
    <w:rsid w:val="006448B9"/>
    <w:rsid w:val="00646279"/>
    <w:rsid w:val="0064646F"/>
    <w:rsid w:val="0064740A"/>
    <w:rsid w:val="00650F17"/>
    <w:rsid w:val="00653540"/>
    <w:rsid w:val="006603E9"/>
    <w:rsid w:val="00661BD4"/>
    <w:rsid w:val="0066423D"/>
    <w:rsid w:val="0066539F"/>
    <w:rsid w:val="0066710E"/>
    <w:rsid w:val="0066722C"/>
    <w:rsid w:val="006700E0"/>
    <w:rsid w:val="0067214B"/>
    <w:rsid w:val="0067319F"/>
    <w:rsid w:val="00677C64"/>
    <w:rsid w:val="00680D73"/>
    <w:rsid w:val="00693AFE"/>
    <w:rsid w:val="00693C5F"/>
    <w:rsid w:val="00694CA2"/>
    <w:rsid w:val="00694E61"/>
    <w:rsid w:val="006964FC"/>
    <w:rsid w:val="006A09D9"/>
    <w:rsid w:val="006A3013"/>
    <w:rsid w:val="006B492B"/>
    <w:rsid w:val="006B78A8"/>
    <w:rsid w:val="006C0A13"/>
    <w:rsid w:val="006C49D1"/>
    <w:rsid w:val="006C6A94"/>
    <w:rsid w:val="006D4E86"/>
    <w:rsid w:val="006E0BFC"/>
    <w:rsid w:val="006E0D4E"/>
    <w:rsid w:val="006E292A"/>
    <w:rsid w:val="006E3535"/>
    <w:rsid w:val="006E55F4"/>
    <w:rsid w:val="006E7700"/>
    <w:rsid w:val="006E7EC8"/>
    <w:rsid w:val="006F0D23"/>
    <w:rsid w:val="00701961"/>
    <w:rsid w:val="0070395B"/>
    <w:rsid w:val="00707958"/>
    <w:rsid w:val="007115A3"/>
    <w:rsid w:val="007118BA"/>
    <w:rsid w:val="007126B1"/>
    <w:rsid w:val="007134A6"/>
    <w:rsid w:val="0072015D"/>
    <w:rsid w:val="00720FB2"/>
    <w:rsid w:val="00722EF1"/>
    <w:rsid w:val="00726759"/>
    <w:rsid w:val="0073399E"/>
    <w:rsid w:val="00736352"/>
    <w:rsid w:val="00737C8B"/>
    <w:rsid w:val="00745FF6"/>
    <w:rsid w:val="007540E5"/>
    <w:rsid w:val="007544BD"/>
    <w:rsid w:val="00760A24"/>
    <w:rsid w:val="00762458"/>
    <w:rsid w:val="0076301C"/>
    <w:rsid w:val="00766B00"/>
    <w:rsid w:val="0077011C"/>
    <w:rsid w:val="00780AD4"/>
    <w:rsid w:val="00780FFC"/>
    <w:rsid w:val="0078149A"/>
    <w:rsid w:val="00783017"/>
    <w:rsid w:val="00783450"/>
    <w:rsid w:val="007839BB"/>
    <w:rsid w:val="007872F8"/>
    <w:rsid w:val="00790155"/>
    <w:rsid w:val="0079237E"/>
    <w:rsid w:val="007950D5"/>
    <w:rsid w:val="007A23F4"/>
    <w:rsid w:val="007A25BA"/>
    <w:rsid w:val="007A746A"/>
    <w:rsid w:val="007B21E1"/>
    <w:rsid w:val="007B70E6"/>
    <w:rsid w:val="007C1245"/>
    <w:rsid w:val="007C1F70"/>
    <w:rsid w:val="007C5DC6"/>
    <w:rsid w:val="007D0982"/>
    <w:rsid w:val="007D1C18"/>
    <w:rsid w:val="007D6C5A"/>
    <w:rsid w:val="007E005A"/>
    <w:rsid w:val="007E0D23"/>
    <w:rsid w:val="007E19FA"/>
    <w:rsid w:val="007E4029"/>
    <w:rsid w:val="007E5B79"/>
    <w:rsid w:val="007E6EB9"/>
    <w:rsid w:val="007F0083"/>
    <w:rsid w:val="00801173"/>
    <w:rsid w:val="00802AA5"/>
    <w:rsid w:val="00804BF5"/>
    <w:rsid w:val="0081144D"/>
    <w:rsid w:val="008137A3"/>
    <w:rsid w:val="0081544B"/>
    <w:rsid w:val="008171F7"/>
    <w:rsid w:val="00822D62"/>
    <w:rsid w:val="0083193D"/>
    <w:rsid w:val="00833172"/>
    <w:rsid w:val="00835B1F"/>
    <w:rsid w:val="00835BB1"/>
    <w:rsid w:val="008456D6"/>
    <w:rsid w:val="00853E37"/>
    <w:rsid w:val="00855C6B"/>
    <w:rsid w:val="008602A9"/>
    <w:rsid w:val="00862C4C"/>
    <w:rsid w:val="008741A8"/>
    <w:rsid w:val="00876056"/>
    <w:rsid w:val="008760AC"/>
    <w:rsid w:val="008800A8"/>
    <w:rsid w:val="00883BBC"/>
    <w:rsid w:val="00883E00"/>
    <w:rsid w:val="008903C7"/>
    <w:rsid w:val="008913B8"/>
    <w:rsid w:val="00896B20"/>
    <w:rsid w:val="008A0078"/>
    <w:rsid w:val="008A51B3"/>
    <w:rsid w:val="008B073C"/>
    <w:rsid w:val="008B1C13"/>
    <w:rsid w:val="008B414F"/>
    <w:rsid w:val="008B58BA"/>
    <w:rsid w:val="008B5D37"/>
    <w:rsid w:val="008C0239"/>
    <w:rsid w:val="008C3AE5"/>
    <w:rsid w:val="008C5EA9"/>
    <w:rsid w:val="008C74BC"/>
    <w:rsid w:val="008E2C9F"/>
    <w:rsid w:val="008E6F10"/>
    <w:rsid w:val="008F0C7E"/>
    <w:rsid w:val="008F13F2"/>
    <w:rsid w:val="008F3871"/>
    <w:rsid w:val="008F3A8D"/>
    <w:rsid w:val="0090286B"/>
    <w:rsid w:val="00904981"/>
    <w:rsid w:val="00927885"/>
    <w:rsid w:val="009325DE"/>
    <w:rsid w:val="0093382A"/>
    <w:rsid w:val="00936179"/>
    <w:rsid w:val="00941604"/>
    <w:rsid w:val="00942CCC"/>
    <w:rsid w:val="00947E73"/>
    <w:rsid w:val="009529D8"/>
    <w:rsid w:val="0096421C"/>
    <w:rsid w:val="009703F1"/>
    <w:rsid w:val="00970BD5"/>
    <w:rsid w:val="0097127D"/>
    <w:rsid w:val="00972683"/>
    <w:rsid w:val="00973BDE"/>
    <w:rsid w:val="0098379E"/>
    <w:rsid w:val="009844AF"/>
    <w:rsid w:val="009865AA"/>
    <w:rsid w:val="0098672C"/>
    <w:rsid w:val="009909F7"/>
    <w:rsid w:val="00990B62"/>
    <w:rsid w:val="00990CE0"/>
    <w:rsid w:val="00993543"/>
    <w:rsid w:val="009A0423"/>
    <w:rsid w:val="009A169A"/>
    <w:rsid w:val="009A2DC6"/>
    <w:rsid w:val="009A6298"/>
    <w:rsid w:val="009B30A2"/>
    <w:rsid w:val="009B4B99"/>
    <w:rsid w:val="009C1103"/>
    <w:rsid w:val="009C1500"/>
    <w:rsid w:val="009C4130"/>
    <w:rsid w:val="009C6810"/>
    <w:rsid w:val="009D00D9"/>
    <w:rsid w:val="009D1F92"/>
    <w:rsid w:val="009D5971"/>
    <w:rsid w:val="009D6756"/>
    <w:rsid w:val="009E137C"/>
    <w:rsid w:val="009E193A"/>
    <w:rsid w:val="009E5897"/>
    <w:rsid w:val="009F1A57"/>
    <w:rsid w:val="00A079DB"/>
    <w:rsid w:val="00A1012F"/>
    <w:rsid w:val="00A106EC"/>
    <w:rsid w:val="00A108AA"/>
    <w:rsid w:val="00A10D0D"/>
    <w:rsid w:val="00A12488"/>
    <w:rsid w:val="00A279E1"/>
    <w:rsid w:val="00A27DD6"/>
    <w:rsid w:val="00A307C5"/>
    <w:rsid w:val="00A40CBA"/>
    <w:rsid w:val="00A46901"/>
    <w:rsid w:val="00A46CC8"/>
    <w:rsid w:val="00A51639"/>
    <w:rsid w:val="00A60A91"/>
    <w:rsid w:val="00A64086"/>
    <w:rsid w:val="00A64B28"/>
    <w:rsid w:val="00A6743C"/>
    <w:rsid w:val="00A702E3"/>
    <w:rsid w:val="00A70F36"/>
    <w:rsid w:val="00A73E6F"/>
    <w:rsid w:val="00A74A9B"/>
    <w:rsid w:val="00A74E7D"/>
    <w:rsid w:val="00A74F64"/>
    <w:rsid w:val="00A7558C"/>
    <w:rsid w:val="00A75B9D"/>
    <w:rsid w:val="00A81127"/>
    <w:rsid w:val="00A8470D"/>
    <w:rsid w:val="00A84F15"/>
    <w:rsid w:val="00A879AB"/>
    <w:rsid w:val="00A90916"/>
    <w:rsid w:val="00A91BE4"/>
    <w:rsid w:val="00A9211E"/>
    <w:rsid w:val="00AA13C5"/>
    <w:rsid w:val="00AA3DFD"/>
    <w:rsid w:val="00AA7541"/>
    <w:rsid w:val="00AB1839"/>
    <w:rsid w:val="00AB18AB"/>
    <w:rsid w:val="00AB24AC"/>
    <w:rsid w:val="00AB2E97"/>
    <w:rsid w:val="00AB43BD"/>
    <w:rsid w:val="00AC3CFC"/>
    <w:rsid w:val="00AC4236"/>
    <w:rsid w:val="00AD0062"/>
    <w:rsid w:val="00AD04F5"/>
    <w:rsid w:val="00AD1B3B"/>
    <w:rsid w:val="00AD3859"/>
    <w:rsid w:val="00AD3C9F"/>
    <w:rsid w:val="00AD460B"/>
    <w:rsid w:val="00AD5218"/>
    <w:rsid w:val="00AD7DFA"/>
    <w:rsid w:val="00AE113B"/>
    <w:rsid w:val="00AE1E61"/>
    <w:rsid w:val="00AE4958"/>
    <w:rsid w:val="00AF1739"/>
    <w:rsid w:val="00AF3011"/>
    <w:rsid w:val="00AF6F3E"/>
    <w:rsid w:val="00B00811"/>
    <w:rsid w:val="00B04DE2"/>
    <w:rsid w:val="00B05641"/>
    <w:rsid w:val="00B07E47"/>
    <w:rsid w:val="00B1074F"/>
    <w:rsid w:val="00B11888"/>
    <w:rsid w:val="00B1635A"/>
    <w:rsid w:val="00B217CE"/>
    <w:rsid w:val="00B22053"/>
    <w:rsid w:val="00B22AD5"/>
    <w:rsid w:val="00B23001"/>
    <w:rsid w:val="00B23AD9"/>
    <w:rsid w:val="00B27562"/>
    <w:rsid w:val="00B31151"/>
    <w:rsid w:val="00B3115C"/>
    <w:rsid w:val="00B32112"/>
    <w:rsid w:val="00B36ED5"/>
    <w:rsid w:val="00B44196"/>
    <w:rsid w:val="00B64691"/>
    <w:rsid w:val="00B719CE"/>
    <w:rsid w:val="00B734DE"/>
    <w:rsid w:val="00B73FE8"/>
    <w:rsid w:val="00B75881"/>
    <w:rsid w:val="00B775E3"/>
    <w:rsid w:val="00B81C3E"/>
    <w:rsid w:val="00B826C1"/>
    <w:rsid w:val="00B830C5"/>
    <w:rsid w:val="00B83591"/>
    <w:rsid w:val="00B84629"/>
    <w:rsid w:val="00B90E9D"/>
    <w:rsid w:val="00B95579"/>
    <w:rsid w:val="00B95CDC"/>
    <w:rsid w:val="00BA0571"/>
    <w:rsid w:val="00BA1401"/>
    <w:rsid w:val="00BA1A94"/>
    <w:rsid w:val="00BA1D26"/>
    <w:rsid w:val="00BB07FB"/>
    <w:rsid w:val="00BB0CC3"/>
    <w:rsid w:val="00BB0FB8"/>
    <w:rsid w:val="00BB5B82"/>
    <w:rsid w:val="00BC2470"/>
    <w:rsid w:val="00BC4195"/>
    <w:rsid w:val="00BD2CFF"/>
    <w:rsid w:val="00BE1C4C"/>
    <w:rsid w:val="00BE72AF"/>
    <w:rsid w:val="00BF2046"/>
    <w:rsid w:val="00BF544F"/>
    <w:rsid w:val="00BF6FC3"/>
    <w:rsid w:val="00C03881"/>
    <w:rsid w:val="00C062CB"/>
    <w:rsid w:val="00C1020C"/>
    <w:rsid w:val="00C12E16"/>
    <w:rsid w:val="00C2220F"/>
    <w:rsid w:val="00C25DD0"/>
    <w:rsid w:val="00C33B30"/>
    <w:rsid w:val="00C36C02"/>
    <w:rsid w:val="00C3798E"/>
    <w:rsid w:val="00C412CC"/>
    <w:rsid w:val="00C4299F"/>
    <w:rsid w:val="00C4367F"/>
    <w:rsid w:val="00C4369F"/>
    <w:rsid w:val="00C43B58"/>
    <w:rsid w:val="00C43FDF"/>
    <w:rsid w:val="00C45E03"/>
    <w:rsid w:val="00C525AC"/>
    <w:rsid w:val="00C55E9C"/>
    <w:rsid w:val="00C623A9"/>
    <w:rsid w:val="00C636E6"/>
    <w:rsid w:val="00C643C9"/>
    <w:rsid w:val="00C6512E"/>
    <w:rsid w:val="00C7176D"/>
    <w:rsid w:val="00C745A1"/>
    <w:rsid w:val="00C7596B"/>
    <w:rsid w:val="00C80539"/>
    <w:rsid w:val="00C82242"/>
    <w:rsid w:val="00C826C9"/>
    <w:rsid w:val="00C87C7E"/>
    <w:rsid w:val="00C9189F"/>
    <w:rsid w:val="00C93570"/>
    <w:rsid w:val="00C9604A"/>
    <w:rsid w:val="00CA09E7"/>
    <w:rsid w:val="00CA22C7"/>
    <w:rsid w:val="00CA629B"/>
    <w:rsid w:val="00CB0842"/>
    <w:rsid w:val="00CB6A56"/>
    <w:rsid w:val="00CC1E8C"/>
    <w:rsid w:val="00CC2123"/>
    <w:rsid w:val="00CC2C5D"/>
    <w:rsid w:val="00CC7873"/>
    <w:rsid w:val="00CD4D03"/>
    <w:rsid w:val="00CD4EB4"/>
    <w:rsid w:val="00CE020B"/>
    <w:rsid w:val="00CE576B"/>
    <w:rsid w:val="00CE73B6"/>
    <w:rsid w:val="00CF13D1"/>
    <w:rsid w:val="00CF3CD3"/>
    <w:rsid w:val="00CF5BF8"/>
    <w:rsid w:val="00CF7A22"/>
    <w:rsid w:val="00D00B29"/>
    <w:rsid w:val="00D00CD9"/>
    <w:rsid w:val="00D105A3"/>
    <w:rsid w:val="00D12577"/>
    <w:rsid w:val="00D125EB"/>
    <w:rsid w:val="00D149F1"/>
    <w:rsid w:val="00D21CA7"/>
    <w:rsid w:val="00D42352"/>
    <w:rsid w:val="00D43461"/>
    <w:rsid w:val="00D45135"/>
    <w:rsid w:val="00D46010"/>
    <w:rsid w:val="00D47F13"/>
    <w:rsid w:val="00D50112"/>
    <w:rsid w:val="00D63B4A"/>
    <w:rsid w:val="00D643E9"/>
    <w:rsid w:val="00D64587"/>
    <w:rsid w:val="00D66438"/>
    <w:rsid w:val="00D748D8"/>
    <w:rsid w:val="00D75600"/>
    <w:rsid w:val="00D77969"/>
    <w:rsid w:val="00D80CA9"/>
    <w:rsid w:val="00D80CCF"/>
    <w:rsid w:val="00D81DC5"/>
    <w:rsid w:val="00D83800"/>
    <w:rsid w:val="00D91075"/>
    <w:rsid w:val="00D912BC"/>
    <w:rsid w:val="00D96BF8"/>
    <w:rsid w:val="00DA1CBE"/>
    <w:rsid w:val="00DB31A1"/>
    <w:rsid w:val="00DB5949"/>
    <w:rsid w:val="00DB73DB"/>
    <w:rsid w:val="00DC1106"/>
    <w:rsid w:val="00DD37F8"/>
    <w:rsid w:val="00DD6002"/>
    <w:rsid w:val="00DD75CC"/>
    <w:rsid w:val="00DE30D3"/>
    <w:rsid w:val="00DF0117"/>
    <w:rsid w:val="00DF18B6"/>
    <w:rsid w:val="00DF642B"/>
    <w:rsid w:val="00DF7B78"/>
    <w:rsid w:val="00E0066A"/>
    <w:rsid w:val="00E00678"/>
    <w:rsid w:val="00E039E8"/>
    <w:rsid w:val="00E03C09"/>
    <w:rsid w:val="00E053CA"/>
    <w:rsid w:val="00E07E2F"/>
    <w:rsid w:val="00E11B73"/>
    <w:rsid w:val="00E13EEE"/>
    <w:rsid w:val="00E14889"/>
    <w:rsid w:val="00E14A20"/>
    <w:rsid w:val="00E16198"/>
    <w:rsid w:val="00E20738"/>
    <w:rsid w:val="00E22D77"/>
    <w:rsid w:val="00E259EA"/>
    <w:rsid w:val="00E27397"/>
    <w:rsid w:val="00E30B50"/>
    <w:rsid w:val="00E32680"/>
    <w:rsid w:val="00E3282B"/>
    <w:rsid w:val="00E35970"/>
    <w:rsid w:val="00E37618"/>
    <w:rsid w:val="00E4025B"/>
    <w:rsid w:val="00E45276"/>
    <w:rsid w:val="00E50CBA"/>
    <w:rsid w:val="00E5142E"/>
    <w:rsid w:val="00E534DB"/>
    <w:rsid w:val="00E54D02"/>
    <w:rsid w:val="00E55FD9"/>
    <w:rsid w:val="00E57019"/>
    <w:rsid w:val="00E63230"/>
    <w:rsid w:val="00E6373A"/>
    <w:rsid w:val="00E676F7"/>
    <w:rsid w:val="00E7086C"/>
    <w:rsid w:val="00E7086E"/>
    <w:rsid w:val="00E71B91"/>
    <w:rsid w:val="00E735ED"/>
    <w:rsid w:val="00E76761"/>
    <w:rsid w:val="00E77B0B"/>
    <w:rsid w:val="00E85F7B"/>
    <w:rsid w:val="00E8758A"/>
    <w:rsid w:val="00E90678"/>
    <w:rsid w:val="00E91556"/>
    <w:rsid w:val="00E927A7"/>
    <w:rsid w:val="00E94D9E"/>
    <w:rsid w:val="00E96BE1"/>
    <w:rsid w:val="00E97733"/>
    <w:rsid w:val="00E97D2E"/>
    <w:rsid w:val="00EA0AEE"/>
    <w:rsid w:val="00EA3163"/>
    <w:rsid w:val="00EA3679"/>
    <w:rsid w:val="00EA77C2"/>
    <w:rsid w:val="00EB0F23"/>
    <w:rsid w:val="00EB6CF3"/>
    <w:rsid w:val="00EC2756"/>
    <w:rsid w:val="00EC4E18"/>
    <w:rsid w:val="00ED35ED"/>
    <w:rsid w:val="00EE37C8"/>
    <w:rsid w:val="00EE616E"/>
    <w:rsid w:val="00EF19B6"/>
    <w:rsid w:val="00F02E67"/>
    <w:rsid w:val="00F07DCF"/>
    <w:rsid w:val="00F12726"/>
    <w:rsid w:val="00F1365F"/>
    <w:rsid w:val="00F16507"/>
    <w:rsid w:val="00F16A04"/>
    <w:rsid w:val="00F172DB"/>
    <w:rsid w:val="00F23D92"/>
    <w:rsid w:val="00F24650"/>
    <w:rsid w:val="00F25E04"/>
    <w:rsid w:val="00F2689E"/>
    <w:rsid w:val="00F2773C"/>
    <w:rsid w:val="00F31D4C"/>
    <w:rsid w:val="00F3207E"/>
    <w:rsid w:val="00F32B67"/>
    <w:rsid w:val="00F33397"/>
    <w:rsid w:val="00F33FB2"/>
    <w:rsid w:val="00F40190"/>
    <w:rsid w:val="00F40AA2"/>
    <w:rsid w:val="00F430DF"/>
    <w:rsid w:val="00F45954"/>
    <w:rsid w:val="00F45F62"/>
    <w:rsid w:val="00F479F7"/>
    <w:rsid w:val="00F50101"/>
    <w:rsid w:val="00F50658"/>
    <w:rsid w:val="00F5221B"/>
    <w:rsid w:val="00F534C5"/>
    <w:rsid w:val="00F5630C"/>
    <w:rsid w:val="00F57D11"/>
    <w:rsid w:val="00F60473"/>
    <w:rsid w:val="00F62AC2"/>
    <w:rsid w:val="00F62E33"/>
    <w:rsid w:val="00F639AA"/>
    <w:rsid w:val="00F669B5"/>
    <w:rsid w:val="00F70CF8"/>
    <w:rsid w:val="00F74A15"/>
    <w:rsid w:val="00F74A3C"/>
    <w:rsid w:val="00F779BA"/>
    <w:rsid w:val="00F8042D"/>
    <w:rsid w:val="00F85181"/>
    <w:rsid w:val="00F85C6C"/>
    <w:rsid w:val="00F86963"/>
    <w:rsid w:val="00FA09D1"/>
    <w:rsid w:val="00FA17E2"/>
    <w:rsid w:val="00FA3EF7"/>
    <w:rsid w:val="00FA421F"/>
    <w:rsid w:val="00FA5A7D"/>
    <w:rsid w:val="00FA6503"/>
    <w:rsid w:val="00FB082F"/>
    <w:rsid w:val="00FB4220"/>
    <w:rsid w:val="00FC3905"/>
    <w:rsid w:val="00FD3174"/>
    <w:rsid w:val="00FD4F40"/>
    <w:rsid w:val="00FD5A31"/>
    <w:rsid w:val="00FD5ABF"/>
    <w:rsid w:val="00FD67BA"/>
    <w:rsid w:val="00FD7D71"/>
    <w:rsid w:val="00FE6038"/>
    <w:rsid w:val="00FE7DA0"/>
    <w:rsid w:val="00FF1C7D"/>
    <w:rsid w:val="00FF46BB"/>
    <w:rsid w:val="00FF5E49"/>
    <w:rsid w:val="01116DA8"/>
    <w:rsid w:val="01610611"/>
    <w:rsid w:val="018E717F"/>
    <w:rsid w:val="024B3FEE"/>
    <w:rsid w:val="02694BF5"/>
    <w:rsid w:val="02B04D6A"/>
    <w:rsid w:val="02DD2A75"/>
    <w:rsid w:val="02E71D9A"/>
    <w:rsid w:val="044155BB"/>
    <w:rsid w:val="049D6DFD"/>
    <w:rsid w:val="04B66573"/>
    <w:rsid w:val="04C568D1"/>
    <w:rsid w:val="05171D46"/>
    <w:rsid w:val="051E1B0B"/>
    <w:rsid w:val="053E4A92"/>
    <w:rsid w:val="05E06F2E"/>
    <w:rsid w:val="062E415F"/>
    <w:rsid w:val="063C3029"/>
    <w:rsid w:val="064471A6"/>
    <w:rsid w:val="066E5C41"/>
    <w:rsid w:val="06947AAC"/>
    <w:rsid w:val="06CB23C0"/>
    <w:rsid w:val="075D6EE1"/>
    <w:rsid w:val="07A80EC8"/>
    <w:rsid w:val="07C04427"/>
    <w:rsid w:val="07EE4ACA"/>
    <w:rsid w:val="09664B1B"/>
    <w:rsid w:val="0997402A"/>
    <w:rsid w:val="09AD46A5"/>
    <w:rsid w:val="09C7567F"/>
    <w:rsid w:val="0A0F268D"/>
    <w:rsid w:val="0AB57CE7"/>
    <w:rsid w:val="0AC811E9"/>
    <w:rsid w:val="0B097D41"/>
    <w:rsid w:val="0B2B1774"/>
    <w:rsid w:val="0B8260DB"/>
    <w:rsid w:val="0BB2324C"/>
    <w:rsid w:val="0C75023F"/>
    <w:rsid w:val="0C994D49"/>
    <w:rsid w:val="0C9E28BC"/>
    <w:rsid w:val="0CE423D6"/>
    <w:rsid w:val="0D62447C"/>
    <w:rsid w:val="0DB81109"/>
    <w:rsid w:val="0DF119DC"/>
    <w:rsid w:val="0E4616DB"/>
    <w:rsid w:val="0E5069BB"/>
    <w:rsid w:val="0E9463F6"/>
    <w:rsid w:val="0EB3503E"/>
    <w:rsid w:val="0F70672E"/>
    <w:rsid w:val="0FA01857"/>
    <w:rsid w:val="0FD751D3"/>
    <w:rsid w:val="0FEE3F68"/>
    <w:rsid w:val="100B5102"/>
    <w:rsid w:val="1026647F"/>
    <w:rsid w:val="10380514"/>
    <w:rsid w:val="10832D43"/>
    <w:rsid w:val="11153BD2"/>
    <w:rsid w:val="119D609E"/>
    <w:rsid w:val="11B0689F"/>
    <w:rsid w:val="11BC6200"/>
    <w:rsid w:val="11C176A5"/>
    <w:rsid w:val="123C46EC"/>
    <w:rsid w:val="12402C7D"/>
    <w:rsid w:val="125B7090"/>
    <w:rsid w:val="12A878E8"/>
    <w:rsid w:val="12FB6110"/>
    <w:rsid w:val="1355595D"/>
    <w:rsid w:val="13BC128C"/>
    <w:rsid w:val="14657109"/>
    <w:rsid w:val="14CB2B9A"/>
    <w:rsid w:val="14EE20C5"/>
    <w:rsid w:val="14FF0CE9"/>
    <w:rsid w:val="150013C4"/>
    <w:rsid w:val="153A60F7"/>
    <w:rsid w:val="15477744"/>
    <w:rsid w:val="15635F65"/>
    <w:rsid w:val="156A3FFC"/>
    <w:rsid w:val="15C57CBC"/>
    <w:rsid w:val="15E00A0F"/>
    <w:rsid w:val="15E91EE9"/>
    <w:rsid w:val="16193085"/>
    <w:rsid w:val="162D0289"/>
    <w:rsid w:val="16843037"/>
    <w:rsid w:val="168F5282"/>
    <w:rsid w:val="16B67073"/>
    <w:rsid w:val="16F162AB"/>
    <w:rsid w:val="17514CDF"/>
    <w:rsid w:val="17CC7EA2"/>
    <w:rsid w:val="17D40F06"/>
    <w:rsid w:val="18180C0C"/>
    <w:rsid w:val="18453309"/>
    <w:rsid w:val="18EA6450"/>
    <w:rsid w:val="195A30B5"/>
    <w:rsid w:val="196725BE"/>
    <w:rsid w:val="199E4586"/>
    <w:rsid w:val="19A9162D"/>
    <w:rsid w:val="19F34B8F"/>
    <w:rsid w:val="1BCE62C8"/>
    <w:rsid w:val="1BD92E82"/>
    <w:rsid w:val="1C2D30C9"/>
    <w:rsid w:val="1C6B5445"/>
    <w:rsid w:val="1C9C666C"/>
    <w:rsid w:val="1CBB7B16"/>
    <w:rsid w:val="1D5223C2"/>
    <w:rsid w:val="1D534C08"/>
    <w:rsid w:val="1D655101"/>
    <w:rsid w:val="1DD65853"/>
    <w:rsid w:val="1E2044EA"/>
    <w:rsid w:val="1E966A1A"/>
    <w:rsid w:val="1F243374"/>
    <w:rsid w:val="1FA20FE6"/>
    <w:rsid w:val="20AD6EAE"/>
    <w:rsid w:val="212D69FF"/>
    <w:rsid w:val="21722310"/>
    <w:rsid w:val="21843FA8"/>
    <w:rsid w:val="21B0404E"/>
    <w:rsid w:val="21C54634"/>
    <w:rsid w:val="21F00004"/>
    <w:rsid w:val="22BA4D37"/>
    <w:rsid w:val="23306F28"/>
    <w:rsid w:val="23453E27"/>
    <w:rsid w:val="23CC5846"/>
    <w:rsid w:val="23D04AA3"/>
    <w:rsid w:val="242971B0"/>
    <w:rsid w:val="24566CA1"/>
    <w:rsid w:val="24675E9A"/>
    <w:rsid w:val="24DE7F99"/>
    <w:rsid w:val="24E41A7F"/>
    <w:rsid w:val="25692B8D"/>
    <w:rsid w:val="256F0B8C"/>
    <w:rsid w:val="25E722F6"/>
    <w:rsid w:val="265044C8"/>
    <w:rsid w:val="267A63EB"/>
    <w:rsid w:val="26852535"/>
    <w:rsid w:val="26A76454"/>
    <w:rsid w:val="26AE14CF"/>
    <w:rsid w:val="26D61D87"/>
    <w:rsid w:val="274B76DE"/>
    <w:rsid w:val="28995D13"/>
    <w:rsid w:val="28CD5964"/>
    <w:rsid w:val="29E2253A"/>
    <w:rsid w:val="2A1936CA"/>
    <w:rsid w:val="2A1B793F"/>
    <w:rsid w:val="2B081754"/>
    <w:rsid w:val="2B091BD3"/>
    <w:rsid w:val="2B436833"/>
    <w:rsid w:val="2B5368A7"/>
    <w:rsid w:val="2C1D3E9C"/>
    <w:rsid w:val="2C422200"/>
    <w:rsid w:val="2C58319A"/>
    <w:rsid w:val="2C774A25"/>
    <w:rsid w:val="2C92391E"/>
    <w:rsid w:val="2CCD4E18"/>
    <w:rsid w:val="2DE4214E"/>
    <w:rsid w:val="2F1A14EB"/>
    <w:rsid w:val="2F1E0F22"/>
    <w:rsid w:val="2F8A3997"/>
    <w:rsid w:val="2FCB09D1"/>
    <w:rsid w:val="2FFD5355"/>
    <w:rsid w:val="30471812"/>
    <w:rsid w:val="305B1D6F"/>
    <w:rsid w:val="30A152DA"/>
    <w:rsid w:val="30AC0A88"/>
    <w:rsid w:val="32083E8E"/>
    <w:rsid w:val="32687933"/>
    <w:rsid w:val="334F3B22"/>
    <w:rsid w:val="336E7FF1"/>
    <w:rsid w:val="336F72A4"/>
    <w:rsid w:val="34B95129"/>
    <w:rsid w:val="34BB33B9"/>
    <w:rsid w:val="34D5751C"/>
    <w:rsid w:val="355A22B3"/>
    <w:rsid w:val="36932FF8"/>
    <w:rsid w:val="37B74AE4"/>
    <w:rsid w:val="38C05785"/>
    <w:rsid w:val="394739C7"/>
    <w:rsid w:val="3AB05828"/>
    <w:rsid w:val="3AEB7649"/>
    <w:rsid w:val="3B636314"/>
    <w:rsid w:val="3C1103D5"/>
    <w:rsid w:val="3C960866"/>
    <w:rsid w:val="3CEF599B"/>
    <w:rsid w:val="3CFB0943"/>
    <w:rsid w:val="3D967BFD"/>
    <w:rsid w:val="3D9D7E5B"/>
    <w:rsid w:val="3DBB4D56"/>
    <w:rsid w:val="3DBC3B4B"/>
    <w:rsid w:val="3E057E5D"/>
    <w:rsid w:val="3F170804"/>
    <w:rsid w:val="3F2B6983"/>
    <w:rsid w:val="3F910FED"/>
    <w:rsid w:val="3FDA5B61"/>
    <w:rsid w:val="401F328D"/>
    <w:rsid w:val="41266217"/>
    <w:rsid w:val="42183E6E"/>
    <w:rsid w:val="42C90073"/>
    <w:rsid w:val="42CF6F9F"/>
    <w:rsid w:val="43235C04"/>
    <w:rsid w:val="435D2BA3"/>
    <w:rsid w:val="437B168B"/>
    <w:rsid w:val="44301E29"/>
    <w:rsid w:val="44603FEC"/>
    <w:rsid w:val="44BF1C59"/>
    <w:rsid w:val="44C26B96"/>
    <w:rsid w:val="44ED5D58"/>
    <w:rsid w:val="45434D5F"/>
    <w:rsid w:val="455E1B79"/>
    <w:rsid w:val="45910940"/>
    <w:rsid w:val="45C57A4F"/>
    <w:rsid w:val="45F56D27"/>
    <w:rsid w:val="47950C4F"/>
    <w:rsid w:val="47A21A8F"/>
    <w:rsid w:val="47A57DB3"/>
    <w:rsid w:val="481B6106"/>
    <w:rsid w:val="482F185E"/>
    <w:rsid w:val="485F1865"/>
    <w:rsid w:val="487B008D"/>
    <w:rsid w:val="48EE4460"/>
    <w:rsid w:val="48FF00BE"/>
    <w:rsid w:val="49866927"/>
    <w:rsid w:val="49FF4BA4"/>
    <w:rsid w:val="4A807D55"/>
    <w:rsid w:val="4A911536"/>
    <w:rsid w:val="4AB57861"/>
    <w:rsid w:val="4ABB5E46"/>
    <w:rsid w:val="4AF22EC8"/>
    <w:rsid w:val="4B6852B2"/>
    <w:rsid w:val="4BC16643"/>
    <w:rsid w:val="4C7314DF"/>
    <w:rsid w:val="4C7F4DE2"/>
    <w:rsid w:val="4C9814C1"/>
    <w:rsid w:val="4D3A6E08"/>
    <w:rsid w:val="4DC93B10"/>
    <w:rsid w:val="4E77237D"/>
    <w:rsid w:val="4EB872AC"/>
    <w:rsid w:val="4EDF3722"/>
    <w:rsid w:val="4EFE5A51"/>
    <w:rsid w:val="4F7D436F"/>
    <w:rsid w:val="4F8F6DCD"/>
    <w:rsid w:val="4F93469F"/>
    <w:rsid w:val="4FEE3E51"/>
    <w:rsid w:val="4FFC0C7E"/>
    <w:rsid w:val="502422B1"/>
    <w:rsid w:val="5090031D"/>
    <w:rsid w:val="50A4245D"/>
    <w:rsid w:val="50C97069"/>
    <w:rsid w:val="516C652E"/>
    <w:rsid w:val="51AC0CA2"/>
    <w:rsid w:val="521C4028"/>
    <w:rsid w:val="524B6C45"/>
    <w:rsid w:val="535C14F3"/>
    <w:rsid w:val="535D5E40"/>
    <w:rsid w:val="53BB03E9"/>
    <w:rsid w:val="54212C2A"/>
    <w:rsid w:val="542D51DB"/>
    <w:rsid w:val="54326F39"/>
    <w:rsid w:val="54E84FD2"/>
    <w:rsid w:val="558D6F80"/>
    <w:rsid w:val="55B01204"/>
    <w:rsid w:val="55C0688F"/>
    <w:rsid w:val="562708ED"/>
    <w:rsid w:val="563B237A"/>
    <w:rsid w:val="563C4B84"/>
    <w:rsid w:val="569503EE"/>
    <w:rsid w:val="56C307B9"/>
    <w:rsid w:val="56E376FA"/>
    <w:rsid w:val="574229F3"/>
    <w:rsid w:val="57A71AC0"/>
    <w:rsid w:val="57C42A14"/>
    <w:rsid w:val="58250756"/>
    <w:rsid w:val="591114FF"/>
    <w:rsid w:val="5987049D"/>
    <w:rsid w:val="59F46FBE"/>
    <w:rsid w:val="5A48212F"/>
    <w:rsid w:val="5A5037F1"/>
    <w:rsid w:val="5AEA24A0"/>
    <w:rsid w:val="5B1C63AC"/>
    <w:rsid w:val="5B39355C"/>
    <w:rsid w:val="5BDE03A5"/>
    <w:rsid w:val="5CF075CB"/>
    <w:rsid w:val="5D0D1408"/>
    <w:rsid w:val="5DDE06C9"/>
    <w:rsid w:val="5E0F08EF"/>
    <w:rsid w:val="5ECA5A96"/>
    <w:rsid w:val="5F6857D0"/>
    <w:rsid w:val="5FDB6D21"/>
    <w:rsid w:val="5FFF72A4"/>
    <w:rsid w:val="60251519"/>
    <w:rsid w:val="60681418"/>
    <w:rsid w:val="611F39AC"/>
    <w:rsid w:val="612E0DE2"/>
    <w:rsid w:val="61A32B88"/>
    <w:rsid w:val="62596298"/>
    <w:rsid w:val="62EA62A7"/>
    <w:rsid w:val="63321889"/>
    <w:rsid w:val="64015FC7"/>
    <w:rsid w:val="640713E7"/>
    <w:rsid w:val="64E94FB5"/>
    <w:rsid w:val="6520192E"/>
    <w:rsid w:val="65CA447A"/>
    <w:rsid w:val="65EF5ACB"/>
    <w:rsid w:val="666F7CF6"/>
    <w:rsid w:val="66FA6DD1"/>
    <w:rsid w:val="67AF0E2E"/>
    <w:rsid w:val="68127E96"/>
    <w:rsid w:val="681B7E65"/>
    <w:rsid w:val="69381E4F"/>
    <w:rsid w:val="6994704B"/>
    <w:rsid w:val="69D8220C"/>
    <w:rsid w:val="6A09013B"/>
    <w:rsid w:val="6A224DD4"/>
    <w:rsid w:val="6A352070"/>
    <w:rsid w:val="6A6455EB"/>
    <w:rsid w:val="6A732B9C"/>
    <w:rsid w:val="6A875665"/>
    <w:rsid w:val="6ABD6513"/>
    <w:rsid w:val="6B3F7107"/>
    <w:rsid w:val="6B7D5427"/>
    <w:rsid w:val="6BCB460E"/>
    <w:rsid w:val="6BFC33D5"/>
    <w:rsid w:val="6C474DE0"/>
    <w:rsid w:val="6C7121E6"/>
    <w:rsid w:val="6CAC73FA"/>
    <w:rsid w:val="6CBF1A5C"/>
    <w:rsid w:val="6CD9297C"/>
    <w:rsid w:val="6CF340BA"/>
    <w:rsid w:val="6DAA0991"/>
    <w:rsid w:val="6DAF1A11"/>
    <w:rsid w:val="6DBC68D1"/>
    <w:rsid w:val="6E126D9B"/>
    <w:rsid w:val="6E721AC5"/>
    <w:rsid w:val="6F0F1ECB"/>
    <w:rsid w:val="6F937375"/>
    <w:rsid w:val="70540F53"/>
    <w:rsid w:val="70703467"/>
    <w:rsid w:val="707F39F0"/>
    <w:rsid w:val="70FC07ED"/>
    <w:rsid w:val="710C2E2B"/>
    <w:rsid w:val="71294130"/>
    <w:rsid w:val="71DE6134"/>
    <w:rsid w:val="71F65285"/>
    <w:rsid w:val="72320D34"/>
    <w:rsid w:val="72A218A6"/>
    <w:rsid w:val="72D8676D"/>
    <w:rsid w:val="7302137A"/>
    <w:rsid w:val="74257AA3"/>
    <w:rsid w:val="748B4FD5"/>
    <w:rsid w:val="74980230"/>
    <w:rsid w:val="74B22C64"/>
    <w:rsid w:val="74F8008D"/>
    <w:rsid w:val="752B1FC5"/>
    <w:rsid w:val="755B75DC"/>
    <w:rsid w:val="75E714FB"/>
    <w:rsid w:val="75E73569"/>
    <w:rsid w:val="75FE6A3D"/>
    <w:rsid w:val="7751008C"/>
    <w:rsid w:val="77EF553E"/>
    <w:rsid w:val="77F028C8"/>
    <w:rsid w:val="782E26F4"/>
    <w:rsid w:val="78525A7D"/>
    <w:rsid w:val="7919413A"/>
    <w:rsid w:val="797656C8"/>
    <w:rsid w:val="799D0531"/>
    <w:rsid w:val="7A9103EC"/>
    <w:rsid w:val="7B9F744D"/>
    <w:rsid w:val="7BC151B4"/>
    <w:rsid w:val="7C2C141E"/>
    <w:rsid w:val="7D2C76D3"/>
    <w:rsid w:val="7D543D16"/>
    <w:rsid w:val="7DC30FCD"/>
    <w:rsid w:val="7DEC0A54"/>
    <w:rsid w:val="7E6459CD"/>
    <w:rsid w:val="7EBA2261"/>
    <w:rsid w:val="7ED25EF1"/>
    <w:rsid w:val="7ED515FE"/>
    <w:rsid w:val="7EFB1048"/>
    <w:rsid w:val="7EFF6FF8"/>
    <w:rsid w:val="7F3D6DD2"/>
    <w:rsid w:val="7F656BC9"/>
    <w:rsid w:val="7FE742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9" w:semiHidden="0" w:name="heading 3" w:locked="1"/>
    <w:lsdException w:qFormat="1" w:uiPriority="0" w:name="heading 4" w:locked="1"/>
    <w:lsdException w:qFormat="1" w:uiPriority="9"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next w:val="1"/>
    <w:qFormat/>
    <w:locked/>
    <w:uiPriority w:val="9"/>
    <w:pPr>
      <w:keepNext/>
      <w:keepLines/>
      <w:widowControl w:val="0"/>
      <w:spacing w:line="360" w:lineRule="auto"/>
      <w:jc w:val="center"/>
      <w:outlineLvl w:val="0"/>
    </w:pPr>
    <w:rPr>
      <w:rFonts w:asciiTheme="minorEastAsia" w:hAnsiTheme="minorEastAsia" w:eastAsiaTheme="minorEastAsia" w:cstheme="majorBidi"/>
      <w:b/>
      <w:kern w:val="44"/>
      <w:sz w:val="32"/>
      <w:szCs w:val="32"/>
      <w:lang w:val="zh-TW" w:eastAsia="zh-CN" w:bidi="ar-SA"/>
    </w:rPr>
  </w:style>
  <w:style w:type="paragraph" w:styleId="4">
    <w:name w:val="heading 2"/>
    <w:basedOn w:val="1"/>
    <w:next w:val="1"/>
    <w:link w:val="34"/>
    <w:qFormat/>
    <w:locked/>
    <w:uiPriority w:val="1"/>
    <w:pPr>
      <w:spacing w:before="120" w:after="120"/>
      <w:outlineLvl w:val="1"/>
    </w:pPr>
    <w:rPr>
      <w:rFonts w:eastAsia="黑体"/>
      <w:sz w:val="32"/>
    </w:rPr>
  </w:style>
  <w:style w:type="paragraph" w:styleId="5">
    <w:name w:val="heading 3"/>
    <w:basedOn w:val="1"/>
    <w:next w:val="1"/>
    <w:unhideWhenUsed/>
    <w:qFormat/>
    <w:locked/>
    <w:uiPriority w:val="9"/>
    <w:pPr>
      <w:keepNext/>
      <w:keepLines/>
      <w:spacing w:line="360" w:lineRule="auto"/>
      <w:outlineLvl w:val="2"/>
    </w:pPr>
    <w:rPr>
      <w:b/>
      <w:bCs/>
      <w:color w:val="000000" w:themeColor="text1"/>
      <w:kern w:val="0"/>
      <w:sz w:val="28"/>
      <w:szCs w:val="28"/>
      <w:lang w:val="zh-TW"/>
      <w14:textFill>
        <w14:solidFill>
          <w14:schemeClr w14:val="tx1"/>
        </w14:solidFill>
      </w14:textFill>
    </w:rPr>
  </w:style>
  <w:style w:type="paragraph" w:styleId="6">
    <w:name w:val="heading 5"/>
    <w:basedOn w:val="1"/>
    <w:next w:val="1"/>
    <w:semiHidden/>
    <w:unhideWhenUsed/>
    <w:qFormat/>
    <w:locked/>
    <w:uiPriority w:val="9"/>
    <w:pPr>
      <w:keepNext/>
      <w:keepLines/>
      <w:spacing w:before="280" w:after="290" w:line="376" w:lineRule="auto"/>
      <w:outlineLvl w:val="4"/>
    </w:pPr>
    <w:rPr>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semiHidden/>
    <w:unhideWhenUsed/>
    <w:qFormat/>
    <w:uiPriority w:val="99"/>
    <w:pPr>
      <w:jc w:val="left"/>
    </w:pPr>
  </w:style>
  <w:style w:type="paragraph" w:styleId="9">
    <w:name w:val="Body Text"/>
    <w:basedOn w:val="1"/>
    <w:next w:val="1"/>
    <w:qFormat/>
    <w:uiPriority w:val="0"/>
    <w:pPr>
      <w:jc w:val="center"/>
    </w:pPr>
    <w:rPr>
      <w:rFonts w:ascii="幼圆" w:eastAsia="幼圆"/>
      <w:b/>
      <w:sz w:val="44"/>
    </w:rPr>
  </w:style>
  <w:style w:type="paragraph" w:styleId="10">
    <w:name w:val="Balloon Text"/>
    <w:basedOn w:val="1"/>
    <w:link w:val="22"/>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Body Text 2"/>
    <w:basedOn w:val="1"/>
    <w:qFormat/>
    <w:uiPriority w:val="0"/>
    <w:pPr>
      <w:adjustRightInd w:val="0"/>
      <w:snapToGrid w:val="0"/>
      <w:spacing w:beforeLines="50" w:afterLines="50"/>
    </w:p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FollowedHyperlink"/>
    <w:basedOn w:val="18"/>
    <w:semiHidden/>
    <w:unhideWhenUsed/>
    <w:qFormat/>
    <w:uiPriority w:val="99"/>
    <w:rPr>
      <w:color w:val="666666"/>
      <w:u w:val="none"/>
    </w:rPr>
  </w:style>
  <w:style w:type="character" w:styleId="20">
    <w:name w:val="Hyperlink"/>
    <w:basedOn w:val="18"/>
    <w:semiHidden/>
    <w:unhideWhenUsed/>
    <w:qFormat/>
    <w:uiPriority w:val="99"/>
    <w:rPr>
      <w:color w:val="333333"/>
      <w:u w:val="none"/>
    </w:rPr>
  </w:style>
  <w:style w:type="paragraph" w:customStyle="1" w:styleId="21">
    <w:name w:val="zjb正文"/>
    <w:basedOn w:val="1"/>
    <w:link w:val="33"/>
    <w:qFormat/>
    <w:uiPriority w:val="0"/>
    <w:pPr>
      <w:widowControl/>
      <w:spacing w:line="360" w:lineRule="auto"/>
      <w:ind w:firstLine="200" w:firstLineChars="200"/>
      <w:jc w:val="left"/>
    </w:pPr>
    <w:rPr>
      <w:rFonts w:ascii="仿宋_GB2312" w:hAnsi="仿宋" w:eastAsia="仿宋_GB2312" w:cs="宋体"/>
      <w:color w:val="000000"/>
      <w:kern w:val="0"/>
      <w:sz w:val="30"/>
      <w:szCs w:val="30"/>
      <w:lang w:eastAsia="en-US"/>
    </w:rPr>
  </w:style>
  <w:style w:type="character" w:customStyle="1" w:styleId="22">
    <w:name w:val="批注框文本 字符"/>
    <w:basedOn w:val="18"/>
    <w:link w:val="10"/>
    <w:semiHidden/>
    <w:qFormat/>
    <w:locked/>
    <w:uiPriority w:val="99"/>
    <w:rPr>
      <w:rFonts w:ascii="Times New Roman" w:hAnsi="Times New Roman"/>
      <w:kern w:val="2"/>
      <w:sz w:val="18"/>
    </w:rPr>
  </w:style>
  <w:style w:type="character" w:customStyle="1" w:styleId="23">
    <w:name w:val="页脚 字符"/>
    <w:basedOn w:val="18"/>
    <w:link w:val="11"/>
    <w:qFormat/>
    <w:locked/>
    <w:uiPriority w:val="99"/>
    <w:rPr>
      <w:sz w:val="18"/>
    </w:rPr>
  </w:style>
  <w:style w:type="character" w:customStyle="1" w:styleId="24">
    <w:name w:val="页眉 字符"/>
    <w:basedOn w:val="18"/>
    <w:link w:val="12"/>
    <w:semiHidden/>
    <w:qFormat/>
    <w:locked/>
    <w:uiPriority w:val="99"/>
    <w:rPr>
      <w:sz w:val="18"/>
    </w:rPr>
  </w:style>
  <w:style w:type="paragraph" w:customStyle="1" w:styleId="25">
    <w:name w:val="列出段落1"/>
    <w:basedOn w:val="1"/>
    <w:qFormat/>
    <w:uiPriority w:val="99"/>
    <w:pPr>
      <w:ind w:firstLine="420" w:firstLineChars="200"/>
    </w:pPr>
  </w:style>
  <w:style w:type="character" w:customStyle="1" w:styleId="26">
    <w:name w:val="f14w1"/>
    <w:qFormat/>
    <w:uiPriority w:val="99"/>
    <w:rPr>
      <w:b/>
      <w:color w:val="002569"/>
      <w:sz w:val="21"/>
    </w:rPr>
  </w:style>
  <w:style w:type="paragraph" w:customStyle="1" w:styleId="27">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8">
    <w:name w:val="列出段落11"/>
    <w:basedOn w:val="1"/>
    <w:qFormat/>
    <w:uiPriority w:val="99"/>
    <w:pPr>
      <w:ind w:firstLine="420" w:firstLineChars="200"/>
    </w:pPr>
  </w:style>
  <w:style w:type="paragraph" w:customStyle="1" w:styleId="29">
    <w:name w:val="列出段落2"/>
    <w:basedOn w:val="1"/>
    <w:qFormat/>
    <w:uiPriority w:val="99"/>
    <w:pPr>
      <w:ind w:firstLine="420" w:firstLineChars="200"/>
    </w:pPr>
    <w:rPr>
      <w:rFonts w:ascii="Calibri" w:hAnsi="Calibri"/>
      <w:szCs w:val="22"/>
    </w:rPr>
  </w:style>
  <w:style w:type="paragraph" w:styleId="30">
    <w:name w:val="List Paragraph"/>
    <w:basedOn w:val="1"/>
    <w:qFormat/>
    <w:uiPriority w:val="34"/>
    <w:pPr>
      <w:ind w:firstLine="420" w:firstLineChars="200"/>
    </w:pPr>
    <w:rPr>
      <w:rFonts w:ascii="Calibri" w:hAnsi="Calibri"/>
      <w:sz w:val="28"/>
      <w:szCs w:val="20"/>
    </w:rPr>
  </w:style>
  <w:style w:type="paragraph" w:customStyle="1" w:styleId="31">
    <w:name w:val="_Style 2"/>
    <w:qFormat/>
    <w:uiPriority w:val="1"/>
    <w:pPr>
      <w:widowControl w:val="0"/>
      <w:jc w:val="both"/>
    </w:pPr>
    <w:rPr>
      <w:rFonts w:ascii="Calibri" w:hAnsi="Calibri" w:eastAsia="宋体" w:cs="Times New Roman"/>
      <w:kern w:val="2"/>
      <w:sz w:val="21"/>
      <w:szCs w:val="24"/>
      <w:lang w:val="en-US" w:eastAsia="zh-CN" w:bidi="ar-SA"/>
    </w:rPr>
  </w:style>
  <w:style w:type="paragraph" w:customStyle="1" w:styleId="32">
    <w:name w:val="zjb标题3"/>
    <w:basedOn w:val="6"/>
    <w:qFormat/>
    <w:uiPriority w:val="0"/>
    <w:pPr>
      <w:spacing w:before="0" w:after="120" w:line="360" w:lineRule="auto"/>
      <w:ind w:firstLine="200" w:firstLineChars="200"/>
      <w:outlineLvl w:val="9"/>
    </w:pPr>
    <w:rPr>
      <w:rFonts w:ascii="黑体" w:hAnsi="仿宋" w:eastAsia="黑体" w:cs="宋体"/>
      <w:b w:val="0"/>
      <w:color w:val="000000"/>
      <w:sz w:val="30"/>
      <w:szCs w:val="24"/>
    </w:rPr>
  </w:style>
  <w:style w:type="character" w:customStyle="1" w:styleId="33">
    <w:name w:val="zjb正文 字符"/>
    <w:basedOn w:val="18"/>
    <w:link w:val="21"/>
    <w:qFormat/>
    <w:uiPriority w:val="0"/>
    <w:rPr>
      <w:rFonts w:ascii="仿宋_GB2312" w:hAnsi="仿宋" w:eastAsia="仿宋_GB2312" w:cs="宋体"/>
      <w:color w:val="000000"/>
      <w:kern w:val="0"/>
      <w:sz w:val="30"/>
      <w:szCs w:val="30"/>
      <w:lang w:eastAsia="en-US"/>
    </w:rPr>
  </w:style>
  <w:style w:type="character" w:customStyle="1" w:styleId="34">
    <w:name w:val="标题 2 字符"/>
    <w:link w:val="4"/>
    <w:qFormat/>
    <w:uiPriority w:val="1"/>
    <w:rPr>
      <w:rFonts w:eastAsia="黑体"/>
      <w:kern w:val="2"/>
      <w:sz w:val="32"/>
      <w:lang w:eastAsia="zh-CN"/>
    </w:rPr>
  </w:style>
  <w:style w:type="character" w:customStyle="1" w:styleId="35">
    <w:name w:val="selallcontainer"/>
    <w:basedOn w:val="18"/>
    <w:qFormat/>
    <w:uiPriority w:val="0"/>
  </w:style>
  <w:style w:type="character" w:customStyle="1" w:styleId="36">
    <w:name w:val="hover17"/>
    <w:basedOn w:val="18"/>
    <w:qFormat/>
    <w:uiPriority w:val="0"/>
    <w:rPr>
      <w:color w:val="FF6600"/>
      <w:bdr w:val="single" w:color="DDDDDD" w:sz="6" w:space="0"/>
      <w:shd w:val="clear" w:color="auto" w:fill="FFFFFF"/>
    </w:rPr>
  </w:style>
  <w:style w:type="character" w:customStyle="1" w:styleId="37">
    <w:name w:val="over"/>
    <w:basedOn w:val="18"/>
    <w:qFormat/>
    <w:uiPriority w:val="0"/>
    <w:rPr>
      <w:shd w:val="clear" w:color="auto" w:fill="3F82BE"/>
    </w:rPr>
  </w:style>
  <w:style w:type="character" w:customStyle="1" w:styleId="38">
    <w:name w:val="before2"/>
    <w:basedOn w:val="18"/>
    <w:qFormat/>
    <w:uiPriority w:val="0"/>
  </w:style>
  <w:style w:type="character" w:customStyle="1" w:styleId="39">
    <w:name w:val="hover15"/>
    <w:basedOn w:val="18"/>
    <w:qFormat/>
    <w:uiPriority w:val="0"/>
    <w:rPr>
      <w:color w:val="FF6600"/>
      <w:bdr w:val="single" w:color="DDDDDD" w:sz="6" w:space="0"/>
      <w:shd w:val="clear" w:color="auto" w:fill="FFFFFF"/>
    </w:rPr>
  </w:style>
  <w:style w:type="character" w:customStyle="1" w:styleId="40">
    <w:name w:val="before"/>
    <w:basedOn w:val="18"/>
    <w:qFormat/>
    <w:uiPriority w:val="0"/>
  </w:style>
  <w:style w:type="character" w:customStyle="1" w:styleId="41">
    <w:name w:val="Body text (2)_"/>
    <w:link w:val="42"/>
    <w:qFormat/>
    <w:uiPriority w:val="99"/>
    <w:rPr>
      <w:rFonts w:ascii="MingLiU" w:hAnsi="Calibri" w:eastAsia="MingLiU" w:cs="MingLiU"/>
      <w:sz w:val="30"/>
      <w:szCs w:val="30"/>
      <w:shd w:val="clear" w:color="auto" w:fill="FFFFFF"/>
    </w:rPr>
  </w:style>
  <w:style w:type="paragraph" w:customStyle="1" w:styleId="42">
    <w:name w:val="Body text (2)1"/>
    <w:basedOn w:val="1"/>
    <w:link w:val="41"/>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13B76-7D9F-45D5-9BE0-311EDA0EB4E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2179</Words>
  <Characters>12426</Characters>
  <Lines>103</Lines>
  <Paragraphs>29</Paragraphs>
  <TotalTime>1</TotalTime>
  <ScaleCrop>false</ScaleCrop>
  <LinksUpToDate>false</LinksUpToDate>
  <CharactersWithSpaces>14576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2021-08-13T07:21:00Z</dcterms:created>
  <dc:creator>李凯01</dc:creator>
  <cp:lastModifiedBy>未知</cp:lastModifiedBy>
  <cp:lastPrinted>2021-08-13T08:50:00Z</cp:lastPrinted>
  <dcterms:modified xsi:type="dcterms:W3CDTF">2021-08-13T09:27:09Z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28B584E7D0F9492A89BCC84C25AF871C</vt:lpwstr>
  </property>
</Properties>
</file>