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eastAsia="方正小标宋_GBK"/>
          <w:sz w:val="52"/>
          <w:szCs w:val="52"/>
          <w:lang w:eastAsia="zh-CN"/>
        </w:rPr>
      </w:pPr>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重庆江北国际机场T2航站楼B指廊共享办公区</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采购项目（第二次）比</w:t>
      </w:r>
      <w:r>
        <w:rPr>
          <w:rFonts w:hint="eastAsia" w:ascii="方正小标宋简体" w:hAnsi="仿宋" w:eastAsia="方正小标宋简体"/>
          <w:sz w:val="44"/>
          <w:szCs w:val="44"/>
        </w:rPr>
        <w:t>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BX-2021-011</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重庆江北国际机场</w:t>
      </w:r>
      <w:r>
        <w:rPr>
          <w:rFonts w:hint="eastAsia" w:ascii="方正小标宋简体" w:eastAsia="方正小标宋简体"/>
          <w:sz w:val="32"/>
          <w:szCs w:val="32"/>
        </w:rPr>
        <w:t>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p>
    <w:p>
      <w:pPr>
        <w:rPr>
          <w:rFonts w:ascii="仿宋" w:hAnsi="仿宋" w:eastAsia="仿宋"/>
          <w:b/>
          <w:sz w:val="32"/>
          <w:szCs w:val="32"/>
        </w:rPr>
      </w:pPr>
    </w:p>
    <w:p>
      <w:pPr>
        <w:pStyle w:val="15"/>
        <w:rPr>
          <w:rFonts w:ascii="仿宋" w:hAnsi="仿宋" w:eastAsia="仿宋"/>
          <w:b/>
          <w:sz w:val="32"/>
          <w:szCs w:val="32"/>
        </w:rPr>
      </w:pPr>
    </w:p>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八</w:t>
      </w:r>
      <w:r>
        <w:rPr>
          <w:rFonts w:hint="eastAsia" w:ascii="方正小标宋简体" w:eastAsia="方正小标宋简体"/>
          <w:sz w:val="32"/>
          <w:szCs w:val="32"/>
        </w:rPr>
        <w:t>月</w:t>
      </w:r>
    </w:p>
    <w:p>
      <w:pPr>
        <w:rPr>
          <w:rFonts w:ascii="方正小标宋简体" w:eastAsia="方正小标宋简体"/>
          <w:sz w:val="32"/>
          <w:szCs w:val="32"/>
        </w:rPr>
      </w:pPr>
      <w:r>
        <w:rPr>
          <w:rFonts w:hint="eastAsia" w:ascii="方正小标宋简体" w:eastAsia="方正小标宋简体"/>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重庆江北国际机场T2航站楼B指廊共享办公区采购</w:t>
      </w:r>
      <w:r>
        <w:rPr>
          <w:rFonts w:hint="eastAsia" w:ascii="方正小标宋_GBK" w:hAnsi="方正小标宋_GBK" w:eastAsia="方正小标宋_GBK" w:cs="方正小标宋_GBK"/>
          <w:sz w:val="44"/>
          <w:szCs w:val="44"/>
        </w:rPr>
        <w:t>项目比选文件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eastAsia="zh-CN"/>
        </w:rPr>
        <w:t>重庆</w:t>
      </w:r>
      <w:r>
        <w:rPr>
          <w:rFonts w:hint="eastAsia" w:ascii="方正仿宋_GBK" w:hAnsi="方正仿宋_GBK" w:eastAsia="方正仿宋_GBK" w:cs="方正仿宋_GBK"/>
          <w:sz w:val="28"/>
          <w:szCs w:val="28"/>
          <w:lang w:val="en-US" w:eastAsia="zh-CN"/>
        </w:rPr>
        <w:t>江北国际机场T2航站楼B指廊共享办公区采购</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color w:val="FF0000"/>
          <w:kern w:val="0"/>
          <w:sz w:val="28"/>
          <w:szCs w:val="28"/>
          <w:lang w:eastAsia="zh-CN"/>
        </w:rPr>
      </w:pPr>
      <w:r>
        <w:rPr>
          <w:rFonts w:hint="eastAsia" w:ascii="方正仿宋_GBK" w:hAnsi="方正仿宋_GBK" w:eastAsia="方正仿宋_GBK" w:cs="方正仿宋_GBK"/>
          <w:b/>
          <w:bCs/>
          <w:kern w:val="0"/>
          <w:sz w:val="28"/>
          <w:szCs w:val="28"/>
        </w:rPr>
        <w:t xml:space="preserve">    1.1 资格要求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w:t>
      </w:r>
      <w:r>
        <w:rPr>
          <w:rFonts w:hint="eastAsia" w:ascii="方正仿宋_GBK" w:hAnsi="方正仿宋_GBK" w:eastAsia="方正仿宋_GBK" w:cs="方正仿宋_GBK"/>
          <w:sz w:val="28"/>
          <w:szCs w:val="28"/>
          <w:lang w:eastAsia="zh-CN"/>
        </w:rPr>
        <w:t>营业范围包括：</w:t>
      </w:r>
      <w:r>
        <w:rPr>
          <w:rFonts w:hint="eastAsia" w:ascii="方正仿宋_GBK" w:hAnsi="方正仿宋_GBK" w:eastAsia="方正仿宋_GBK" w:cs="方正仿宋_GBK"/>
          <w:sz w:val="28"/>
          <w:szCs w:val="28"/>
        </w:rPr>
        <w:t>在中华人民共和国依法注册、具有独立法人资格，营业范围包括：</w:t>
      </w:r>
      <w:r>
        <w:rPr>
          <w:rFonts w:hint="eastAsia" w:ascii="方正仿宋_GBK" w:hAnsi="方正仿宋_GBK" w:eastAsia="方正仿宋_GBK" w:cs="方正仿宋_GBK"/>
          <w:sz w:val="28"/>
          <w:szCs w:val="28"/>
          <w:lang w:eastAsia="zh-CN"/>
        </w:rPr>
        <w:t>生产或销售：家具、百货；维修家具</w:t>
      </w:r>
      <w:r>
        <w:rPr>
          <w:rFonts w:hint="eastAsia" w:ascii="方正仿宋_GBK" w:hAnsi="方正仿宋_GBK" w:eastAsia="方正仿宋_GBK" w:cs="方正仿宋_GBK"/>
          <w:sz w:val="28"/>
          <w:szCs w:val="28"/>
          <w:lang w:val="en-US" w:eastAsia="zh-CN"/>
        </w:rPr>
        <w:t>;室内外装饰制作。</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以上</w:t>
      </w:r>
      <w:r>
        <w:rPr>
          <w:rFonts w:hint="eastAsia" w:ascii="方正仿宋_GBK" w:hAnsi="方正仿宋_GBK" w:eastAsia="方正仿宋_GBK" w:cs="方正仿宋_GBK"/>
          <w:sz w:val="28"/>
          <w:szCs w:val="28"/>
        </w:rPr>
        <w:t>具有其中一种即可，须提供</w:t>
      </w:r>
      <w:r>
        <w:rPr>
          <w:rFonts w:hint="eastAsia" w:ascii="方正仿宋_GBK" w:hAnsi="方正仿宋_GBK" w:eastAsia="方正仿宋_GBK" w:cs="方正仿宋_GBK"/>
          <w:sz w:val="28"/>
          <w:szCs w:val="28"/>
          <w:lang w:val="en-US" w:eastAsia="zh-CN"/>
        </w:rPr>
        <w:t>有效</w:t>
      </w:r>
      <w:r>
        <w:rPr>
          <w:rFonts w:hint="eastAsia" w:ascii="方正仿宋_GBK" w:hAnsi="方正仿宋_GBK" w:eastAsia="方正仿宋_GBK" w:cs="方正仿宋_GBK"/>
          <w:sz w:val="28"/>
          <w:szCs w:val="28"/>
        </w:rPr>
        <w:t>营业执照复印件加盖公章）。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b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color w:val="000000" w:themeColor="text1"/>
          <w:sz w:val="28"/>
          <w:szCs w:val="28"/>
          <w:lang w:val="en-US" w:eastAsia="zh-CN"/>
          <w14:textFill>
            <w14:solidFill>
              <w14:schemeClr w14:val="tx1"/>
            </w14:solidFill>
          </w14:textFill>
        </w:rPr>
        <w:t>1.1.2</w:t>
      </w:r>
      <w:r>
        <w:rPr>
          <w:rFonts w:hint="eastAsia" w:ascii="方正仿宋_GBK" w:hAnsi="方正仿宋_GBK" w:eastAsia="方正仿宋_GBK" w:cs="方正仿宋_GBK"/>
          <w:kern w:val="2"/>
          <w:sz w:val="28"/>
          <w:szCs w:val="28"/>
          <w:lang w:val="en-US" w:eastAsia="zh-CN" w:bidi="ar-SA"/>
        </w:rPr>
        <w:t>需提供</w:t>
      </w:r>
      <w:r>
        <w:rPr>
          <w:rFonts w:hint="eastAsia" w:ascii="方正仿宋_GBK" w:hAnsi="方正仿宋_GBK" w:eastAsia="方正仿宋_GBK" w:cs="方正仿宋_GBK"/>
          <w:b w:val="0"/>
          <w:color w:val="000000" w:themeColor="text1"/>
          <w:sz w:val="28"/>
          <w:szCs w:val="28"/>
          <w:lang w:val="en-US" w:eastAsia="zh-CN"/>
          <w14:textFill>
            <w14:solidFill>
              <w14:schemeClr w14:val="tx1"/>
            </w14:solidFill>
          </w14:textFill>
        </w:rPr>
        <w:t>2名持有</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电工作业证的人员的证书复印件并加盖法人鲜章、原件备查。</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（证书复印件包括证书封面、级别、有效期等）。</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b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kern w:val="2"/>
          <w:sz w:val="28"/>
          <w:szCs w:val="28"/>
          <w:lang w:val="en-US" w:eastAsia="zh-CN" w:bidi="ar-SA"/>
        </w:rPr>
        <w:t>1.1.3</w:t>
      </w:r>
      <w:r>
        <w:rPr>
          <w:rFonts w:hint="eastAsia" w:ascii="方正仿宋_GBK" w:hAnsi="方正仿宋_GBK" w:eastAsia="方正仿宋_GBK" w:cs="方正仿宋_GBK"/>
          <w:b w:val="0"/>
          <w:color w:val="000000" w:themeColor="text1"/>
          <w:sz w:val="28"/>
          <w:szCs w:val="28"/>
          <w14:textFill>
            <w14:solidFill>
              <w14:schemeClr w14:val="tx1"/>
            </w14:solidFill>
          </w14:textFill>
        </w:rPr>
        <w:t>本项目不接受联合体，不得转包、分包。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1.1.4未被“信用中国”网站（www.creditchina.gov.cn）列为失信被执行人，提供相关查询截图并加盖响应单位法人鲜章。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1.1.5法定代表人为同一个人的两个及两个以上法人，母公司、全资子公司及其控股公司，以及其他形式有管理关系的比选响应人，都不得在同一比选项目中同时投标。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420" w:right="0" w:firstLine="0"/>
        <w:jc w:val="both"/>
        <w:textAlignment w:val="auto"/>
        <w:rPr>
          <w:rFonts w:hint="default"/>
          <w:lang w:val="en-US" w:eastAsia="zh-CN"/>
        </w:rPr>
      </w:pPr>
      <w:r>
        <w:rPr>
          <w:rFonts w:hint="eastAsia" w:ascii="方正仿宋_GBK" w:hAnsi="方正仿宋_GBK" w:eastAsia="方正仿宋_GBK" w:cs="方正仿宋_GBK"/>
          <w:kern w:val="2"/>
          <w:sz w:val="28"/>
          <w:szCs w:val="28"/>
          <w:lang w:val="en-US" w:eastAsia="zh-CN" w:bidi="ar-SA"/>
        </w:rPr>
        <w:t>1.1.6本次比选不允许联合体投标。</w:t>
      </w:r>
    </w:p>
    <w:p>
      <w:pPr>
        <w:keepNext w:val="0"/>
        <w:keepLines w:val="0"/>
        <w:pageBreakBefore w:val="0"/>
        <w:widowControl/>
        <w:kinsoku/>
        <w:wordWrap/>
        <w:overflowPunct/>
        <w:topLinePunct w:val="0"/>
        <w:autoSpaceDE/>
        <w:autoSpaceDN/>
        <w:bidi w:val="0"/>
        <w:spacing w:line="600" w:lineRule="exact"/>
        <w:jc w:val="left"/>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 xml:space="preserve">    1.2 项目要求及报价要求</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1.2.1 项目</w:t>
      </w:r>
      <w:r>
        <w:rPr>
          <w:rFonts w:hint="eastAsia" w:ascii="方正仿宋_GBK" w:hAnsi="方正仿宋_GBK" w:eastAsia="方正仿宋_GBK" w:cs="方正仿宋_GBK"/>
          <w:kern w:val="2"/>
          <w:sz w:val="28"/>
          <w:szCs w:val="28"/>
          <w:lang w:val="en-US" w:eastAsia="zh-CN" w:bidi="ar-SA"/>
        </w:rPr>
        <w:t>计划工期/交货期:</w:t>
      </w:r>
      <w:r>
        <w:rPr>
          <w:rFonts w:hint="eastAsia" w:ascii="方正仿宋_GBK" w:hAnsi="方正仿宋_GBK" w:eastAsia="方正仿宋_GBK" w:cs="方正仿宋_GBK"/>
          <w:color w:val="auto"/>
          <w:sz w:val="28"/>
          <w:szCs w:val="28"/>
          <w:highlight w:val="none"/>
          <w:lang w:eastAsia="zh-CN"/>
        </w:rPr>
        <w:t>合同签订后</w:t>
      </w:r>
      <w:r>
        <w:rPr>
          <w:rFonts w:hint="eastAsia" w:ascii="方正仿宋_GBK" w:hAnsi="方正仿宋_GBK" w:eastAsia="方正仿宋_GBK" w:cs="方正仿宋_GBK"/>
          <w:color w:val="auto"/>
          <w:sz w:val="28"/>
          <w:szCs w:val="28"/>
          <w:highlight w:val="none"/>
          <w:lang w:val="en-US" w:eastAsia="zh-CN"/>
        </w:rPr>
        <w:t>70天</w:t>
      </w:r>
      <w:r>
        <w:rPr>
          <w:rFonts w:hint="eastAsia" w:ascii="方正仿宋_GBK" w:hAnsi="方正仿宋_GBK" w:eastAsia="方正仿宋_GBK" w:cs="方正仿宋_GBK"/>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项目电工作业实施阶段，需拟派2名与项目资格要求一致的</w:t>
      </w:r>
      <w:r>
        <w:rPr>
          <w:rFonts w:hint="eastAsia" w:ascii="方正仿宋_GBK" w:hAnsi="方正仿宋_GBK" w:eastAsia="方正仿宋_GBK" w:cs="方正仿宋_GBK"/>
          <w:b w:val="0"/>
          <w:color w:val="000000" w:themeColor="text1"/>
          <w:sz w:val="28"/>
          <w:szCs w:val="28"/>
          <w:lang w:val="en-US" w:eastAsia="zh-CN"/>
          <w14:textFill>
            <w14:solidFill>
              <w14:schemeClr w14:val="tx1"/>
            </w14:solidFill>
          </w14:textFill>
        </w:rPr>
        <w:t>电工作业</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人员对项目实施操作和监督。</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 本项目的报价应包括：</w:t>
      </w:r>
      <w:r>
        <w:rPr>
          <w:rFonts w:hint="eastAsia" w:ascii="方正仿宋_GBK" w:hAnsi="方正仿宋_GBK" w:eastAsia="方正仿宋_GBK" w:cs="方正仿宋_GBK"/>
          <w:color w:val="auto"/>
          <w:sz w:val="28"/>
          <w:szCs w:val="28"/>
          <w:lang w:eastAsia="zh-CN"/>
        </w:rPr>
        <w:t>重庆江北国际机场T2航站楼</w:t>
      </w:r>
      <w:r>
        <w:rPr>
          <w:rFonts w:hint="eastAsia" w:ascii="方正仿宋_GBK" w:hAnsi="方正仿宋_GBK" w:eastAsia="方正仿宋_GBK" w:cs="方正仿宋_GBK"/>
          <w:color w:val="auto"/>
          <w:sz w:val="28"/>
          <w:szCs w:val="28"/>
          <w:lang w:val="en-US" w:eastAsia="zh-CN"/>
        </w:rPr>
        <w:t>B指廊共享办公区座椅、桌子、装饰景观墙等相关设施设备及景观装饰</w:t>
      </w:r>
      <w:r>
        <w:rPr>
          <w:rFonts w:hint="eastAsia" w:ascii="方正仿宋_GBK" w:hAnsi="方正仿宋_GBK" w:eastAsia="方正仿宋_GBK" w:cs="方正仿宋_GBK"/>
          <w:color w:val="auto"/>
          <w:sz w:val="28"/>
          <w:szCs w:val="28"/>
          <w:lang w:eastAsia="zh-CN"/>
        </w:rPr>
        <w:t>的采购、运输</w:t>
      </w:r>
      <w:r>
        <w:rPr>
          <w:rFonts w:hint="eastAsia" w:ascii="方正仿宋_GBK" w:hAnsi="方正仿宋_GBK" w:eastAsia="方正仿宋_GBK" w:cs="方正仿宋_GBK"/>
          <w:color w:val="auto"/>
          <w:sz w:val="28"/>
          <w:szCs w:val="28"/>
          <w:lang w:val="en-US" w:eastAsia="zh-CN"/>
        </w:rPr>
        <w:t>及保险</w:t>
      </w:r>
      <w:r>
        <w:rPr>
          <w:rFonts w:hint="eastAsia" w:ascii="方正仿宋_GBK" w:hAnsi="方正仿宋_GBK" w:eastAsia="方正仿宋_GBK" w:cs="方正仿宋_GBK"/>
          <w:color w:val="auto"/>
          <w:sz w:val="28"/>
          <w:szCs w:val="28"/>
          <w:lang w:eastAsia="zh-CN"/>
        </w:rPr>
        <w:t>、质保（</w:t>
      </w:r>
      <w:r>
        <w:rPr>
          <w:rFonts w:hint="eastAsia" w:ascii="方正仿宋_GBK" w:hAnsi="方正仿宋_GBK" w:eastAsia="方正仿宋_GBK" w:cs="方正仿宋_GBK"/>
          <w:color w:val="auto"/>
          <w:sz w:val="28"/>
          <w:szCs w:val="28"/>
          <w:lang w:val="en-US" w:eastAsia="zh-CN"/>
        </w:rPr>
        <w:t>维护、维修等</w:t>
      </w:r>
      <w:r>
        <w:rPr>
          <w:rFonts w:hint="eastAsia" w:ascii="方正仿宋_GBK" w:hAnsi="方正仿宋_GBK" w:eastAsia="方正仿宋_GBK" w:cs="方正仿宋_GBK"/>
          <w:color w:val="auto"/>
          <w:sz w:val="28"/>
          <w:szCs w:val="28"/>
          <w:lang w:eastAsia="zh-CN"/>
        </w:rPr>
        <w:t>）、安装等相关服务全过程工作及线路改造、人员证件办理等所涉及的全部费用，本项目为包干价，不再另行增加费用。</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本项目最高限价（不含增值税）为人民币</w:t>
      </w:r>
      <w:r>
        <w:rPr>
          <w:rFonts w:hint="eastAsia" w:ascii="方正仿宋_GBK" w:hAnsi="方正仿宋_GBK" w:eastAsia="方正仿宋_GBK" w:cs="方正仿宋_GBK"/>
          <w:sz w:val="28"/>
          <w:szCs w:val="28"/>
          <w:lang w:val="en-US" w:eastAsia="zh-CN"/>
        </w:rPr>
        <w:t>8.10</w:t>
      </w:r>
      <w:r>
        <w:rPr>
          <w:rFonts w:hint="eastAsia" w:ascii="方正仿宋_GBK" w:hAnsi="方正仿宋_GBK" w:eastAsia="方正仿宋_GBK" w:cs="方正仿宋_GBK"/>
          <w:sz w:val="28"/>
          <w:szCs w:val="28"/>
        </w:rPr>
        <w:t>万元（大写金额：</w:t>
      </w:r>
      <w:r>
        <w:rPr>
          <w:rFonts w:hint="eastAsia" w:ascii="方正仿宋_GBK" w:hAnsi="方正仿宋_GBK" w:eastAsia="方正仿宋_GBK" w:cs="方正仿宋_GBK"/>
          <w:sz w:val="28"/>
          <w:szCs w:val="28"/>
          <w:lang w:eastAsia="zh-CN"/>
        </w:rPr>
        <w:t>捌万壹仟元</w:t>
      </w:r>
      <w:r>
        <w:rPr>
          <w:rFonts w:hint="eastAsia" w:ascii="方正仿宋_GBK" w:hAnsi="方正仿宋_GBK" w:eastAsia="方正仿宋_GBK" w:cs="方正仿宋_GBK"/>
          <w:sz w:val="28"/>
          <w:szCs w:val="28"/>
        </w:rPr>
        <w:t>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color w:val="auto"/>
          <w:sz w:val="28"/>
          <w:szCs w:val="28"/>
          <w:u w:val="none"/>
          <w:lang w:eastAsia="zh-CN"/>
        </w:rPr>
        <w:t>采购、运输、质保（</w:t>
      </w:r>
      <w:r>
        <w:rPr>
          <w:rFonts w:hint="eastAsia" w:ascii="方正仿宋_GBK" w:hAnsi="方正仿宋_GBK" w:eastAsia="方正仿宋_GBK" w:cs="方正仿宋_GBK"/>
          <w:color w:val="auto"/>
          <w:sz w:val="28"/>
          <w:szCs w:val="28"/>
          <w:u w:val="none"/>
          <w:lang w:val="en-US" w:eastAsia="zh-CN"/>
        </w:rPr>
        <w:t>维护、维修等</w:t>
      </w:r>
      <w:r>
        <w:rPr>
          <w:rFonts w:hint="eastAsia" w:ascii="方正仿宋_GBK" w:hAnsi="方正仿宋_GBK" w:eastAsia="方正仿宋_GBK" w:cs="方正仿宋_GBK"/>
          <w:color w:val="auto"/>
          <w:sz w:val="28"/>
          <w:szCs w:val="28"/>
          <w:u w:val="none"/>
          <w:lang w:eastAsia="zh-CN"/>
        </w:rPr>
        <w:t>）、安装、电路改造等</w:t>
      </w:r>
      <w:r>
        <w:rPr>
          <w:rFonts w:hint="eastAsia" w:ascii="方正仿宋_GBK" w:hAnsi="方正仿宋_GBK" w:eastAsia="方正仿宋_GBK" w:cs="方正仿宋_GBK"/>
          <w:color w:val="auto"/>
          <w:sz w:val="28"/>
          <w:szCs w:val="28"/>
          <w:u w:val="none"/>
        </w:rPr>
        <w:t>能力</w:t>
      </w:r>
      <w:r>
        <w:rPr>
          <w:rFonts w:hint="eastAsia" w:ascii="方正仿宋_GBK" w:hAnsi="方正仿宋_GBK" w:eastAsia="方正仿宋_GBK" w:cs="方正仿宋_GBK"/>
          <w:sz w:val="28"/>
          <w:szCs w:val="28"/>
        </w:rPr>
        <w:t>，包括供应能力、售后服务能力和安装能力的生产厂家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经营商</w:t>
      </w:r>
      <w:r>
        <w:rPr>
          <w:rFonts w:hint="eastAsia" w:ascii="方正仿宋_GBK" w:hAnsi="方正仿宋_GBK" w:eastAsia="方正仿宋_GBK" w:cs="方正仿宋_GBK"/>
          <w:sz w:val="28"/>
          <w:szCs w:val="28"/>
          <w:lang w:eastAsia="zh-CN"/>
        </w:rPr>
        <w:t>或制作单位</w:t>
      </w:r>
      <w:r>
        <w:rPr>
          <w:rFonts w:hint="eastAsia" w:ascii="方正仿宋_GBK" w:hAnsi="方正仿宋_GBK" w:eastAsia="方正仿宋_GBK" w:cs="方正仿宋_GBK"/>
          <w:sz w:val="28"/>
          <w:szCs w:val="28"/>
        </w:rPr>
        <w:t>。比选响应单位必须具备：</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auto"/>
          <w:sz w:val="28"/>
          <w:szCs w:val="28"/>
        </w:rPr>
        <w:t>在中华人民共和国依法注册、具有独立法人资格，营业范围包括：</w:t>
      </w:r>
      <w:r>
        <w:rPr>
          <w:rFonts w:hint="eastAsia" w:ascii="方正仿宋_GBK" w:hAnsi="方正仿宋_GBK" w:eastAsia="方正仿宋_GBK" w:cs="方正仿宋_GBK"/>
          <w:color w:val="auto"/>
          <w:sz w:val="28"/>
          <w:szCs w:val="28"/>
          <w:lang w:eastAsia="zh-CN"/>
        </w:rPr>
        <w:t>生产或销售：家具、百货；维修家具</w:t>
      </w:r>
      <w:r>
        <w:rPr>
          <w:rFonts w:hint="eastAsia" w:ascii="方正仿宋_GBK" w:hAnsi="方正仿宋_GBK" w:eastAsia="方正仿宋_GBK" w:cs="方正仿宋_GBK"/>
          <w:color w:val="auto"/>
          <w:sz w:val="28"/>
          <w:szCs w:val="28"/>
          <w:lang w:val="en-US" w:eastAsia="zh-CN"/>
        </w:rPr>
        <w:t>;室内外装饰制作。</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以上</w:t>
      </w:r>
      <w:r>
        <w:rPr>
          <w:rFonts w:hint="eastAsia" w:ascii="方正仿宋_GBK" w:hAnsi="方正仿宋_GBK" w:eastAsia="方正仿宋_GBK" w:cs="方正仿宋_GBK"/>
          <w:color w:val="auto"/>
          <w:sz w:val="28"/>
          <w:szCs w:val="28"/>
        </w:rPr>
        <w:t>具有其中一种即可</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具有有效营业执照（注明须提供营业执照复印件加盖鲜章）</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hint="eastAsia"/>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keepNext w:val="0"/>
        <w:keepLines w:val="0"/>
        <w:pageBreakBefore w:val="0"/>
        <w:kinsoku/>
        <w:wordWrap/>
        <w:overflowPunct/>
        <w:topLinePunct w:val="0"/>
        <w:autoSpaceDE/>
        <w:autoSpaceDN/>
        <w:bidi w:val="0"/>
        <w:spacing w:line="600" w:lineRule="exact"/>
        <w:ind w:firstLine="560" w:firstLineChars="200"/>
        <w:textAlignment w:val="auto"/>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keepNext w:val="0"/>
        <w:keepLines w:val="0"/>
        <w:pageBreakBefore w:val="0"/>
        <w:kinsoku/>
        <w:wordWrap/>
        <w:overflowPunct/>
        <w:topLinePunct w:val="0"/>
        <w:autoSpaceDE/>
        <w:autoSpaceDN/>
        <w:bidi w:val="0"/>
        <w:spacing w:line="600" w:lineRule="exact"/>
        <w:ind w:firstLine="560" w:firstLineChars="200"/>
        <w:textAlignment w:val="auto"/>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sz w:val="28"/>
          <w:szCs w:val="28"/>
        </w:rPr>
        <w:t>成交。</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keepNext w:val="0"/>
        <w:keepLines w:val="0"/>
        <w:pageBreakBefore w:val="0"/>
        <w:widowControl/>
        <w:kinsoku/>
        <w:wordWrap/>
        <w:overflowPunct/>
        <w:topLinePunct w:val="0"/>
        <w:autoSpaceDE/>
        <w:autoSpaceDN/>
        <w:bidi w:val="0"/>
        <w:spacing w:line="60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autoSpaceDE/>
        <w:autoSpaceDN/>
        <w:bidi w:val="0"/>
        <w:spacing w:line="600" w:lineRule="exact"/>
        <w:ind w:firstLine="560" w:firstLineChars="200"/>
        <w:textAlignment w:val="auto"/>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w:t>
      </w:r>
      <w:r>
        <w:rPr>
          <w:rFonts w:hint="eastAsia" w:ascii="方正仿宋_GBK" w:hAnsi="方正仿宋_GBK" w:eastAsia="方正仿宋_GBK" w:cs="方正仿宋_GBK"/>
          <w:bCs/>
          <w:color w:val="auto"/>
          <w:sz w:val="28"/>
          <w:szCs w:val="28"/>
          <w:u w:val="single"/>
          <w:lang w:eastAsia="zh-CN"/>
        </w:rPr>
        <w:t>有效最低价的</w:t>
      </w:r>
      <w:r>
        <w:rPr>
          <w:rFonts w:hint="eastAsia" w:ascii="方正仿宋_GBK" w:hAnsi="方正仿宋_GBK" w:eastAsia="方正仿宋_GBK" w:cs="方正仿宋_GBK"/>
          <w:bCs/>
          <w:sz w:val="28"/>
          <w:szCs w:val="28"/>
        </w:rPr>
        <w:t>原则确定成交候选人。</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keepNext w:val="0"/>
        <w:keepLines w:val="0"/>
        <w:pageBreakBefore w:val="0"/>
        <w:widowControl w:val="0"/>
        <w:kinsoku/>
        <w:wordWrap/>
        <w:overflowPunct/>
        <w:topLinePunct w:val="0"/>
        <w:autoSpaceDE/>
        <w:autoSpaceDN/>
        <w:bidi w:val="0"/>
        <w:snapToGrid w:val="0"/>
        <w:spacing w:line="6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8</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10</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2"/>
        <w:keepNext w:val="0"/>
        <w:keepLines w:val="0"/>
        <w:pageBreakBefore w:val="0"/>
        <w:kinsoku/>
        <w:wordWrap/>
        <w:overflowPunct/>
        <w:topLinePunct w:val="0"/>
        <w:autoSpaceDE/>
        <w:autoSpaceDN/>
        <w:bidi w:val="0"/>
        <w:spacing w:line="600" w:lineRule="exact"/>
        <w:ind w:firstLine="560" w:firstLineChars="200"/>
        <w:jc w:val="both"/>
        <w:textAlignment w:val="auto"/>
        <w:rPr>
          <w:rFonts w:hint="eastAsia"/>
          <w:color w:val="auto"/>
          <w:lang w:val="en-US" w:eastAsia="zh-CN"/>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b/>
          <w:color w:val="auto"/>
          <w:kern w:val="0"/>
          <w:sz w:val="28"/>
          <w:szCs w:val="28"/>
          <w:lang w:val="en-US" w:eastAsia="zh-CN" w:bidi="ar-SA"/>
        </w:rPr>
        <w:t>提出问题的截止时间及比选采购人澄清时间</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w:t>
      </w:r>
      <w:r>
        <w:rPr>
          <w:rFonts w:hint="eastAsia" w:ascii="方正仿宋_GBK" w:hAnsi="方正仿宋_GBK" w:eastAsia="方正仿宋_GBK" w:cs="方正仿宋_GBK"/>
          <w:color w:val="auto"/>
          <w:kern w:val="0"/>
          <w:sz w:val="28"/>
          <w:szCs w:val="28"/>
          <w:lang w:val="en-US" w:eastAsia="zh-CN"/>
        </w:rPr>
        <w:t>内容在</w:t>
      </w:r>
      <w:r>
        <w:rPr>
          <w:rFonts w:hint="eastAsia" w:ascii="方正仿宋_GBK" w:hAnsi="方正仿宋_GBK" w:eastAsia="方正仿宋_GBK" w:cs="方正仿宋_GBK"/>
          <w:color w:val="auto"/>
          <w:kern w:val="0"/>
          <w:sz w:val="28"/>
          <w:szCs w:val="28"/>
          <w:u w:val="single"/>
          <w:lang w:val="en-US" w:eastAsia="zh-CN"/>
        </w:rPr>
        <w:t>2021年8月13日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17：00前在重庆江北国际机场官网（www.cqa.cn）以公告形式发布，各比选响应人</w:t>
      </w:r>
      <w:r>
        <w:rPr>
          <w:rFonts w:hint="eastAsia" w:ascii="方正仿宋_GBK" w:hAnsi="方正仿宋_GBK" w:eastAsia="方正仿宋_GBK" w:cs="方正仿宋_GBK"/>
          <w:kern w:val="0"/>
          <w:sz w:val="28"/>
          <w:szCs w:val="28"/>
          <w:lang w:val="en-US" w:eastAsia="zh-CN"/>
        </w:rPr>
        <w:t>应当随时关注重庆江北国际机场官网（www.cqa.cn）所发布的相关澄清、补遗资料，各比选响应人不管下载与否都将被视为已知晓。由此产生的一切后果由比选响应人自负。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600" w:lineRule="exact"/>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w:t>
      </w:r>
      <w:r>
        <w:rPr>
          <w:rFonts w:hint="eastAsia" w:ascii="方正仿宋_GBK" w:hAnsi="方正仿宋_GBK" w:eastAsia="方正仿宋_GBK" w:cs="方正仿宋_GBK"/>
          <w:color w:val="auto"/>
          <w:kern w:val="0"/>
          <w:sz w:val="28"/>
          <w:szCs w:val="28"/>
        </w:rPr>
        <w:t>人民币</w:t>
      </w:r>
      <w:r>
        <w:rPr>
          <w:rFonts w:hint="eastAsia" w:ascii="方正仿宋_GBK" w:hAnsi="方正仿宋_GBK" w:eastAsia="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u w:val="single"/>
          <w:lang w:val="en-US" w:eastAsia="zh-CN"/>
        </w:rPr>
        <w:t>1500元整</w:t>
      </w:r>
      <w:r>
        <w:rPr>
          <w:rFonts w:hint="eastAsia" w:ascii="方正仿宋_GBK" w:hAnsi="方正仿宋_GBK" w:eastAsia="方正仿宋_GBK" w:cs="方正仿宋_GBK"/>
          <w:color w:val="auto"/>
          <w:kern w:val="0"/>
          <w:sz w:val="28"/>
          <w:szCs w:val="28"/>
          <w:u w:val="single"/>
          <w:lang w:val="en-US" w:eastAsia="zh-CN"/>
        </w:rPr>
        <w:t>(大写：人民币壹仟伍佰元整）</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（重庆市渝北区机场西路26号，导航：重庆江北国际机场有限公司）</w:t>
      </w:r>
      <w:r>
        <w:rPr>
          <w:rFonts w:hint="eastAsia" w:ascii="方正仿宋_GBK" w:hAnsi="方正仿宋_GBK" w:eastAsia="方正仿宋_GBK" w:cs="方正仿宋_GBK"/>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keepNext w:val="0"/>
        <w:keepLines w:val="0"/>
        <w:pageBreakBefore w:val="0"/>
        <w:kinsoku/>
        <w:wordWrap/>
        <w:overflowPunct/>
        <w:topLinePunct w:val="0"/>
        <w:bidi w:val="0"/>
        <w:adjustRightInd w:val="0"/>
        <w:snapToGrid w:val="0"/>
        <w:spacing w:line="60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sz w:val="28"/>
        </w:rPr>
        <w:t>成交的</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rPr>
        <w:t>交纳的比选响应保证金将转为</w:t>
      </w:r>
      <w:r>
        <w:rPr>
          <w:rFonts w:hint="eastAsia" w:ascii="方正仿宋_GBK" w:hAnsi="方正仿宋_GBK" w:eastAsia="方正仿宋_GBK" w:cs="方正仿宋_GBK"/>
          <w:sz w:val="28"/>
          <w:szCs w:val="28"/>
        </w:rPr>
        <w:t>履约保证金。</w:t>
      </w:r>
    </w:p>
    <w:p>
      <w:pPr>
        <w:keepNext w:val="0"/>
        <w:keepLines w:val="0"/>
        <w:pageBreakBefore w:val="0"/>
        <w:kinsoku/>
        <w:wordWrap/>
        <w:overflowPunct/>
        <w:topLinePunct w:val="0"/>
        <w:bidi w:val="0"/>
        <w:adjustRightInd w:val="0"/>
        <w:snapToGrid w:val="0"/>
        <w:spacing w:line="600" w:lineRule="exact"/>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color w:val="auto"/>
          <w:sz w:val="28"/>
          <w:szCs w:val="28"/>
        </w:rPr>
        <w:t>.2 履约保证金为合同总价款的</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在收到成交通知书</w:t>
      </w:r>
      <w:r>
        <w:rPr>
          <w:rFonts w:hint="eastAsia" w:ascii="方正仿宋_GBK" w:hAnsi="方正仿宋_GBK" w:eastAsia="方正仿宋_GBK" w:cs="方正仿宋_GBK"/>
          <w:color w:val="auto"/>
          <w:sz w:val="28"/>
          <w:szCs w:val="28"/>
          <w:highlight w:val="none"/>
          <w:lang w:val="en-US" w:eastAsia="zh-CN"/>
        </w:rPr>
        <w:t>3工作</w:t>
      </w:r>
      <w:r>
        <w:rPr>
          <w:rFonts w:hint="eastAsia" w:ascii="方正仿宋_GBK" w:hAnsi="方正仿宋_GBK" w:eastAsia="方正仿宋_GBK" w:cs="方正仿宋_GBK"/>
          <w:color w:val="auto"/>
          <w:sz w:val="28"/>
          <w:szCs w:val="28"/>
          <w:highlight w:val="none"/>
        </w:rPr>
        <w:t>日内缴纳，</w:t>
      </w:r>
      <w:r>
        <w:rPr>
          <w:rFonts w:hint="eastAsia" w:ascii="方正仿宋_GBK" w:hAnsi="方正仿宋_GBK" w:eastAsia="方正仿宋_GBK" w:cs="方正仿宋_GBK"/>
          <w:color w:val="auto"/>
          <w:sz w:val="28"/>
          <w:szCs w:val="28"/>
          <w:highlight w:val="none"/>
          <w:lang w:eastAsia="zh-CN"/>
        </w:rPr>
        <w:t>完成验收后，</w:t>
      </w:r>
      <w:r>
        <w:rPr>
          <w:rFonts w:hint="eastAsia" w:ascii="方正仿宋_GBK" w:hAnsi="方正仿宋_GBK" w:eastAsia="方正仿宋_GBK" w:cs="方正仿宋_GBK"/>
          <w:color w:val="auto"/>
          <w:sz w:val="28"/>
          <w:szCs w:val="28"/>
          <w:highlight w:val="none"/>
          <w:lang w:val="en-US" w:eastAsia="zh-CN"/>
        </w:rPr>
        <w:t>15</w:t>
      </w:r>
      <w:r>
        <w:rPr>
          <w:rFonts w:hint="eastAsia" w:ascii="方正仿宋_GBK" w:hAnsi="方正仿宋_GBK" w:eastAsia="方正仿宋_GBK" w:cs="方正仿宋_GBK"/>
          <w:color w:val="auto"/>
          <w:sz w:val="28"/>
          <w:szCs w:val="28"/>
          <w:highlight w:val="none"/>
        </w:rPr>
        <w:t>个工作日内无息退</w:t>
      </w:r>
      <w:r>
        <w:rPr>
          <w:rFonts w:hint="eastAsia" w:ascii="方正仿宋_GBK" w:hAnsi="方正仿宋_GBK" w:eastAsia="方正仿宋_GBK" w:cs="方正仿宋_GBK"/>
          <w:color w:val="auto"/>
          <w:sz w:val="28"/>
          <w:szCs w:val="28"/>
        </w:rPr>
        <w:t>还。</w:t>
      </w:r>
    </w:p>
    <w:p>
      <w:pPr>
        <w:keepNext w:val="0"/>
        <w:keepLines w:val="0"/>
        <w:pageBreakBefore w:val="0"/>
        <w:kinsoku/>
        <w:wordWrap/>
        <w:overflowPunct/>
        <w:topLinePunct w:val="0"/>
        <w:bidi w:val="0"/>
        <w:adjustRightInd w:val="0"/>
        <w:snapToGrid w:val="0"/>
        <w:spacing w:line="60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keepNext w:val="0"/>
        <w:keepLines w:val="0"/>
        <w:pageBreakBefore w:val="0"/>
        <w:kinsoku/>
        <w:wordWrap/>
        <w:overflowPunct/>
        <w:topLinePunct w:val="0"/>
        <w:bidi w:val="0"/>
        <w:spacing w:line="600" w:lineRule="exact"/>
        <w:ind w:firstLine="560" w:firstLineChars="200"/>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u w:val="single"/>
          <w:lang w:eastAsia="zh-CN"/>
        </w:rPr>
        <w:t>项目完成后验收合格后</w:t>
      </w:r>
      <w:r>
        <w:rPr>
          <w:rFonts w:hint="eastAsia" w:ascii="方正仿宋_GBK" w:hAnsi="方正仿宋_GBK" w:eastAsia="方正仿宋_GBK" w:cs="方正仿宋_GBK"/>
          <w:color w:val="auto"/>
          <w:sz w:val="28"/>
          <w:szCs w:val="28"/>
          <w:u w:val="single"/>
          <w:lang w:val="en-US" w:eastAsia="zh-CN"/>
        </w:rPr>
        <w:t>50个工作日内支付95%项目款。质保期结束后无质量问题后支付剩下5%的项目款。</w:t>
      </w:r>
    </w:p>
    <w:p>
      <w:pPr>
        <w:keepNext w:val="0"/>
        <w:keepLines w:val="0"/>
        <w:pageBreakBefore w:val="0"/>
        <w:kinsoku/>
        <w:wordWrap/>
        <w:overflowPunct/>
        <w:topLinePunct w:val="0"/>
        <w:bidi w:val="0"/>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keepNext w:val="0"/>
        <w:keepLines w:val="0"/>
        <w:pageBreakBefore w:val="0"/>
        <w:kinsoku/>
        <w:wordWrap/>
        <w:overflowPunct/>
        <w:topLinePunct w:val="0"/>
        <w:bidi w:val="0"/>
        <w:spacing w:line="600" w:lineRule="exact"/>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八</w:t>
      </w:r>
      <w:r>
        <w:rPr>
          <w:rFonts w:hint="eastAsia" w:ascii="方正仿宋_GBK" w:hAnsi="方正仿宋_GBK" w:eastAsia="方正仿宋_GBK" w:cs="方正仿宋_GBK"/>
          <w:b/>
          <w:color w:val="auto"/>
          <w:sz w:val="28"/>
          <w:szCs w:val="28"/>
        </w:rPr>
        <w:t>、工期/到货时间</w:t>
      </w:r>
    </w:p>
    <w:p>
      <w:pPr>
        <w:keepNext w:val="0"/>
        <w:keepLines w:val="0"/>
        <w:pageBreakBefore w:val="0"/>
        <w:kinsoku/>
        <w:wordWrap/>
        <w:overflowPunct/>
        <w:topLinePunct w:val="0"/>
        <w:bidi w:val="0"/>
        <w:spacing w:before="120" w:line="600" w:lineRule="exact"/>
        <w:ind w:firstLine="44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lang w:val="en-US" w:eastAsia="zh-CN"/>
        </w:rPr>
        <w:t>20日内按甲方要求提供样品，50</w:t>
      </w:r>
      <w:r>
        <w:rPr>
          <w:rFonts w:hint="eastAsia" w:ascii="方正仿宋_GBK" w:hAnsi="方正仿宋_GBK" w:eastAsia="方正仿宋_GBK" w:cs="方正仿宋_GBK"/>
          <w:color w:val="auto"/>
          <w:sz w:val="28"/>
          <w:szCs w:val="28"/>
          <w:u w:val="single"/>
          <w:lang w:val="en-US" w:eastAsia="zh-CN"/>
        </w:rPr>
        <w:t>日内</w:t>
      </w:r>
      <w:r>
        <w:rPr>
          <w:rFonts w:hint="eastAsia" w:ascii="方正仿宋_GBK" w:hAnsi="方正仿宋_GBK" w:eastAsia="方正仿宋_GBK" w:cs="方正仿宋_GBK"/>
          <w:color w:val="auto"/>
          <w:sz w:val="28"/>
          <w:szCs w:val="28"/>
          <w:lang w:val="en-US" w:eastAsia="zh-CN"/>
        </w:rPr>
        <w:t>所有采购物品要到货，70</w:t>
      </w:r>
      <w:r>
        <w:rPr>
          <w:rFonts w:hint="eastAsia" w:ascii="方正仿宋_GBK" w:hAnsi="方正仿宋_GBK" w:eastAsia="方正仿宋_GBK" w:cs="方正仿宋_GBK"/>
          <w:color w:val="auto"/>
          <w:sz w:val="28"/>
          <w:szCs w:val="28"/>
          <w:u w:val="single"/>
          <w:lang w:val="en-US" w:eastAsia="zh-CN"/>
        </w:rPr>
        <w:t>日内</w:t>
      </w:r>
      <w:r>
        <w:rPr>
          <w:rFonts w:hint="eastAsia" w:ascii="方正仿宋_GBK" w:hAnsi="方正仿宋_GBK" w:eastAsia="方正仿宋_GBK" w:cs="方正仿宋_GBK"/>
          <w:color w:val="auto"/>
          <w:sz w:val="28"/>
          <w:szCs w:val="28"/>
          <w:lang w:val="en-US" w:eastAsia="zh-CN"/>
        </w:rPr>
        <w:t>要完成安装及验收</w:t>
      </w:r>
      <w:r>
        <w:rPr>
          <w:rFonts w:hint="eastAsia" w:ascii="方正仿宋_GBK" w:hAnsi="方正仿宋_GBK" w:eastAsia="方正仿宋_GBK" w:cs="方正仿宋_GBK"/>
          <w:color w:val="auto"/>
          <w:sz w:val="28"/>
          <w:szCs w:val="28"/>
        </w:rPr>
        <w:t>。</w:t>
      </w:r>
    </w:p>
    <w:p>
      <w:pPr>
        <w:keepNext w:val="0"/>
        <w:keepLines w:val="0"/>
        <w:pageBreakBefore w:val="0"/>
        <w:numPr>
          <w:ilvl w:val="0"/>
          <w:numId w:val="1"/>
        </w:numPr>
        <w:kinsoku/>
        <w:wordWrap/>
        <w:overflowPunct/>
        <w:topLinePunct w:val="0"/>
        <w:bidi w:val="0"/>
        <w:spacing w:line="600" w:lineRule="exact"/>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质保期或服务期</w:t>
      </w:r>
    </w:p>
    <w:p>
      <w:pPr>
        <w:keepNext w:val="0"/>
        <w:keepLines w:val="0"/>
        <w:pageBreakBefore w:val="0"/>
        <w:numPr>
          <w:ilvl w:val="0"/>
          <w:numId w:val="0"/>
        </w:numPr>
        <w:kinsoku/>
        <w:wordWrap/>
        <w:overflowPunct/>
        <w:topLinePunct w:val="0"/>
        <w:bidi w:val="0"/>
        <w:spacing w:line="600" w:lineRule="exact"/>
        <w:ind w:firstLine="560" w:firstLineChars="200"/>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val="en-US" w:eastAsia="zh-CN"/>
        </w:rPr>
        <w:t>3年。</w:t>
      </w:r>
    </w:p>
    <w:p>
      <w:pPr>
        <w:keepNext w:val="0"/>
        <w:keepLines w:val="0"/>
        <w:pageBreakBefore w:val="0"/>
        <w:widowControl/>
        <w:kinsoku/>
        <w:wordWrap/>
        <w:overflowPunct/>
        <w:topLinePunct w:val="0"/>
        <w:bidi w:val="0"/>
        <w:adjustRightInd w:val="0"/>
        <w:snapToGrid w:val="0"/>
        <w:spacing w:line="600" w:lineRule="exact"/>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、比选响应有效期</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p>
    <w:p>
      <w:pPr>
        <w:keepNext w:val="0"/>
        <w:keepLines w:val="0"/>
        <w:pageBreakBefore w:val="0"/>
        <w:widowControl/>
        <w:kinsoku/>
        <w:wordWrap/>
        <w:overflowPunct/>
        <w:topLinePunct w:val="0"/>
        <w:bidi w:val="0"/>
        <w:adjustRightInd w:val="0"/>
        <w:snapToGrid w:val="0"/>
        <w:spacing w:line="600" w:lineRule="exact"/>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报价部分。比选响应人应按照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采购文件要求（响应文件格式五</w:t>
      </w:r>
      <w:r>
        <w:rPr>
          <w:rFonts w:hint="eastAsia" w:ascii="方正仿宋_GBK" w:hAnsi="方正仿宋_GBK" w:eastAsia="方正仿宋_GBK" w:cs="方正仿宋_GBK"/>
          <w:color w:val="auto"/>
          <w:sz w:val="28"/>
          <w:szCs w:val="28"/>
        </w:rPr>
        <w:t>：项目采购需求表/明细表</w:t>
      </w:r>
      <w:r>
        <w:rPr>
          <w:rFonts w:hint="eastAsia" w:ascii="方正仿宋_GBK" w:hAnsi="方正仿宋_GBK" w:eastAsia="方正仿宋_GBK" w:cs="方正仿宋_GBK"/>
          <w:color w:val="auto"/>
          <w:sz w:val="28"/>
          <w:szCs w:val="28"/>
          <w:lang w:val="zh-CN"/>
        </w:rPr>
        <w:t>报出拟提供</w:t>
      </w:r>
      <w:r>
        <w:rPr>
          <w:rFonts w:hint="eastAsia" w:ascii="方正仿宋_GBK" w:hAnsi="方正仿宋_GBK" w:eastAsia="方正仿宋_GBK" w:cs="方正仿宋_GBK"/>
          <w:color w:val="auto"/>
          <w:sz w:val="28"/>
          <w:szCs w:val="28"/>
          <w:u w:val="none"/>
          <w:lang w:val="zh-CN"/>
        </w:rPr>
        <w:t>：供货物的品牌、规格、产地、样式（图片）、单价、总价等详细内容，各项报价应包括拟提供：货物的采购、安装调试、保险、相关税金和服务等全部费用，报价为不含税报价，增值</w:t>
      </w:r>
      <w:r>
        <w:rPr>
          <w:rFonts w:hint="eastAsia" w:ascii="方正仿宋_GBK" w:hAnsi="方正仿宋_GBK" w:eastAsia="方正仿宋_GBK" w:cs="方正仿宋_GBK"/>
          <w:color w:val="auto"/>
          <w:sz w:val="28"/>
          <w:szCs w:val="28"/>
          <w:lang w:val="zh-CN"/>
        </w:rPr>
        <w:t>税税率单列。</w:t>
      </w:r>
    </w:p>
    <w:p>
      <w:pPr>
        <w:keepNext w:val="0"/>
        <w:keepLines w:val="0"/>
        <w:pageBreakBefore w:val="0"/>
        <w:kinsoku/>
        <w:wordWrap/>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val="0"/>
          <w:bCs w:val="0"/>
          <w:kern w:val="2"/>
          <w:sz w:val="28"/>
          <w:szCs w:val="28"/>
          <w:lang w:val="en-US" w:eastAsia="zh-CN" w:bidi="ar-SA"/>
        </w:rPr>
        <w:t>11.2.4 技术部分。</w:t>
      </w:r>
      <w:r>
        <w:rPr>
          <w:rFonts w:hint="eastAsia" w:ascii="方正仿宋_GBK" w:hAnsi="方正仿宋_GBK" w:eastAsia="方正仿宋_GBK" w:cs="方正仿宋_GBK"/>
          <w:sz w:val="28"/>
          <w:szCs w:val="28"/>
          <w:lang w:val="zh-CN"/>
        </w:rPr>
        <w:t>报价人必须依据</w:t>
      </w:r>
      <w:r>
        <w:rPr>
          <w:rFonts w:hint="eastAsia" w:ascii="方正仿宋_GBK" w:hAnsi="方正仿宋_GBK" w:eastAsia="方正仿宋_GBK" w:cs="方正仿宋_GBK"/>
          <w:sz w:val="28"/>
          <w:szCs w:val="28"/>
          <w:lang w:val="zh-CN" w:eastAsia="zh-CN"/>
        </w:rPr>
        <w:t>以下技术要求</w:t>
      </w:r>
      <w:r>
        <w:rPr>
          <w:rFonts w:hint="eastAsia" w:ascii="方正仿宋_GBK" w:hAnsi="方正仿宋_GBK" w:eastAsia="方正仿宋_GBK" w:cs="方正仿宋_GBK"/>
          <w:sz w:val="28"/>
          <w:szCs w:val="28"/>
          <w:lang w:val="zh-CN"/>
        </w:rPr>
        <w:t>和规范进行采购、运输及质保。如果提供的材料和服务与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w:t>
      </w:r>
      <w:r>
        <w:rPr>
          <w:rFonts w:hint="eastAsia" w:ascii="方正仿宋_GBK" w:hAnsi="方正仿宋_GBK" w:eastAsia="方正仿宋_GBK" w:cs="方正仿宋_GBK"/>
          <w:sz w:val="28"/>
          <w:szCs w:val="28"/>
          <w:lang w:eastAsia="zh-CN"/>
        </w:rPr>
        <w:t>技术要求见下表：</w:t>
      </w:r>
    </w:p>
    <w:p>
      <w:pPr>
        <w:pStyle w:val="15"/>
        <w:keepNext w:val="0"/>
        <w:keepLines w:val="0"/>
        <w:pageBreakBefore w:val="0"/>
        <w:kinsoku/>
        <w:wordWrap/>
        <w:overflowPunct/>
        <w:topLinePunct w:val="0"/>
        <w:bidi w:val="0"/>
        <w:spacing w:line="600" w:lineRule="exact"/>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11.2.4.1 B指廊共享办公区设计效果图及需求明细表</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inline distT="0" distB="0" distL="114300" distR="114300">
            <wp:extent cx="6513830" cy="3033395"/>
            <wp:effectExtent l="0" t="0" r="1270" b="14605"/>
            <wp:docPr id="30" name="图片 30" descr="方案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方案二"/>
                    <pic:cNvPicPr>
                      <a:picLocks noChangeAspect="1"/>
                    </pic:cNvPicPr>
                  </pic:nvPicPr>
                  <pic:blipFill>
                    <a:blip r:embed="rId10"/>
                    <a:stretch>
                      <a:fillRect/>
                    </a:stretch>
                  </pic:blipFill>
                  <pic:spPr>
                    <a:xfrm>
                      <a:off x="0" y="0"/>
                      <a:ext cx="6513830" cy="3033395"/>
                    </a:xfrm>
                    <a:prstGeom prst="rect">
                      <a:avLst/>
                    </a:prstGeom>
                    <a:noFill/>
                    <a:ln>
                      <a:noFill/>
                    </a:ln>
                  </pic:spPr>
                </pic:pic>
              </a:graphicData>
            </a:graphic>
          </wp:inline>
        </w:drawing>
      </w:r>
    </w:p>
    <w:tbl>
      <w:tblPr>
        <w:tblStyle w:val="17"/>
        <w:tblpPr w:leftFromText="180" w:rightFromText="180" w:vertAnchor="text" w:horzAnchor="page" w:tblpX="1165" w:tblpY="1035"/>
        <w:tblW w:w="5545" w:type="pct"/>
        <w:tblInd w:w="0" w:type="dxa"/>
        <w:tblLayout w:type="fixed"/>
        <w:tblCellMar>
          <w:top w:w="0" w:type="dxa"/>
          <w:left w:w="0" w:type="dxa"/>
          <w:bottom w:w="0" w:type="dxa"/>
          <w:right w:w="0" w:type="dxa"/>
        </w:tblCellMar>
      </w:tblPr>
      <w:tblGrid>
        <w:gridCol w:w="729"/>
        <w:gridCol w:w="1157"/>
        <w:gridCol w:w="1843"/>
        <w:gridCol w:w="803"/>
        <w:gridCol w:w="3113"/>
        <w:gridCol w:w="2769"/>
      </w:tblGrid>
      <w:tr>
        <w:tblPrEx>
          <w:tblCellMar>
            <w:top w:w="0" w:type="dxa"/>
            <w:left w:w="0" w:type="dxa"/>
            <w:bottom w:w="0" w:type="dxa"/>
            <w:right w:w="0" w:type="dxa"/>
          </w:tblCellMar>
        </w:tblPrEx>
        <w:trPr>
          <w:trHeight w:val="270" w:hRule="atLeast"/>
        </w:trPr>
        <w:tc>
          <w:tcPr>
            <w:tcW w:w="5000" w:type="pct"/>
            <w:gridSpan w:val="6"/>
            <w:tcBorders>
              <w:top w:val="single" w:color="000000" w:sz="4" w:space="0"/>
              <w:left w:val="single" w:color="000000" w:sz="4" w:space="0"/>
              <w:bottom w:val="single" w:color="auto" w:sz="4" w:space="0"/>
              <w:right w:val="single" w:color="000000"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b/>
                <w:bCs/>
                <w:color w:val="000000"/>
                <w:kern w:val="0"/>
                <w:sz w:val="36"/>
                <w:szCs w:val="36"/>
                <w:lang w:val="en-US" w:eastAsia="zh-CN" w:bidi="ar"/>
              </w:rPr>
            </w:pPr>
            <w:r>
              <w:rPr>
                <w:rFonts w:hint="eastAsia" w:ascii="仿宋_GB2312" w:hAnsi="仿宋_GB2312" w:eastAsia="仿宋_GB2312" w:cs="仿宋_GB2312"/>
                <w:b/>
                <w:bCs/>
                <w:color w:val="000000"/>
                <w:kern w:val="0"/>
                <w:sz w:val="36"/>
                <w:szCs w:val="36"/>
                <w:lang w:val="en-US" w:eastAsia="zh-CN" w:bidi="ar"/>
              </w:rPr>
              <w:t>B指廊共享办公区需求明细表</w:t>
            </w:r>
          </w:p>
        </w:tc>
      </w:tr>
      <w:tr>
        <w:tblPrEx>
          <w:tblCellMar>
            <w:top w:w="0" w:type="dxa"/>
            <w:left w:w="0" w:type="dxa"/>
            <w:bottom w:w="0" w:type="dxa"/>
            <w:right w:w="0" w:type="dxa"/>
          </w:tblCellMar>
        </w:tblPrEx>
        <w:trPr>
          <w:trHeight w:val="270" w:hRule="atLeast"/>
        </w:trPr>
        <w:tc>
          <w:tcPr>
            <w:tcW w:w="350" w:type="pct"/>
            <w:tcBorders>
              <w:top w:val="single" w:color="000000" w:sz="4" w:space="0"/>
              <w:left w:val="single" w:color="000000" w:sz="4" w:space="0"/>
              <w:bottom w:val="single" w:color="auto" w:sz="4" w:space="0"/>
              <w:right w:val="single" w:color="000000"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编号</w:t>
            </w:r>
          </w:p>
        </w:tc>
        <w:tc>
          <w:tcPr>
            <w:tcW w:w="55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类别</w:t>
            </w:r>
          </w:p>
        </w:tc>
        <w:tc>
          <w:tcPr>
            <w:tcW w:w="88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尺寸（mm）</w:t>
            </w:r>
          </w:p>
        </w:tc>
        <w:tc>
          <w:tcPr>
            <w:tcW w:w="38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数量</w:t>
            </w:r>
          </w:p>
        </w:tc>
        <w:tc>
          <w:tcPr>
            <w:tcW w:w="149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技术要求</w:t>
            </w:r>
          </w:p>
        </w:tc>
        <w:tc>
          <w:tcPr>
            <w:tcW w:w="132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 w:cs="仿宋_GB2312"/>
                <w:color w:val="000000"/>
                <w:kern w:val="0"/>
                <w:sz w:val="24"/>
                <w:szCs w:val="24"/>
                <w:lang w:val="en-US" w:eastAsia="zh-CN" w:bidi="ar"/>
              </w:rPr>
            </w:pPr>
            <w:r>
              <w:rPr>
                <w:rFonts w:hint="eastAsia" w:ascii="仿宋" w:hAnsi="仿宋" w:eastAsia="仿宋" w:cs="仿宋"/>
                <w:color w:val="000000"/>
                <w:kern w:val="0"/>
                <w:sz w:val="24"/>
              </w:rPr>
              <w:t>参考</w:t>
            </w:r>
            <w:r>
              <w:rPr>
                <w:rFonts w:hint="eastAsia" w:ascii="仿宋" w:hAnsi="仿宋" w:eastAsia="仿宋" w:cs="仿宋"/>
                <w:color w:val="000000"/>
                <w:kern w:val="0"/>
                <w:sz w:val="24"/>
                <w:lang w:eastAsia="zh-CN"/>
              </w:rPr>
              <w:t>样式</w:t>
            </w:r>
          </w:p>
        </w:tc>
      </w:tr>
      <w:tr>
        <w:tblPrEx>
          <w:tblCellMar>
            <w:top w:w="0" w:type="dxa"/>
            <w:left w:w="0" w:type="dxa"/>
            <w:bottom w:w="0" w:type="dxa"/>
            <w:right w:w="0" w:type="dxa"/>
          </w:tblCellMar>
        </w:tblPrEx>
        <w:trPr>
          <w:trHeight w:val="1999"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实木长条桌</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2200*800*750(h)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2张</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桌面材质要求为松木（非贴皮），桌面厚度要求不低于8cm；</w:t>
            </w:r>
          </w:p>
          <w:p>
            <w:pPr>
              <w:widowControl/>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桌腿要求为铁艺高温烤漆，壁厚不低于1毫米，桌腿要求为面宽不小于8cm*8cm的柱体；</w:t>
            </w:r>
          </w:p>
          <w:p>
            <w:pPr>
              <w:widowControl/>
              <w:spacing w:line="360" w:lineRule="auto"/>
              <w:jc w:val="both"/>
              <w:textAlignment w:val="center"/>
              <w:rPr>
                <w:rFonts w:hint="default" w:ascii="宋体" w:hAnsi="宋体" w:eastAsia="宋体" w:cs="宋体"/>
                <w:color w:val="000000"/>
                <w:kern w:val="2"/>
                <w:sz w:val="22"/>
                <w:szCs w:val="22"/>
                <w:lang w:val="en-US" w:eastAsia="zh-CN" w:bidi="ar-SA"/>
              </w:rPr>
            </w:pPr>
            <w:r>
              <w:rPr>
                <w:rFonts w:hint="eastAsia" w:ascii="仿宋_GB2312" w:hAnsi="仿宋_GB2312" w:eastAsia="仿宋_GB2312" w:cs="仿宋_GB2312"/>
                <w:color w:val="000000"/>
                <w:kern w:val="0"/>
                <w:sz w:val="24"/>
                <w:szCs w:val="24"/>
                <w:lang w:val="en-US" w:eastAsia="zh-CN" w:bidi="ar"/>
              </w:rPr>
              <w:t>颜色要求为琥珀色或浅胡桃木色，最终颜色需与甲方确定。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default" w:ascii="宋体" w:hAnsi="宋体" w:eastAsia="宋体" w:cs="宋体"/>
                <w:color w:val="000000"/>
                <w:kern w:val="2"/>
                <w:sz w:val="22"/>
                <w:szCs w:val="22"/>
                <w:lang w:val="en-US" w:eastAsia="zh-CN" w:bidi="ar-SA"/>
              </w:rPr>
              <w:drawing>
                <wp:inline distT="0" distB="0" distL="114300" distR="114300">
                  <wp:extent cx="1691005" cy="1152525"/>
                  <wp:effectExtent l="0" t="0" r="4445" b="9525"/>
                  <wp:docPr id="2" name="图片 2" descr="718f9f5098056002f40b118363bea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8f9f5098056002f40b118363beae8"/>
                          <pic:cNvPicPr>
                            <a:picLocks noChangeAspect="1"/>
                          </pic:cNvPicPr>
                        </pic:nvPicPr>
                        <pic:blipFill>
                          <a:blip r:embed="rId11"/>
                          <a:stretch>
                            <a:fillRect/>
                          </a:stretch>
                        </pic:blipFill>
                        <pic:spPr>
                          <a:xfrm>
                            <a:off x="0" y="0"/>
                            <a:ext cx="1691005" cy="1152525"/>
                          </a:xfrm>
                          <a:prstGeom prst="rect">
                            <a:avLst/>
                          </a:prstGeom>
                        </pic:spPr>
                      </pic:pic>
                    </a:graphicData>
                  </a:graphic>
                </wp:inline>
              </w:drawing>
            </w:r>
          </w:p>
        </w:tc>
      </w:tr>
      <w:tr>
        <w:tblPrEx>
          <w:tblCellMar>
            <w:top w:w="0" w:type="dxa"/>
            <w:left w:w="0" w:type="dxa"/>
            <w:bottom w:w="0" w:type="dxa"/>
            <w:right w:w="0"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圆桌</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600（直径）*450(h)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6张</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工艺要求：铁艺烤漆；桌面厚度不低于3mm；</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底座要求：十字形铁艺；</w:t>
            </w:r>
          </w:p>
          <w:p>
            <w:pPr>
              <w:widowControl/>
              <w:spacing w:line="360" w:lineRule="auto"/>
              <w:jc w:val="both"/>
              <w:textAlignment w:val="center"/>
              <w:rPr>
                <w:rFonts w:hint="default" w:ascii="宋体" w:hAnsi="宋体" w:eastAsia="宋体" w:cs="宋体"/>
                <w:color w:val="000000"/>
                <w:sz w:val="22"/>
                <w:szCs w:val="22"/>
                <w:lang w:val="en-US" w:eastAsia="zh-CN"/>
              </w:rPr>
            </w:pPr>
            <w:r>
              <w:rPr>
                <w:rFonts w:hint="eastAsia" w:ascii="仿宋_GB2312" w:hAnsi="仿宋_GB2312" w:eastAsia="仿宋_GB2312" w:cs="仿宋_GB2312"/>
                <w:color w:val="000000"/>
                <w:kern w:val="0"/>
                <w:sz w:val="24"/>
                <w:szCs w:val="24"/>
                <w:lang w:val="en-US" w:eastAsia="zh-CN" w:bidi="ar"/>
              </w:rPr>
              <w:t>直径要求：600mm；高度为450mm；颜色要求：金色，最终颜色需与甲方确定。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drawing>
                <wp:inline distT="0" distB="0" distL="114300" distR="114300">
                  <wp:extent cx="1731010" cy="1184910"/>
                  <wp:effectExtent l="0" t="0" r="2540" b="15240"/>
                  <wp:docPr id="6" name="图片 6" descr="be20ad1497711918e4abb9aded8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e20ad1497711918e4abb9aded89559"/>
                          <pic:cNvPicPr>
                            <a:picLocks noChangeAspect="1"/>
                          </pic:cNvPicPr>
                        </pic:nvPicPr>
                        <pic:blipFill>
                          <a:blip r:embed="rId12"/>
                          <a:stretch>
                            <a:fillRect/>
                          </a:stretch>
                        </pic:blipFill>
                        <pic:spPr>
                          <a:xfrm>
                            <a:off x="0" y="0"/>
                            <a:ext cx="1731010" cy="1184910"/>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实木长条椅</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1050*300*450(h)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5张</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实木（松木）凳面（非贴皮），实木木条胶合拼接，承重不低于300公斤，板厚不低于5cm；</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凳腿要求为铁艺高温烤漆，壁厚不低于1毫米；</w:t>
            </w:r>
          </w:p>
          <w:p>
            <w:pPr>
              <w:widowControl/>
              <w:spacing w:line="360" w:lineRule="auto"/>
              <w:jc w:val="both"/>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颜色要求为琥珀色或浅胡桃木色，最终颜色需与甲方确定。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drawing>
                <wp:inline distT="0" distB="0" distL="114300" distR="114300">
                  <wp:extent cx="1718945" cy="1261745"/>
                  <wp:effectExtent l="0" t="0" r="14605" b="14605"/>
                  <wp:docPr id="19" name="图片 19" descr="13854791fe6b533bac887c259ac6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3854791fe6b533bac887c259ac6e1c"/>
                          <pic:cNvPicPr>
                            <a:picLocks noChangeAspect="1"/>
                          </pic:cNvPicPr>
                        </pic:nvPicPr>
                        <pic:blipFill>
                          <a:blip r:embed="rId13"/>
                          <a:stretch>
                            <a:fillRect/>
                          </a:stretch>
                        </pic:blipFill>
                        <pic:spPr>
                          <a:xfrm>
                            <a:off x="0" y="0"/>
                            <a:ext cx="1718945" cy="1261745"/>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座椅</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480*480*440(h)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10把</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风格拟定为北欧休闲风；</w:t>
            </w:r>
          </w:p>
          <w:p>
            <w:pPr>
              <w:widowControl/>
              <w:spacing w:line="360" w:lineRule="auto"/>
              <w:jc w:val="both"/>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凳面距离地面的高度为44cm左右，承重不低于200公斤，材质为PP塑料座板及铁管座椅腿，颜色要求为奶咖色或卡其色，最终颜色需与甲方确定。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drawing>
                <wp:inline distT="0" distB="0" distL="114300" distR="114300">
                  <wp:extent cx="1729105" cy="1325880"/>
                  <wp:effectExtent l="0" t="0" r="4445" b="7620"/>
                  <wp:docPr id="20" name="图片 20" descr="debacd2e6457c0125da37b995f7e5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ebacd2e6457c0125da37b995f7e51c"/>
                          <pic:cNvPicPr>
                            <a:picLocks noChangeAspect="1"/>
                          </pic:cNvPicPr>
                        </pic:nvPicPr>
                        <pic:blipFill>
                          <a:blip r:embed="rId14"/>
                          <a:stretch>
                            <a:fillRect/>
                          </a:stretch>
                        </pic:blipFill>
                        <pic:spPr>
                          <a:xfrm>
                            <a:off x="0" y="0"/>
                            <a:ext cx="1729105" cy="1325880"/>
                          </a:xfrm>
                          <a:prstGeom prst="rect">
                            <a:avLst/>
                          </a:prstGeom>
                        </pic:spPr>
                      </pic:pic>
                    </a:graphicData>
                  </a:graphic>
                </wp:inline>
              </w:drawing>
            </w:r>
          </w:p>
        </w:tc>
      </w:tr>
      <w:tr>
        <w:tblPrEx>
          <w:tblCellMar>
            <w:top w:w="0" w:type="dxa"/>
            <w:left w:w="0" w:type="dxa"/>
            <w:bottom w:w="0" w:type="dxa"/>
            <w:right w:w="0"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沙发</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highlight w:val="none"/>
                <w:lang w:val="en-US" w:eastAsia="zh-CN" w:bidi="ar"/>
              </w:rPr>
              <w:t>900*600*300(h)</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8把</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风格拟定为北欧贝壳椅沙发；材质：多层实木弯板；</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板面工艺：水曲柳木皮贴皮；</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座椅面料：三防科技布；</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承重不低于300kg；</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质保期3年；</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海绵厚度约3cm；</w:t>
            </w:r>
          </w:p>
          <w:p>
            <w:pPr>
              <w:widowControl/>
              <w:spacing w:line="360" w:lineRule="auto"/>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沙发座板距离地面距离为300mm；</w:t>
            </w:r>
          </w:p>
          <w:p>
            <w:pPr>
              <w:widowControl/>
              <w:spacing w:line="360" w:lineRule="auto"/>
              <w:jc w:val="both"/>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沙发颜色需与甲方确定。</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drawing>
                <wp:inline distT="0" distB="0" distL="114300" distR="114300">
                  <wp:extent cx="1737995" cy="1455420"/>
                  <wp:effectExtent l="0" t="0" r="14605" b="11430"/>
                  <wp:docPr id="21" name="图片 21" descr="0dab061b19be17a14b94f286b7768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0dab061b19be17a14b94f286b77680c"/>
                          <pic:cNvPicPr>
                            <a:picLocks noChangeAspect="1"/>
                          </pic:cNvPicPr>
                        </pic:nvPicPr>
                        <pic:blipFill>
                          <a:blip r:embed="rId15"/>
                          <a:stretch>
                            <a:fillRect/>
                          </a:stretch>
                        </pic:blipFill>
                        <pic:spPr>
                          <a:xfrm>
                            <a:off x="0" y="0"/>
                            <a:ext cx="1737995" cy="1455420"/>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景观墙</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1800*7200</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5"/>
              <w:jc w:val="both"/>
              <w:rPr>
                <w:rFonts w:hint="default"/>
                <w:lang w:val="en-US" w:eastAsia="zh-CN"/>
              </w:rPr>
            </w:pPr>
            <w:r>
              <w:rPr>
                <w:rFonts w:hint="eastAsia" w:ascii="仿宋_GB2312" w:hAnsi="仿宋_GB2312" w:eastAsia="仿宋_GB2312" w:cs="仿宋_GB2312"/>
                <w:b w:val="0"/>
                <w:bCs w:val="0"/>
                <w:color w:val="000000"/>
                <w:kern w:val="0"/>
                <w:sz w:val="24"/>
                <w:szCs w:val="24"/>
                <w:lang w:val="en-US" w:eastAsia="zh-CN" w:bidi="ar"/>
              </w:rPr>
              <w:t>材质要求包含永生苔藓及其他仿真植物，永生苔藓使用面积占比不得低于20%。满足B1防火等级，若不满足则需要在安装前喷涂B1级的消防阻燃剂并提供检测报告；厚度不低于5cm；颜色为双色及以上（最终配色及方案需与甲方确定）；质保期不低于3年；最终材质及设计图案需要与甲方确认。</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drawing>
                <wp:inline distT="0" distB="0" distL="114300" distR="114300">
                  <wp:extent cx="1738630" cy="1724025"/>
                  <wp:effectExtent l="0" t="0" r="13970" b="9525"/>
                  <wp:docPr id="31" name="图片 31" descr="75135bae8febba28fe8ad950c1d42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75135bae8febba28fe8ad950c1d42b5"/>
                          <pic:cNvPicPr>
                            <a:picLocks noChangeAspect="1"/>
                          </pic:cNvPicPr>
                        </pic:nvPicPr>
                        <pic:blipFill>
                          <a:blip r:embed="rId16"/>
                          <a:stretch>
                            <a:fillRect/>
                          </a:stretch>
                        </pic:blipFill>
                        <pic:spPr>
                          <a:xfrm>
                            <a:off x="0" y="0"/>
                            <a:ext cx="1738630" cy="1724025"/>
                          </a:xfrm>
                          <a:prstGeom prst="rect">
                            <a:avLst/>
                          </a:prstGeom>
                        </pic:spPr>
                      </pic:pic>
                    </a:graphicData>
                  </a:graphic>
                </wp:inline>
              </w:drawing>
            </w:r>
          </w:p>
        </w:tc>
      </w:tr>
      <w:tr>
        <w:tblPrEx>
          <w:tblCellMar>
            <w:top w:w="0" w:type="dxa"/>
            <w:left w:w="0" w:type="dxa"/>
            <w:bottom w:w="0" w:type="dxa"/>
            <w:right w:w="0"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PVC防火阻燃地毯</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6000*8000</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60平方米</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材料燃烧性能等级不得低于B1级，厚度不低于6mm，花型需要与甲方确认。</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drawing>
                <wp:inline distT="0" distB="0" distL="114300" distR="114300">
                  <wp:extent cx="1729740" cy="1212850"/>
                  <wp:effectExtent l="0" t="0" r="3810" b="6350"/>
                  <wp:docPr id="24" name="图片 24" descr="ef8b29a53b70f9f7199b72953e37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f8b29a53b70f9f7199b72953e37edb"/>
                          <pic:cNvPicPr>
                            <a:picLocks noChangeAspect="1"/>
                          </pic:cNvPicPr>
                        </pic:nvPicPr>
                        <pic:blipFill>
                          <a:blip r:embed="rId17"/>
                          <a:stretch>
                            <a:fillRect/>
                          </a:stretch>
                        </pic:blipFill>
                        <pic:spPr>
                          <a:xfrm>
                            <a:off x="0" y="0"/>
                            <a:ext cx="1729740" cy="1212850"/>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花器</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1200*300*500</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长形花盆颜色要求为白色，形状为长条型，材质要求为铁艺烤漆。</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drawing>
                <wp:inline distT="0" distB="0" distL="114300" distR="114300">
                  <wp:extent cx="1731645" cy="1292225"/>
                  <wp:effectExtent l="0" t="0" r="1905" b="3175"/>
                  <wp:docPr id="25" name="图片 25" descr="c1aa4e358be8fc718a03f304a919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1aa4e358be8fc718a03f304a9191ca"/>
                          <pic:cNvPicPr>
                            <a:picLocks noChangeAspect="1"/>
                          </pic:cNvPicPr>
                        </pic:nvPicPr>
                        <pic:blipFill>
                          <a:blip r:embed="rId18"/>
                          <a:stretch>
                            <a:fillRect/>
                          </a:stretch>
                        </pic:blipFill>
                        <pic:spPr>
                          <a:xfrm>
                            <a:off x="0" y="0"/>
                            <a:ext cx="1731645" cy="1292225"/>
                          </a:xfrm>
                          <a:prstGeom prst="rect">
                            <a:avLst/>
                          </a:prstGeom>
                        </pic:spPr>
                      </pic:pic>
                    </a:graphicData>
                  </a:graphic>
                </wp:inline>
              </w:drawing>
            </w:r>
          </w:p>
        </w:tc>
      </w:tr>
      <w:tr>
        <w:tblPrEx>
          <w:tblCellMar>
            <w:top w:w="0" w:type="dxa"/>
            <w:left w:w="0" w:type="dxa"/>
            <w:bottom w:w="0" w:type="dxa"/>
            <w:right w:w="0" w:type="dxa"/>
          </w:tblCellMar>
        </w:tblPrEx>
        <w:trPr>
          <w:trHeight w:val="2415"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仿真绿植</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5组</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5"/>
              <w:jc w:val="both"/>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沙漠仿真植物需满足B1防火等级，若不满足则需要在安装完成后喷涂B1级的消防阻燃剂并提供检测报告；</w:t>
            </w:r>
          </w:p>
          <w:p>
            <w:pPr>
              <w:spacing w:line="360" w:lineRule="auto"/>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每组仿真植物应包含美洲龙舌兰、仙人掌群、墨西哥龙血树等不少于5种仿真绿植（植物类别只能为沙漠植物），要求高低错落搭配，垂直平铺能满足放进1.2米长的铁艺花器中，最高处至花器上端不得低于80cm，未覆盖的地方需搭配苔藓和黑色铺面鹅卵石。</w:t>
            </w:r>
          </w:p>
          <w:p>
            <w:pPr>
              <w:rPr>
                <w:rFonts w:hint="default" w:ascii="仿宋_GB2312" w:hAnsi="仿宋_GB2312" w:eastAsia="仿宋_GB2312" w:cs="仿宋_GB2312"/>
                <w:b w:val="0"/>
                <w:bCs w:val="0"/>
                <w:color w:val="000000"/>
                <w:kern w:val="0"/>
                <w:sz w:val="24"/>
                <w:szCs w:val="24"/>
                <w:lang w:val="en-US" w:eastAsia="zh-CN" w:bidi="ar"/>
              </w:rPr>
            </w:pP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drawing>
                <wp:inline distT="0" distB="0" distL="114300" distR="114300">
                  <wp:extent cx="1688465" cy="1898650"/>
                  <wp:effectExtent l="0" t="0" r="6985" b="6350"/>
                  <wp:docPr id="26" name="图片 26" descr="ea573eb16c1e289308656a4b9c0d7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a573eb16c1e289308656a4b9c0d72d"/>
                          <pic:cNvPicPr>
                            <a:picLocks noChangeAspect="1"/>
                          </pic:cNvPicPr>
                        </pic:nvPicPr>
                        <pic:blipFill>
                          <a:blip r:embed="rId19"/>
                          <a:stretch>
                            <a:fillRect/>
                          </a:stretch>
                        </pic:blipFill>
                        <pic:spPr>
                          <a:xfrm>
                            <a:off x="0" y="0"/>
                            <a:ext cx="1688465" cy="1898650"/>
                          </a:xfrm>
                          <a:prstGeom prst="rect">
                            <a:avLst/>
                          </a:prstGeom>
                        </pic:spPr>
                      </pic:pic>
                    </a:graphicData>
                  </a:graphic>
                </wp:inline>
              </w:drawing>
            </w:r>
          </w:p>
        </w:tc>
      </w:tr>
      <w:tr>
        <w:tblPrEx>
          <w:tblCellMar>
            <w:top w:w="0" w:type="dxa"/>
            <w:left w:w="0" w:type="dxa"/>
            <w:bottom w:w="0" w:type="dxa"/>
            <w:right w:w="0"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白色砂石</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6袋</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both"/>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数量要求：总量能填满4个1200mm*300mm*500mm容量的花器。</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drawing>
                <wp:inline distT="0" distB="0" distL="114300" distR="114300">
                  <wp:extent cx="1720850" cy="1237615"/>
                  <wp:effectExtent l="0" t="0" r="12700" b="635"/>
                  <wp:docPr id="27" name="图片 27" descr="8777573bba053509d9a8d90e70ea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8777573bba053509d9a8d90e70ea018"/>
                          <pic:cNvPicPr>
                            <a:picLocks noChangeAspect="1"/>
                          </pic:cNvPicPr>
                        </pic:nvPicPr>
                        <pic:blipFill>
                          <a:blip r:embed="rId20"/>
                          <a:stretch>
                            <a:fillRect/>
                          </a:stretch>
                        </pic:blipFill>
                        <pic:spPr>
                          <a:xfrm>
                            <a:off x="0" y="0"/>
                            <a:ext cx="1720850" cy="1237615"/>
                          </a:xfrm>
                          <a:prstGeom prst="rect">
                            <a:avLst/>
                          </a:prstGeom>
                        </pic:spPr>
                      </pic:pic>
                    </a:graphicData>
                  </a:graphic>
                </wp:inline>
              </w:drawing>
            </w:r>
          </w:p>
        </w:tc>
      </w:tr>
      <w:tr>
        <w:tblPrEx>
          <w:tblCellMar>
            <w:top w:w="0" w:type="dxa"/>
            <w:left w:w="0" w:type="dxa"/>
            <w:bottom w:w="0" w:type="dxa"/>
            <w:right w:w="0"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落地模型摆件</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700*350</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5"/>
              <w:spacing w:line="360" w:lineRule="auto"/>
              <w:jc w:val="both"/>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模型摆件要求底座宽约350mm，高度不低于700mm；材质：玻璃钢。模型摆件需采购三种不同的款式，采购前需与甲方确认摆件的尺寸、材质、颜色及造型。</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bidi="ar"/>
              </w:rPr>
            </w:pPr>
            <w:r>
              <w:rPr>
                <w:rFonts w:hint="default" w:ascii="宋体" w:hAnsi="宋体" w:eastAsia="宋体" w:cs="宋体"/>
                <w:color w:val="000000"/>
                <w:kern w:val="0"/>
                <w:sz w:val="22"/>
                <w:szCs w:val="22"/>
                <w:lang w:val="en-US" w:eastAsia="zh-CN" w:bidi="ar"/>
              </w:rPr>
              <w:drawing>
                <wp:inline distT="0" distB="0" distL="114300" distR="114300">
                  <wp:extent cx="1691640" cy="1266190"/>
                  <wp:effectExtent l="0" t="0" r="3810" b="10160"/>
                  <wp:docPr id="28" name="图片 28" descr="7e45a4033832ee7dafb026e6ee5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e45a4033832ee7dafb026e6ee57463"/>
                          <pic:cNvPicPr>
                            <a:picLocks noChangeAspect="1"/>
                          </pic:cNvPicPr>
                        </pic:nvPicPr>
                        <pic:blipFill>
                          <a:blip r:embed="rId21"/>
                          <a:stretch>
                            <a:fillRect/>
                          </a:stretch>
                        </pic:blipFill>
                        <pic:spPr>
                          <a:xfrm>
                            <a:off x="0" y="0"/>
                            <a:ext cx="1691640" cy="1266190"/>
                          </a:xfrm>
                          <a:prstGeom prst="rect">
                            <a:avLst/>
                          </a:prstGeom>
                        </pic:spPr>
                      </pic:pic>
                    </a:graphicData>
                  </a:graphic>
                </wp:inline>
              </w:drawing>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桌面摆件</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both"/>
              <w:rPr>
                <w:rFonts w:hint="default" w:ascii="宋体" w:hAnsi="宋体" w:eastAsia="宋体" w:cs="宋体"/>
                <w:b w:val="0"/>
                <w:bCs w:val="0"/>
                <w:color w:val="000000"/>
                <w:kern w:val="0"/>
                <w:sz w:val="22"/>
                <w:szCs w:val="22"/>
                <w:lang w:val="en-US" w:eastAsia="zh-CN" w:bidi="ar"/>
              </w:rPr>
            </w:pPr>
            <w:r>
              <w:rPr>
                <w:rFonts w:hint="eastAsia" w:ascii="仿宋_GB2312" w:hAnsi="仿宋_GB2312" w:eastAsia="仿宋_GB2312" w:cs="仿宋_GB2312"/>
                <w:b w:val="0"/>
                <w:bCs w:val="0"/>
                <w:color w:val="000000"/>
                <w:kern w:val="0"/>
                <w:sz w:val="24"/>
                <w:szCs w:val="24"/>
                <w:lang w:val="en-US" w:eastAsia="zh-CN" w:bidi="ar"/>
              </w:rPr>
              <w:t>桌面盆景造型及材质需要与甲方确认，亚克力材质，单盆采购价不得低于100元，到货后需固定安装在长条桌上。</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宋体" w:hAnsi="宋体" w:eastAsia="宋体" w:cs="宋体"/>
                <w:color w:val="000000"/>
                <w:kern w:val="0"/>
                <w:sz w:val="22"/>
                <w:szCs w:val="22"/>
                <w:lang w:val="en-US" w:eastAsia="zh-CN" w:bidi="ar"/>
              </w:rPr>
            </w:pPr>
            <w:r>
              <w:rPr>
                <w:rFonts w:hint="default" w:ascii="宋体" w:hAnsi="宋体" w:eastAsia="宋体" w:cs="宋体"/>
                <w:color w:val="000000"/>
                <w:kern w:val="0"/>
                <w:sz w:val="22"/>
                <w:szCs w:val="22"/>
                <w:lang w:val="en-US" w:eastAsia="zh-CN" w:bidi="ar"/>
              </w:rPr>
              <w:drawing>
                <wp:inline distT="0" distB="0" distL="114300" distR="114300">
                  <wp:extent cx="1440180" cy="1096645"/>
                  <wp:effectExtent l="0" t="0" r="7620" b="8255"/>
                  <wp:docPr id="29" name="图片 29" descr="033acdd27518061759836a24d46b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33acdd27518061759836a24d46b01d"/>
                          <pic:cNvPicPr>
                            <a:picLocks noChangeAspect="1"/>
                          </pic:cNvPicPr>
                        </pic:nvPicPr>
                        <pic:blipFill>
                          <a:blip r:embed="rId22"/>
                          <a:stretch>
                            <a:fillRect/>
                          </a:stretch>
                        </pic:blipFill>
                        <pic:spPr>
                          <a:xfrm>
                            <a:off x="0" y="0"/>
                            <a:ext cx="1440180" cy="1096645"/>
                          </a:xfrm>
                          <a:prstGeom prst="rect">
                            <a:avLst/>
                          </a:prstGeom>
                        </pic:spPr>
                      </pic:pic>
                    </a:graphicData>
                  </a:graphic>
                </wp:inline>
              </w:drawing>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13</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隐藏式电插座</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300*53*35</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10个</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仿宋_GB2312" w:hAnsi="仿宋_GB2312" w:eastAsia="仿宋_GB2312" w:cs="仿宋_GB2312"/>
                <w:b w:val="0"/>
                <w:bCs w:val="0"/>
                <w:color w:val="000000"/>
                <w:kern w:val="0"/>
                <w:sz w:val="24"/>
                <w:szCs w:val="24"/>
                <w:lang w:val="en-US" w:eastAsia="zh-CN" w:bidi="ar"/>
              </w:rPr>
              <w:t>插座电线长度根据实际需求确定；要求在桌面打孔安装至少6组隐蔽式电插座；每组隐蔽式插座至少要有1个USB插口及4个国标五孔插座；插座达到国家3C认证，具有过载保护，一体式铜套设计及儿童保护门设计，满足不低于5000次插拔。</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default" w:ascii="宋体" w:hAnsi="宋体" w:eastAsia="宋体" w:cs="宋体"/>
                <w:color w:val="000000"/>
                <w:sz w:val="22"/>
                <w:szCs w:val="22"/>
                <w:lang w:val="en-US" w:eastAsia="zh-CN"/>
              </w:rPr>
              <w:drawing>
                <wp:inline distT="0" distB="0" distL="114300" distR="114300">
                  <wp:extent cx="1697990" cy="1184275"/>
                  <wp:effectExtent l="0" t="0" r="16510" b="15875"/>
                  <wp:docPr id="33" name="图片 33" descr="91a5519a98887fd5bd89fe11f96a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91a5519a98887fd5bd89fe11f96a9da"/>
                          <pic:cNvPicPr>
                            <a:picLocks noChangeAspect="1"/>
                          </pic:cNvPicPr>
                        </pic:nvPicPr>
                        <pic:blipFill>
                          <a:blip r:embed="rId23"/>
                          <a:stretch>
                            <a:fillRect/>
                          </a:stretch>
                        </pic:blipFill>
                        <pic:spPr>
                          <a:xfrm>
                            <a:off x="0" y="0"/>
                            <a:ext cx="1697990" cy="1184275"/>
                          </a:xfrm>
                          <a:prstGeom prst="rect">
                            <a:avLst/>
                          </a:prstGeom>
                        </pic:spPr>
                      </pic:pic>
                    </a:graphicData>
                  </a:graphic>
                </wp:inline>
              </w:drawing>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14</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电路改造</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包含配电箱采购、线路改造等全部费用，至少同时满足40台手机或者笔记本电脑的用电负荷（总负荷不低于8000瓦）；</w:t>
            </w:r>
          </w:p>
          <w:p>
            <w:pPr>
              <w:widowControl/>
              <w:jc w:val="both"/>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线路须采用鸽牌，低烟无卤阻燃材质；</w:t>
            </w:r>
          </w:p>
          <w:p>
            <w:pPr>
              <w:widowControl/>
              <w:jc w:val="both"/>
              <w:textAlignment w:val="cente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空气开关保护需为ABB品牌；</w:t>
            </w:r>
          </w:p>
          <w:p>
            <w:pPr>
              <w:widowControl/>
              <w:jc w:val="both"/>
              <w:textAlignment w:val="center"/>
              <w:rPr>
                <w:rFonts w:hint="eastAsia" w:ascii="宋体" w:hAnsi="宋体" w:eastAsia="宋体" w:cs="宋体"/>
                <w:color w:val="000000"/>
                <w:kern w:val="2"/>
                <w:sz w:val="22"/>
                <w:szCs w:val="22"/>
                <w:lang w:val="en-US" w:eastAsia="zh-CN" w:bidi="ar-SA"/>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铜芯线要求不低于4平方毫米。</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工程安装</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包含铺地毯、电路改造安装、家具组装、绿植背景墙安装、装饰摆件摆放、证件办理、保险等工程安装所需的相关费用。</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16</w:t>
            </w:r>
          </w:p>
        </w:tc>
        <w:tc>
          <w:tcPr>
            <w:tcW w:w="55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其他项目</w:t>
            </w:r>
          </w:p>
        </w:tc>
        <w:tc>
          <w:tcPr>
            <w:tcW w:w="88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c>
          <w:tcPr>
            <w:tcW w:w="38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1项</w:t>
            </w:r>
          </w:p>
        </w:tc>
        <w:tc>
          <w:tcPr>
            <w:tcW w:w="14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w:t>
            </w:r>
          </w:p>
        </w:tc>
        <w:tc>
          <w:tcPr>
            <w:tcW w:w="13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w:t>
            </w:r>
          </w:p>
        </w:tc>
      </w:tr>
      <w:tr>
        <w:tblPrEx>
          <w:tblCellMar>
            <w:top w:w="0" w:type="dxa"/>
            <w:left w:w="0" w:type="dxa"/>
            <w:bottom w:w="0" w:type="dxa"/>
            <w:right w:w="0" w:type="dxa"/>
          </w:tblCellMar>
        </w:tblPrEx>
        <w:trPr>
          <w:trHeight w:val="2281" w:hRule="atLeast"/>
        </w:trPr>
        <w:tc>
          <w:tcPr>
            <w:tcW w:w="350" w:type="pct"/>
            <w:tcBorders>
              <w:top w:val="single" w:color="auto" w:sz="4" w:space="0"/>
              <w:left w:val="single" w:color="auto" w:sz="4" w:space="0"/>
              <w:bottom w:val="single" w:color="auto" w:sz="4" w:space="0"/>
              <w:right w:val="single" w:color="auto" w:sz="4" w:space="0"/>
            </w:tcBorders>
            <w:shd w:val="clear" w:color="auto" w:fill="AEAAAA"/>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w:t>
            </w:r>
          </w:p>
        </w:tc>
        <w:tc>
          <w:tcPr>
            <w:tcW w:w="4649" w:type="pct"/>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pPr>
            <w:r>
              <w:rPr>
                <w:rFonts w:hint="eastAsia"/>
                <w:lang w:val="en-US" w:eastAsia="zh-CN"/>
              </w:rPr>
              <w:t>1、</w:t>
            </w:r>
            <w:r>
              <w:rPr>
                <w:rFonts w:hint="eastAsia"/>
              </w:rPr>
              <w:t>包含设计、制作、安装、运输、配电箱单独布线、必要施工机具和人工、质保等全部费用；</w:t>
            </w:r>
          </w:p>
          <w:p>
            <w:pPr>
              <w:widowControl/>
              <w:numPr>
                <w:ilvl w:val="0"/>
                <w:numId w:val="2"/>
              </w:numPr>
              <w:rPr>
                <w:rFonts w:hint="eastAsia"/>
                <w:lang w:val="en-US" w:eastAsia="zh-CN"/>
              </w:rPr>
            </w:pPr>
            <w:r>
              <w:rPr>
                <w:rFonts w:hint="eastAsia"/>
              </w:rPr>
              <w:t>由于安装位置各不相同，具体尺寸可能微调，以上尺寸仅供参考，需现场实地测量</w:t>
            </w:r>
            <w:r>
              <w:rPr>
                <w:rFonts w:hint="eastAsia"/>
                <w:lang w:eastAsia="zh-CN"/>
              </w:rPr>
              <w:t>；</w:t>
            </w:r>
          </w:p>
          <w:p>
            <w:pPr>
              <w:numPr>
                <w:ilvl w:val="0"/>
                <w:numId w:val="0"/>
              </w:numPr>
              <w:ind w:leftChars="0"/>
              <w:jc w:val="left"/>
              <w:rPr>
                <w:rFonts w:hint="default"/>
                <w:lang w:val="en-US" w:eastAsia="zh-CN"/>
              </w:rPr>
            </w:pPr>
            <w:r>
              <w:rPr>
                <w:rFonts w:hint="eastAsia"/>
                <w:b w:val="0"/>
                <w:bCs w:val="0"/>
                <w:color w:val="auto"/>
                <w:sz w:val="21"/>
                <w:szCs w:val="21"/>
                <w:highlight w:val="none"/>
                <w:shd w:val="clear" w:color="auto" w:fill="auto"/>
                <w:lang w:val="en-US" w:eastAsia="zh-CN"/>
              </w:rPr>
              <w:t>3、以上内容可根据甲方要求调整同等价格、同等材质的座椅、桌子，图片仅供参考，最终颜色、尺寸、规格以甲方要求为准。</w:t>
            </w:r>
          </w:p>
        </w:tc>
      </w:tr>
    </w:tbl>
    <w:p>
      <w:pPr>
        <w:rPr>
          <w:rFonts w:hint="default"/>
          <w:lang w:val="en-US" w:eastAsia="zh-CN"/>
        </w:rPr>
      </w:pPr>
    </w:p>
    <w:p>
      <w:pPr>
        <w:pStyle w:val="4"/>
        <w:keepNext w:val="0"/>
        <w:keepLines w:val="0"/>
        <w:pageBreakBefore w:val="0"/>
        <w:numPr>
          <w:ilvl w:val="1"/>
          <w:numId w:val="0"/>
        </w:numPr>
        <w:kinsoku/>
        <w:overflowPunct/>
        <w:topLinePunct w:val="0"/>
        <w:bidi w:val="0"/>
        <w:spacing w:before="120" w:line="600" w:lineRule="exact"/>
        <w:rPr>
          <w:color w:val="000000"/>
          <w:szCs w:val="28"/>
          <w:highlight w:val="none"/>
          <w:shd w:val="clear" w:color="auto" w:fill="auto"/>
        </w:rPr>
      </w:pPr>
      <w:r>
        <w:rPr>
          <w:rFonts w:hint="eastAsia" w:ascii="方正仿宋_GBK" w:hAnsi="方正仿宋_GBK" w:eastAsia="方正仿宋_GBK" w:cs="方正仿宋_GBK"/>
          <w:kern w:val="2"/>
          <w:sz w:val="28"/>
          <w:szCs w:val="28"/>
          <w:lang w:val="en-US" w:eastAsia="zh-CN" w:bidi="ar-SA"/>
        </w:rPr>
        <w:t>11.2.4.3</w:t>
      </w:r>
      <w:r>
        <w:rPr>
          <w:rFonts w:hint="eastAsia"/>
          <w:color w:val="000000"/>
          <w:szCs w:val="28"/>
          <w:highlight w:val="none"/>
          <w:shd w:val="clear" w:color="auto" w:fill="auto"/>
          <w:lang w:val="en-US" w:eastAsia="zh-CN"/>
        </w:rPr>
        <w:t>技术要求及说明</w:t>
      </w:r>
    </w:p>
    <w:p>
      <w:pPr>
        <w:keepNext w:val="0"/>
        <w:keepLines w:val="0"/>
        <w:pageBreakBefore w:val="0"/>
        <w:kinsoku/>
        <w:overflowPunct/>
        <w:topLinePunct w:val="0"/>
        <w:autoSpaceDE w:val="0"/>
        <w:autoSpaceDN w:val="0"/>
        <w:bidi w:val="0"/>
        <w:adjustRightInd w:val="0"/>
        <w:spacing w:line="600" w:lineRule="exac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1、落地模型摆件（玻璃钢）</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（1）玻璃钢使用材料需为专用高级树脂（抗碱、抗酸、防水），达到GB/T3961-2009基础标准，表面光滑、超亮、易洁、符合玻璃钢行业标准，机械性能好、强度好、表面效果好。</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（2）用于制作玻璃钢的树脂及玻璃纤维等增强材料应为环保材料。</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（3）摆件表面光滑、无破损、无异味等情况。</w:t>
      </w:r>
    </w:p>
    <w:p>
      <w:pPr>
        <w:keepNext w:val="0"/>
        <w:keepLines w:val="0"/>
        <w:pageBreakBefore w:val="0"/>
        <w:numPr>
          <w:ilvl w:val="0"/>
          <w:numId w:val="0"/>
        </w:numPr>
        <w:kinsoku/>
        <w:overflowPunct/>
        <w:topLinePunct w:val="0"/>
        <w:bidi w:val="0"/>
        <w:spacing w:before="120" w:line="600" w:lineRule="exact"/>
        <w:ind w:firstLine="0" w:firstLineChars="0"/>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2、座椅/沙发/实木长条椅（桌）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（1）座椅/沙发结构、尺寸、工艺符合GB/T1952.1—2012规定。</w:t>
      </w:r>
    </w:p>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（2）靠背、坐垫内部结构稳定，使用寿命10年以上，椅腿、横梁、支撑件结构合理、稳定。（</w:t>
      </w:r>
      <w:r>
        <w:rPr>
          <w:rFonts w:hint="eastAsia" w:ascii="方正仿宋_GBK" w:hAnsi="方正仿宋_GBK" w:eastAsia="方正仿宋_GBK" w:cs="方正仿宋_GBK"/>
          <w:b w:val="0"/>
          <w:bCs w:val="0"/>
          <w:kern w:val="2"/>
          <w:sz w:val="28"/>
          <w:szCs w:val="28"/>
          <w:highlight w:val="none"/>
          <w:lang w:val="en-US" w:eastAsia="zh-CN" w:bidi="ar-SA"/>
        </w:rPr>
        <w:t>提供靠背、坐垫使用寿命10年以上，椅腿、横梁、支撑件使用寿命10年以上承诺书</w:t>
      </w:r>
      <w:r>
        <w:rPr>
          <w:rFonts w:hint="eastAsia" w:ascii="方正仿宋_GBK" w:hAnsi="方正仿宋_GBK" w:eastAsia="方正仿宋_GBK" w:cs="方正仿宋_GBK"/>
          <w:b w:val="0"/>
          <w:bCs w:val="0"/>
          <w:kern w:val="2"/>
          <w:sz w:val="28"/>
          <w:szCs w:val="28"/>
          <w:lang w:val="en-US" w:eastAsia="zh-CN" w:bidi="ar-SA"/>
        </w:rPr>
        <w:t>）；</w:t>
      </w:r>
    </w:p>
    <w:p>
      <w:pPr>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（3）沙发、座椅、实木长条椅（桌）牢固性强，确保椅子无松动、摇晃等现象。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（4）坐、背面料完好无损，面料缝纫处无脱线或开裂，垫料无移位或破损，骨架无永久性松动或断裂，产品内部用料海绵填充物为环保材料、无异味，长期使用不塌陷变形。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（5）沙发耐久度应通过A级6万次以上要求（提供相关检测报告复印件，原件备查）。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6）沙发座面主要弹性材料为涤纶印染布（科技布），耐磨度高，柔软滑润，透气性好，并可防水；内置弹性材料使用高密度定型海绵，泡沫塑料回弹性能及压缩永久变形须达到A级（提供相关检测报告复印件，原件备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7）内部木制件用材的树种应与标识明示一致：不得使用虫蛀、腐朽、节子、树脂囊等木材、斜纹程度超过20%；不得使用轻微腐朽材面积超过零部件的15%，腐朽材深度超过20%，有轻微裂缝成节子影响结构强度的木材，虫柱材经杀虫处理不得使用昆虫尚在继续侵蚀的木材。</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textAlignment w:val="auto"/>
        <w:rPr>
          <w:rFonts w:hint="eastAsia"/>
          <w:lang w:val="en-US" w:eastAsia="zh-CN"/>
        </w:rPr>
      </w:pPr>
      <w:r>
        <w:rPr>
          <w:rFonts w:hint="eastAsia" w:ascii="方正仿宋_GBK" w:hAnsi="方正仿宋_GBK" w:eastAsia="方正仿宋_GBK" w:cs="方正仿宋_GBK"/>
          <w:b w:val="0"/>
          <w:bCs w:val="0"/>
          <w:kern w:val="2"/>
          <w:sz w:val="28"/>
          <w:szCs w:val="28"/>
          <w:lang w:val="en-US" w:eastAsia="zh-CN" w:bidi="ar-SA"/>
        </w:rPr>
        <w:t>（8）沙发在正常使用过程中无尖锐金属物穿出坐面或背面等部位，坐面与靠背之间的间隙缝内，徒手深入后应无刃口、毛刺等。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lang w:val="en-US" w:eastAsia="zh-CN"/>
        </w:rPr>
      </w:pPr>
      <w:r>
        <w:rPr>
          <w:rFonts w:hint="eastAsia" w:ascii="方正仿宋_GBK" w:hAnsi="方正仿宋_GBK" w:eastAsia="方正仿宋_GBK" w:cs="方正仿宋_GBK"/>
          <w:b w:val="0"/>
          <w:bCs w:val="0"/>
          <w:kern w:val="2"/>
          <w:sz w:val="28"/>
          <w:szCs w:val="28"/>
          <w:lang w:val="en-US" w:eastAsia="zh-CN" w:bidi="ar-SA"/>
        </w:rPr>
        <w:t>（9）沙发、座椅、实木长条椅（桌）的面料/面板用料要求：沙发涤纶印染布（科技布）工艺应符合FZ/T 14047-2019标准；座椅PP材料工艺应符合GB/T12670-2008标准；实木长条椅（桌）防腐实木材应符合GB 22280-2008标准。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（10）沙发、座椅、实木长条椅（桌）均应符合我国建筑内部装修设计防火规范GB50222-2017，候机楼的候机大厅、贵宾候机室等装修材料的燃烧性能到达B1级。</w:t>
      </w:r>
    </w:p>
    <w:p>
      <w:pPr>
        <w:pStyle w:val="15"/>
        <w:keepNext w:val="0"/>
        <w:keepLines w:val="0"/>
        <w:pageBreakBefore w:val="0"/>
        <w:widowControl w:val="0"/>
        <w:kinsoku/>
        <w:wordWrap/>
        <w:overflowPunct/>
        <w:topLinePunct w:val="0"/>
        <w:bidi w:val="0"/>
        <w:snapToGrid/>
        <w:spacing w:line="600" w:lineRule="exact"/>
        <w:ind w:firstLine="560" w:firstLineChars="200"/>
        <w:jc w:val="both"/>
        <w:textAlignment w:val="auto"/>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 xml:space="preserve"> （11）沙发、座椅、实木长条椅（桌）需确保3年内均不得出现拉伤、变形、掉色等现象，其中座椅不得出现开裂、气泡、披锋、凹坑凸点，边缘刮手、边角打磨不圆滑、锋利尖锐现象，沙发不得出现异物、分层、缩水现象（人为原因除外），如果遇到该类问题，需由报价人负责更换。</w:t>
      </w:r>
    </w:p>
    <w:p>
      <w:pPr>
        <w:pStyle w:val="15"/>
        <w:keepNext w:val="0"/>
        <w:keepLines w:val="0"/>
        <w:pageBreakBefore w:val="0"/>
        <w:widowControl w:val="0"/>
        <w:kinsoku/>
        <w:wordWrap/>
        <w:overflowPunct/>
        <w:topLinePunct w:val="0"/>
        <w:bidi w:val="0"/>
        <w:snapToGrid/>
        <w:spacing w:line="600" w:lineRule="exact"/>
        <w:ind w:firstLine="560" w:firstLineChars="200"/>
        <w:jc w:val="both"/>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（12）</w:t>
      </w:r>
      <w:r>
        <w:rPr>
          <w:rFonts w:hint="eastAsia" w:ascii="方正仿宋_GBK" w:hAnsi="方正仿宋_GBK" w:eastAsia="方正仿宋_GBK" w:cs="方正仿宋_GBK"/>
          <w:b w:val="0"/>
          <w:bCs w:val="0"/>
          <w:kern w:val="2"/>
          <w:sz w:val="28"/>
          <w:szCs w:val="28"/>
          <w:highlight w:val="none"/>
          <w:lang w:val="en-US" w:eastAsia="zh-CN" w:bidi="ar-SA"/>
        </w:rPr>
        <w:t>沙发表面须每6个月进行一次保养及维护（包括根据需求对座椅皮套进行更换）</w:t>
      </w:r>
      <w:r>
        <w:rPr>
          <w:rFonts w:hint="eastAsia" w:ascii="方正仿宋_GBK" w:hAnsi="方正仿宋_GBK" w:eastAsia="方正仿宋_GBK" w:cs="方正仿宋_GBK"/>
          <w:b w:val="0"/>
          <w:bCs w:val="0"/>
          <w:kern w:val="2"/>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（13）如果提供的沙发、座椅、实木长条椅（桌）和服务与比选采购文件要求有偏离（包括正、负偏离），必须详细说明。须经比选采购小组评定和采购人许可，才能作为供应商实质性响应。</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14）报价人在合同签订后应提供沙发、座椅、实木长条椅（桌）初次设置到货后，采购人以报价人提供的样品为标准收货，货物的规格标准均以比选文件中的需求为准。如遇特殊情况，报价人需变动规格或数量（变动幅度不得高于5%），必须经采购人同意后更换相同价格、规格的货物，并及时在验收单上注明。</w:t>
      </w:r>
    </w:p>
    <w:p>
      <w:pPr>
        <w:pStyle w:val="15"/>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lang w:val="en-US" w:eastAsia="zh-CN"/>
        </w:rPr>
      </w:pPr>
      <w:r>
        <w:rPr>
          <w:rFonts w:hint="eastAsia" w:ascii="方正仿宋_GBK" w:hAnsi="方正仿宋_GBK" w:eastAsia="方正仿宋_GBK" w:cs="方正仿宋_GBK"/>
          <w:b w:val="0"/>
          <w:bCs w:val="0"/>
          <w:kern w:val="2"/>
          <w:sz w:val="28"/>
          <w:szCs w:val="28"/>
          <w:lang w:val="en-US" w:eastAsia="zh-CN" w:bidi="ar-SA"/>
        </w:rPr>
        <w:t>（15）采购人收到货物的同时填写验收单，确认货物符合要求后采购人和报价人在验收单上签字确认。</w:t>
      </w:r>
    </w:p>
    <w:p>
      <w:pPr>
        <w:pStyle w:val="15"/>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3、仿真绿植、花器及景观墙</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（1）仿真花形态逼真，仿真度高，不得出现破损、有异味、无铝线或铁丝裸露等情况。</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 xml:space="preserve">（2）花器不得出现颜色不均匀、破损、漏水、有裂痕、表面凹凸不平等情况； </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（3）报价人应严格按照采购人比选文件需求表中规格要求进行供货。</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（4）如果提供的仿真绿植、花器样品、景观墙和服务与比选采购文件要求有偏离（包括正、负偏离），必须详细说明。须经比选采购小组评定和采购人许可，才能作为供应商实质性响应。</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5）报价人在合同签订后应提供仿真绿植、花器样品、景观墙初次设置到货后，采购人以报价人提供的样品为标准收货，货物的规格标准均以比选文件中的需求为准。如遇特殊情况，报价人需变动规格或数量（变动幅度不得高于5%），必须经采购人同意后更换相同价格、规格的货物，并及时在验收单上注明。</w:t>
      </w:r>
    </w:p>
    <w:p>
      <w:pPr>
        <w:pStyle w:val="1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方正仿宋_GBK" w:hAnsi="方正仿宋_GBK" w:eastAsia="方正仿宋_GBK" w:cs="方正仿宋_GBK"/>
          <w:b w:val="0"/>
          <w:bCs w:val="0"/>
          <w:kern w:val="2"/>
          <w:sz w:val="28"/>
          <w:szCs w:val="28"/>
          <w:lang w:val="en-US" w:eastAsia="zh-CN" w:bidi="ar-SA"/>
        </w:rPr>
      </w:pPr>
      <w:r>
        <w:rPr>
          <w:rFonts w:hint="eastAsia"/>
          <w:color w:val="000000"/>
          <w:szCs w:val="28"/>
          <w:highlight w:val="none"/>
          <w:lang w:eastAsia="zh-CN"/>
        </w:rPr>
        <w:t>（</w:t>
      </w:r>
      <w:r>
        <w:rPr>
          <w:rFonts w:hint="eastAsia"/>
          <w:color w:val="000000"/>
          <w:szCs w:val="28"/>
          <w:highlight w:val="none"/>
          <w:lang w:val="en-US" w:eastAsia="zh-CN"/>
        </w:rPr>
        <w:t>6）</w:t>
      </w:r>
      <w:r>
        <w:rPr>
          <w:rFonts w:hint="eastAsia" w:ascii="方正仿宋_GBK" w:hAnsi="方正仿宋_GBK" w:eastAsia="方正仿宋_GBK" w:cs="方正仿宋_GBK"/>
          <w:b w:val="0"/>
          <w:bCs w:val="0"/>
          <w:kern w:val="2"/>
          <w:sz w:val="28"/>
          <w:szCs w:val="28"/>
          <w:lang w:val="en-US" w:eastAsia="zh-CN" w:bidi="ar-SA"/>
        </w:rPr>
        <w:t>采购人收到货物的同时填写验收单，确认货物符合要求后采购人和报价人在验收单上签字确认。</w:t>
      </w:r>
    </w:p>
    <w:p>
      <w:pPr>
        <w:keepNext w:val="0"/>
        <w:keepLines w:val="0"/>
        <w:pageBreakBefore w:val="0"/>
        <w:widowControl w:val="0"/>
        <w:kinsoku/>
        <w:wordWrap/>
        <w:overflowPunct/>
        <w:topLinePunct w:val="0"/>
        <w:autoSpaceDE/>
        <w:autoSpaceDN/>
        <w:bidi w:val="0"/>
        <w:adjustRightInd/>
        <w:snapToGrid/>
        <w:spacing w:before="120"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（7）仿真花、花器、景观墙质保期限为合同签订之日起3年，在质保期内，仿真花或景观墙若出现脱胶、缺失，花器出现颜色脱落不均匀、破裂等情况，应及时进行修复及更新。</w:t>
      </w:r>
    </w:p>
    <w:p>
      <w:pPr>
        <w:keepNext w:val="0"/>
        <w:keepLines w:val="0"/>
        <w:pageBreakBefore w:val="0"/>
        <w:widowControl w:val="0"/>
        <w:kinsoku/>
        <w:wordWrap/>
        <w:overflowPunct/>
        <w:topLinePunct w:val="0"/>
        <w:autoSpaceDE/>
        <w:autoSpaceDN/>
        <w:bidi w:val="0"/>
        <w:adjustRightInd/>
        <w:snapToGrid/>
        <w:spacing w:before="120" w:line="600" w:lineRule="exac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4、桌面摆件（亚克力）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firstLineChars="200"/>
        <w:textAlignment w:val="auto"/>
        <w:rPr>
          <w:rFonts w:hint="default"/>
          <w:lang w:val="en-US" w:eastAsia="zh-CN"/>
        </w:rPr>
      </w:pPr>
      <w:r>
        <w:rPr>
          <w:rFonts w:hint="eastAsia" w:ascii="方正仿宋_GBK" w:hAnsi="方正仿宋_GBK" w:eastAsia="方正仿宋_GBK" w:cs="方正仿宋_GBK"/>
          <w:b w:val="0"/>
          <w:bCs w:val="0"/>
          <w:kern w:val="2"/>
          <w:sz w:val="28"/>
          <w:szCs w:val="28"/>
          <w:lang w:val="en-US" w:eastAsia="zh-CN" w:bidi="ar-SA"/>
        </w:rPr>
        <w:t>桌面摆件材质应选用透光性能好、颜色纯正、美观平整、色彩亮丽的亚克力材质，符合</w:t>
      </w:r>
      <w:r>
        <w:rPr>
          <w:rFonts w:hint="default" w:ascii="方正仿宋_GBK" w:hAnsi="方正仿宋_GBK" w:eastAsia="方正仿宋_GBK" w:cs="方正仿宋_GBK"/>
          <w:b w:val="0"/>
          <w:bCs w:val="0"/>
          <w:kern w:val="2"/>
          <w:sz w:val="28"/>
          <w:szCs w:val="28"/>
          <w:lang w:val="en-US" w:eastAsia="zh-CN" w:bidi="ar-SA"/>
        </w:rPr>
        <w:t>GB</w:t>
      </w:r>
      <w:r>
        <w:rPr>
          <w:rFonts w:hint="eastAsia" w:ascii="方正仿宋_GBK" w:hAnsi="方正仿宋_GBK" w:eastAsia="方正仿宋_GBK" w:cs="方正仿宋_GBK"/>
          <w:b w:val="0"/>
          <w:bCs w:val="0"/>
          <w:kern w:val="2"/>
          <w:sz w:val="28"/>
          <w:szCs w:val="28"/>
          <w:lang w:val="en-US" w:eastAsia="zh-CN" w:bidi="ar-SA"/>
        </w:rPr>
        <w:t>/</w:t>
      </w:r>
      <w:r>
        <w:rPr>
          <w:rFonts w:hint="default" w:ascii="方正仿宋_GBK" w:hAnsi="方正仿宋_GBK" w:eastAsia="方正仿宋_GBK" w:cs="方正仿宋_GBK"/>
          <w:b w:val="0"/>
          <w:bCs w:val="0"/>
          <w:kern w:val="2"/>
          <w:sz w:val="28"/>
          <w:szCs w:val="28"/>
          <w:lang w:val="en-US" w:eastAsia="zh-CN" w:bidi="ar-SA"/>
        </w:rPr>
        <w:t>T7134-2016</w:t>
      </w:r>
      <w:r>
        <w:rPr>
          <w:rFonts w:hint="eastAsia" w:ascii="方正仿宋_GBK" w:hAnsi="方正仿宋_GBK" w:eastAsia="方正仿宋_GBK" w:cs="方正仿宋_GBK"/>
          <w:b w:val="0"/>
          <w:bCs w:val="0"/>
          <w:kern w:val="2"/>
          <w:sz w:val="28"/>
          <w:szCs w:val="28"/>
          <w:lang w:val="en-US" w:eastAsia="zh-CN" w:bidi="ar-SA"/>
        </w:rPr>
        <w:t>标准。</w:t>
      </w:r>
    </w:p>
    <w:p>
      <w:pPr>
        <w:keepNext w:val="0"/>
        <w:keepLines w:val="0"/>
        <w:pageBreakBefore w:val="0"/>
        <w:kinsoku/>
        <w:overflowPunct/>
        <w:topLinePunct w:val="0"/>
        <w:autoSpaceDE w:val="0"/>
        <w:autoSpaceDN w:val="0"/>
        <w:bidi w:val="0"/>
        <w:adjustRightInd w:val="0"/>
        <w:snapToGrid/>
        <w:spacing w:line="600" w:lineRule="exact"/>
        <w:ind w:firstLine="630" w:firstLineChars="225"/>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法人代表委托书（原件）、信誉要求证明、其它资格证明（如企业资信证明、质量体系认证等）以及服务承诺等。</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auto"/>
          <w:sz w:val="28"/>
          <w:szCs w:val="28"/>
          <w:lang w:val="zh-CN"/>
        </w:rPr>
        <w:t>企业要求：</w:t>
      </w:r>
      <w:r>
        <w:rPr>
          <w:rFonts w:hint="eastAsia" w:ascii="方正仿宋_GBK" w:hAnsi="方正仿宋_GBK" w:eastAsia="方正仿宋_GBK" w:cs="方正仿宋_GBK"/>
          <w:kern w:val="2"/>
          <w:sz w:val="28"/>
          <w:szCs w:val="28"/>
          <w:lang w:val="en-US" w:eastAsia="zh-CN" w:bidi="ar-SA"/>
        </w:rPr>
        <w:t>（1）没有处于被责令停业，投标资格被取消，财产被接管、冻结，破产状态；（2）响应人没有进入采购人黑名单库；（3）具有履行合同所必需的设备、人员和专业技术能力。</w:t>
      </w:r>
    </w:p>
    <w:p>
      <w:pPr>
        <w:keepNext w:val="0"/>
        <w:keepLines w:val="0"/>
        <w:pageBreakBefore w:val="0"/>
        <w:kinsoku/>
        <w:overflowPunct/>
        <w:topLinePunct w:val="0"/>
        <w:autoSpaceDE w:val="0"/>
        <w:autoSpaceDN w:val="0"/>
        <w:bidi w:val="0"/>
        <w:adjustRightInd w:val="0"/>
        <w:snapToGrid/>
        <w:spacing w:line="600" w:lineRule="exact"/>
        <w:ind w:firstLine="630" w:firstLineChars="225"/>
        <w:textAlignment w:val="auto"/>
        <w:rPr>
          <w:rFonts w:hint="eastAsia" w:ascii="方正仿宋_GBK" w:hAnsi="方正仿宋_GBK" w:eastAsia="方正仿宋_GBK" w:cs="方正仿宋_GBK"/>
          <w:color w:val="auto"/>
          <w:sz w:val="28"/>
          <w:szCs w:val="28"/>
          <w:lang w:val="zh-CN"/>
        </w:rPr>
      </w:pPr>
    </w:p>
    <w:p>
      <w:pPr>
        <w:keepNext w:val="0"/>
        <w:keepLines w:val="0"/>
        <w:pageBreakBefore w:val="0"/>
        <w:kinsoku/>
        <w:overflowPunct/>
        <w:topLinePunct w:val="0"/>
        <w:autoSpaceDE w:val="0"/>
        <w:autoSpaceDN w:val="0"/>
        <w:bidi w:val="0"/>
        <w:adjustRightInd w:val="0"/>
        <w:snapToGrid/>
        <w:spacing w:line="600" w:lineRule="exact"/>
        <w:ind w:firstLine="630" w:firstLineChars="225"/>
        <w:textAlignment w:val="auto"/>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keepNext w:val="0"/>
        <w:keepLines w:val="0"/>
        <w:pageBreakBefore w:val="0"/>
        <w:kinsoku/>
        <w:overflowPunct/>
        <w:topLinePunct w:val="0"/>
        <w:autoSpaceDE w:val="0"/>
        <w:autoSpaceDN w:val="0"/>
        <w:bidi w:val="0"/>
        <w:adjustRightInd w:val="0"/>
        <w:spacing w:line="60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overflowPunct/>
        <w:topLinePunct w:val="0"/>
        <w:autoSpaceDE w:val="0"/>
        <w:autoSpaceDN w:val="0"/>
        <w:bidi w:val="0"/>
        <w:adjustRightInd w:val="0"/>
        <w:spacing w:line="6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keepNext w:val="0"/>
        <w:keepLines w:val="0"/>
        <w:pageBreakBefore w:val="0"/>
        <w:kinsoku/>
        <w:overflowPunct/>
        <w:topLinePunct w:val="0"/>
        <w:autoSpaceDE w:val="0"/>
        <w:autoSpaceDN w:val="0"/>
        <w:bidi w:val="0"/>
        <w:adjustRightInd w:val="0"/>
        <w:snapToGrid w:val="0"/>
        <w:spacing w:line="60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rPr>
        <w:t>（1）招标投标法第二十二条规定的招标投标保密信息。</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overflowPunct/>
        <w:topLinePunct w:val="0"/>
        <w:autoSpaceDE w:val="0"/>
        <w:autoSpaceDN w:val="0"/>
        <w:bidi w:val="0"/>
        <w:adjustRightInd w:val="0"/>
        <w:spacing w:line="600" w:lineRule="exact"/>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overflowPunct/>
        <w:topLinePunct w:val="0"/>
        <w:autoSpaceDE w:val="0"/>
        <w:autoSpaceDN w:val="0"/>
        <w:bidi w:val="0"/>
        <w:adjustRightInd w:val="0"/>
        <w:snapToGrid w:val="0"/>
        <w:spacing w:line="60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keepNext w:val="0"/>
        <w:keepLines w:val="0"/>
        <w:pageBreakBefore w:val="0"/>
        <w:kinsoku/>
        <w:overflowPunct/>
        <w:topLinePunct w:val="0"/>
        <w:autoSpaceDE w:val="0"/>
        <w:autoSpaceDN w:val="0"/>
        <w:bidi w:val="0"/>
        <w:adjustRightInd w:val="0"/>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keepNext w:val="0"/>
        <w:keepLines w:val="0"/>
        <w:pageBreakBefore w:val="0"/>
        <w:kinsoku/>
        <w:overflowPunct/>
        <w:topLinePunct w:val="0"/>
        <w:autoSpaceDE w:val="0"/>
        <w:autoSpaceDN w:val="0"/>
        <w:bidi w:val="0"/>
        <w:adjustRightIn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keepNext w:val="0"/>
        <w:keepLines w:val="0"/>
        <w:pageBreakBefore w:val="0"/>
        <w:kinsoku/>
        <w:overflowPunct/>
        <w:topLinePunct w:val="0"/>
        <w:autoSpaceDE w:val="0"/>
        <w:autoSpaceDN w:val="0"/>
        <w:bidi w:val="0"/>
        <w:adjustRightInd w:val="0"/>
        <w:spacing w:line="6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kinsoku/>
        <w:overflowPunct/>
        <w:topLinePunct w:val="0"/>
        <w:autoSpaceDE w:val="0"/>
        <w:autoSpaceDN w:val="0"/>
        <w:bidi w:val="0"/>
        <w:adjustRightInd w:val="0"/>
        <w:snapToGrid w:val="0"/>
        <w:spacing w:line="60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keepNext w:val="0"/>
        <w:keepLines w:val="0"/>
        <w:pageBreakBefore w:val="0"/>
        <w:widowControl/>
        <w:kinsoku/>
        <w:overflowPunct/>
        <w:topLinePunct w:val="0"/>
        <w:bidi w:val="0"/>
        <w:adjustRightInd w:val="0"/>
        <w:snapToGrid w:val="0"/>
        <w:spacing w:line="600" w:lineRule="exact"/>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color w:val="auto"/>
          <w:kern w:val="0"/>
          <w:sz w:val="28"/>
          <w:szCs w:val="28"/>
        </w:rPr>
        <w:t>在</w:t>
      </w:r>
      <w:r>
        <w:rPr>
          <w:rFonts w:hint="eastAsia" w:ascii="方正仿宋_GBK" w:hAnsi="方正仿宋_GBK" w:eastAsia="方正仿宋_GBK" w:cs="方正仿宋_GBK"/>
          <w:color w:val="auto"/>
          <w:kern w:val="0"/>
          <w:sz w:val="28"/>
          <w:szCs w:val="28"/>
          <w:u w:val="none"/>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8</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18</w:t>
      </w:r>
      <w:r>
        <w:rPr>
          <w:rFonts w:hint="eastAsia" w:ascii="方正仿宋_GBK" w:hAnsi="方正仿宋_GBK" w:eastAsia="方正仿宋_GBK" w:cs="方正仿宋_GBK"/>
          <w:color w:val="auto"/>
          <w:kern w:val="0"/>
          <w:sz w:val="28"/>
          <w:szCs w:val="28"/>
          <w:u w:val="none"/>
        </w:rPr>
        <w:t>日9:00至10:00时</w:t>
      </w:r>
      <w:r>
        <w:rPr>
          <w:rFonts w:hint="eastAsia" w:ascii="方正仿宋_GBK" w:hAnsi="方正仿宋_GBK" w:eastAsia="方正仿宋_GBK" w:cs="方正仿宋_GBK"/>
          <w:color w:val="auto"/>
          <w:kern w:val="0"/>
          <w:sz w:val="28"/>
          <w:szCs w:val="28"/>
        </w:rPr>
        <w:t>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keepNext w:val="0"/>
        <w:keepLines w:val="0"/>
        <w:pageBreakBefore w:val="0"/>
        <w:widowControl/>
        <w:kinsoku/>
        <w:overflowPunct/>
        <w:topLinePunct w:val="0"/>
        <w:bidi w:val="0"/>
        <w:adjustRightInd w:val="0"/>
        <w:snapToGrid w:val="0"/>
        <w:spacing w:line="60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sz w:val="28"/>
          <w:szCs w:val="28"/>
          <w:lang w:val="en-US" w:eastAsia="zh-CN"/>
        </w:rPr>
        <w:t xml:space="preserve"> 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8</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18</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sz w:val="28"/>
          <w:szCs w:val="28"/>
          <w:u w:val="none"/>
        </w:rPr>
        <w:t>10:00</w:t>
      </w:r>
      <w:r>
        <w:rPr>
          <w:rFonts w:hint="eastAsia" w:ascii="方正仿宋_GBK" w:hAnsi="方正仿宋_GBK" w:eastAsia="方正仿宋_GBK" w:cs="方正仿宋_GBK"/>
          <w:color w:val="auto"/>
          <w:sz w:val="28"/>
          <w:szCs w:val="28"/>
        </w:rPr>
        <w:t>时在</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kinsoku/>
        <w:overflowPunct/>
        <w:topLinePunct w:val="0"/>
        <w:bidi w:val="0"/>
        <w:adjustRightInd w:val="0"/>
        <w:snapToGrid w:val="0"/>
        <w:spacing w:line="600" w:lineRule="exact"/>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5"/>
        <w:keepNext w:val="0"/>
        <w:keepLines w:val="0"/>
        <w:pageBreakBefore w:val="0"/>
        <w:kinsoku/>
        <w:overflowPunct/>
        <w:topLinePunct w:val="0"/>
        <w:bidi w:val="0"/>
        <w:spacing w:line="6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keepNext w:val="0"/>
        <w:keepLines w:val="0"/>
        <w:pageBreakBefore w:val="0"/>
        <w:kinsoku/>
        <w:overflowPunct/>
        <w:topLinePunct w:val="0"/>
        <w:autoSpaceDE w:val="0"/>
        <w:autoSpaceDN w:val="0"/>
        <w:bidi w:val="0"/>
        <w:adjustRightInd w:val="0"/>
        <w:snapToGrid w:val="0"/>
        <w:spacing w:line="600" w:lineRule="exact"/>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w:t>
      </w:r>
      <w:bookmarkStart w:id="15" w:name="_GoBack"/>
      <w:bookmarkEnd w:id="15"/>
      <w:r>
        <w:rPr>
          <w:rFonts w:hint="eastAsia" w:ascii="方正仿宋_GBK" w:hAnsi="方正仿宋_GBK" w:eastAsia="方正仿宋_GBK" w:cs="方正仿宋_GBK"/>
          <w:sz w:val="28"/>
          <w:szCs w:val="28"/>
        </w:rPr>
        <w:t>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overflowPunct/>
        <w:topLinePunct w:val="0"/>
        <w:bidi w:val="0"/>
        <w:snapToGrid w:val="0"/>
        <w:spacing w:line="60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keepNext w:val="0"/>
        <w:keepLines w:val="0"/>
        <w:pageBreakBefore w:val="0"/>
        <w:kinsoku/>
        <w:overflowPunct/>
        <w:topLinePunct w:val="0"/>
        <w:bidi w:val="0"/>
        <w:snapToGrid w:val="0"/>
        <w:spacing w:line="60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keepNext w:val="0"/>
        <w:keepLines w:val="0"/>
        <w:pageBreakBefore w:val="0"/>
        <w:kinsoku/>
        <w:overflowPunct/>
        <w:topLinePunct w:val="0"/>
        <w:bidi w:val="0"/>
        <w:snapToGrid w:val="0"/>
        <w:spacing w:line="600" w:lineRule="exact"/>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keepNext w:val="0"/>
        <w:keepLines w:val="0"/>
        <w:pageBreakBefore w:val="0"/>
        <w:kinsoku/>
        <w:overflowPunct/>
        <w:topLinePunct w:val="0"/>
        <w:bidi w:val="0"/>
        <w:snapToGrid w:val="0"/>
        <w:spacing w:line="60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keepNext w:val="0"/>
        <w:keepLines w:val="0"/>
        <w:pageBreakBefore w:val="0"/>
        <w:kinsoku/>
        <w:overflowPunct/>
        <w:topLinePunct w:val="0"/>
        <w:bidi w:val="0"/>
        <w:snapToGrid w:val="0"/>
        <w:spacing w:line="60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keepNext w:val="0"/>
        <w:keepLines w:val="0"/>
        <w:pageBreakBefore w:val="0"/>
        <w:kinsoku/>
        <w:overflowPunct/>
        <w:topLinePunct w:val="0"/>
        <w:bidi w:val="0"/>
        <w:snapToGrid w:val="0"/>
        <w:spacing w:line="600" w:lineRule="exact"/>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wordWrap w:val="0"/>
        <w:spacing w:line="300" w:lineRule="exact"/>
        <w:jc w:val="both"/>
        <w:rPr>
          <w:rFonts w:hint="eastAsia" w:ascii="黑体" w:hAnsi="黑体" w:eastAsia="黑体"/>
          <w:sz w:val="24"/>
        </w:rPr>
      </w:pPr>
    </w:p>
    <w:p>
      <w:pPr>
        <w:wordWrap w:val="0"/>
        <w:spacing w:line="300" w:lineRule="exact"/>
        <w:jc w:val="both"/>
        <w:rPr>
          <w:rFonts w:hint="eastAsia" w:ascii="黑体" w:hAnsi="黑体" w:eastAsia="黑体"/>
          <w:sz w:val="24"/>
        </w:rPr>
      </w:pPr>
    </w:p>
    <w:p>
      <w:pPr>
        <w:wordWrap w:val="0"/>
        <w:spacing w:line="300" w:lineRule="exact"/>
        <w:jc w:val="both"/>
        <w:rPr>
          <w:rFonts w:hint="eastAsia" w:ascii="黑体" w:hAnsi="黑体" w:eastAsia="黑体"/>
          <w:sz w:val="24"/>
        </w:rPr>
      </w:pPr>
    </w:p>
    <w:p>
      <w:pPr>
        <w:wordWrap w:val="0"/>
        <w:spacing w:line="300" w:lineRule="exact"/>
        <w:jc w:val="both"/>
        <w:rPr>
          <w:rFonts w:hint="eastAsia" w:ascii="黑体" w:hAnsi="黑体" w:eastAsia="黑体"/>
          <w:sz w:val="24"/>
        </w:rPr>
      </w:pPr>
    </w:p>
    <w:p>
      <w:pPr>
        <w:wordWrap w:val="0"/>
        <w:spacing w:line="300" w:lineRule="exact"/>
        <w:ind w:firstLine="6480" w:firstLineChars="2700"/>
        <w:jc w:val="both"/>
        <w:rPr>
          <w:rFonts w:hint="eastAsia" w:ascii="黑体" w:hAnsi="黑体" w:eastAsia="黑体"/>
          <w:sz w:val="24"/>
        </w:rPr>
      </w:pPr>
    </w:p>
    <w:p>
      <w:pPr>
        <w:wordWrap w:val="0"/>
        <w:spacing w:line="300" w:lineRule="exact"/>
        <w:ind w:firstLine="6480" w:firstLineChars="2700"/>
        <w:jc w:val="both"/>
        <w:rPr>
          <w:rFonts w:hint="eastAsia" w:ascii="黑体" w:hAnsi="黑体" w:eastAsia="黑体"/>
          <w:sz w:val="24"/>
        </w:rPr>
      </w:pPr>
    </w:p>
    <w:p>
      <w:pPr>
        <w:wordWrap w:val="0"/>
        <w:spacing w:line="300" w:lineRule="exact"/>
        <w:ind w:firstLine="6480" w:firstLineChars="2700"/>
        <w:jc w:val="both"/>
        <w:rPr>
          <w:rFonts w:hint="eastAsia" w:ascii="黑体" w:hAnsi="黑体" w:eastAsia="黑体"/>
          <w:sz w:val="24"/>
        </w:rPr>
      </w:pPr>
    </w:p>
    <w:p>
      <w:pPr>
        <w:wordWrap w:val="0"/>
        <w:spacing w:line="300" w:lineRule="exact"/>
        <w:ind w:firstLine="6480" w:firstLineChars="2700"/>
        <w:jc w:val="both"/>
        <w:rPr>
          <w:rFonts w:hint="eastAsia" w:ascii="黑体" w:hAnsi="黑体" w:eastAsia="黑体"/>
          <w:sz w:val="24"/>
        </w:rPr>
      </w:pPr>
    </w:p>
    <w:p>
      <w:pPr>
        <w:wordWrap w:val="0"/>
        <w:spacing w:line="300" w:lineRule="exact"/>
        <w:ind w:firstLine="6480" w:firstLineChars="2700"/>
        <w:jc w:val="both"/>
        <w:rPr>
          <w:rFonts w:ascii="Times New Roman" w:hAnsi="Times New Roman" w:cs="Times New Roman"/>
          <w:b/>
          <w:sz w:val="44"/>
          <w:lang w:eastAsia="zh-CN"/>
        </w:rPr>
      </w:pPr>
      <w:r>
        <w:rPr>
          <w:rFonts w:hint="eastAsia" w:ascii="黑体" w:hAnsi="黑体" w:eastAsia="黑体"/>
          <w:sz w:val="24"/>
        </w:rPr>
        <w:t>合同编号：CQA</w:t>
      </w:r>
      <w:r>
        <w:rPr>
          <w:rFonts w:hint="eastAsia"/>
          <w:lang w:eastAsia="zh-CN"/>
        </w:rPr>
        <w:t xml:space="preserve"> </w:t>
      </w:r>
      <w:r>
        <w:rPr>
          <w:lang w:eastAsia="zh-CN"/>
        </w:rPr>
        <w:t xml:space="preserve">           </w:t>
      </w:r>
      <w:r>
        <w:rPr>
          <w:rFonts w:ascii="Times New Roman" w:hAnsi="Times New Roman" w:cs="Times New Roman"/>
          <w:b/>
          <w:sz w:val="44"/>
          <w:lang w:eastAsia="zh-CN"/>
        </w:rPr>
        <w:t>_____________________________</w:t>
      </w:r>
    </w:p>
    <w:p>
      <w:pPr>
        <w:pStyle w:val="34"/>
        <w:ind w:firstLine="0" w:firstLineChars="0"/>
        <w:jc w:val="both"/>
        <w:rPr>
          <w:rFonts w:hint="eastAsia"/>
          <w:color w:val="auto"/>
          <w:lang w:val="en-US" w:eastAsia="zh-CN"/>
        </w:rPr>
      </w:pPr>
    </w:p>
    <w:p>
      <w:pPr>
        <w:pStyle w:val="34"/>
        <w:ind w:firstLine="0" w:firstLineChars="0"/>
        <w:jc w:val="center"/>
        <w:rPr>
          <w:rFonts w:hint="eastAsia"/>
          <w:color w:val="auto"/>
          <w:lang w:val="en-US" w:eastAsia="zh-CN"/>
        </w:rPr>
      </w:pPr>
    </w:p>
    <w:p>
      <w:pPr>
        <w:pStyle w:val="34"/>
        <w:ind w:firstLine="0" w:firstLineChars="0"/>
        <w:jc w:val="center"/>
        <w:rPr>
          <w:rFonts w:hint="eastAsia"/>
          <w:color w:val="auto"/>
          <w:lang w:val="en-US" w:eastAsia="zh-CN"/>
        </w:rPr>
      </w:pPr>
      <w:r>
        <w:rPr>
          <w:rFonts w:hint="eastAsia"/>
          <w:color w:val="auto"/>
          <w:lang w:val="en-US" w:eastAsia="zh-CN"/>
        </w:rPr>
        <w:t>重庆江北国际机场T2航站楼B指廊共享办公区</w:t>
      </w:r>
    </w:p>
    <w:p>
      <w:pPr>
        <w:pStyle w:val="34"/>
        <w:ind w:firstLine="0" w:firstLineChars="0"/>
        <w:jc w:val="center"/>
        <w:rPr>
          <w:rFonts w:ascii="Times New Roman" w:hAnsi="Times New Roman" w:cs="Times New Roman"/>
          <w:b/>
          <w:sz w:val="44"/>
          <w:lang w:eastAsia="zh-CN"/>
        </w:rPr>
      </w:pPr>
      <w:r>
        <w:rPr>
          <w:rFonts w:hint="eastAsia"/>
          <w:color w:val="auto"/>
          <w:lang w:val="en-US" w:eastAsia="zh-CN"/>
        </w:rPr>
        <w:t>采购项目</w:t>
      </w:r>
      <w:r>
        <w:rPr>
          <w:rFonts w:hint="eastAsia"/>
          <w:color w:val="auto"/>
        </w:rPr>
        <w:t>合同</w:t>
      </w: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hint="eastAsia" w:ascii="宋体" w:hAnsi="宋体" w:eastAsia="宋体"/>
          <w:b/>
          <w:sz w:val="32"/>
          <w:szCs w:val="32"/>
          <w:lang w:eastAsia="zh-CN"/>
        </w:rPr>
      </w:pPr>
      <w:r>
        <w:rPr>
          <w:rFonts w:hint="eastAsia" w:ascii="宋体" w:hAnsi="宋体" w:eastAsia="宋体"/>
          <w:b/>
          <w:sz w:val="32"/>
          <w:szCs w:val="32"/>
          <w:lang w:eastAsia="zh-CN"/>
        </w:rPr>
        <w:t>甲方：重庆江北国际机场有限公司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p>
      <w:pPr>
        <w:ind w:firstLine="422" w:firstLineChars="200"/>
        <w:rPr>
          <w:rFonts w:cs="宋体"/>
          <w:b/>
          <w:bCs/>
          <w:lang w:eastAsia="zh-CN"/>
        </w:rPr>
        <w:sectPr>
          <w:headerReference r:id="rId3" w:type="default"/>
          <w:footerReference r:id="rId4" w:type="default"/>
          <w:pgSz w:w="12240" w:h="15840"/>
          <w:pgMar w:top="1440" w:right="1440" w:bottom="1440" w:left="1440" w:header="720" w:footer="720" w:gutter="0"/>
          <w:pgNumType w:fmt="decimal"/>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8"/>
            <w:jc w:val="center"/>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20"/>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20"/>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20"/>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20"/>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20"/>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20"/>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20"/>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20"/>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20"/>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20"/>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20"/>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20"/>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20"/>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20"/>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fmt="decimal"/>
          <w:cols w:space="720" w:num="1"/>
        </w:sectPr>
      </w:pPr>
    </w:p>
    <w:p>
      <w:pPr>
        <w:ind w:firstLine="422" w:firstLineChars="200"/>
        <w:rPr>
          <w:rFonts w:cs="宋体"/>
          <w:b/>
          <w:bCs/>
          <w:lang w:eastAsia="zh-CN"/>
        </w:rPr>
      </w:pPr>
    </w:p>
    <w:p>
      <w:pPr>
        <w:pStyle w:val="5"/>
        <w:ind w:firstLine="602"/>
        <w:rPr>
          <w:rFonts w:hint="eastAsia" w:eastAsia="仿宋_GB2312"/>
          <w:b/>
          <w:bCs/>
          <w:lang w:val="en-US" w:eastAsia="zh-CN"/>
        </w:rPr>
      </w:pPr>
      <w:r>
        <w:rPr>
          <w:rFonts w:hint="eastAsia"/>
          <w:b/>
          <w:bCs/>
          <w:lang w:eastAsia="zh-CN"/>
        </w:rPr>
        <w:t>甲方（买方）：重庆江北国际机场有限公司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甲乙双方依照《中华人民共和国合同法》及相关法律、法规规定，本着平等、自愿的原则，经友好协商，现就甲方向乙方购买</w:t>
      </w:r>
      <w:r>
        <w:rPr>
          <w:rFonts w:hint="eastAsia" w:hAnsi="仿宋_GB2312" w:cs="宋体"/>
          <w:lang w:eastAsia="zh-CN"/>
        </w:rPr>
        <w:t>T2航站楼</w:t>
      </w:r>
      <w:r>
        <w:rPr>
          <w:rFonts w:hint="eastAsia" w:hAnsi="仿宋_GB2312" w:cs="宋体"/>
          <w:lang w:val="en-US" w:eastAsia="zh-CN"/>
        </w:rPr>
        <w:t>B指廊共享办公区所需长条桌、沙发、椅子、仿真绿植、PVC防火地毯等设施设备及景观装饰物事宜</w:t>
      </w:r>
      <w:r>
        <w:rPr>
          <w:rFonts w:hint="eastAsia" w:hAnsi="仿宋_GB2312" w:cs="宋体"/>
          <w:lang w:eastAsia="zh-CN"/>
        </w:rPr>
        <w:t>，</w:t>
      </w:r>
      <w:r>
        <w:rPr>
          <w:rFonts w:hint="eastAsia" w:hAnsi="仿宋_GB2312"/>
          <w:lang w:eastAsia="zh-CN"/>
        </w:rPr>
        <w:t>（并运送，安装，调试，维护）</w:t>
      </w:r>
      <w:r>
        <w:rPr>
          <w:rFonts w:hAnsi="仿宋_GB2312"/>
          <w:lang w:eastAsia="zh-CN"/>
        </w:rPr>
        <w:t>事宜达成一致，签订本协议。：</w:t>
      </w:r>
    </w:p>
    <w:p>
      <w:pPr>
        <w:pStyle w:val="4"/>
        <w:ind w:firstLine="640"/>
        <w:rPr>
          <w:lang w:eastAsia="zh-CN"/>
        </w:rPr>
      </w:pPr>
      <w:bookmarkStart w:id="0"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0"/>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8"/>
        <w:tblW w:w="8721"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名称</w:t>
            </w: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品牌</w:t>
            </w: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数量</w:t>
            </w: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单价</w:t>
            </w: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总计</w:t>
            </w: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hint="eastAsia"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hint="eastAsia"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6"/>
              <w:spacing w:before="0" w:after="0" w:line="560" w:lineRule="exact"/>
              <w:ind w:firstLine="0" w:firstLineChars="0"/>
              <w:rPr>
                <w:rFonts w:hint="eastAsia" w:ascii="仿宋_GB2312" w:hAnsi="仿宋_GB2312" w:eastAsia="仿宋_GB2312" w:cs="宋体"/>
                <w:color w:val="000000"/>
                <w:sz w:val="24"/>
                <w:szCs w:val="24"/>
                <w:lang w:eastAsia="zh-CN"/>
              </w:rPr>
            </w:pPr>
          </w:p>
        </w:tc>
        <w:tc>
          <w:tcPr>
            <w:tcW w:w="1206"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6"/>
              <w:spacing w:before="0" w:after="0" w:line="560" w:lineRule="exact"/>
              <w:ind w:firstLine="0" w:firstLineChars="0"/>
              <w:rPr>
                <w:rFonts w:ascii="仿宋_GB2312" w:hAnsi="仿宋_GB2312" w:eastAsia="仿宋_GB2312" w:cs="宋体"/>
                <w:color w:val="000000"/>
                <w:sz w:val="24"/>
                <w:szCs w:val="24"/>
                <w:lang w:eastAsia="zh-CN"/>
              </w:rPr>
            </w:pPr>
          </w:p>
        </w:tc>
      </w:tr>
    </w:tbl>
    <w:p>
      <w:pPr>
        <w:pStyle w:val="5"/>
        <w:ind w:firstLine="600"/>
        <w:rPr>
          <w:lang w:eastAsia="zh-CN"/>
        </w:rPr>
      </w:pPr>
      <w:r>
        <w:rPr>
          <w:rFonts w:hint="eastAsia"/>
          <w:lang w:eastAsia="zh-CN"/>
        </w:rPr>
        <w:t>（以下能明确的尽量明确）</w:t>
      </w:r>
    </w:p>
    <w:p>
      <w:pPr>
        <w:pStyle w:val="4"/>
        <w:ind w:firstLine="640"/>
        <w:rPr>
          <w:lang w:eastAsia="zh-CN"/>
        </w:rPr>
      </w:pPr>
      <w:bookmarkStart w:id="1" w:name="_Toc25588101"/>
      <w:r>
        <w:rPr>
          <w:lang w:eastAsia="zh-CN"/>
        </w:rPr>
        <w:t>第</w:t>
      </w:r>
      <w:r>
        <w:rPr>
          <w:rFonts w:hint="eastAsia"/>
          <w:lang w:eastAsia="zh-CN"/>
        </w:rPr>
        <w:t>二</w:t>
      </w:r>
      <w:r>
        <w:rPr>
          <w:lang w:eastAsia="zh-CN"/>
        </w:rPr>
        <w:t>条 合同价款</w:t>
      </w:r>
      <w:bookmarkEnd w:id="1"/>
    </w:p>
    <w:p>
      <w:pPr>
        <w:pStyle w:val="5"/>
        <w:ind w:firstLine="600"/>
        <w:rPr>
          <w:color w:val="auto"/>
          <w:lang w:eastAsia="zh-CN"/>
        </w:rPr>
      </w:pPr>
      <w:r>
        <w:rPr>
          <w:lang w:eastAsia="zh-CN"/>
        </w:rPr>
        <w:t xml:space="preserve">2.1 </w:t>
      </w:r>
      <w:r>
        <w:rPr>
          <w:color w:val="auto"/>
          <w:lang w:eastAsia="zh-CN"/>
        </w:rPr>
        <w:t>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00"/>
        <w:rPr>
          <w:lang w:eastAsia="zh-CN"/>
        </w:rPr>
      </w:pPr>
      <w:r>
        <w:rPr>
          <w:lang w:eastAsia="zh-CN"/>
        </w:rPr>
        <w:t>2.2 合同价款含保险费</w:t>
      </w:r>
      <w:r>
        <w:rPr>
          <w:rFonts w:hint="eastAsia"/>
          <w:lang w:eastAsia="zh-CN"/>
        </w:rPr>
        <w:t>、</w:t>
      </w:r>
      <w:r>
        <w:rPr>
          <w:lang w:eastAsia="zh-CN"/>
        </w:rPr>
        <w:t>运输费等</w:t>
      </w:r>
      <w:r>
        <w:rPr>
          <w:rFonts w:hint="eastAsia"/>
          <w:lang w:eastAsia="zh-CN"/>
        </w:rPr>
        <w:t>全部费用</w:t>
      </w:r>
      <w:r>
        <w:rPr>
          <w:lang w:eastAsia="zh-CN"/>
        </w:rPr>
        <w:t>。</w:t>
      </w:r>
    </w:p>
    <w:p>
      <w:pPr>
        <w:pStyle w:val="5"/>
        <w:ind w:firstLine="600"/>
        <w:rPr>
          <w:lang w:eastAsia="zh-CN"/>
        </w:rPr>
      </w:pPr>
    </w:p>
    <w:p>
      <w:pPr>
        <w:pStyle w:val="4"/>
        <w:ind w:firstLine="640"/>
        <w:rPr>
          <w:lang w:eastAsia="zh-CN"/>
        </w:rPr>
      </w:pPr>
      <w:bookmarkStart w:id="2"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2"/>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val="en-US" w:eastAsia="zh-CN"/>
        </w:rPr>
        <w:t>3</w:t>
      </w:r>
      <w:r>
        <w:rPr>
          <w:rFonts w:hint="eastAsia"/>
          <w:lang w:eastAsia="zh-CN"/>
        </w:rPr>
        <w:t>年，自货到并验收合格之日起算。</w:t>
      </w:r>
    </w:p>
    <w:p>
      <w:pPr>
        <w:pStyle w:val="4"/>
        <w:ind w:firstLine="640"/>
        <w:rPr>
          <w:color w:val="auto"/>
          <w:lang w:eastAsia="zh-CN"/>
        </w:rPr>
      </w:pPr>
      <w:bookmarkStart w:id="3" w:name="_Toc25588103"/>
      <w:r>
        <w:rPr>
          <w:color w:val="auto"/>
          <w:lang w:eastAsia="zh-CN"/>
        </w:rPr>
        <w:t>第</w:t>
      </w:r>
      <w:r>
        <w:rPr>
          <w:rFonts w:hint="eastAsia"/>
          <w:color w:val="auto"/>
          <w:lang w:eastAsia="zh-CN"/>
        </w:rPr>
        <w:t>四</w:t>
      </w:r>
      <w:r>
        <w:rPr>
          <w:color w:val="auto"/>
          <w:lang w:eastAsia="zh-CN"/>
        </w:rPr>
        <w:t>条 交货日期、方式和地点</w:t>
      </w:r>
      <w:bookmarkEnd w:id="3"/>
    </w:p>
    <w:p>
      <w:pPr>
        <w:pStyle w:val="5"/>
        <w:ind w:firstLine="600"/>
        <w:rPr>
          <w:rFonts w:hint="eastAsia"/>
          <w:color w:val="auto"/>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前完成全部所需设施的交货，交货地点：</w:t>
      </w:r>
      <w:r>
        <w:rPr>
          <w:rFonts w:hint="eastAsia"/>
          <w:color w:val="auto"/>
          <w:u w:val="single"/>
          <w:lang w:eastAsia="zh-CN"/>
        </w:rPr>
        <w:t>重庆江北国际机场</w:t>
      </w:r>
      <w:r>
        <w:rPr>
          <w:rFonts w:hint="eastAsia"/>
          <w:color w:val="auto"/>
          <w:u w:val="single"/>
          <w:lang w:val="en-US" w:eastAsia="zh-CN"/>
        </w:rPr>
        <w:t>T2航站楼B指廊候机区</w:t>
      </w:r>
      <w:r>
        <w:rPr>
          <w:rFonts w:hint="eastAsia"/>
          <w:color w:val="auto"/>
          <w:lang w:eastAsia="zh-CN"/>
        </w:rPr>
        <w:t>。（需安装调试培训的，以安装调试培训完成，并正常适用为完成交货义务）</w:t>
      </w:r>
    </w:p>
    <w:p>
      <w:pPr>
        <w:pStyle w:val="5"/>
        <w:ind w:firstLine="600"/>
        <w:rPr>
          <w:rFonts w:hint="default" w:cs="宋体"/>
          <w:color w:val="auto"/>
          <w:lang w:val="en-US" w:eastAsia="zh-CN"/>
        </w:rPr>
      </w:pPr>
      <w:r>
        <w:rPr>
          <w:rFonts w:hint="eastAsia"/>
          <w:color w:val="auto"/>
          <w:lang w:val="en-US" w:eastAsia="zh-CN"/>
        </w:rPr>
        <w:t xml:space="preserve">4.2 </w:t>
      </w:r>
      <w:r>
        <w:rPr>
          <w:rFonts w:hint="eastAsia" w:cs="宋体"/>
          <w:color w:val="auto"/>
          <w:lang w:val="en-US" w:eastAsia="zh-CN"/>
        </w:rPr>
        <w:t>所采购的设施的初次供应需自合同签订之日起20日内按甲方要求提供样品，50日内所采购物品要到货，70日内完成项目的验收工作。</w:t>
      </w:r>
    </w:p>
    <w:p>
      <w:pPr>
        <w:pStyle w:val="4"/>
        <w:ind w:firstLine="640"/>
        <w:rPr>
          <w:lang w:eastAsia="zh-CN"/>
        </w:rPr>
      </w:pPr>
      <w:bookmarkStart w:id="4" w:name="_Toc25588104"/>
      <w:r>
        <w:rPr>
          <w:lang w:eastAsia="zh-CN"/>
        </w:rPr>
        <w:t>第</w:t>
      </w:r>
      <w:r>
        <w:rPr>
          <w:rFonts w:hint="eastAsia"/>
          <w:lang w:eastAsia="zh-CN"/>
        </w:rPr>
        <w:t>五</w:t>
      </w:r>
      <w:r>
        <w:rPr>
          <w:lang w:eastAsia="zh-CN"/>
        </w:rPr>
        <w:t>条 验收办法</w:t>
      </w:r>
      <w:bookmarkEnd w:id="4"/>
    </w:p>
    <w:p>
      <w:pPr>
        <w:pStyle w:val="5"/>
        <w:ind w:firstLine="600"/>
        <w:rPr>
          <w:rFonts w:hint="eastAsia"/>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spacing w:before="120" w:line="360" w:lineRule="auto"/>
        <w:ind w:firstLine="440"/>
        <w:rPr>
          <w:rFonts w:hint="eastAsia" w:ascii="仿宋_GB2312" w:hAnsi="仿宋" w:eastAsia="仿宋_GB2312" w:cs="宋体"/>
          <w:color w:val="000000"/>
          <w:kern w:val="0"/>
          <w:sz w:val="30"/>
          <w:szCs w:val="30"/>
          <w:lang w:val="en-US" w:eastAsia="zh-CN" w:bidi="ar-SA"/>
        </w:rPr>
      </w:pPr>
      <w:r>
        <w:rPr>
          <w:rFonts w:hint="eastAsia" w:ascii="仿宋_GB2312" w:hAnsi="仿宋" w:eastAsia="仿宋_GB2312" w:cs="宋体"/>
          <w:color w:val="000000"/>
          <w:kern w:val="0"/>
          <w:sz w:val="30"/>
          <w:szCs w:val="30"/>
          <w:lang w:val="en-US" w:eastAsia="zh-CN" w:bidi="ar-SA"/>
        </w:rPr>
        <w:t>5.2该项目所需设施等抵现场后，甲乙双方共同对货物进行检查，符合比选文件的标准规范要求。</w:t>
      </w:r>
    </w:p>
    <w:p>
      <w:pPr>
        <w:spacing w:before="120" w:line="360" w:lineRule="auto"/>
        <w:ind w:firstLine="440"/>
        <w:rPr>
          <w:rFonts w:hint="default"/>
          <w:highlight w:val="none"/>
          <w:lang w:val="en-US" w:eastAsia="zh-CN"/>
        </w:rPr>
      </w:pPr>
      <w:r>
        <w:rPr>
          <w:rFonts w:hint="eastAsia" w:ascii="仿宋_GB2312" w:hAnsi="仿宋" w:eastAsia="仿宋_GB2312" w:cs="宋体"/>
          <w:color w:val="000000"/>
          <w:kern w:val="2"/>
          <w:sz w:val="30"/>
          <w:szCs w:val="30"/>
          <w:highlight w:val="none"/>
          <w:lang w:val="en-US" w:eastAsia="zh-CN" w:bidi="ar-SA"/>
        </w:rPr>
        <w:t>5.3甲方以乙方提供的样品为标准收货，货物的规格标准均以比选文件中的需求为准。如遇特殊情况，乙方需变动规格或数量（变动幅度不得高于5%），必须经甲方同意后更换相同价格、规格的货物，并及时在验收单上注明。</w:t>
      </w:r>
    </w:p>
    <w:p>
      <w:pPr>
        <w:pStyle w:val="15"/>
        <w:rPr>
          <w:rFonts w:hint="eastAsia"/>
          <w:lang w:val="en-US" w:eastAsia="zh-CN"/>
        </w:rPr>
      </w:pPr>
    </w:p>
    <w:p>
      <w:pPr>
        <w:spacing w:before="120" w:line="360" w:lineRule="auto"/>
        <w:ind w:firstLine="440"/>
        <w:rPr>
          <w:rFonts w:hint="eastAsia" w:ascii="仿宋_GB2312" w:hAnsi="仿宋" w:eastAsia="仿宋_GB2312" w:cs="宋体"/>
          <w:color w:val="000000"/>
          <w:kern w:val="0"/>
          <w:sz w:val="30"/>
          <w:szCs w:val="30"/>
          <w:lang w:val="en-US" w:eastAsia="zh-CN" w:bidi="ar-SA"/>
        </w:rPr>
      </w:pPr>
      <w:r>
        <w:rPr>
          <w:rFonts w:hint="eastAsia" w:ascii="仿宋_GB2312" w:hAnsi="仿宋" w:eastAsia="仿宋_GB2312" w:cs="宋体"/>
          <w:color w:val="000000"/>
          <w:kern w:val="0"/>
          <w:sz w:val="30"/>
          <w:szCs w:val="30"/>
          <w:lang w:val="en-US" w:eastAsia="zh-CN" w:bidi="ar-SA"/>
        </w:rPr>
        <w:t>5.4甲方收到合同内容所需设施的同时填写验收单，确认符合要求后甲乙双方在验收单上签字确认。</w:t>
      </w:r>
    </w:p>
    <w:p>
      <w:pPr>
        <w:pStyle w:val="4"/>
        <w:ind w:firstLine="640"/>
        <w:rPr>
          <w:lang w:eastAsia="zh-CN"/>
        </w:rPr>
      </w:pPr>
      <w:bookmarkStart w:id="5" w:name="_Toc25588105"/>
      <w:r>
        <w:rPr>
          <w:rFonts w:hint="eastAsia"/>
          <w:lang w:eastAsia="zh-CN"/>
        </w:rPr>
        <w:t>第六条 保证金</w:t>
      </w:r>
      <w:bookmarkEnd w:id="5"/>
    </w:p>
    <w:p>
      <w:pPr>
        <w:pStyle w:val="5"/>
        <w:ind w:firstLine="600"/>
        <w:rPr>
          <w:lang w:eastAsia="zh-CN"/>
        </w:rPr>
      </w:pPr>
      <w:r>
        <w:rPr>
          <w:rFonts w:hint="eastAsia"/>
          <w:lang w:eastAsia="zh-CN"/>
        </w:rPr>
        <w:t>6.1 乙</w:t>
      </w:r>
      <w:r>
        <w:rPr>
          <w:rFonts w:hint="eastAsia"/>
          <w:color w:val="auto"/>
          <w:lang w:eastAsia="zh-CN"/>
        </w:rPr>
        <w:t>方应在</w:t>
      </w:r>
      <w:r>
        <w:rPr>
          <w:rStyle w:val="39"/>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u w:val="single"/>
          <w:lang w:eastAsia="zh-CN"/>
        </w:rPr>
        <w:t xml:space="preserve">        </w:t>
      </w:r>
      <w:r>
        <w:rPr>
          <w:rFonts w:hint="eastAsia"/>
          <w:lang w:eastAsia="zh-CN"/>
        </w:rPr>
        <w:t>以</w:t>
      </w:r>
      <w:r>
        <w:rPr>
          <w:rFonts w:hint="eastAsia"/>
          <w:u w:val="single"/>
          <w:lang w:eastAsia="zh-CN"/>
        </w:rPr>
        <w:t xml:space="preserve">      </w:t>
      </w:r>
      <w:r>
        <w:rPr>
          <w:rFonts w:hint="eastAsia"/>
          <w:lang w:eastAsia="zh-CN"/>
        </w:rPr>
        <w:t>形式向甲方缴纳履约保证金，以作为乙方履行本合同项下相关义务的担保。履约保证金为合同总价款的</w:t>
      </w:r>
      <w:r>
        <w:rPr>
          <w:rFonts w:hint="eastAsia"/>
          <w:lang w:val="en-US" w:eastAsia="zh-CN"/>
        </w:rPr>
        <w:t>20%，</w:t>
      </w:r>
      <w:r>
        <w:rPr>
          <w:rFonts w:hint="eastAsia"/>
          <w:lang w:eastAsia="zh-CN"/>
        </w:rPr>
        <w:t>共计人民币</w:t>
      </w:r>
      <w:r>
        <w:rPr>
          <w:rFonts w:hint="eastAsia"/>
          <w:u w:val="single"/>
          <w:lang w:eastAsia="zh-CN"/>
        </w:rPr>
        <w:t xml:space="preserve">      </w:t>
      </w:r>
      <w:r>
        <w:rPr>
          <w:rFonts w:hint="eastAsia"/>
          <w:lang w:eastAsia="zh-CN"/>
        </w:rPr>
        <w:t>元，大写人民币</w:t>
      </w:r>
      <w:r>
        <w:rPr>
          <w:rFonts w:hint="eastAsia"/>
          <w:u w:val="single"/>
          <w:lang w:eastAsia="zh-CN"/>
        </w:rPr>
        <w:t xml:space="preserve">         </w:t>
      </w:r>
      <w:r>
        <w:rPr>
          <w:rFonts w:hint="eastAsia"/>
          <w:lang w:eastAsia="zh-CN"/>
        </w:rPr>
        <w:t>元。待乙方所供物货验收合格后15个工作日内无息退还；</w:t>
      </w:r>
    </w:p>
    <w:p>
      <w:pPr>
        <w:pStyle w:val="5"/>
        <w:ind w:firstLine="600"/>
        <w:rPr>
          <w:rFonts w:hint="eastAsia"/>
          <w:lang w:eastAsia="zh-CN"/>
        </w:rPr>
      </w:pPr>
      <w:r>
        <w:rPr>
          <w:rFonts w:hint="eastAsia"/>
          <w:lang w:eastAsia="zh-CN"/>
        </w:rPr>
        <w:t>6.2 合同总价的</w:t>
      </w:r>
      <w:r>
        <w:rPr>
          <w:rFonts w:hint="eastAsia"/>
          <w:u w:val="single"/>
          <w:lang w:val="en-US" w:eastAsia="zh-CN"/>
        </w:rPr>
        <w:t>5</w:t>
      </w:r>
      <w:r>
        <w:rPr>
          <w:rFonts w:ascii="Calibri" w:hAnsi="Calibri" w:cs="Calibri"/>
          <w:u w:val="single"/>
          <w:lang w:eastAsia="zh-CN"/>
        </w:rPr>
        <w:t> </w:t>
      </w:r>
      <w:r>
        <w:rPr>
          <w:lang w:eastAsia="zh-CN"/>
        </w:rPr>
        <w:t>%</w:t>
      </w:r>
      <w:r>
        <w:rPr>
          <w:rFonts w:hint="eastAsia"/>
          <w:lang w:eastAsia="zh-CN"/>
        </w:rPr>
        <w:t>为乙方所供货物的质量保证金，质保期满后，无质量问题后，无息退还。</w:t>
      </w:r>
    </w:p>
    <w:p>
      <w:pPr>
        <w:pStyle w:val="5"/>
        <w:ind w:firstLine="600"/>
        <w:rPr>
          <w:rFonts w:hint="eastAsia"/>
          <w:lang w:val="en-US" w:eastAsia="zh-CN"/>
        </w:rPr>
      </w:pPr>
      <w:r>
        <w:rPr>
          <w:rFonts w:hint="eastAsia"/>
          <w:lang w:val="en-US" w:eastAsia="zh-CN"/>
        </w:rPr>
        <w:t>6.3 保证金应由乙方名义开立的账户支付到甲方账户，否则视为未支付，甲方有权追究乙方逾期付款责任。</w:t>
      </w:r>
    </w:p>
    <w:p>
      <w:pPr>
        <w:pStyle w:val="5"/>
        <w:ind w:firstLine="600"/>
        <w:rPr>
          <w:rFonts w:hint="eastAsia"/>
          <w:lang w:eastAsia="zh-CN"/>
        </w:rPr>
      </w:pPr>
      <w:r>
        <w:rPr>
          <w:rFonts w:hint="eastAsia"/>
          <w:lang w:val="en-US" w:eastAsia="zh-CN"/>
        </w:rPr>
        <w:t>6.4 乙方支付履约保证金时，应在“付款备注”中写明“（合同编号）XX买卖合同履约保证金”。乙方不得与其他合同、其他缴费项目一起支付履约保证金，若因混合支付造成无法确认为本合同款项到账的，视为逾期未支付。</w:t>
      </w:r>
    </w:p>
    <w:p>
      <w:pPr>
        <w:pStyle w:val="5"/>
        <w:ind w:firstLine="600"/>
        <w:rPr>
          <w:rFonts w:hint="eastAsia"/>
          <w:lang w:eastAsia="zh-CN"/>
        </w:rPr>
      </w:pPr>
    </w:p>
    <w:p>
      <w:pPr>
        <w:pStyle w:val="4"/>
        <w:ind w:firstLine="640"/>
        <w:rPr>
          <w:lang w:eastAsia="zh-CN"/>
        </w:rPr>
      </w:pPr>
      <w:bookmarkStart w:id="6" w:name="_Toc25588106"/>
      <w:r>
        <w:rPr>
          <w:lang w:eastAsia="zh-CN"/>
        </w:rPr>
        <w:t>第</w:t>
      </w:r>
      <w:r>
        <w:rPr>
          <w:rFonts w:hint="eastAsia"/>
          <w:lang w:eastAsia="zh-CN"/>
        </w:rPr>
        <w:t>七</w:t>
      </w:r>
      <w:r>
        <w:rPr>
          <w:lang w:eastAsia="zh-CN"/>
        </w:rPr>
        <w:t>条 付款方式</w:t>
      </w:r>
      <w:bookmarkEnd w:id="6"/>
    </w:p>
    <w:p>
      <w:pPr>
        <w:pStyle w:val="5"/>
        <w:ind w:firstLine="600"/>
        <w:rPr>
          <w:rFonts w:hint="eastAsia"/>
          <w:lang w:val="en-US" w:eastAsia="zh-CN"/>
        </w:rPr>
      </w:pPr>
      <w:r>
        <w:rPr>
          <w:rFonts w:hint="eastAsia"/>
          <w:lang w:val="en-US" w:eastAsia="zh-CN"/>
        </w:rPr>
        <w:t>7.1合同标的物运至甲方现场并安装调试并验收合格，甲方收到乙方开具全额增值税发票后，支付至合同总价款的 95 %；</w:t>
      </w:r>
    </w:p>
    <w:p>
      <w:pPr>
        <w:pStyle w:val="5"/>
        <w:ind w:firstLine="600"/>
        <w:rPr>
          <w:rFonts w:hint="eastAsia"/>
          <w:lang w:val="en-US" w:eastAsia="zh-CN"/>
        </w:rPr>
      </w:pPr>
      <w:r>
        <w:rPr>
          <w:rFonts w:hint="eastAsia"/>
          <w:lang w:val="en-US" w:eastAsia="zh-CN"/>
        </w:rPr>
        <w:t>7.2 质保期满后，无任何质量问题，甲方收到乙方提出付款申请后，一次性付清余款（退还质量保证金）。</w:t>
      </w:r>
    </w:p>
    <w:p>
      <w:pPr>
        <w:pStyle w:val="5"/>
        <w:ind w:firstLine="600"/>
        <w:rPr>
          <w:rFonts w:hint="eastAsia"/>
          <w:lang w:val="en-US" w:eastAsia="zh-CN"/>
        </w:rPr>
      </w:pPr>
      <w:r>
        <w:rPr>
          <w:rFonts w:hint="eastAsia"/>
          <w:lang w:val="en-US" w:eastAsia="zh-CN"/>
        </w:rPr>
        <w:t>7.3乙方需向甲方提供正规增值税发票。如果乙方提供增值税普通发票，甲方支付金额为不含增值税金额；如果乙方提供增值税专用发票，甲方支付金额=不含增值税金额+增值税税额。</w:t>
      </w:r>
    </w:p>
    <w:p>
      <w:pPr>
        <w:pStyle w:val="5"/>
        <w:ind w:firstLine="600"/>
        <w:rPr>
          <w:rFonts w:hint="default"/>
          <w:lang w:val="en-US" w:eastAsia="zh-CN"/>
        </w:rPr>
      </w:pPr>
      <w:r>
        <w:rPr>
          <w:rFonts w:hint="eastAsia"/>
          <w:lang w:val="en-US" w:eastAsia="zh-CN"/>
        </w:rPr>
        <w:t>7.4各项单据（发票除外）均须使用与本合同一致的文字，以便甲方审核查对。送货凭证（必要时需提供电子版）及发票应注明品名、规格、数量、单价、交货金额，且必要时需提供相关合格报告。</w:t>
      </w:r>
    </w:p>
    <w:p>
      <w:pPr>
        <w:pStyle w:val="4"/>
        <w:ind w:firstLine="640"/>
        <w:rPr>
          <w:lang w:eastAsia="zh-CN"/>
        </w:rPr>
      </w:pPr>
      <w:bookmarkStart w:id="7" w:name="_Toc25588107"/>
      <w:r>
        <w:rPr>
          <w:lang w:eastAsia="zh-CN"/>
        </w:rPr>
        <w:t>第</w:t>
      </w:r>
      <w:r>
        <w:rPr>
          <w:rFonts w:hint="eastAsia"/>
          <w:lang w:eastAsia="zh-CN"/>
        </w:rPr>
        <w:t>八</w:t>
      </w:r>
      <w:r>
        <w:rPr>
          <w:lang w:eastAsia="zh-CN"/>
        </w:rPr>
        <w:t>条 违约和索赔</w:t>
      </w:r>
      <w:bookmarkEnd w:id="7"/>
    </w:p>
    <w:p>
      <w:pPr>
        <w:pStyle w:val="5"/>
        <w:ind w:firstLine="600"/>
        <w:rPr>
          <w:lang w:eastAsia="zh-CN"/>
        </w:rPr>
      </w:pPr>
      <w:r>
        <w:rPr>
          <w:rFonts w:hint="eastAsia"/>
          <w:lang w:eastAsia="zh-CN"/>
        </w:rPr>
        <w:t>8</w:t>
      </w:r>
      <w:r>
        <w:rPr>
          <w:lang w:eastAsia="zh-CN"/>
        </w:rPr>
        <w:t>. 1乙方逾期</w:t>
      </w:r>
      <w:r>
        <w:rPr>
          <w:rFonts w:hint="eastAsia"/>
          <w:lang w:eastAsia="zh-CN"/>
        </w:rPr>
        <w:t>交付</w:t>
      </w:r>
      <w:r>
        <w:rPr>
          <w:lang w:eastAsia="zh-CN"/>
        </w:rPr>
        <w:t>，乙方应向甲方偿付逾期交付违约金。</w:t>
      </w:r>
      <w:r>
        <w:rPr>
          <w:highlight w:val="none"/>
          <w:lang w:eastAsia="zh-CN"/>
        </w:rPr>
        <w:t>逾期违约金按</w:t>
      </w:r>
      <w:r>
        <w:rPr>
          <w:rFonts w:hint="eastAsia"/>
          <w:highlight w:val="none"/>
          <w:lang w:eastAsia="zh-CN"/>
        </w:rPr>
        <w:t>照合同总价款每日</w:t>
      </w:r>
      <w:r>
        <w:rPr>
          <w:rFonts w:hint="eastAsia"/>
          <w:highlight w:val="none"/>
          <w:u w:val="single"/>
          <w:lang w:eastAsia="zh-CN"/>
        </w:rPr>
        <w:t>百分之</w:t>
      </w:r>
      <w:r>
        <w:rPr>
          <w:rFonts w:hint="eastAsia"/>
          <w:highlight w:val="none"/>
          <w:u w:val="single"/>
          <w:lang w:val="en-US" w:eastAsia="zh-CN"/>
        </w:rPr>
        <w:t>3</w:t>
      </w:r>
      <w:r>
        <w:rPr>
          <w:rFonts w:hint="eastAsia"/>
          <w:highlight w:val="none"/>
          <w:lang w:eastAsia="zh-CN"/>
        </w:rPr>
        <w:t>计算。</w:t>
      </w:r>
      <w:r>
        <w:rPr>
          <w:highlight w:val="none"/>
          <w:lang w:eastAsia="zh-CN"/>
        </w:rPr>
        <w:t>甲方可在</w:t>
      </w:r>
      <w:r>
        <w:rPr>
          <w:rFonts w:hint="eastAsia"/>
          <w:highlight w:val="none"/>
          <w:lang w:eastAsia="zh-CN"/>
        </w:rPr>
        <w:t>货物</w:t>
      </w:r>
      <w:r>
        <w:rPr>
          <w:highlight w:val="none"/>
          <w:lang w:eastAsia="zh-CN"/>
        </w:rPr>
        <w:t>结算款中扣</w:t>
      </w:r>
      <w:r>
        <w:rPr>
          <w:lang w:eastAsia="zh-CN"/>
        </w:rPr>
        <w:t>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逾期交付，</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rFonts w:hint="eastAsia"/>
          <w:bCs/>
          <w:color w:val="auto"/>
          <w:lang w:eastAsia="zh-CN"/>
        </w:rPr>
      </w:pPr>
      <w:r>
        <w:rPr>
          <w:rFonts w:hint="eastAsia"/>
          <w:bCs/>
          <w:color w:val="auto"/>
          <w:lang w:eastAsia="zh-CN"/>
        </w:rPr>
        <w:t>8.4因产品质量瑕疵或缺陷导致甲方或第三人损害的，甲方有权向乙方索赔。</w:t>
      </w:r>
    </w:p>
    <w:p>
      <w:pPr>
        <w:spacing w:before="120" w:line="360" w:lineRule="auto"/>
        <w:ind w:firstLine="440"/>
        <w:rPr>
          <w:rFonts w:hint="eastAsia" w:ascii="仿宋_GB2312" w:hAnsi="仿宋" w:eastAsia="仿宋_GB2312" w:cs="宋体"/>
          <w:bCs/>
          <w:color w:val="auto"/>
          <w:kern w:val="0"/>
          <w:sz w:val="30"/>
          <w:szCs w:val="30"/>
          <w:lang w:val="en-US" w:eastAsia="zh-CN" w:bidi="ar-SA"/>
        </w:rPr>
      </w:pPr>
      <w:r>
        <w:rPr>
          <w:rFonts w:hint="eastAsia" w:ascii="仿宋_GB2312" w:hAnsi="仿宋" w:eastAsia="仿宋_GB2312" w:cs="宋体"/>
          <w:bCs/>
          <w:color w:val="auto"/>
          <w:kern w:val="0"/>
          <w:sz w:val="30"/>
          <w:szCs w:val="30"/>
          <w:lang w:val="en-US" w:eastAsia="zh-CN" w:bidi="ar-SA"/>
        </w:rPr>
        <w:t>8.5 合同履行过程中，如果合同履行条件发生变化，由双方进行协商，并以签订补充合同的方式加以确认，补充合同与本合同具有同等效力</w:t>
      </w:r>
    </w:p>
    <w:p>
      <w:pPr>
        <w:spacing w:before="120" w:line="360" w:lineRule="auto"/>
        <w:ind w:firstLine="440"/>
        <w:rPr>
          <w:rFonts w:hint="eastAsia" w:ascii="仿宋_GB2312" w:hAnsi="仿宋" w:eastAsia="仿宋_GB2312" w:cs="宋体"/>
          <w:bCs/>
          <w:color w:val="auto"/>
          <w:kern w:val="0"/>
          <w:sz w:val="30"/>
          <w:szCs w:val="30"/>
          <w:lang w:val="en-US" w:eastAsia="zh-CN" w:bidi="ar-SA"/>
        </w:rPr>
      </w:pPr>
      <w:r>
        <w:rPr>
          <w:rFonts w:hint="eastAsia" w:ascii="仿宋_GB2312" w:hAnsi="仿宋" w:eastAsia="仿宋_GB2312" w:cs="宋体"/>
          <w:bCs/>
          <w:color w:val="auto"/>
          <w:kern w:val="0"/>
          <w:sz w:val="30"/>
          <w:szCs w:val="30"/>
          <w:lang w:val="en-US" w:eastAsia="zh-CN" w:bidi="ar-SA"/>
        </w:rPr>
        <w:t xml:space="preserve">8.6若乙方在航站楼内运输、施工及装饰过程中损坏楼内的设施设备，应照价进行赔偿及修复。 </w:t>
      </w:r>
    </w:p>
    <w:p>
      <w:pPr>
        <w:pStyle w:val="15"/>
        <w:ind w:firstLine="600" w:firstLineChars="200"/>
        <w:jc w:val="both"/>
        <w:rPr>
          <w:rFonts w:hint="eastAsia" w:ascii="仿宋_GB2312" w:hAnsi="仿宋" w:eastAsia="仿宋_GB2312" w:cs="宋体"/>
          <w:b w:val="0"/>
          <w:bCs/>
          <w:color w:val="auto"/>
          <w:kern w:val="0"/>
          <w:sz w:val="30"/>
          <w:szCs w:val="30"/>
          <w:lang w:val="en-US" w:eastAsia="zh-CN" w:bidi="ar-SA"/>
        </w:rPr>
      </w:pPr>
      <w:r>
        <w:rPr>
          <w:rFonts w:hint="eastAsia" w:ascii="仿宋_GB2312" w:hAnsi="仿宋" w:eastAsia="仿宋_GB2312" w:cs="宋体"/>
          <w:b w:val="0"/>
          <w:bCs/>
          <w:color w:val="auto"/>
          <w:kern w:val="0"/>
          <w:sz w:val="30"/>
          <w:szCs w:val="30"/>
          <w:lang w:val="en-US" w:eastAsia="zh-CN" w:bidi="ar-SA"/>
        </w:rPr>
        <w:t>8.7在提供服务期间，乙方应遵守国家及环保主管部门、民航主管部门关于民用机场环境保护的各项法律、法规和规章，保证所用设施设备和用品符合国家环保要求，并服从机场为保护机场环境而制定的各项管理规定，做好环境保护工作。</w:t>
      </w:r>
    </w:p>
    <w:p>
      <w:pPr>
        <w:spacing w:before="120" w:line="360" w:lineRule="auto"/>
        <w:ind w:firstLine="442"/>
        <w:rPr>
          <w:rFonts w:hint="default" w:ascii="仿宋_GB2312" w:hAnsi="仿宋" w:eastAsia="黑体" w:cs="宋体"/>
          <w:color w:val="000000"/>
          <w:kern w:val="0"/>
          <w:sz w:val="32"/>
          <w:szCs w:val="30"/>
          <w:lang w:val="en-US" w:eastAsia="zh-CN" w:bidi="ar-SA"/>
        </w:rPr>
      </w:pPr>
      <w:r>
        <w:rPr>
          <w:rFonts w:hint="eastAsia" w:ascii="仿宋_GB2312" w:hAnsi="仿宋" w:eastAsia="黑体" w:cs="宋体"/>
          <w:color w:val="000000"/>
          <w:kern w:val="0"/>
          <w:sz w:val="32"/>
          <w:szCs w:val="30"/>
          <w:lang w:val="en-US" w:eastAsia="zh-CN" w:bidi="ar-SA"/>
        </w:rPr>
        <w:t>第九条 质量保证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9.1落地模型摆件（玻璃钢）</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（一）玻璃钢使用材料需为专用高级树脂（抗碱、抗酸、防水），达到GB/T3961-2009基础标准，表面光滑、超亮、易洁、符合玻璃钢行业标准，机械性能好、强度好、表面效果好。</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（二）用于制作玻璃钢的树脂及玻璃纤维等增强材料应为环保材料。</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（三）摆件表面光滑、无破损、无异味等情况。</w:t>
      </w:r>
    </w:p>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auto"/>
        <w:ind w:firstLine="600" w:firstLineChars="200"/>
        <w:textAlignment w:val="auto"/>
        <w:rPr>
          <w:rFonts w:hint="default"/>
          <w:lang w:val="en-US" w:eastAsia="zh-CN"/>
        </w:rPr>
      </w:pPr>
      <w:r>
        <w:rPr>
          <w:rFonts w:hint="eastAsia" w:ascii="仿宋_GB2312" w:hAnsi="仿宋" w:eastAsia="仿宋_GB2312" w:cs="宋体"/>
          <w:color w:val="000000"/>
          <w:kern w:val="2"/>
          <w:sz w:val="30"/>
          <w:szCs w:val="30"/>
          <w:lang w:val="en-US" w:eastAsia="zh-CN" w:bidi="ar-SA"/>
        </w:rPr>
        <w:t>9.2座椅/沙发/实木长条椅（桌）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（一）座椅/沙发结构、尺寸、工艺符合GB/T1952.1—2012规定。</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（二）靠背、坐垫内部结构稳定，使用寿命15年以上，椅腿、横梁、支撑件结构合理、稳定。（提供靠背、坐垫使用寿命15年以上，椅腿、横梁、支撑件使用寿命15年以上承诺书）；</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（三）沙发、座椅、实木长条椅（桌）牢固性强，确保椅子无松动、摇晃等现象。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（四）坐、背面料完好无损，面料缝纫处无脱线或开裂，垫料无移位或破损，骨架无永久性松动或断裂，产品内部用料海绵填充物为环保材料、无异味，长期使用不塌陷变形。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（五）沙发耐久度应通过A级6万次以上要求（提供相关检测报告复印件，原件备查）。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六）沙发座面主要弹性材料为涤纶印染布（科技布），耐磨度高，柔软滑润，透气性好，并可防水；内置弹性材料使用高密度定型海绵，泡沫塑料回弹性能及压缩永久变形须达到A级（提供相关检测报告复印件，原件备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default"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七）内部木制件用材的树种应与标识明示一致：不得使用虫蛀、腐朽、节子、树脂囊等木材、斜纹程度超过20%；不得使用轻微腐朽材面积超过零部件的15%，腐朽材深度超过20%，有轻微裂缝成节子影响结构强度的木材，虫柱材经杀虫处理不得使用昆虫尚在继续侵蚀的木材。</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（八）沙发在正常使用过程中无尖锐金属物穿出坐面或背面等部位，坐面与靠背之间的间隙缝内，徒手深入后应无刃口、毛刺等。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（九）沙发、座椅、实木长条椅（桌）的面料/面板用料要求：沙发涤纶印染布（科技布）工艺应符合FZ/T 14047-2019标准；座椅PP材料工艺应符合GB/T12670-2008标准；实木长条椅（桌）防腐实木材应符合GB 22280-2008标准。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（十）沙发、座椅、实木长条椅（桌）均应符合我国建筑内部装修设计防火规范GB50222-2017，候机楼的候机大厅、贵宾候机室等装修材料的燃烧性能到达B1级。</w:t>
      </w:r>
    </w:p>
    <w:p>
      <w:pPr>
        <w:pStyle w:val="15"/>
        <w:keepNext w:val="0"/>
        <w:keepLines w:val="0"/>
        <w:pageBreakBefore w:val="0"/>
        <w:widowControl w:val="0"/>
        <w:kinsoku/>
        <w:wordWrap/>
        <w:overflowPunct/>
        <w:topLinePunct w:val="0"/>
        <w:bidi w:val="0"/>
        <w:snapToGrid/>
        <w:ind w:firstLine="600" w:firstLineChars="200"/>
        <w:jc w:val="both"/>
        <w:textAlignment w:val="auto"/>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val="0"/>
          <w:bCs w:val="0"/>
          <w:color w:val="000000"/>
          <w:kern w:val="2"/>
          <w:sz w:val="30"/>
          <w:szCs w:val="30"/>
          <w:lang w:val="en-US" w:eastAsia="zh-CN" w:bidi="ar-SA"/>
        </w:rPr>
        <w:t>9.3仿真绿植、花器及景观墙</w:t>
      </w:r>
    </w:p>
    <w:p>
      <w:pPr>
        <w:pStyle w:val="15"/>
        <w:keepNext w:val="0"/>
        <w:keepLines w:val="0"/>
        <w:pageBreakBefore w:val="0"/>
        <w:widowControl w:val="0"/>
        <w:kinsoku/>
        <w:wordWrap/>
        <w:overflowPunct/>
        <w:topLinePunct w:val="0"/>
        <w:bidi w:val="0"/>
        <w:snapToGrid/>
        <w:ind w:firstLine="600" w:firstLineChars="200"/>
        <w:jc w:val="both"/>
        <w:textAlignment w:val="auto"/>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val="0"/>
          <w:bCs w:val="0"/>
          <w:color w:val="000000"/>
          <w:kern w:val="2"/>
          <w:sz w:val="30"/>
          <w:szCs w:val="30"/>
          <w:lang w:val="en-US" w:eastAsia="zh-CN" w:bidi="ar-SA"/>
        </w:rPr>
        <w:t>（一）仿真花形态逼真，仿真度高，不得出现破损、有异味、无铝线或铁丝裸露等情况。</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 xml:space="preserve">（二）花器不得出现颜色不均匀、破损、漏水、有裂痕、表面凹凸不平等情况； </w:t>
      </w:r>
    </w:p>
    <w:p>
      <w:pPr>
        <w:autoSpaceDE w:val="0"/>
        <w:autoSpaceDN w:val="0"/>
        <w:adjustRightInd w:val="0"/>
        <w:spacing w:line="360" w:lineRule="auto"/>
        <w:ind w:firstLine="675" w:firstLineChars="225"/>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（三）乙方应严格按照比选文件需求表中规格要求进行供货。</w:t>
      </w:r>
    </w:p>
    <w:p>
      <w:pPr>
        <w:pStyle w:val="15"/>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val="0"/>
          <w:bCs w:val="0"/>
          <w:color w:val="000000"/>
          <w:kern w:val="2"/>
          <w:sz w:val="30"/>
          <w:szCs w:val="30"/>
          <w:lang w:val="en-US" w:eastAsia="zh-CN" w:bidi="ar-SA"/>
        </w:rPr>
        <w:t>9.4桌面摆件（亚克力）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lang w:val="en-US" w:eastAsia="zh-CN"/>
        </w:rPr>
      </w:pPr>
      <w:r>
        <w:rPr>
          <w:rFonts w:hint="eastAsia" w:ascii="仿宋_GB2312" w:hAnsi="仿宋" w:eastAsia="仿宋_GB2312" w:cs="宋体"/>
          <w:b w:val="0"/>
          <w:bCs w:val="0"/>
          <w:color w:val="000000"/>
          <w:kern w:val="2"/>
          <w:sz w:val="30"/>
          <w:szCs w:val="30"/>
          <w:lang w:val="en-US" w:eastAsia="zh-CN" w:bidi="ar-SA"/>
        </w:rPr>
        <w:t>桌面摆件材质应选用透光性能好、颜色纯正、美观平整、色彩亮丽的亚克力材质，符合</w:t>
      </w:r>
      <w:r>
        <w:rPr>
          <w:rFonts w:hint="default" w:ascii="仿宋_GB2312" w:hAnsi="仿宋" w:eastAsia="仿宋_GB2312" w:cs="宋体"/>
          <w:b w:val="0"/>
          <w:bCs w:val="0"/>
          <w:color w:val="000000"/>
          <w:kern w:val="2"/>
          <w:sz w:val="30"/>
          <w:szCs w:val="30"/>
          <w:lang w:val="en-US" w:eastAsia="zh-CN" w:bidi="ar-SA"/>
        </w:rPr>
        <w:t>GB</w:t>
      </w:r>
      <w:r>
        <w:rPr>
          <w:rFonts w:hint="eastAsia" w:ascii="仿宋_GB2312" w:hAnsi="仿宋" w:eastAsia="仿宋_GB2312" w:cs="宋体"/>
          <w:b w:val="0"/>
          <w:bCs w:val="0"/>
          <w:color w:val="000000"/>
          <w:kern w:val="2"/>
          <w:sz w:val="30"/>
          <w:szCs w:val="30"/>
          <w:lang w:val="en-US" w:eastAsia="zh-CN" w:bidi="ar-SA"/>
        </w:rPr>
        <w:t>/</w:t>
      </w:r>
      <w:r>
        <w:rPr>
          <w:rFonts w:hint="default" w:ascii="仿宋_GB2312" w:hAnsi="仿宋" w:eastAsia="仿宋_GB2312" w:cs="宋体"/>
          <w:b w:val="0"/>
          <w:bCs w:val="0"/>
          <w:color w:val="000000"/>
          <w:kern w:val="2"/>
          <w:sz w:val="30"/>
          <w:szCs w:val="30"/>
          <w:lang w:val="en-US" w:eastAsia="zh-CN" w:bidi="ar-SA"/>
        </w:rPr>
        <w:t>T7134-2016</w:t>
      </w:r>
      <w:r>
        <w:rPr>
          <w:rFonts w:hint="eastAsia" w:ascii="仿宋_GB2312" w:hAnsi="仿宋" w:eastAsia="仿宋_GB2312" w:cs="宋体"/>
          <w:b w:val="0"/>
          <w:bCs w:val="0"/>
          <w:color w:val="000000"/>
          <w:kern w:val="2"/>
          <w:sz w:val="30"/>
          <w:szCs w:val="30"/>
          <w:lang w:val="en-US" w:eastAsia="zh-CN" w:bidi="ar-SA"/>
        </w:rPr>
        <w:t>标准。</w:t>
      </w:r>
    </w:p>
    <w:p>
      <w:pPr>
        <w:spacing w:before="120" w:line="360" w:lineRule="auto"/>
        <w:ind w:firstLine="442"/>
        <w:rPr>
          <w:rFonts w:hint="eastAsia" w:ascii="仿宋_GB2312" w:hAnsi="仿宋" w:eastAsia="黑体" w:cs="宋体"/>
          <w:color w:val="000000"/>
          <w:kern w:val="0"/>
          <w:sz w:val="32"/>
          <w:szCs w:val="30"/>
          <w:lang w:val="en-US" w:eastAsia="zh-CN" w:bidi="ar-SA"/>
        </w:rPr>
      </w:pPr>
      <w:r>
        <w:rPr>
          <w:rFonts w:hint="eastAsia" w:ascii="仿宋_GB2312" w:hAnsi="仿宋" w:eastAsia="黑体" w:cs="宋体"/>
          <w:color w:val="000000"/>
          <w:kern w:val="0"/>
          <w:sz w:val="32"/>
          <w:szCs w:val="30"/>
          <w:lang w:val="en-US" w:eastAsia="zh-CN" w:bidi="ar-SA"/>
        </w:rPr>
        <w:t>第十条 售后</w:t>
      </w:r>
    </w:p>
    <w:p>
      <w:pPr>
        <w:spacing w:before="120" w:line="360" w:lineRule="auto"/>
        <w:ind w:firstLine="440"/>
        <w:rPr>
          <w:rFonts w:hint="eastAsia" w:ascii="仿宋_GB2312" w:hAnsi="仿宋" w:eastAsia="仿宋_GB2312" w:cs="宋体"/>
          <w:bCs/>
          <w:color w:val="auto"/>
          <w:kern w:val="0"/>
          <w:sz w:val="30"/>
          <w:szCs w:val="30"/>
          <w:lang w:val="en-US" w:eastAsia="zh-CN" w:bidi="ar-SA"/>
        </w:rPr>
      </w:pPr>
      <w:r>
        <w:rPr>
          <w:rFonts w:hint="eastAsia" w:ascii="仿宋_GB2312" w:hAnsi="仿宋" w:eastAsia="仿宋_GB2312" w:cs="宋体"/>
          <w:bCs/>
          <w:color w:val="auto"/>
          <w:kern w:val="0"/>
          <w:sz w:val="30"/>
          <w:szCs w:val="30"/>
          <w:lang w:val="en-US" w:eastAsia="zh-CN" w:bidi="ar-SA"/>
        </w:rPr>
        <w:t>10.1仿真花、景观墙、花器质保期限为合同签订之日起3年，在质保期内，仿真花若出现脱胶、缺失，花器出现颜色脱落不均匀、破裂等情况，应及时进行修复及更新。</w:t>
      </w:r>
    </w:p>
    <w:p>
      <w:pPr>
        <w:spacing w:before="120" w:line="360" w:lineRule="auto"/>
        <w:ind w:firstLine="440"/>
        <w:rPr>
          <w:rFonts w:hint="eastAsia" w:ascii="仿宋_GB2312" w:hAnsi="仿宋" w:eastAsia="仿宋_GB2312" w:cs="宋体"/>
          <w:bCs/>
          <w:color w:val="auto"/>
          <w:kern w:val="0"/>
          <w:sz w:val="30"/>
          <w:szCs w:val="30"/>
          <w:lang w:val="en-US" w:eastAsia="zh-CN" w:bidi="ar-SA"/>
        </w:rPr>
      </w:pPr>
      <w:r>
        <w:rPr>
          <w:rFonts w:hint="eastAsia" w:ascii="仿宋_GB2312" w:hAnsi="仿宋" w:eastAsia="仿宋_GB2312" w:cs="宋体"/>
          <w:bCs/>
          <w:color w:val="auto"/>
          <w:kern w:val="0"/>
          <w:sz w:val="30"/>
          <w:szCs w:val="30"/>
          <w:lang w:val="en-US" w:eastAsia="zh-CN" w:bidi="ar-SA"/>
        </w:rPr>
        <w:t>10.2沙发表面须6个月进行一次保养；座椅、沙发、实木长条椅（桌）需确保3年内均不得出现拉伤、变形、掉色、表皮起泡等现象，其中座椅不得出现开裂、气泡、披锋、凹坑凸点，边缘刮手、边角打磨不圆滑、锋利尖锐现象，沙发不得出现异物、分层、缩水现象（人为原因除外），如果遇到该类问题，需由报价人负责更换。</w:t>
      </w:r>
    </w:p>
    <w:p>
      <w:pPr>
        <w:spacing w:before="120" w:line="360" w:lineRule="auto"/>
        <w:ind w:firstLine="440"/>
        <w:rPr>
          <w:rFonts w:hint="eastAsia" w:ascii="仿宋_GB2312" w:hAnsi="仿宋" w:eastAsia="仿宋_GB2312" w:cs="宋体"/>
          <w:b w:val="0"/>
          <w:bCs/>
          <w:color w:val="auto"/>
          <w:kern w:val="0"/>
          <w:sz w:val="30"/>
          <w:szCs w:val="30"/>
          <w:lang w:val="en-US" w:eastAsia="zh-CN" w:bidi="ar-SA"/>
        </w:rPr>
      </w:pPr>
      <w:r>
        <w:rPr>
          <w:rFonts w:hint="eastAsia" w:ascii="仿宋_GB2312" w:hAnsi="仿宋" w:eastAsia="仿宋_GB2312" w:cs="宋体"/>
          <w:b w:val="0"/>
          <w:bCs/>
          <w:color w:val="auto"/>
          <w:kern w:val="0"/>
          <w:sz w:val="30"/>
          <w:szCs w:val="30"/>
          <w:lang w:val="en-US" w:eastAsia="zh-CN" w:bidi="ar-SA"/>
        </w:rPr>
        <w:t>10.3乙方必须有专人负责该项目实施，提供全方位服务。乙方应提供有效的联系人和联系电话，如有变更，乙方应及时、主动通知甲方。</w:t>
      </w:r>
    </w:p>
    <w:p>
      <w:pPr>
        <w:spacing w:before="120" w:line="360" w:lineRule="auto"/>
        <w:ind w:firstLine="440"/>
        <w:rPr>
          <w:lang w:eastAsia="zh-CN"/>
        </w:rPr>
      </w:pPr>
      <w:r>
        <w:rPr>
          <w:rFonts w:hint="eastAsia" w:ascii="仿宋_GB2312" w:hAnsi="仿宋" w:eastAsia="仿宋_GB2312" w:cs="宋体"/>
          <w:b w:val="0"/>
          <w:bCs/>
          <w:color w:val="auto"/>
          <w:kern w:val="0"/>
          <w:sz w:val="30"/>
          <w:szCs w:val="30"/>
          <w:lang w:val="en-US" w:eastAsia="zh-CN" w:bidi="ar-SA"/>
        </w:rPr>
        <w:t>10.4 出现问题后，甲方通知乙方进行维修，乙方需在2个工作日内响应并在5个工作日内处理维修完毕。</w:t>
      </w:r>
    </w:p>
    <w:p>
      <w:pPr>
        <w:pStyle w:val="4"/>
        <w:ind w:firstLine="640"/>
        <w:rPr>
          <w:lang w:eastAsia="zh-CN"/>
        </w:rPr>
      </w:pPr>
      <w:bookmarkStart w:id="8" w:name="_Toc25588108"/>
      <w:r>
        <w:rPr>
          <w:lang w:eastAsia="zh-CN"/>
        </w:rPr>
        <w:t>第</w:t>
      </w:r>
      <w:r>
        <w:rPr>
          <w:rFonts w:hint="eastAsia"/>
          <w:lang w:eastAsia="zh-CN"/>
        </w:rPr>
        <w:t>十一</w:t>
      </w:r>
      <w:r>
        <w:rPr>
          <w:lang w:eastAsia="zh-CN"/>
        </w:rPr>
        <w:t>条 不可抗力</w:t>
      </w:r>
      <w:bookmarkEnd w:id="8"/>
    </w:p>
    <w:p>
      <w:pPr>
        <w:pStyle w:val="5"/>
        <w:ind w:firstLine="600"/>
        <w:rPr>
          <w:lang w:eastAsia="zh-CN"/>
        </w:rPr>
      </w:pPr>
      <w:r>
        <w:rPr>
          <w:rFonts w:hint="eastAsia"/>
          <w:lang w:val="en-US" w:eastAsia="zh-CN"/>
        </w:rPr>
        <w:t>11</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val="en-US" w:eastAsia="zh-CN"/>
        </w:rPr>
        <w:t>11</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9" w:name="_Toc25588109"/>
      <w:r>
        <w:rPr>
          <w:rFonts w:hint="eastAsia"/>
          <w:lang w:eastAsia="zh-CN"/>
        </w:rPr>
        <w:t>第十二条 通知条款</w:t>
      </w:r>
      <w:bookmarkEnd w:id="9"/>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rFonts w:hint="default"/>
          <w:u w:val="single"/>
          <w:lang w:val="en-US" w:eastAsia="zh-CN"/>
        </w:rPr>
      </w:pPr>
      <w:r>
        <w:rPr>
          <w:rFonts w:hint="eastAsia"/>
          <w:lang w:eastAsia="zh-CN"/>
        </w:rPr>
        <w:t>联系人：</w:t>
      </w:r>
      <w:r>
        <w:rPr>
          <w:rFonts w:hint="eastAsia" w:ascii="Times New Roman" w:hAnsi="Times New Roman" w:cs="Times New Roman"/>
          <w:u w:val="single"/>
          <w:lang w:val="en-US" w:eastAsia="zh-CN"/>
        </w:rPr>
        <w:t xml:space="preserve">                   </w:t>
      </w:r>
    </w:p>
    <w:p>
      <w:pPr>
        <w:pStyle w:val="5"/>
        <w:ind w:firstLine="600"/>
        <w:rPr>
          <w:rFonts w:hint="default"/>
          <w:u w:val="single"/>
          <w:lang w:val="en-US" w:eastAsia="zh-CN"/>
        </w:rPr>
      </w:pPr>
      <w:r>
        <w:rPr>
          <w:rFonts w:hint="eastAsia"/>
          <w:lang w:eastAsia="zh-CN"/>
        </w:rPr>
        <w:t>联系电话：</w:t>
      </w:r>
      <w:r>
        <w:rPr>
          <w:rFonts w:hint="eastAsia"/>
          <w:u w:val="single"/>
          <w:lang w:val="en-US" w:eastAsia="zh-CN"/>
        </w:rPr>
        <w:t xml:space="preserve">                 </w:t>
      </w:r>
    </w:p>
    <w:p>
      <w:pPr>
        <w:pStyle w:val="5"/>
        <w:ind w:firstLine="600"/>
        <w:rPr>
          <w:rFonts w:hint="default" w:ascii="Times New Roman" w:hAnsi="Times New Roman" w:cs="Times New Roman"/>
          <w:lang w:val="en-US" w:eastAsia="zh-CN"/>
        </w:rPr>
      </w:pPr>
      <w:r>
        <w:rPr>
          <w:rFonts w:hint="eastAsia"/>
          <w:lang w:eastAsia="zh-CN"/>
        </w:rPr>
        <w:t>通讯地址：</w:t>
      </w:r>
      <w:r>
        <w:rPr>
          <w:rFonts w:ascii="Times New Roman" w:hAnsi="Times New Roman" w:cs="Times New Roman"/>
          <w:lang w:eastAsia="zh-CN"/>
        </w:rPr>
        <w:t>_</w:t>
      </w:r>
      <w:r>
        <w:rPr>
          <w:rFonts w:hint="eastAsia" w:ascii="Times New Roman" w:hAnsi="Times New Roman" w:cs="Times New Roman"/>
          <w:u w:val="single"/>
          <w:lang w:eastAsia="zh-CN"/>
        </w:rPr>
        <w:t>重庆江北国际机场</w:t>
      </w:r>
      <w:r>
        <w:rPr>
          <w:rFonts w:hint="eastAsia" w:ascii="Times New Roman" w:hAnsi="Times New Roman" w:cs="Times New Roman"/>
          <w:u w:val="single"/>
          <w:lang w:val="en-US" w:eastAsia="zh-CN"/>
        </w:rPr>
        <w:t>T2A航站楼</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val="en-US" w:eastAsia="zh-CN"/>
        </w:rPr>
        <w:t>12</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w:t>
      </w:r>
      <w:r>
        <w:rPr>
          <w:rFonts w:hint="eastAsia"/>
          <w:lang w:val="en-US" w:eastAsia="zh-CN"/>
        </w:rPr>
        <w:t>2</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w:t>
      </w:r>
      <w:r>
        <w:rPr>
          <w:rFonts w:hint="eastAsia"/>
          <w:lang w:val="en-US" w:eastAsia="zh-CN"/>
        </w:rPr>
        <w:t>2</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w:t>
      </w:r>
      <w:r>
        <w:rPr>
          <w:rFonts w:hint="eastAsia"/>
          <w:lang w:val="en-US" w:eastAsia="zh-CN"/>
        </w:rPr>
        <w:t>2</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w:t>
      </w:r>
      <w:r>
        <w:rPr>
          <w:rFonts w:hint="eastAsia"/>
          <w:lang w:val="en-US" w:eastAsia="zh-CN"/>
        </w:rPr>
        <w:t>2</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w:t>
      </w:r>
      <w:r>
        <w:rPr>
          <w:rFonts w:hint="eastAsia"/>
          <w:lang w:val="en-US" w:eastAsia="zh-CN"/>
        </w:rPr>
        <w:t>2</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w:t>
      </w:r>
      <w:r>
        <w:rPr>
          <w:rFonts w:hint="eastAsia"/>
          <w:lang w:val="en-US" w:eastAsia="zh-CN"/>
        </w:rPr>
        <w:t>2</w:t>
      </w:r>
      <w:r>
        <w:rPr>
          <w:lang w:eastAsia="zh-CN"/>
        </w:rPr>
        <w:t>.7本合同约定的联系方式与送达方式同时可作为法律文书的联系方式与送达方式。</w:t>
      </w:r>
    </w:p>
    <w:p>
      <w:pPr>
        <w:pStyle w:val="4"/>
        <w:ind w:firstLine="640"/>
        <w:rPr>
          <w:lang w:eastAsia="zh-CN"/>
        </w:rPr>
      </w:pPr>
      <w:bookmarkStart w:id="10" w:name="_Toc25588110"/>
      <w:r>
        <w:rPr>
          <w:lang w:eastAsia="zh-CN"/>
        </w:rPr>
        <w:t>第</w:t>
      </w:r>
      <w:r>
        <w:rPr>
          <w:rFonts w:hint="eastAsia"/>
          <w:lang w:eastAsia="zh-CN"/>
        </w:rPr>
        <w:t>十三</w:t>
      </w:r>
      <w:r>
        <w:rPr>
          <w:lang w:eastAsia="zh-CN"/>
        </w:rPr>
        <w:t xml:space="preserve">条 </w:t>
      </w:r>
      <w:r>
        <w:rPr>
          <w:rFonts w:hint="eastAsia"/>
          <w:lang w:eastAsia="zh-CN"/>
        </w:rPr>
        <w:t>保密条款</w:t>
      </w:r>
      <w:bookmarkEnd w:id="10"/>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1" w:name="_Toc25588111"/>
      <w:r>
        <w:rPr>
          <w:lang w:eastAsia="zh-CN"/>
        </w:rPr>
        <w:t>第</w:t>
      </w:r>
      <w:r>
        <w:rPr>
          <w:rFonts w:hint="eastAsia"/>
          <w:lang w:eastAsia="zh-CN"/>
        </w:rPr>
        <w:t>十四</w:t>
      </w:r>
      <w:r>
        <w:rPr>
          <w:lang w:eastAsia="zh-CN"/>
        </w:rPr>
        <w:t xml:space="preserve">条 </w:t>
      </w:r>
      <w:r>
        <w:rPr>
          <w:rFonts w:hint="eastAsia"/>
          <w:lang w:eastAsia="zh-CN"/>
        </w:rPr>
        <w:t>合同争议的解决方式</w:t>
      </w:r>
      <w:bookmarkEnd w:id="11"/>
    </w:p>
    <w:p>
      <w:pPr>
        <w:pStyle w:val="5"/>
        <w:ind w:firstLine="600"/>
        <w:rPr>
          <w:lang w:eastAsia="zh-CN"/>
        </w:rPr>
      </w:pPr>
      <w:r>
        <w:rPr>
          <w:lang w:eastAsia="zh-CN"/>
        </w:rPr>
        <w:t>1</w:t>
      </w:r>
      <w:r>
        <w:rPr>
          <w:rFonts w:hint="eastAsia"/>
          <w:lang w:val="en-US" w:eastAsia="zh-CN"/>
        </w:rPr>
        <w:t>4</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eastAsia="zh-CN"/>
        </w:rPr>
        <w:t>一</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val="en-US" w:eastAsia="zh-CN"/>
        </w:rPr>
        <w:t>4</w:t>
      </w:r>
      <w:r>
        <w:rPr>
          <w:lang w:eastAsia="zh-CN"/>
        </w:rPr>
        <w:t>.2在诉讼期间，除正在进行诉讼的部分外，合同其它部分继续执行。</w:t>
      </w:r>
    </w:p>
    <w:p>
      <w:pPr>
        <w:pStyle w:val="4"/>
        <w:ind w:firstLine="640"/>
        <w:rPr>
          <w:lang w:eastAsia="zh-CN"/>
        </w:rPr>
      </w:pPr>
      <w:bookmarkStart w:id="12" w:name="_Toc25588112"/>
      <w:r>
        <w:rPr>
          <w:rFonts w:hint="eastAsia"/>
          <w:lang w:eastAsia="zh-CN"/>
        </w:rPr>
        <w:t xml:space="preserve">第十五条 </w:t>
      </w:r>
      <w:r>
        <w:rPr>
          <w:lang w:eastAsia="zh-CN"/>
        </w:rPr>
        <w:t>合同的变更和解除</w:t>
      </w:r>
      <w:bookmarkEnd w:id="12"/>
    </w:p>
    <w:p>
      <w:pPr>
        <w:pStyle w:val="5"/>
        <w:ind w:firstLine="600"/>
        <w:rPr>
          <w:lang w:eastAsia="zh-CN"/>
        </w:rPr>
      </w:pPr>
      <w:r>
        <w:rPr>
          <w:lang w:eastAsia="zh-CN"/>
        </w:rPr>
        <w:t>1</w:t>
      </w:r>
      <w:r>
        <w:rPr>
          <w:rFonts w:hint="eastAsia"/>
          <w:lang w:val="en-US" w:eastAsia="zh-CN"/>
        </w:rPr>
        <w:t>5</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val="en-US" w:eastAsia="zh-CN"/>
        </w:rPr>
        <w:t>5</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3" w:name="_Toc25588113"/>
      <w:r>
        <w:rPr>
          <w:lang w:eastAsia="zh-CN"/>
        </w:rPr>
        <w:t>第</w:t>
      </w:r>
      <w:r>
        <w:rPr>
          <w:rFonts w:hint="eastAsia"/>
          <w:lang w:eastAsia="zh-CN"/>
        </w:rPr>
        <w:t>十六</w:t>
      </w:r>
      <w:r>
        <w:rPr>
          <w:lang w:eastAsia="zh-CN"/>
        </w:rPr>
        <w:t>条 合同生效及其他</w:t>
      </w:r>
      <w:bookmarkEnd w:id="13"/>
    </w:p>
    <w:p>
      <w:pPr>
        <w:pStyle w:val="5"/>
        <w:ind w:firstLine="600"/>
        <w:rPr>
          <w:lang w:eastAsia="zh-CN"/>
        </w:rPr>
      </w:pPr>
      <w:r>
        <w:rPr>
          <w:lang w:eastAsia="zh-CN"/>
        </w:rPr>
        <w:t>1</w:t>
      </w:r>
      <w:r>
        <w:rPr>
          <w:rFonts w:hint="eastAsia"/>
          <w:lang w:val="en-US" w:eastAsia="zh-CN"/>
        </w:rPr>
        <w:t>6</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val="en-US" w:eastAsia="zh-CN"/>
        </w:rPr>
        <w:t>6</w:t>
      </w:r>
      <w:r>
        <w:rPr>
          <w:lang w:eastAsia="zh-CN"/>
        </w:rPr>
        <w:t>.</w:t>
      </w:r>
      <w:r>
        <w:rPr>
          <w:rFonts w:hint="eastAsia"/>
          <w:lang w:eastAsia="zh-CN"/>
        </w:rPr>
        <w:t>2</w:t>
      </w:r>
      <w:r>
        <w:rPr>
          <w:lang w:eastAsia="zh-CN"/>
        </w:rPr>
        <w:t xml:space="preserve"> 本合同一式</w:t>
      </w:r>
      <w:r>
        <w:rPr>
          <w:rFonts w:hint="eastAsia"/>
          <w:lang w:eastAsia="zh-CN"/>
        </w:rPr>
        <w:t>【</w:t>
      </w:r>
      <w:r>
        <w:rPr>
          <w:rFonts w:hint="eastAsia"/>
          <w:lang w:val="en-US" w:eastAsia="zh-CN"/>
        </w:rPr>
        <w:t xml:space="preserve"> </w:t>
      </w:r>
      <w:r>
        <w:rPr>
          <w:rFonts w:hint="eastAsia"/>
          <w:lang w:eastAsia="zh-CN"/>
        </w:rPr>
        <w:t>】</w:t>
      </w:r>
      <w:r>
        <w:rPr>
          <w:lang w:eastAsia="zh-CN"/>
        </w:rPr>
        <w:t>份，甲方执</w:t>
      </w:r>
      <w:r>
        <w:rPr>
          <w:rFonts w:hint="eastAsia"/>
          <w:lang w:eastAsia="zh-CN"/>
        </w:rPr>
        <w:t>【</w:t>
      </w:r>
      <w:r>
        <w:rPr>
          <w:rFonts w:hint="eastAsia"/>
          <w:lang w:val="en-US" w:eastAsia="zh-CN"/>
        </w:rPr>
        <w:t xml:space="preserve"> </w:t>
      </w:r>
      <w:r>
        <w:rPr>
          <w:rFonts w:hint="eastAsia"/>
          <w:lang w:eastAsia="zh-CN"/>
        </w:rPr>
        <w:t>】</w:t>
      </w:r>
      <w:r>
        <w:rPr>
          <w:lang w:eastAsia="zh-CN"/>
        </w:rPr>
        <w:t>份，乙方执</w:t>
      </w:r>
      <w:r>
        <w:rPr>
          <w:rFonts w:hint="eastAsia"/>
          <w:lang w:eastAsia="zh-CN"/>
        </w:rPr>
        <w:t>【</w:t>
      </w:r>
      <w:r>
        <w:rPr>
          <w:rFonts w:hint="eastAsia"/>
          <w:lang w:val="en-US"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p>
    <w:p>
      <w:pPr>
        <w:pStyle w:val="5"/>
        <w:ind w:firstLine="600"/>
        <w:rPr>
          <w:lang w:eastAsia="zh-CN"/>
        </w:rPr>
      </w:pPr>
      <w:r>
        <w:rPr>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
      <w:pPr>
        <w:wordWrap w:val="0"/>
        <w:spacing w:line="300" w:lineRule="exact"/>
        <w:ind w:firstLine="482" w:firstLineChars="200"/>
        <w:jc w:val="right"/>
        <w:rPr>
          <w:rFonts w:ascii="仿宋" w:hAnsi="仿宋" w:eastAsia="仿宋"/>
          <w:b/>
          <w:sz w:val="24"/>
        </w:rPr>
      </w:pPr>
      <w:bookmarkStart w:id="14" w:name="_Hlk18508484"/>
    </w:p>
    <w:p>
      <w:pPr>
        <w:wordWrap w:val="0"/>
        <w:spacing w:line="300" w:lineRule="exact"/>
        <w:ind w:firstLine="482" w:firstLineChars="200"/>
        <w:jc w:val="right"/>
        <w:rPr>
          <w:rFonts w:ascii="黑体" w:hAnsi="黑体" w:eastAsia="黑体"/>
          <w:color w:val="auto"/>
          <w:sz w:val="24"/>
        </w:rPr>
        <w:sectPr>
          <w:headerReference r:id="rId6" w:type="default"/>
          <w:footerReference r:id="rId7" w:type="default"/>
          <w:pgSz w:w="12240" w:h="15840"/>
          <w:pgMar w:top="1440" w:right="1440" w:bottom="1440" w:left="1440" w:header="720" w:footer="720" w:gutter="0"/>
          <w:cols w:space="720" w:num="1"/>
          <w:titlePg/>
        </w:sectPr>
      </w:pPr>
      <w:r>
        <w:rPr>
          <w:rFonts w:hint="eastAsia" w:ascii="仿宋" w:hAnsi="仿宋" w:eastAsia="仿宋"/>
          <w:b/>
          <w:sz w:val="24"/>
        </w:rPr>
        <w:t xml:space="preserve"> </w:t>
      </w:r>
      <w:r>
        <w:rPr>
          <w:rFonts w:ascii="仿宋" w:hAnsi="仿宋" w:eastAsia="仿宋"/>
          <w:b/>
          <w:sz w:val="24"/>
        </w:rPr>
        <w:t xml:space="preserve">           </w:t>
      </w:r>
    </w:p>
    <w:bookmarkEnd w:id="14"/>
    <w:p>
      <w:pPr>
        <w:pStyle w:val="5"/>
        <w:ind w:left="0" w:leftChars="0" w:right="600" w:firstLine="0" w:firstLineChars="0"/>
        <w:jc w:val="both"/>
      </w:pPr>
    </w:p>
    <w:p>
      <w:pPr>
        <w:pStyle w:val="5"/>
        <w:ind w:right="600" w:rightChars="0" w:firstLine="600" w:firstLineChars="200"/>
        <w:jc w:val="right"/>
      </w:pPr>
    </w:p>
    <w:p>
      <w:pPr>
        <w:pStyle w:val="13"/>
        <w:tabs>
          <w:tab w:val="right" w:leader="dot" w:pos="9350"/>
        </w:tabs>
        <w:ind w:left="420" w:leftChars="200"/>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sz w:val="28"/>
          <w:szCs w:val="28"/>
          <w:u w:val="single"/>
          <w:lang w:val="en-US" w:eastAsia="zh-CN"/>
        </w:rPr>
        <w:t>江北国际机场T2航站楼B指廊共享办公区</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工期</w:t>
      </w:r>
      <w:r>
        <w:rPr>
          <w:rFonts w:hint="eastAsia" w:ascii="仿宋_GB2312" w:hAnsi="宋体" w:eastAsia="仿宋_GB2312"/>
          <w:sz w:val="28"/>
          <w:szCs w:val="28"/>
          <w:u w:val="single"/>
          <w:lang w:val="en-US" w:eastAsia="zh-CN"/>
        </w:rPr>
        <w:t xml:space="preserve">   </w:t>
      </w:r>
      <w:r>
        <w:rPr>
          <w:rFonts w:hint="eastAsia" w:ascii="仿宋" w:hAnsi="仿宋" w:eastAsia="仿宋"/>
          <w:sz w:val="28"/>
          <w:szCs w:val="28"/>
          <w:u w:val="none"/>
          <w:lang w:eastAsia="zh-CN"/>
        </w:rPr>
        <w:t>工作日</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lang w:eastAsia="zh-CN"/>
        </w:rPr>
        <w:t>（四）</w:t>
      </w: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96520</wp:posOffset>
                </wp:positionH>
                <wp:positionV relativeFrom="paragraph">
                  <wp:posOffset>295910</wp:posOffset>
                </wp:positionV>
                <wp:extent cx="5632450" cy="2044700"/>
                <wp:effectExtent l="6350" t="6350" r="19050" b="6350"/>
                <wp:wrapNone/>
                <wp:docPr id="3" name="Rectangle 8"/>
                <wp:cNvGraphicFramePr/>
                <a:graphic xmlns:a="http://schemas.openxmlformats.org/drawingml/2006/main">
                  <a:graphicData uri="http://schemas.microsoft.com/office/word/2010/wordprocessingShape">
                    <wps:wsp>
                      <wps:cNvSpPr/>
                      <wps:spPr>
                        <a:xfrm>
                          <a:off x="0" y="0"/>
                          <a:ext cx="563245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Rectangle 8" o:spid="_x0000_s1026" o:spt="1" style="position:absolute;left:0pt;margin-left:7.6pt;margin-top:23.3pt;height:161pt;width:443.5pt;z-index:251659264;mso-width-relative:page;mso-height-relative:page;" fillcolor="#FFFFFF" filled="t" stroked="t" coordsize="21600,21600" o:gfxdata="UEsDBAoAAAAAAIdO4kAAAAAAAAAAAAAAAAAEAAAAZHJzL1BLAwQUAAAACACHTuJABe6MX9oAAAAJ&#10;AQAADwAAAGRycy9kb3ducmV2LnhtbE2PwU7DMBBE70j8g7VIXBC1G8CkIU4lkBAHEFILouLmxsaJ&#10;Gq8j223D37Oc4Dg7o9k39XLyAzvYmPqACuYzAcxiG0yPTsH72+NlCSxljUYPAa2Cb5tg2Zye1Loy&#10;4Ygre1hnx6gEU6UVdDmPFeep7azXaRZGi+R9heh1JhkdN1EfqdwPvBBCcq97pA+dHu1DZ9vdeu8V&#10;3O8+Vq+3rnyOo1y8PF18buTkNkqdn83FHbBsp/wXhl98QoeGmLZhjyaxgfRNQUkF11ICI38hCjps&#10;FVzJUgJvav5/QfMDUEsDBBQAAAAIAIdO4kBE41UY+gEAAC4EAAAOAAAAZHJzL2Uyb0RvYy54bWyt&#10;U8uO2zAMvBfoPwi6N3ay2e3CiLOHpumlaBfd9gMYibYF6AVJiZ2/L6Wk2Ud7yKE+yKREDTlDavUw&#10;Gc0OGKJytuXzWc0ZWuGksn3Lf/3cfrjnLCawErSz2PIjRv6wfv9uNfoGF25wWmJgBGJjM/qWDyn5&#10;pqqiGNBAnDmPlg47FwwkckNfyQAjoRtdLer6rhpdkD44gTHS7uZ0yM+I4RpA13VK4MaJvUGbTqgB&#10;NSSiFAflI1+XarsORfredRET0y0npqmslITsXV6r9QqaPoAflDiXANeU8IaTAWUp6QVqAwnYPqi/&#10;oIwSwUXXpZlwpjoRKYoQi3n9RpunATwWLiR19BfR4/+DFd8Oj4Ep2fIbziwYavgPEg1sr5HdZ3lG&#10;HxuKevKP4exFMjPXqQsm/4kFm4qkx4ukOCUmaPP27maxvCW1BZ0t6uXyY11Er56v+xDTF3SGZaPl&#10;gdIXKeHwNSZKSaF/QnK26LSSW6V1cUK/+6QDOwD1d1u+XDNdeRWmLRtp1hc5ORNAU9vRtJBpPDGP&#10;ti8JX12JL5Hr8v0LOVe2gTicKigIOQwaoxJmwaAZEORnK1k6elLX0qPiuRqDkjON9AazVSITKH1N&#10;JNHTlljm1pyaka007SaCyebOySO1de+D6gfSdF5Kzyc0RkWe88jnOX3pF9DnZ7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XujF/aAAAACQEAAA8AAAAAAAAAAQAgAAAAIgAAAGRycy9kb3ducmV2&#10;LnhtbFBLAQIUABQAAAAIAIdO4kBE41UY+gEAAC4EAAAOAAAAAAAAAAEAIAAAACkBAABkcnMvZTJv&#10;RG9jLnhtbFBLBQYAAAAABgAGAFkBAACV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605780" cy="2971800"/>
                <wp:effectExtent l="6350" t="6350" r="7620" b="12700"/>
                <wp:wrapNone/>
                <wp:docPr id="4" name="Rectangle 9"/>
                <wp:cNvGraphicFramePr/>
                <a:graphic xmlns:a="http://schemas.openxmlformats.org/drawingml/2006/main">
                  <a:graphicData uri="http://schemas.microsoft.com/office/word/2010/wordprocessingShape">
                    <wps:wsp>
                      <wps:cNvSpPr/>
                      <wps:spPr>
                        <a:xfrm>
                          <a:off x="0" y="0"/>
                          <a:ext cx="560578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41.4pt;z-index:251661312;mso-width-relative:page;mso-height-relative:page;" fillcolor="#FFFFFF" filled="t" stroked="t" coordsize="21600,21600" o:gfxdata="UEsDBAoAAAAAAIdO4kAAAAAAAAAAAAAAAAAEAAAAZHJzL1BLAwQUAAAACACHTuJAYbF6ftsAAAAJ&#10;AQAADwAAAGRycy9kb3ducmV2LnhtbE2PS0sDMRSF94L/IVzBjdikPuJ0nExBQVxYhD6wuEsn18zQ&#10;STIkaTv+e68rXV0O53Du+ar56Hp2xJi64BVMJwIY+iaYzlsFm/XLdQEsZe2N7oNHBd+YYF6fn1W6&#10;NOHkl3hcZcuoxKdSK2hzHkrOU9Oi02kSBvTkfYXodCYZLTdRn6jc9fxGCMmd7jx9aPWAzy02+9XB&#10;KXjafyzfH2zxFgc5W7xefW7laLdKXV5MxSOwjGP+C8PvfJoONW3ahYM3ifWkC0LJdO8lMPJnQhDK&#10;TsFdcSuB1xX/T1D/AFBLAwQUAAAACACHTuJAF5fUmPsBAAAuBAAADgAAAGRycy9lMm9Eb2MueG1s&#10;rVPLjtswDLwX6D8Iujd2gu5m14izh6bppWgX3fYDGEm2BegFUYmdvy+lpNlHe8ihPsikRA05Q2r1&#10;MFnDDiqi9q7l81nNmXLCS+36lv/6uf1wxxkmcBKMd6rlR4X8Yf3+3WoMjVr4wRupIiMQh80YWj6k&#10;FJqqQjEoCzjzQTk67Hy0kMiNfSUjjIRuTbWo69tq9FGG6IVCpN3N6ZCfEeM1gL7rtFAbL/ZWuXRC&#10;jcpAIko46IB8XartOiXS965DlZhpOTFNZaUkZO/yWq1X0PQRwqDFuQS4poQ3nCxoR0kvUBtIwPZR&#10;/wVltYgefZdmwtvqRKQoQizm9RttngYIqnAhqTFcRMf/Byu+HR4j07LlHzlzYKnhP0g0cL1R7D7L&#10;MwZsKOopPMazh2RmrlMXbf4TCzYVSY8XSdWUmKDNm9v6ZnlHags6W9wv53d1Eb16vh4ipi/KW5aN&#10;lkdKX6SEw1dMlJJC/4TkbOiNllttTHFiv/tkIjsA9XdbvlwzXXkVZhwbadYXS0rOBNDUdjQtZNpA&#10;zNH1JeGrK/gSuS7fv5BzZRvA4VRBQchh0FidVBYMmkGB/OwkS8dA6jp6VDxXY5XkzCh6g9kqkQm0&#10;uSaS6BlHLHNrTs3IVpp2E8Fkc+flkdq6D1H3A2k6L6XnExqjIs955POcvvQL6PMzX/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F6ftsAAAAJAQAADwAAAAAAAAABACAAAAAiAAAAZHJzL2Rvd25y&#10;ZXYueG1sUEsBAhQAFAAAAAgAh07iQBeX1Jj7AQAALgQAAA4AAAAAAAAAAQAgAAAAKgEAAGRycy9l&#10;Mm9Eb2MueG1sUEsFBgAAAAAGAAYAWQEAAJc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pStyle w:val="2"/>
        <w:jc w:val="both"/>
        <w:sectPr>
          <w:footerReference r:id="rId8" w:type="default"/>
          <w:pgSz w:w="11906" w:h="16838"/>
          <w:pgMar w:top="1440" w:right="1800" w:bottom="1440" w:left="1800" w:header="851" w:footer="992" w:gutter="0"/>
          <w:cols w:space="425" w:num="1"/>
          <w:docGrid w:type="lines" w:linePitch="312" w:charSpace="0"/>
        </w:sectPr>
      </w:pPr>
    </w:p>
    <w:p>
      <w:pPr>
        <w:pStyle w:val="15"/>
        <w:rPr>
          <w:rFonts w:ascii="仿宋" w:hAnsi="仿宋" w:eastAsia="仿宋"/>
          <w:sz w:val="32"/>
          <w:szCs w:val="32"/>
        </w:rPr>
      </w:pPr>
      <w:r>
        <w:rPr>
          <w:rFonts w:hint="eastAsia" w:ascii="仿宋" w:hAnsi="仿宋" w:eastAsia="仿宋" w:cs="宋体"/>
          <w:kern w:val="0"/>
          <w:sz w:val="40"/>
          <w:szCs w:val="40"/>
          <w:lang w:eastAsia="zh-CN"/>
        </w:rPr>
        <w:t>（五）</w:t>
      </w:r>
      <w:r>
        <w:rPr>
          <w:rFonts w:hint="eastAsia" w:ascii="仿宋" w:hAnsi="仿宋" w:eastAsia="仿宋" w:cs="宋体"/>
          <w:kern w:val="0"/>
          <w:sz w:val="40"/>
          <w:szCs w:val="40"/>
        </w:rPr>
        <w:t>项目采购</w:t>
      </w:r>
      <w:r>
        <w:rPr>
          <w:rFonts w:hint="eastAsia" w:ascii="仿宋" w:hAnsi="仿宋" w:eastAsia="仿宋" w:cs="宋体"/>
          <w:kern w:val="0"/>
          <w:sz w:val="40"/>
          <w:szCs w:val="40"/>
          <w:lang w:eastAsia="zh-CN"/>
        </w:rPr>
        <w:t>报价表</w:t>
      </w:r>
    </w:p>
    <w:tbl>
      <w:tblPr>
        <w:tblStyle w:val="17"/>
        <w:tblW w:w="8813" w:type="dxa"/>
        <w:tblInd w:w="93" w:type="dxa"/>
        <w:shd w:val="clear" w:color="auto" w:fill="auto"/>
        <w:tblLayout w:type="autofit"/>
        <w:tblCellMar>
          <w:top w:w="0" w:type="dxa"/>
          <w:left w:w="108" w:type="dxa"/>
          <w:bottom w:w="0" w:type="dxa"/>
          <w:right w:w="108" w:type="dxa"/>
        </w:tblCellMar>
      </w:tblPr>
      <w:tblGrid>
        <w:gridCol w:w="937"/>
        <w:gridCol w:w="965"/>
        <w:gridCol w:w="2016"/>
        <w:gridCol w:w="937"/>
        <w:gridCol w:w="937"/>
        <w:gridCol w:w="1489"/>
        <w:gridCol w:w="1532"/>
      </w:tblGrid>
      <w:tr>
        <w:tblPrEx>
          <w:shd w:val="clear" w:color="auto" w:fill="auto"/>
          <w:tblCellMar>
            <w:top w:w="0" w:type="dxa"/>
            <w:left w:w="108" w:type="dxa"/>
            <w:bottom w:w="0" w:type="dxa"/>
            <w:right w:w="108" w:type="dxa"/>
          </w:tblCellMar>
        </w:tblPrEx>
        <w:trPr>
          <w:trHeight w:val="480" w:hRule="atLeast"/>
        </w:trPr>
        <w:tc>
          <w:tcPr>
            <w:tcW w:w="8813" w:type="dxa"/>
            <w:gridSpan w:val="7"/>
            <w:tcBorders>
              <w:top w:val="single" w:color="000000" w:sz="8" w:space="0"/>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6"/>
                <w:szCs w:val="36"/>
                <w:u w:val="none"/>
              </w:rPr>
            </w:pPr>
            <w:r>
              <w:rPr>
                <w:rFonts w:hint="eastAsia" w:ascii="仿宋_GB2312" w:hAnsi="宋体" w:eastAsia="仿宋_GB2312" w:cs="仿宋_GB2312"/>
                <w:b/>
                <w:bCs/>
                <w:i w:val="0"/>
                <w:iCs w:val="0"/>
                <w:color w:val="000000"/>
                <w:kern w:val="0"/>
                <w:sz w:val="36"/>
                <w:szCs w:val="36"/>
                <w:u w:val="none"/>
                <w:lang w:val="en-US" w:eastAsia="zh-CN" w:bidi="ar"/>
              </w:rPr>
              <w:t>B指廊共享办公区报价表</w:t>
            </w:r>
          </w:p>
        </w:tc>
      </w:tr>
      <w:tr>
        <w:tblPrEx>
          <w:tblCellMar>
            <w:top w:w="0" w:type="dxa"/>
            <w:left w:w="108" w:type="dxa"/>
            <w:bottom w:w="0" w:type="dxa"/>
            <w:right w:w="108" w:type="dxa"/>
          </w:tblCellMar>
        </w:tblPrEx>
        <w:trPr>
          <w:trHeight w:val="600" w:hRule="atLeast"/>
        </w:trPr>
        <w:tc>
          <w:tcPr>
            <w:tcW w:w="937" w:type="dxa"/>
            <w:vMerge w:val="restart"/>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编号</w:t>
            </w:r>
          </w:p>
        </w:tc>
        <w:tc>
          <w:tcPr>
            <w:tcW w:w="96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类别</w:t>
            </w:r>
          </w:p>
        </w:tc>
        <w:tc>
          <w:tcPr>
            <w:tcW w:w="201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尺寸（mm）</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数量</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技术参数</w:t>
            </w:r>
          </w:p>
        </w:tc>
        <w:tc>
          <w:tcPr>
            <w:tcW w:w="148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报价（单价）</w:t>
            </w:r>
          </w:p>
        </w:tc>
        <w:tc>
          <w:tcPr>
            <w:tcW w:w="153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报价（总价）</w:t>
            </w:r>
          </w:p>
        </w:tc>
      </w:tr>
      <w:tr>
        <w:tblPrEx>
          <w:tblCellMar>
            <w:top w:w="0" w:type="dxa"/>
            <w:left w:w="108" w:type="dxa"/>
            <w:bottom w:w="0" w:type="dxa"/>
            <w:right w:w="108" w:type="dxa"/>
          </w:tblCellMar>
        </w:tblPrEx>
        <w:trPr>
          <w:trHeight w:val="585" w:hRule="atLeast"/>
        </w:trPr>
        <w:tc>
          <w:tcPr>
            <w:tcW w:w="937" w:type="dxa"/>
            <w:vMerge w:val="continue"/>
            <w:tcBorders>
              <w:top w:val="nil"/>
              <w:left w:val="single" w:color="000000" w:sz="8" w:space="0"/>
              <w:bottom w:val="single" w:color="000000" w:sz="8" w:space="0"/>
              <w:right w:val="single" w:color="000000" w:sz="8" w:space="0"/>
            </w:tcBorders>
            <w:shd w:val="clear" w:color="auto" w:fill="AEAAAA"/>
            <w:vAlign w:val="center"/>
          </w:tcPr>
          <w:p>
            <w:pPr>
              <w:jc w:val="center"/>
              <w:rPr>
                <w:rFonts w:hint="eastAsia" w:ascii="仿宋_GB2312" w:hAnsi="宋体" w:eastAsia="仿宋_GB2312" w:cs="仿宋_GB2312"/>
                <w:i w:val="0"/>
                <w:iCs w:val="0"/>
                <w:color w:val="000000"/>
                <w:sz w:val="24"/>
                <w:szCs w:val="24"/>
                <w:u w:val="none"/>
              </w:rPr>
            </w:pPr>
          </w:p>
        </w:tc>
        <w:tc>
          <w:tcPr>
            <w:tcW w:w="96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1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（不含税）</w:t>
            </w:r>
          </w:p>
        </w:tc>
        <w:tc>
          <w:tcPr>
            <w:tcW w:w="153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（不含税）</w:t>
            </w: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实木长条桌</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2200*800*750(h)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2张</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7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圆桌</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600（直径）*450(h)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6张</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实木长条椅</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1050*300*450(h)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5张</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座椅</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480*480*440(h)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10把</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沙发</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900*600*300(h)</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8把</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景观墙</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1800*7200</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1个</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b/>
                <w:bCs/>
                <w:i w:val="0"/>
                <w:iCs w:val="0"/>
                <w:color w:val="000000"/>
                <w:sz w:val="32"/>
                <w:szCs w:val="3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PVC防火阻燃地毯</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6000*8000</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60平方米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花器</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1200*300*500</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3个</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仿真绿植</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5组</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白色砂石</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6袋</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落地模型摆件</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700*350</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3个</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桌面摆件</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10个</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5"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隐藏式电插座</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300*53*35</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10个</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电路改造</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nil"/>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96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工程安装</w:t>
            </w:r>
          </w:p>
        </w:tc>
        <w:tc>
          <w:tcPr>
            <w:tcW w:w="20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4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32"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300" w:hRule="atLeast"/>
        </w:trPr>
        <w:tc>
          <w:tcPr>
            <w:tcW w:w="937" w:type="dxa"/>
            <w:tcBorders>
              <w:top w:val="single" w:color="000000" w:sz="8" w:space="0"/>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9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其他费用</w:t>
            </w:r>
          </w:p>
        </w:tc>
        <w:tc>
          <w:tcPr>
            <w:tcW w:w="2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3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1项</w:t>
            </w:r>
          </w:p>
        </w:tc>
        <w:tc>
          <w:tcPr>
            <w:tcW w:w="93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489"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532"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937" w:type="dxa"/>
            <w:tcBorders>
              <w:top w:val="nil"/>
              <w:left w:val="single" w:color="000000" w:sz="8" w:space="0"/>
              <w:bottom w:val="single" w:color="000000" w:sz="8" w:space="0"/>
              <w:right w:val="single" w:color="000000" w:sz="8" w:space="0"/>
            </w:tcBorders>
            <w:shd w:val="clear" w:color="auto" w:fill="AEAAA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9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489" w:type="dxa"/>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532" w:type="dxa"/>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bl>
    <w:p>
      <w:pPr>
        <w:pStyle w:val="15"/>
        <w:jc w:val="both"/>
      </w:pPr>
    </w:p>
    <w:p>
      <w:pPr>
        <w:pStyle w:val="15"/>
        <w:rPr>
          <w:rFonts w:ascii="仿宋" w:hAnsi="仿宋" w:eastAsia="仿宋"/>
          <w:sz w:val="32"/>
          <w:szCs w:val="32"/>
        </w:rPr>
      </w:pPr>
    </w:p>
    <w:p>
      <w:pPr>
        <w:rPr>
          <w:rFonts w:ascii="仿宋" w:hAnsi="仿宋" w:eastAsia="仿宋"/>
          <w:sz w:val="32"/>
          <w:szCs w:val="32"/>
        </w:rPr>
      </w:pPr>
    </w:p>
    <w:p>
      <w:pPr>
        <w:pStyle w:val="15"/>
      </w:pPr>
    </w:p>
    <w:p>
      <w:pPr>
        <w:pStyle w:val="15"/>
      </w:pPr>
    </w:p>
    <w:p>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24</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35875"/>
    <w:multiLevelType w:val="singleLevel"/>
    <w:tmpl w:val="E2735875"/>
    <w:lvl w:ilvl="0" w:tentative="0">
      <w:start w:val="9"/>
      <w:numFmt w:val="chineseCounting"/>
      <w:suff w:val="nothing"/>
      <w:lvlText w:val="%1、"/>
      <w:lvlJc w:val="left"/>
      <w:rPr>
        <w:rFonts w:hint="eastAsia"/>
      </w:rPr>
    </w:lvl>
  </w:abstractNum>
  <w:abstractNum w:abstractNumId="1">
    <w:nsid w:val="56F2A0CC"/>
    <w:multiLevelType w:val="singleLevel"/>
    <w:tmpl w:val="56F2A0C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0845"/>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704055"/>
    <w:rsid w:val="01812480"/>
    <w:rsid w:val="018467A0"/>
    <w:rsid w:val="018E717F"/>
    <w:rsid w:val="021E453E"/>
    <w:rsid w:val="0228140B"/>
    <w:rsid w:val="02551D30"/>
    <w:rsid w:val="02A974E4"/>
    <w:rsid w:val="02B2305B"/>
    <w:rsid w:val="02F3345A"/>
    <w:rsid w:val="03294D58"/>
    <w:rsid w:val="03505C5C"/>
    <w:rsid w:val="038E1345"/>
    <w:rsid w:val="038F0EF9"/>
    <w:rsid w:val="038F45F0"/>
    <w:rsid w:val="03BC211D"/>
    <w:rsid w:val="03CD58C4"/>
    <w:rsid w:val="041D7ED9"/>
    <w:rsid w:val="04713F07"/>
    <w:rsid w:val="05015BCF"/>
    <w:rsid w:val="051A237D"/>
    <w:rsid w:val="06114EB2"/>
    <w:rsid w:val="062C7AB0"/>
    <w:rsid w:val="0669363C"/>
    <w:rsid w:val="067B4735"/>
    <w:rsid w:val="06926D13"/>
    <w:rsid w:val="06AF6E73"/>
    <w:rsid w:val="06B0704C"/>
    <w:rsid w:val="06E96658"/>
    <w:rsid w:val="074461C3"/>
    <w:rsid w:val="07672918"/>
    <w:rsid w:val="07A50AC0"/>
    <w:rsid w:val="07AE07B1"/>
    <w:rsid w:val="07BD692B"/>
    <w:rsid w:val="07CD0010"/>
    <w:rsid w:val="0832621F"/>
    <w:rsid w:val="084A7A5E"/>
    <w:rsid w:val="08C36957"/>
    <w:rsid w:val="091932F7"/>
    <w:rsid w:val="092936E8"/>
    <w:rsid w:val="094D7C8E"/>
    <w:rsid w:val="099D15C0"/>
    <w:rsid w:val="09EC6EDC"/>
    <w:rsid w:val="0A206860"/>
    <w:rsid w:val="0AB33D83"/>
    <w:rsid w:val="0B15208A"/>
    <w:rsid w:val="0B594B26"/>
    <w:rsid w:val="0B9C5C5A"/>
    <w:rsid w:val="0BB26BA5"/>
    <w:rsid w:val="0BC72ADF"/>
    <w:rsid w:val="0BC825DD"/>
    <w:rsid w:val="0BE82169"/>
    <w:rsid w:val="0C0D55C5"/>
    <w:rsid w:val="0C2F7B78"/>
    <w:rsid w:val="0C342DB9"/>
    <w:rsid w:val="0C475CFE"/>
    <w:rsid w:val="0CAC1D41"/>
    <w:rsid w:val="0CB1714D"/>
    <w:rsid w:val="0CBB4404"/>
    <w:rsid w:val="0CBB5680"/>
    <w:rsid w:val="0CEF58CF"/>
    <w:rsid w:val="0D3979A6"/>
    <w:rsid w:val="0D572D9B"/>
    <w:rsid w:val="0D651ECC"/>
    <w:rsid w:val="0DC35491"/>
    <w:rsid w:val="0E3863DE"/>
    <w:rsid w:val="0E453666"/>
    <w:rsid w:val="0EED5A02"/>
    <w:rsid w:val="0F0001A4"/>
    <w:rsid w:val="0F075A57"/>
    <w:rsid w:val="0F2B2C30"/>
    <w:rsid w:val="0F484754"/>
    <w:rsid w:val="0F955669"/>
    <w:rsid w:val="0FC11447"/>
    <w:rsid w:val="0FD21F07"/>
    <w:rsid w:val="0FEF2928"/>
    <w:rsid w:val="100D6839"/>
    <w:rsid w:val="101B284F"/>
    <w:rsid w:val="102B398F"/>
    <w:rsid w:val="10595206"/>
    <w:rsid w:val="10873677"/>
    <w:rsid w:val="10CC1777"/>
    <w:rsid w:val="10EB7434"/>
    <w:rsid w:val="118B1E33"/>
    <w:rsid w:val="119B67E6"/>
    <w:rsid w:val="11AB38D5"/>
    <w:rsid w:val="11BD7E69"/>
    <w:rsid w:val="11F87BBE"/>
    <w:rsid w:val="1210330A"/>
    <w:rsid w:val="128E6B0C"/>
    <w:rsid w:val="12A53375"/>
    <w:rsid w:val="12B94A43"/>
    <w:rsid w:val="12D87FC2"/>
    <w:rsid w:val="12DA5D22"/>
    <w:rsid w:val="12EE1E6B"/>
    <w:rsid w:val="13414DF0"/>
    <w:rsid w:val="135159A4"/>
    <w:rsid w:val="13A51C33"/>
    <w:rsid w:val="143B0E1B"/>
    <w:rsid w:val="14456DA3"/>
    <w:rsid w:val="147430B6"/>
    <w:rsid w:val="147D3771"/>
    <w:rsid w:val="14907B98"/>
    <w:rsid w:val="149476CA"/>
    <w:rsid w:val="14C03733"/>
    <w:rsid w:val="14CB0C3E"/>
    <w:rsid w:val="15392F7C"/>
    <w:rsid w:val="156016BF"/>
    <w:rsid w:val="1588308B"/>
    <w:rsid w:val="15925856"/>
    <w:rsid w:val="162D6C0D"/>
    <w:rsid w:val="16301051"/>
    <w:rsid w:val="163168DC"/>
    <w:rsid w:val="16676818"/>
    <w:rsid w:val="18014545"/>
    <w:rsid w:val="18142193"/>
    <w:rsid w:val="182F53CC"/>
    <w:rsid w:val="186774BF"/>
    <w:rsid w:val="18811883"/>
    <w:rsid w:val="18B1133A"/>
    <w:rsid w:val="18D57E27"/>
    <w:rsid w:val="1A124576"/>
    <w:rsid w:val="1A30278E"/>
    <w:rsid w:val="1A831AA9"/>
    <w:rsid w:val="1AB126A4"/>
    <w:rsid w:val="1ABA18B1"/>
    <w:rsid w:val="1AE06477"/>
    <w:rsid w:val="1AE76FFF"/>
    <w:rsid w:val="1B010554"/>
    <w:rsid w:val="1BB10713"/>
    <w:rsid w:val="1BDF24BF"/>
    <w:rsid w:val="1C2D30C9"/>
    <w:rsid w:val="1C467DC8"/>
    <w:rsid w:val="1C881697"/>
    <w:rsid w:val="1D575CF7"/>
    <w:rsid w:val="1D59475A"/>
    <w:rsid w:val="1D7A1E8A"/>
    <w:rsid w:val="1D932B7D"/>
    <w:rsid w:val="1DB107C2"/>
    <w:rsid w:val="1E1A62D7"/>
    <w:rsid w:val="1E321250"/>
    <w:rsid w:val="1E7E1A93"/>
    <w:rsid w:val="1E8326AC"/>
    <w:rsid w:val="1E856992"/>
    <w:rsid w:val="1F211E55"/>
    <w:rsid w:val="1F35392A"/>
    <w:rsid w:val="1F4C3D24"/>
    <w:rsid w:val="1F645A31"/>
    <w:rsid w:val="1F6B2A1D"/>
    <w:rsid w:val="1F8C111E"/>
    <w:rsid w:val="1F9355FC"/>
    <w:rsid w:val="1F9E5DF7"/>
    <w:rsid w:val="1FA61C9B"/>
    <w:rsid w:val="1FBB3975"/>
    <w:rsid w:val="1FCD6734"/>
    <w:rsid w:val="1FD82688"/>
    <w:rsid w:val="1FE1777A"/>
    <w:rsid w:val="1FEA3F10"/>
    <w:rsid w:val="20430497"/>
    <w:rsid w:val="209839E2"/>
    <w:rsid w:val="20E6771B"/>
    <w:rsid w:val="20F8411F"/>
    <w:rsid w:val="21145FA3"/>
    <w:rsid w:val="212D69FF"/>
    <w:rsid w:val="2133297A"/>
    <w:rsid w:val="21456934"/>
    <w:rsid w:val="215162BC"/>
    <w:rsid w:val="219352FE"/>
    <w:rsid w:val="21D0631B"/>
    <w:rsid w:val="21FE2245"/>
    <w:rsid w:val="220046E7"/>
    <w:rsid w:val="22021FA1"/>
    <w:rsid w:val="22091993"/>
    <w:rsid w:val="222028DA"/>
    <w:rsid w:val="224861CB"/>
    <w:rsid w:val="225D6443"/>
    <w:rsid w:val="227663D5"/>
    <w:rsid w:val="22B627E9"/>
    <w:rsid w:val="22EA2CA0"/>
    <w:rsid w:val="22F70F66"/>
    <w:rsid w:val="22FC11FF"/>
    <w:rsid w:val="230A1B5A"/>
    <w:rsid w:val="237F7863"/>
    <w:rsid w:val="238923C2"/>
    <w:rsid w:val="23C600B0"/>
    <w:rsid w:val="23E40EF9"/>
    <w:rsid w:val="241B0B0D"/>
    <w:rsid w:val="244C7E52"/>
    <w:rsid w:val="2491466A"/>
    <w:rsid w:val="24AB1CFC"/>
    <w:rsid w:val="24CC6B9D"/>
    <w:rsid w:val="24F21CFF"/>
    <w:rsid w:val="2590656D"/>
    <w:rsid w:val="25A74312"/>
    <w:rsid w:val="25D263D9"/>
    <w:rsid w:val="26B744BF"/>
    <w:rsid w:val="26D266BE"/>
    <w:rsid w:val="26DF36D3"/>
    <w:rsid w:val="26E5195A"/>
    <w:rsid w:val="271C2232"/>
    <w:rsid w:val="27560BCF"/>
    <w:rsid w:val="27634439"/>
    <w:rsid w:val="276B3D10"/>
    <w:rsid w:val="27753BD0"/>
    <w:rsid w:val="278769AA"/>
    <w:rsid w:val="278E51FA"/>
    <w:rsid w:val="27F3710B"/>
    <w:rsid w:val="28DF48F7"/>
    <w:rsid w:val="291B6D26"/>
    <w:rsid w:val="293D4290"/>
    <w:rsid w:val="29552453"/>
    <w:rsid w:val="29652180"/>
    <w:rsid w:val="29A054A0"/>
    <w:rsid w:val="29A47243"/>
    <w:rsid w:val="2A261EC0"/>
    <w:rsid w:val="2A36169F"/>
    <w:rsid w:val="2A4442C9"/>
    <w:rsid w:val="2A5417CB"/>
    <w:rsid w:val="2A970F55"/>
    <w:rsid w:val="2AB3182E"/>
    <w:rsid w:val="2AC33EBC"/>
    <w:rsid w:val="2ACB7BD3"/>
    <w:rsid w:val="2AEE71EB"/>
    <w:rsid w:val="2B3542A3"/>
    <w:rsid w:val="2B761FD7"/>
    <w:rsid w:val="2B851373"/>
    <w:rsid w:val="2B8A4364"/>
    <w:rsid w:val="2BBD0E3F"/>
    <w:rsid w:val="2BD45641"/>
    <w:rsid w:val="2BD72CF4"/>
    <w:rsid w:val="2C117D75"/>
    <w:rsid w:val="2C1C2FC3"/>
    <w:rsid w:val="2C394678"/>
    <w:rsid w:val="2C4B4B8B"/>
    <w:rsid w:val="2C5F41B4"/>
    <w:rsid w:val="2C884038"/>
    <w:rsid w:val="2C8F7EC3"/>
    <w:rsid w:val="2CA0734B"/>
    <w:rsid w:val="2CD73867"/>
    <w:rsid w:val="2CD93AFB"/>
    <w:rsid w:val="2CE712A0"/>
    <w:rsid w:val="2CEA1978"/>
    <w:rsid w:val="2D033E33"/>
    <w:rsid w:val="2D1321DB"/>
    <w:rsid w:val="2D2D56F8"/>
    <w:rsid w:val="2D5F67C6"/>
    <w:rsid w:val="2D7B486B"/>
    <w:rsid w:val="2D800C78"/>
    <w:rsid w:val="2DA22425"/>
    <w:rsid w:val="2E3B5D3F"/>
    <w:rsid w:val="2E454C14"/>
    <w:rsid w:val="2E473856"/>
    <w:rsid w:val="2E7811BD"/>
    <w:rsid w:val="2E810462"/>
    <w:rsid w:val="2E9362BE"/>
    <w:rsid w:val="2E9E1752"/>
    <w:rsid w:val="2E9E5DE5"/>
    <w:rsid w:val="2EB75021"/>
    <w:rsid w:val="2EE7358F"/>
    <w:rsid w:val="2F3245E8"/>
    <w:rsid w:val="2F835584"/>
    <w:rsid w:val="2FA94CA5"/>
    <w:rsid w:val="2FDB2561"/>
    <w:rsid w:val="2FDC3C1D"/>
    <w:rsid w:val="3002119F"/>
    <w:rsid w:val="30255CA3"/>
    <w:rsid w:val="309A5423"/>
    <w:rsid w:val="30CA196F"/>
    <w:rsid w:val="30E92D4D"/>
    <w:rsid w:val="30F83B61"/>
    <w:rsid w:val="31115D90"/>
    <w:rsid w:val="31284C93"/>
    <w:rsid w:val="312E57E1"/>
    <w:rsid w:val="313F22DE"/>
    <w:rsid w:val="31497913"/>
    <w:rsid w:val="317D496F"/>
    <w:rsid w:val="318F584F"/>
    <w:rsid w:val="31AA330D"/>
    <w:rsid w:val="322A5ED5"/>
    <w:rsid w:val="324B614A"/>
    <w:rsid w:val="32541C64"/>
    <w:rsid w:val="328B03E6"/>
    <w:rsid w:val="32ED6C2A"/>
    <w:rsid w:val="33480090"/>
    <w:rsid w:val="337A7701"/>
    <w:rsid w:val="338850CB"/>
    <w:rsid w:val="33DA1AD6"/>
    <w:rsid w:val="33F72C73"/>
    <w:rsid w:val="342C2242"/>
    <w:rsid w:val="346016F6"/>
    <w:rsid w:val="346D767E"/>
    <w:rsid w:val="34833455"/>
    <w:rsid w:val="348B2611"/>
    <w:rsid w:val="349D1501"/>
    <w:rsid w:val="34F568BA"/>
    <w:rsid w:val="34F836E2"/>
    <w:rsid w:val="350D5443"/>
    <w:rsid w:val="35963F25"/>
    <w:rsid w:val="35AC0BA3"/>
    <w:rsid w:val="35B444F0"/>
    <w:rsid w:val="35BE482E"/>
    <w:rsid w:val="35C224E9"/>
    <w:rsid w:val="35C40F32"/>
    <w:rsid w:val="35F223EA"/>
    <w:rsid w:val="36A05175"/>
    <w:rsid w:val="36C80A72"/>
    <w:rsid w:val="36F465CF"/>
    <w:rsid w:val="3716364C"/>
    <w:rsid w:val="372131DE"/>
    <w:rsid w:val="374A3105"/>
    <w:rsid w:val="3765482F"/>
    <w:rsid w:val="37907A7E"/>
    <w:rsid w:val="37CD33BA"/>
    <w:rsid w:val="380C0E74"/>
    <w:rsid w:val="38333537"/>
    <w:rsid w:val="38B24D5A"/>
    <w:rsid w:val="38BA4CF1"/>
    <w:rsid w:val="38EC0B47"/>
    <w:rsid w:val="38F53607"/>
    <w:rsid w:val="38FA1B4F"/>
    <w:rsid w:val="38FB432D"/>
    <w:rsid w:val="391B4159"/>
    <w:rsid w:val="39391916"/>
    <w:rsid w:val="39A259E2"/>
    <w:rsid w:val="39A77B84"/>
    <w:rsid w:val="39E5345C"/>
    <w:rsid w:val="39F56552"/>
    <w:rsid w:val="3A175922"/>
    <w:rsid w:val="3A5C0246"/>
    <w:rsid w:val="3A9C6630"/>
    <w:rsid w:val="3AAE6463"/>
    <w:rsid w:val="3AB0370B"/>
    <w:rsid w:val="3AF41789"/>
    <w:rsid w:val="3B10122E"/>
    <w:rsid w:val="3B2F3D7C"/>
    <w:rsid w:val="3B354EA1"/>
    <w:rsid w:val="3B4000D7"/>
    <w:rsid w:val="3BA83ADB"/>
    <w:rsid w:val="3BAD4389"/>
    <w:rsid w:val="3BC13B72"/>
    <w:rsid w:val="3C115DEA"/>
    <w:rsid w:val="3CB66300"/>
    <w:rsid w:val="3CDA272C"/>
    <w:rsid w:val="3CDB3981"/>
    <w:rsid w:val="3CF158D0"/>
    <w:rsid w:val="3CF53EA0"/>
    <w:rsid w:val="3CFF57F6"/>
    <w:rsid w:val="3D0578CE"/>
    <w:rsid w:val="3DA63748"/>
    <w:rsid w:val="3DCD3D4B"/>
    <w:rsid w:val="3E8838BC"/>
    <w:rsid w:val="3E893685"/>
    <w:rsid w:val="3E976FDE"/>
    <w:rsid w:val="3EAA6BC9"/>
    <w:rsid w:val="3EC95C23"/>
    <w:rsid w:val="3EE72035"/>
    <w:rsid w:val="3F1706C1"/>
    <w:rsid w:val="3F200B7E"/>
    <w:rsid w:val="3F3922CA"/>
    <w:rsid w:val="3F427D12"/>
    <w:rsid w:val="3F8B24BE"/>
    <w:rsid w:val="3FA769A4"/>
    <w:rsid w:val="3FDB1EA9"/>
    <w:rsid w:val="4004497A"/>
    <w:rsid w:val="405C181D"/>
    <w:rsid w:val="40855E71"/>
    <w:rsid w:val="4095434D"/>
    <w:rsid w:val="40CF1DE6"/>
    <w:rsid w:val="40D90344"/>
    <w:rsid w:val="417A5CF9"/>
    <w:rsid w:val="41AC2881"/>
    <w:rsid w:val="41C15A4F"/>
    <w:rsid w:val="41FB5B79"/>
    <w:rsid w:val="42086C23"/>
    <w:rsid w:val="435F477F"/>
    <w:rsid w:val="437249A3"/>
    <w:rsid w:val="437B1054"/>
    <w:rsid w:val="43896DC9"/>
    <w:rsid w:val="43A86BD7"/>
    <w:rsid w:val="44413800"/>
    <w:rsid w:val="448555FC"/>
    <w:rsid w:val="44C02993"/>
    <w:rsid w:val="44C7577D"/>
    <w:rsid w:val="44E54AAA"/>
    <w:rsid w:val="452373EC"/>
    <w:rsid w:val="45411C78"/>
    <w:rsid w:val="45BC6439"/>
    <w:rsid w:val="45EE09D7"/>
    <w:rsid w:val="45FF6589"/>
    <w:rsid w:val="461D2612"/>
    <w:rsid w:val="461D7B36"/>
    <w:rsid w:val="461F5F3D"/>
    <w:rsid w:val="46D44F24"/>
    <w:rsid w:val="46D84557"/>
    <w:rsid w:val="47103AFF"/>
    <w:rsid w:val="476A02AE"/>
    <w:rsid w:val="477C2D3E"/>
    <w:rsid w:val="47A24A3B"/>
    <w:rsid w:val="47C81929"/>
    <w:rsid w:val="482A5817"/>
    <w:rsid w:val="482F185E"/>
    <w:rsid w:val="48446DC9"/>
    <w:rsid w:val="486039D9"/>
    <w:rsid w:val="489638DF"/>
    <w:rsid w:val="48F07A8C"/>
    <w:rsid w:val="48F55A70"/>
    <w:rsid w:val="49451B71"/>
    <w:rsid w:val="496B4BA1"/>
    <w:rsid w:val="49E76D94"/>
    <w:rsid w:val="4A1016E3"/>
    <w:rsid w:val="4A4F102E"/>
    <w:rsid w:val="4A556BD8"/>
    <w:rsid w:val="4A9F57EF"/>
    <w:rsid w:val="4AB16879"/>
    <w:rsid w:val="4AFD4042"/>
    <w:rsid w:val="4B1202D0"/>
    <w:rsid w:val="4B154F75"/>
    <w:rsid w:val="4B306E4D"/>
    <w:rsid w:val="4B3379D7"/>
    <w:rsid w:val="4B700E13"/>
    <w:rsid w:val="4B89301B"/>
    <w:rsid w:val="4B9354D5"/>
    <w:rsid w:val="4C0842E9"/>
    <w:rsid w:val="4C5300DF"/>
    <w:rsid w:val="4C5330B1"/>
    <w:rsid w:val="4C594A0F"/>
    <w:rsid w:val="4C82367D"/>
    <w:rsid w:val="4C8B58C9"/>
    <w:rsid w:val="4C8B69C1"/>
    <w:rsid w:val="4CD1534F"/>
    <w:rsid w:val="4CE343C6"/>
    <w:rsid w:val="4D3E64E6"/>
    <w:rsid w:val="4D7D3A50"/>
    <w:rsid w:val="4DA85B00"/>
    <w:rsid w:val="4DFA7FF4"/>
    <w:rsid w:val="4E89537F"/>
    <w:rsid w:val="4F226B33"/>
    <w:rsid w:val="4F312BCC"/>
    <w:rsid w:val="4F571AFC"/>
    <w:rsid w:val="4F5A7728"/>
    <w:rsid w:val="4F5C2CE2"/>
    <w:rsid w:val="4F5E385D"/>
    <w:rsid w:val="4F5E3B90"/>
    <w:rsid w:val="4F8B7C99"/>
    <w:rsid w:val="500E5CC3"/>
    <w:rsid w:val="5060179E"/>
    <w:rsid w:val="506868AD"/>
    <w:rsid w:val="50895A42"/>
    <w:rsid w:val="50AF50EC"/>
    <w:rsid w:val="50C37BC4"/>
    <w:rsid w:val="50D70CBA"/>
    <w:rsid w:val="50EF6F68"/>
    <w:rsid w:val="51506CBE"/>
    <w:rsid w:val="51507721"/>
    <w:rsid w:val="51592B3C"/>
    <w:rsid w:val="5180793B"/>
    <w:rsid w:val="51EA1F2E"/>
    <w:rsid w:val="521C4028"/>
    <w:rsid w:val="52B954AB"/>
    <w:rsid w:val="52C40BC6"/>
    <w:rsid w:val="52E854A0"/>
    <w:rsid w:val="532527E9"/>
    <w:rsid w:val="533D3B16"/>
    <w:rsid w:val="538B2C3E"/>
    <w:rsid w:val="53976002"/>
    <w:rsid w:val="53A92D23"/>
    <w:rsid w:val="53B306A1"/>
    <w:rsid w:val="54611AC3"/>
    <w:rsid w:val="54D415A8"/>
    <w:rsid w:val="54F50869"/>
    <w:rsid w:val="550B5BC3"/>
    <w:rsid w:val="552F2683"/>
    <w:rsid w:val="55344A4D"/>
    <w:rsid w:val="556C4E58"/>
    <w:rsid w:val="561B4674"/>
    <w:rsid w:val="57A71AC0"/>
    <w:rsid w:val="57C167C4"/>
    <w:rsid w:val="58094566"/>
    <w:rsid w:val="583C26C6"/>
    <w:rsid w:val="589E4829"/>
    <w:rsid w:val="58E14FB2"/>
    <w:rsid w:val="58EF3580"/>
    <w:rsid w:val="58F77771"/>
    <w:rsid w:val="590D2A41"/>
    <w:rsid w:val="59652915"/>
    <w:rsid w:val="597C77F3"/>
    <w:rsid w:val="59911108"/>
    <w:rsid w:val="59990818"/>
    <w:rsid w:val="599E3AD3"/>
    <w:rsid w:val="59A46BB4"/>
    <w:rsid w:val="59AE32A4"/>
    <w:rsid w:val="59B418EC"/>
    <w:rsid w:val="59D64B72"/>
    <w:rsid w:val="5A1A6840"/>
    <w:rsid w:val="5A294443"/>
    <w:rsid w:val="5A59335E"/>
    <w:rsid w:val="5AE040CA"/>
    <w:rsid w:val="5AE0783A"/>
    <w:rsid w:val="5B050EE5"/>
    <w:rsid w:val="5B3E3947"/>
    <w:rsid w:val="5BE02667"/>
    <w:rsid w:val="5C3A4E1A"/>
    <w:rsid w:val="5C4A57FE"/>
    <w:rsid w:val="5C4B3453"/>
    <w:rsid w:val="5CC31ACB"/>
    <w:rsid w:val="5CDD703B"/>
    <w:rsid w:val="5D5A5137"/>
    <w:rsid w:val="5D8D6D43"/>
    <w:rsid w:val="5DB63AED"/>
    <w:rsid w:val="5DE67625"/>
    <w:rsid w:val="5E3651F2"/>
    <w:rsid w:val="5E4306B2"/>
    <w:rsid w:val="5E6815F6"/>
    <w:rsid w:val="5EAF29C2"/>
    <w:rsid w:val="5EF644B1"/>
    <w:rsid w:val="5F25414E"/>
    <w:rsid w:val="5F457474"/>
    <w:rsid w:val="5FD90792"/>
    <w:rsid w:val="5FE801DD"/>
    <w:rsid w:val="601A35B9"/>
    <w:rsid w:val="60681418"/>
    <w:rsid w:val="608C04AD"/>
    <w:rsid w:val="60944608"/>
    <w:rsid w:val="61151C96"/>
    <w:rsid w:val="611A1C2C"/>
    <w:rsid w:val="61535B56"/>
    <w:rsid w:val="61795552"/>
    <w:rsid w:val="61B47556"/>
    <w:rsid w:val="61B91A04"/>
    <w:rsid w:val="61FC7B9B"/>
    <w:rsid w:val="6201263F"/>
    <w:rsid w:val="6257101D"/>
    <w:rsid w:val="626E20F2"/>
    <w:rsid w:val="62773165"/>
    <w:rsid w:val="629B4D06"/>
    <w:rsid w:val="629D6A70"/>
    <w:rsid w:val="62B17FE1"/>
    <w:rsid w:val="62F877AE"/>
    <w:rsid w:val="63177651"/>
    <w:rsid w:val="632E659D"/>
    <w:rsid w:val="633D1ECF"/>
    <w:rsid w:val="63526E22"/>
    <w:rsid w:val="63593532"/>
    <w:rsid w:val="638027BB"/>
    <w:rsid w:val="63872727"/>
    <w:rsid w:val="63AB6700"/>
    <w:rsid w:val="63CB71A6"/>
    <w:rsid w:val="64396F34"/>
    <w:rsid w:val="644F311E"/>
    <w:rsid w:val="64832B08"/>
    <w:rsid w:val="64897065"/>
    <w:rsid w:val="64A737CA"/>
    <w:rsid w:val="64EA53CD"/>
    <w:rsid w:val="64F870CA"/>
    <w:rsid w:val="650F590D"/>
    <w:rsid w:val="655F3B20"/>
    <w:rsid w:val="65BD52D2"/>
    <w:rsid w:val="660C6B11"/>
    <w:rsid w:val="662A1B8F"/>
    <w:rsid w:val="662B2295"/>
    <w:rsid w:val="66352560"/>
    <w:rsid w:val="6656463E"/>
    <w:rsid w:val="667363D5"/>
    <w:rsid w:val="667D7612"/>
    <w:rsid w:val="66810E69"/>
    <w:rsid w:val="66AE408D"/>
    <w:rsid w:val="6707782F"/>
    <w:rsid w:val="6790349B"/>
    <w:rsid w:val="679F5A11"/>
    <w:rsid w:val="67C2595C"/>
    <w:rsid w:val="67C96241"/>
    <w:rsid w:val="67E64BF7"/>
    <w:rsid w:val="67EA10A4"/>
    <w:rsid w:val="67F65044"/>
    <w:rsid w:val="686233E8"/>
    <w:rsid w:val="688752FF"/>
    <w:rsid w:val="689501EC"/>
    <w:rsid w:val="68C97A59"/>
    <w:rsid w:val="68EF5B14"/>
    <w:rsid w:val="693B3693"/>
    <w:rsid w:val="6989540E"/>
    <w:rsid w:val="69A414CD"/>
    <w:rsid w:val="69B1552A"/>
    <w:rsid w:val="69C35883"/>
    <w:rsid w:val="69CF6FA2"/>
    <w:rsid w:val="69E1386C"/>
    <w:rsid w:val="69E63C7D"/>
    <w:rsid w:val="69F06741"/>
    <w:rsid w:val="6A6D60E2"/>
    <w:rsid w:val="6ACE03D6"/>
    <w:rsid w:val="6AF53E69"/>
    <w:rsid w:val="6B356BD0"/>
    <w:rsid w:val="6B995283"/>
    <w:rsid w:val="6BB521AF"/>
    <w:rsid w:val="6C2418B0"/>
    <w:rsid w:val="6C431EDD"/>
    <w:rsid w:val="6C5957C1"/>
    <w:rsid w:val="6CCC3C39"/>
    <w:rsid w:val="6CF54589"/>
    <w:rsid w:val="6D8E141B"/>
    <w:rsid w:val="6D932923"/>
    <w:rsid w:val="6DF00CD3"/>
    <w:rsid w:val="6E210D6B"/>
    <w:rsid w:val="6E7B36FE"/>
    <w:rsid w:val="6ED627D1"/>
    <w:rsid w:val="6EFE60F5"/>
    <w:rsid w:val="6F0F3457"/>
    <w:rsid w:val="6F1216B3"/>
    <w:rsid w:val="6F633766"/>
    <w:rsid w:val="6F653B44"/>
    <w:rsid w:val="6F73050E"/>
    <w:rsid w:val="6F73415D"/>
    <w:rsid w:val="6FA87187"/>
    <w:rsid w:val="6FA97E94"/>
    <w:rsid w:val="6FD530AF"/>
    <w:rsid w:val="6FFD1A4C"/>
    <w:rsid w:val="701F5D70"/>
    <w:rsid w:val="706D7410"/>
    <w:rsid w:val="70892272"/>
    <w:rsid w:val="708D5108"/>
    <w:rsid w:val="70B7451A"/>
    <w:rsid w:val="71193D3B"/>
    <w:rsid w:val="713C395D"/>
    <w:rsid w:val="71A60421"/>
    <w:rsid w:val="71CB423A"/>
    <w:rsid w:val="71DC1FCB"/>
    <w:rsid w:val="72250A97"/>
    <w:rsid w:val="727D4BA4"/>
    <w:rsid w:val="72812E6B"/>
    <w:rsid w:val="728A66F4"/>
    <w:rsid w:val="72F270E8"/>
    <w:rsid w:val="72FC5048"/>
    <w:rsid w:val="730762AF"/>
    <w:rsid w:val="739C7EC3"/>
    <w:rsid w:val="73A74995"/>
    <w:rsid w:val="742A40FE"/>
    <w:rsid w:val="74433240"/>
    <w:rsid w:val="74493C9B"/>
    <w:rsid w:val="74727757"/>
    <w:rsid w:val="75292A5A"/>
    <w:rsid w:val="7543006A"/>
    <w:rsid w:val="76035D15"/>
    <w:rsid w:val="761522D9"/>
    <w:rsid w:val="761E1918"/>
    <w:rsid w:val="765833B1"/>
    <w:rsid w:val="76B52101"/>
    <w:rsid w:val="76F35113"/>
    <w:rsid w:val="770C239D"/>
    <w:rsid w:val="771A210A"/>
    <w:rsid w:val="771E2F06"/>
    <w:rsid w:val="772C18F8"/>
    <w:rsid w:val="7736086A"/>
    <w:rsid w:val="77611D7E"/>
    <w:rsid w:val="777F278D"/>
    <w:rsid w:val="7792302D"/>
    <w:rsid w:val="77A80139"/>
    <w:rsid w:val="77D145BA"/>
    <w:rsid w:val="77E15703"/>
    <w:rsid w:val="78184E50"/>
    <w:rsid w:val="78730DC5"/>
    <w:rsid w:val="798D7855"/>
    <w:rsid w:val="799B453D"/>
    <w:rsid w:val="79B201B5"/>
    <w:rsid w:val="79CC368E"/>
    <w:rsid w:val="79EA51BF"/>
    <w:rsid w:val="79EA6BB9"/>
    <w:rsid w:val="7A033AB4"/>
    <w:rsid w:val="7A1702A1"/>
    <w:rsid w:val="7A424D83"/>
    <w:rsid w:val="7AB45B6E"/>
    <w:rsid w:val="7B5A6C37"/>
    <w:rsid w:val="7B5D17FB"/>
    <w:rsid w:val="7B664C6B"/>
    <w:rsid w:val="7B734701"/>
    <w:rsid w:val="7B9B65B7"/>
    <w:rsid w:val="7BAD6180"/>
    <w:rsid w:val="7BCE036A"/>
    <w:rsid w:val="7BDD610B"/>
    <w:rsid w:val="7BF8745B"/>
    <w:rsid w:val="7C9319A1"/>
    <w:rsid w:val="7CE3070B"/>
    <w:rsid w:val="7CE81964"/>
    <w:rsid w:val="7CF472C0"/>
    <w:rsid w:val="7CFA61AB"/>
    <w:rsid w:val="7D1F6A71"/>
    <w:rsid w:val="7D7C7C32"/>
    <w:rsid w:val="7E0D6165"/>
    <w:rsid w:val="7E56578E"/>
    <w:rsid w:val="7E6459CD"/>
    <w:rsid w:val="7E751CEC"/>
    <w:rsid w:val="7EAA4EAA"/>
    <w:rsid w:val="7EBA1320"/>
    <w:rsid w:val="7EDC4780"/>
    <w:rsid w:val="7EEA010F"/>
    <w:rsid w:val="7EFD4D99"/>
    <w:rsid w:val="7F196ACE"/>
    <w:rsid w:val="7F9D7139"/>
    <w:rsid w:val="7FA14A15"/>
    <w:rsid w:val="7FA8056A"/>
    <w:rsid w:val="7FD329A8"/>
    <w:rsid w:val="7FDB27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6">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link w:val="32"/>
    <w:semiHidden/>
    <w:unhideWhenUsed/>
    <w:qFormat/>
    <w:uiPriority w:val="99"/>
    <w:pPr>
      <w:jc w:val="left"/>
    </w:p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8"/>
    <w:next w:val="8"/>
    <w:link w:val="33"/>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9"/>
    <w:link w:val="9"/>
    <w:semiHidden/>
    <w:qFormat/>
    <w:locked/>
    <w:uiPriority w:val="99"/>
    <w:rPr>
      <w:rFonts w:ascii="Times New Roman" w:hAnsi="Times New Roman"/>
      <w:kern w:val="2"/>
      <w:sz w:val="18"/>
    </w:rPr>
  </w:style>
  <w:style w:type="character" w:customStyle="1" w:styleId="24">
    <w:name w:val="页脚 字符"/>
    <w:basedOn w:val="19"/>
    <w:link w:val="10"/>
    <w:qFormat/>
    <w:locked/>
    <w:uiPriority w:val="99"/>
    <w:rPr>
      <w:sz w:val="18"/>
    </w:rPr>
  </w:style>
  <w:style w:type="character" w:customStyle="1" w:styleId="25">
    <w:name w:val="页眉 字符"/>
    <w:basedOn w:val="19"/>
    <w:link w:val="11"/>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9"/>
    <w:link w:val="8"/>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6"/>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9"/>
    <w:qFormat/>
    <w:uiPriority w:val="0"/>
    <w:rPr>
      <w:rFonts w:ascii="CIDFont + F3" w:hAnsi="CIDFont + F3" w:eastAsia="CIDFont + F3" w:cs="CIDFont + F3"/>
      <w:color w:val="000000"/>
      <w:sz w:val="32"/>
      <w:szCs w:val="32"/>
    </w:rPr>
  </w:style>
  <w:style w:type="paragraph" w:customStyle="1" w:styleId="3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39">
    <w:name w:val="Body text (2)_"/>
    <w:link w:val="40"/>
    <w:qFormat/>
    <w:uiPriority w:val="99"/>
    <w:rPr>
      <w:rFonts w:ascii="MingLiU" w:hAnsi="Calibri" w:eastAsia="MingLiU" w:cs="MingLiU"/>
      <w:sz w:val="30"/>
      <w:szCs w:val="30"/>
    </w:rPr>
  </w:style>
  <w:style w:type="paragraph" w:customStyle="1" w:styleId="40">
    <w:name w:val="Body text (2)1"/>
    <w:basedOn w:val="1"/>
    <w:link w:val="39"/>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1</TotalTime>
  <ScaleCrop>false</ScaleCrop>
  <LinksUpToDate>false</LinksUpToDate>
  <CharactersWithSpaces>12592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2020-04-21T01:30:00Z</cp:lastPrinted>
  <dcterms:modified xsi:type="dcterms:W3CDTF">2021-08-10T07:45:49Z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6FDB478CC8B243C698872ECE2F99E8C9</vt:lpwstr>
  </property>
</Properties>
</file>