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hint="eastAsia" w:ascii="方正小标宋_GBK" w:hAnsi="方正小标宋_GBK" w:eastAsia="方正小标宋_GBK" w:cs="方正小标宋_GBK"/>
          <w:b/>
          <w:color w:val="000000"/>
          <w:sz w:val="52"/>
          <w:szCs w:val="52"/>
        </w:rPr>
      </w:pPr>
    </w:p>
    <w:p>
      <w:pPr>
        <w:jc w:val="center"/>
        <w:rPr>
          <w:rFonts w:hint="eastAsia" w:ascii="方正小标宋_GBK" w:hAnsi="方正小标宋_GBK" w:eastAsia="方正小标宋_GBK" w:cs="方正小标宋_GBK"/>
          <w:b w:val="0"/>
          <w:bCs/>
          <w:color w:val="000000"/>
          <w:sz w:val="52"/>
          <w:szCs w:val="52"/>
        </w:rPr>
      </w:pPr>
      <w:r>
        <w:rPr>
          <w:rFonts w:hint="eastAsia" w:ascii="方正小标宋_GBK" w:hAnsi="方正小标宋_GBK" w:eastAsia="方正小标宋_GBK" w:cs="方正小标宋_GBK"/>
          <w:b w:val="0"/>
          <w:bCs/>
          <w:color w:val="000000"/>
          <w:sz w:val="52"/>
          <w:szCs w:val="52"/>
        </w:rPr>
        <w:t>重庆江北国际机场有限公司</w:t>
      </w:r>
    </w:p>
    <w:p>
      <w:pPr>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航务管理部</w:t>
      </w:r>
      <w:bookmarkStart w:id="0" w:name="_Hlk5284974"/>
      <w:r>
        <w:rPr>
          <w:rFonts w:hint="eastAsia" w:ascii="方正小标宋_GBK" w:hAnsi="方正小标宋_GBK" w:eastAsia="方正小标宋_GBK" w:cs="方正小标宋_GBK"/>
          <w:b w:val="0"/>
          <w:bCs/>
          <w:color w:val="000000"/>
          <w:sz w:val="44"/>
          <w:szCs w:val="44"/>
          <w:lang w:val="en-US" w:eastAsia="zh-CN"/>
        </w:rPr>
        <w:t>采购《重庆地区空域结构与航班流研究系统》</w:t>
      </w:r>
      <w:r>
        <w:rPr>
          <w:rFonts w:hint="eastAsia" w:ascii="方正小标宋_GBK" w:hAnsi="方正小标宋_GBK" w:eastAsia="方正小标宋_GBK" w:cs="方正小标宋_GBK"/>
          <w:b w:val="0"/>
          <w:bCs/>
          <w:color w:val="000000"/>
          <w:sz w:val="44"/>
          <w:szCs w:val="44"/>
        </w:rPr>
        <w:t>项目比选文件</w:t>
      </w:r>
      <w:bookmarkEnd w:id="0"/>
    </w:p>
    <w:p>
      <w:pPr>
        <w:jc w:val="center"/>
        <w:rPr>
          <w:rFonts w:ascii="仿宋" w:hAnsi="仿宋" w:eastAsia="仿宋"/>
          <w:b/>
          <w:color w:val="000000"/>
          <w:sz w:val="32"/>
        </w:rPr>
      </w:pPr>
    </w:p>
    <w:p>
      <w:pPr>
        <w:jc w:val="center"/>
        <w:rPr>
          <w:rFonts w:ascii="仿宋" w:hAnsi="仿宋" w:eastAsia="仿宋"/>
          <w:b/>
          <w:color w:val="000000"/>
          <w:sz w:val="32"/>
        </w:rPr>
      </w:pPr>
    </w:p>
    <w:p>
      <w:pPr>
        <w:ind w:firstLine="2561" w:firstLineChars="800"/>
        <w:jc w:val="both"/>
        <w:rPr>
          <w:rFonts w:hint="eastAsia" w:ascii="方正仿宋_GBK" w:hAnsi="方正仿宋_GBK" w:eastAsia="方正仿宋_GBK" w:cs="方正仿宋_GBK"/>
          <w:b/>
          <w:color w:val="000000"/>
          <w:sz w:val="32"/>
          <w:u w:val="single"/>
        </w:rPr>
      </w:pPr>
      <w:r>
        <w:rPr>
          <w:rFonts w:hint="eastAsia" w:ascii="方正仿宋_GBK" w:hAnsi="方正仿宋_GBK" w:eastAsia="方正仿宋_GBK" w:cs="方正仿宋_GBK"/>
          <w:b/>
          <w:color w:val="000000"/>
          <w:sz w:val="32"/>
        </w:rPr>
        <w:t>编号：设备2021-001</w:t>
      </w:r>
    </w:p>
    <w:p>
      <w:pPr>
        <w:rPr>
          <w:rFonts w:hint="eastAsia" w:ascii="方正仿宋_GBK" w:hAnsi="方正仿宋_GBK" w:eastAsia="方正仿宋_GBK" w:cs="方正仿宋_GBK"/>
          <w:b/>
          <w:color w:val="000000"/>
          <w:sz w:val="52"/>
        </w:rPr>
      </w:pPr>
    </w:p>
    <w:p>
      <w:pPr>
        <w:jc w:val="center"/>
        <w:rPr>
          <w:rFonts w:hint="eastAsia" w:ascii="方正仿宋_GBK" w:hAnsi="方正仿宋_GBK" w:eastAsia="方正仿宋_GBK" w:cs="方正仿宋_GBK"/>
          <w:b/>
          <w:color w:val="000000"/>
          <w:sz w:val="52"/>
        </w:rPr>
      </w:pPr>
    </w:p>
    <w:p>
      <w:pPr>
        <w:jc w:val="center"/>
        <w:rPr>
          <w:rFonts w:hint="eastAsia" w:ascii="方正仿宋_GBK" w:hAnsi="方正仿宋_GBK" w:eastAsia="方正仿宋_GBK" w:cs="方正仿宋_GBK"/>
          <w:b/>
          <w:color w:val="000000"/>
          <w:sz w:val="52"/>
        </w:rPr>
      </w:pPr>
    </w:p>
    <w:p>
      <w:pPr>
        <w:jc w:val="center"/>
        <w:rPr>
          <w:rFonts w:hint="eastAsia" w:ascii="方正仿宋_GBK" w:hAnsi="方正仿宋_GBK" w:eastAsia="方正仿宋_GBK" w:cs="方正仿宋_GBK"/>
          <w:b/>
          <w:color w:val="000000"/>
          <w:sz w:val="52"/>
        </w:rPr>
      </w:pPr>
    </w:p>
    <w:p>
      <w:pPr>
        <w:jc w:val="center"/>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重庆江北国际机场有限公司</w:t>
      </w:r>
    </w:p>
    <w:p>
      <w:pPr>
        <w:jc w:val="center"/>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lang w:val="en-US" w:eastAsia="zh-CN"/>
        </w:rPr>
        <w:t xml:space="preserve">    航务管理部</w:t>
      </w:r>
      <w:bookmarkStart w:id="32" w:name="_GoBack"/>
      <w:bookmarkEnd w:id="32"/>
      <w:r>
        <w:rPr>
          <w:rFonts w:hint="eastAsia" w:ascii="方正仿宋_GBK" w:hAnsi="方正仿宋_GBK" w:eastAsia="方正仿宋_GBK" w:cs="方正仿宋_GBK"/>
          <w:b/>
          <w:color w:val="000000"/>
          <w:sz w:val="32"/>
          <w:szCs w:val="32"/>
        </w:rPr>
        <w:t>（代章）</w:t>
      </w:r>
    </w:p>
    <w:p>
      <w:pPr>
        <w:rPr>
          <w:rFonts w:hint="eastAsia" w:ascii="方正仿宋_GBK" w:hAnsi="方正仿宋_GBK" w:eastAsia="方正仿宋_GBK" w:cs="方正仿宋_GBK"/>
          <w:b w:val="0"/>
          <w:bCs/>
          <w:color w:val="000000"/>
          <w:sz w:val="32"/>
          <w:szCs w:val="32"/>
        </w:rPr>
      </w:pPr>
    </w:p>
    <w:p>
      <w:pPr>
        <w:ind w:firstLine="3041" w:firstLineChars="95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二〇二</w:t>
      </w:r>
      <w:r>
        <w:rPr>
          <w:rFonts w:hint="eastAsia" w:ascii="方正仿宋_GBK" w:hAnsi="方正仿宋_GBK" w:eastAsia="方正仿宋_GBK" w:cs="方正仿宋_GBK"/>
          <w:b/>
          <w:color w:val="000000"/>
          <w:sz w:val="32"/>
          <w:szCs w:val="32"/>
          <w:lang w:val="en-US" w:eastAsia="zh-CN"/>
        </w:rPr>
        <w:t>年八</w:t>
      </w:r>
      <w:r>
        <w:rPr>
          <w:rFonts w:hint="eastAsia" w:ascii="方正仿宋_GBK" w:hAnsi="方正仿宋_GBK" w:eastAsia="方正仿宋_GBK" w:cs="方正仿宋_GBK"/>
          <w:b/>
          <w:color w:val="000000"/>
          <w:sz w:val="32"/>
          <w:szCs w:val="32"/>
        </w:rPr>
        <w:t>月</w:t>
      </w:r>
    </w:p>
    <w:p>
      <w:pPr>
        <w:jc w:val="center"/>
        <w:rPr>
          <w:rFonts w:hint="eastAsia" w:ascii="方正小标宋_GBK" w:hAnsi="方正小标宋_GBK" w:eastAsia="方正小标宋_GBK" w:cs="方正小标宋_GBK"/>
          <w:b w:val="0"/>
          <w:bCs/>
          <w:color w:val="000000"/>
          <w:sz w:val="52"/>
          <w:szCs w:val="52"/>
        </w:rPr>
      </w:pPr>
      <w:r>
        <w:rPr>
          <w:rFonts w:ascii="仿宋" w:hAnsi="仿宋" w:eastAsia="仿宋"/>
          <w:b/>
          <w:color w:val="000000"/>
          <w:sz w:val="52"/>
        </w:rPr>
        <w:br w:type="page"/>
      </w:r>
      <w:r>
        <w:rPr>
          <w:rFonts w:hint="eastAsia" w:ascii="方正小标宋_GBK" w:hAnsi="方正小标宋_GBK" w:eastAsia="方正小标宋_GBK" w:cs="方正小标宋_GBK"/>
          <w:b w:val="0"/>
          <w:bCs/>
          <w:color w:val="000000"/>
          <w:sz w:val="52"/>
          <w:szCs w:val="52"/>
        </w:rPr>
        <w:t>重庆江北国际机场有限公司</w:t>
      </w:r>
    </w:p>
    <w:p>
      <w:pPr>
        <w:jc w:val="center"/>
        <w:rPr>
          <w:rFonts w:ascii="仿宋" w:hAnsi="仿宋" w:eastAsia="仿宋"/>
          <w:b/>
          <w:color w:val="000000"/>
          <w:sz w:val="44"/>
          <w:szCs w:val="44"/>
        </w:rPr>
      </w:pPr>
      <w:r>
        <w:rPr>
          <w:rFonts w:hint="eastAsia" w:ascii="方正小标宋_GBK" w:hAnsi="方正小标宋_GBK" w:eastAsia="方正小标宋_GBK" w:cs="方正小标宋_GBK"/>
          <w:b w:val="0"/>
          <w:bCs/>
          <w:color w:val="000000"/>
          <w:sz w:val="44"/>
          <w:szCs w:val="44"/>
        </w:rPr>
        <w:t>航务管理部</w:t>
      </w:r>
      <w:r>
        <w:rPr>
          <w:rFonts w:hint="eastAsia" w:ascii="方正小标宋_GBK" w:hAnsi="方正小标宋_GBK" w:eastAsia="方正小标宋_GBK" w:cs="方正小标宋_GBK"/>
          <w:b w:val="0"/>
          <w:bCs/>
          <w:color w:val="000000"/>
          <w:sz w:val="44"/>
          <w:szCs w:val="44"/>
          <w:lang w:val="en-US" w:eastAsia="zh-CN"/>
        </w:rPr>
        <w:t>采购《重庆地区空域结构与航班流研究系统》</w:t>
      </w:r>
      <w:r>
        <w:rPr>
          <w:rFonts w:hint="eastAsia" w:ascii="方正小标宋_GBK" w:hAnsi="方正小标宋_GBK" w:eastAsia="方正小标宋_GBK" w:cs="方正小标宋_GBK"/>
          <w:b w:val="0"/>
          <w:bCs/>
          <w:color w:val="000000"/>
          <w:sz w:val="44"/>
          <w:szCs w:val="44"/>
        </w:rPr>
        <w:t>项目比选文件</w:t>
      </w:r>
    </w:p>
    <w:p>
      <w:pPr>
        <w:pStyle w:val="2"/>
        <w:rPr>
          <w:rFonts w:hint="eastAsia" w:ascii="方正仿宋_GBK" w:hAnsi="方正仿宋_GBK" w:eastAsia="方正仿宋_GBK" w:cs="方正仿宋_GBK"/>
          <w:b/>
          <w:color w:val="000000"/>
          <w:sz w:val="44"/>
          <w:szCs w:val="44"/>
        </w:rPr>
      </w:pPr>
      <w:r>
        <w:rPr>
          <w:rFonts w:hint="eastAsia" w:ascii="方正仿宋_GBK" w:hAnsi="方正仿宋_GBK" w:eastAsia="方正仿宋_GBK" w:cs="方正仿宋_GBK"/>
        </w:rPr>
        <w:t>第一章  比选项目情况和要求</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我司决定于近期将对航务管理部</w:t>
      </w:r>
      <w:r>
        <w:rPr>
          <w:rFonts w:hint="eastAsia" w:ascii="方正仿宋_GBK" w:hAnsi="方正仿宋_GBK" w:eastAsia="方正仿宋_GBK" w:cs="方正仿宋_GBK"/>
          <w:color w:val="000000"/>
          <w:sz w:val="28"/>
          <w:szCs w:val="28"/>
          <w:lang w:val="en-US" w:eastAsia="zh-CN"/>
        </w:rPr>
        <w:t>采购《重庆地区空域结构与航班流研究系统》</w:t>
      </w:r>
      <w:r>
        <w:rPr>
          <w:rFonts w:hint="eastAsia" w:ascii="方正仿宋_GBK" w:hAnsi="方正仿宋_GBK" w:eastAsia="方正仿宋_GBK" w:cs="方正仿宋_GBK"/>
          <w:color w:val="000000"/>
          <w:sz w:val="28"/>
          <w:szCs w:val="28"/>
        </w:rPr>
        <w:t>项目邀请符合相应条件的供应商就本项目进行比选。</w:t>
      </w:r>
    </w:p>
    <w:p>
      <w:pPr>
        <w:widowControl/>
        <w:spacing w:line="360" w:lineRule="auto"/>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1.1 硬件部分</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 xml:space="preserve">1.1 </w:t>
      </w:r>
      <w:bookmarkStart w:id="1" w:name="_Toc288000502"/>
      <w:r>
        <w:rPr>
          <w:rFonts w:hint="eastAsia" w:ascii="方正仿宋_GBK" w:hAnsi="方正仿宋_GBK" w:eastAsia="方正仿宋_GBK" w:cs="方正仿宋_GBK"/>
          <w:color w:val="000000"/>
          <w:sz w:val="28"/>
          <w:szCs w:val="28"/>
        </w:rPr>
        <w:t>显示系统硬件配置应为符合工业标准的主流货架产品，采用高可靠性的通用操作系统软件平台。</w:t>
      </w:r>
      <w:bookmarkEnd w:id="1"/>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 xml:space="preserve">1.2 </w:t>
      </w:r>
      <w:bookmarkStart w:id="2" w:name="_Toc288000503"/>
      <w:r>
        <w:rPr>
          <w:rFonts w:hint="eastAsia" w:ascii="方正仿宋_GBK" w:hAnsi="方正仿宋_GBK" w:eastAsia="方正仿宋_GBK" w:cs="方正仿宋_GBK"/>
          <w:color w:val="000000"/>
          <w:sz w:val="28"/>
          <w:szCs w:val="28"/>
        </w:rPr>
        <w:t>中央处理器工作频率不小于2Ghz，正常工作状态下CPU占用率不能超过25%。</w:t>
      </w:r>
      <w:bookmarkEnd w:id="2"/>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 xml:space="preserve">3 </w:t>
      </w:r>
      <w:bookmarkStart w:id="3" w:name="_Toc288000504"/>
      <w:r>
        <w:rPr>
          <w:rFonts w:hint="eastAsia" w:ascii="方正仿宋_GBK" w:hAnsi="方正仿宋_GBK" w:eastAsia="方正仿宋_GBK" w:cs="方正仿宋_GBK"/>
          <w:color w:val="000000"/>
          <w:sz w:val="28"/>
          <w:szCs w:val="28"/>
        </w:rPr>
        <w:t>内存要求不小于</w:t>
      </w:r>
      <w:r>
        <w:rPr>
          <w:rFonts w:hint="eastAsia" w:ascii="方正仿宋_GBK" w:hAnsi="方正仿宋_GBK" w:eastAsia="方正仿宋_GBK" w:cs="方正仿宋_GBK"/>
          <w:color w:val="000000"/>
          <w:sz w:val="28"/>
          <w:szCs w:val="28"/>
          <w:lang w:val="en-US" w:eastAsia="zh-CN"/>
        </w:rPr>
        <w:t>32G</w:t>
      </w:r>
      <w:r>
        <w:rPr>
          <w:rFonts w:hint="eastAsia" w:ascii="方正仿宋_GBK" w:hAnsi="方正仿宋_GBK" w:eastAsia="方正仿宋_GBK" w:cs="方正仿宋_GBK"/>
          <w:color w:val="000000"/>
          <w:sz w:val="28"/>
          <w:szCs w:val="28"/>
        </w:rPr>
        <w:t>容量。</w:t>
      </w:r>
      <w:bookmarkEnd w:id="3"/>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 xml:space="preserve">4 </w:t>
      </w:r>
      <w:bookmarkStart w:id="4" w:name="_Toc288000505"/>
      <w:r>
        <w:rPr>
          <w:rFonts w:hint="eastAsia" w:ascii="方正仿宋_GBK" w:hAnsi="方正仿宋_GBK" w:eastAsia="方正仿宋_GBK" w:cs="方正仿宋_GBK"/>
          <w:color w:val="000000"/>
          <w:sz w:val="28"/>
          <w:szCs w:val="28"/>
        </w:rPr>
        <w:t>硬盘容量不小于</w:t>
      </w:r>
      <w:r>
        <w:rPr>
          <w:rFonts w:hint="eastAsia" w:ascii="方正仿宋_GBK" w:hAnsi="方正仿宋_GBK" w:eastAsia="方正仿宋_GBK" w:cs="方正仿宋_GBK"/>
          <w:color w:val="000000"/>
          <w:sz w:val="28"/>
          <w:szCs w:val="28"/>
          <w:lang w:val="en-US" w:eastAsia="zh-CN"/>
        </w:rPr>
        <w:t>256G固态</w:t>
      </w:r>
      <w:r>
        <w:rPr>
          <w:rFonts w:hint="eastAsia" w:ascii="方正仿宋_GBK" w:hAnsi="方正仿宋_GBK" w:eastAsia="方正仿宋_GBK" w:cs="方正仿宋_GBK"/>
          <w:color w:val="000000"/>
          <w:sz w:val="28"/>
          <w:szCs w:val="28"/>
        </w:rPr>
        <w:t>。</w:t>
      </w:r>
      <w:bookmarkEnd w:id="4"/>
    </w:p>
    <w:p>
      <w:pPr>
        <w:ind w:firstLine="560" w:firstLineChars="200"/>
        <w:rPr>
          <w:rFonts w:hint="default" w:eastAsia="方正仿宋_GBK"/>
          <w:lang w:val="en-US" w:eastAsia="zh-CN"/>
        </w:rPr>
      </w:pPr>
      <w:r>
        <w:rPr>
          <w:rFonts w:hint="eastAsia" w:ascii="方正仿宋_GBK" w:hAnsi="方正仿宋_GBK" w:eastAsia="方正仿宋_GBK" w:cs="方正仿宋_GBK"/>
          <w:color w:val="000000"/>
          <w:sz w:val="28"/>
          <w:szCs w:val="28"/>
          <w:lang w:val="en-US" w:eastAsia="zh-CN"/>
        </w:rPr>
        <w:t>1.1.5 存储容量不小于2T。</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1.6</w:t>
      </w:r>
      <w:r>
        <w:rPr>
          <w:rFonts w:hint="eastAsia" w:ascii="方正仿宋_GBK" w:hAnsi="方正仿宋_GBK" w:eastAsia="方正仿宋_GBK" w:cs="方正仿宋_GBK"/>
          <w:color w:val="000000"/>
          <w:sz w:val="28"/>
          <w:szCs w:val="28"/>
        </w:rPr>
        <w:t xml:space="preserve"> </w:t>
      </w:r>
      <w:bookmarkStart w:id="5" w:name="_Toc288000506"/>
      <w:r>
        <w:rPr>
          <w:rFonts w:hint="eastAsia" w:ascii="方正仿宋_GBK" w:hAnsi="方正仿宋_GBK" w:eastAsia="方正仿宋_GBK" w:cs="方正仿宋_GBK"/>
          <w:color w:val="000000"/>
          <w:sz w:val="28"/>
          <w:szCs w:val="28"/>
        </w:rPr>
        <w:t>有相应的外设设备（光驱等）。</w:t>
      </w:r>
      <w:bookmarkEnd w:id="5"/>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1.7</w:t>
      </w:r>
      <w:r>
        <w:rPr>
          <w:rFonts w:hint="eastAsia" w:ascii="方正仿宋_GBK" w:hAnsi="方正仿宋_GBK" w:eastAsia="方正仿宋_GBK" w:cs="方正仿宋_GBK"/>
          <w:color w:val="000000"/>
          <w:sz w:val="28"/>
          <w:szCs w:val="28"/>
        </w:rPr>
        <w:t xml:space="preserve"> </w:t>
      </w:r>
      <w:bookmarkStart w:id="6" w:name="_Toc288000507"/>
      <w:r>
        <w:rPr>
          <w:rFonts w:hint="eastAsia" w:ascii="方正仿宋_GBK" w:hAnsi="方正仿宋_GBK" w:eastAsia="方正仿宋_GBK" w:cs="方正仿宋_GBK"/>
          <w:color w:val="000000"/>
          <w:sz w:val="28"/>
          <w:szCs w:val="28"/>
        </w:rPr>
        <w:t>监控显示器不小于24寸LCD显示器。</w:t>
      </w:r>
      <w:bookmarkEnd w:id="6"/>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1.8</w:t>
      </w:r>
      <w:r>
        <w:rPr>
          <w:rFonts w:hint="eastAsia" w:ascii="方正仿宋_GBK" w:hAnsi="方正仿宋_GBK" w:eastAsia="方正仿宋_GBK" w:cs="方正仿宋_GBK"/>
          <w:color w:val="000000"/>
          <w:sz w:val="28"/>
          <w:szCs w:val="28"/>
        </w:rPr>
        <w:t xml:space="preserve"> </w:t>
      </w:r>
      <w:bookmarkStart w:id="7" w:name="_Toc288000508"/>
      <w:r>
        <w:rPr>
          <w:rFonts w:hint="eastAsia" w:ascii="方正仿宋_GBK" w:hAnsi="方正仿宋_GBK" w:eastAsia="方正仿宋_GBK" w:cs="方正仿宋_GBK"/>
          <w:color w:val="000000"/>
          <w:sz w:val="28"/>
          <w:szCs w:val="28"/>
        </w:rPr>
        <w:t>配备符合工业标准相对应的高速网卡(100/1000M</w:t>
      </w:r>
      <w:r>
        <w:rPr>
          <w:rFonts w:hint="eastAsia" w:ascii="方正仿宋_GBK" w:hAnsi="方正仿宋_GBK" w:eastAsia="方正仿宋_GBK" w:cs="方正仿宋_GBK"/>
          <w:color w:val="000000"/>
          <w:sz w:val="28"/>
          <w:szCs w:val="28"/>
          <w:lang w:val="en-US" w:eastAsia="zh-CN"/>
        </w:rPr>
        <w:t>及以上</w:t>
      </w:r>
      <w:r>
        <w:rPr>
          <w:rFonts w:hint="eastAsia" w:ascii="方正仿宋_GBK" w:hAnsi="方正仿宋_GBK" w:eastAsia="方正仿宋_GBK" w:cs="方正仿宋_GBK"/>
          <w:color w:val="000000"/>
          <w:sz w:val="28"/>
          <w:szCs w:val="28"/>
        </w:rPr>
        <w:t>自适应网卡)。</w:t>
      </w:r>
      <w:bookmarkEnd w:id="7"/>
    </w:p>
    <w:p>
      <w:pPr>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1.2 二次雷达接入及处理技术</w:t>
      </w:r>
    </w:p>
    <w:p>
      <w:pPr>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.1 具有同时处理场监雷达、航管雷达、ADS-B、MLAT、空管自动化综合航迹、塔台管制自动化综合航迹等信号能力。</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 xml:space="preserve">2.2 </w:t>
      </w:r>
      <w:bookmarkStart w:id="8" w:name="_Toc288000487"/>
      <w:r>
        <w:rPr>
          <w:rFonts w:hint="eastAsia" w:ascii="方正仿宋_GBK" w:hAnsi="方正仿宋_GBK" w:eastAsia="方正仿宋_GBK" w:cs="方正仿宋_GBK"/>
          <w:color w:val="000000"/>
          <w:sz w:val="28"/>
          <w:szCs w:val="28"/>
        </w:rPr>
        <w:t>系统的处理范围为1024公里×1024公里。</w:t>
      </w:r>
      <w:bookmarkEnd w:id="8"/>
    </w:p>
    <w:p>
      <w:pPr>
        <w:ind w:firstLine="560" w:firstLineChars="200"/>
        <w:rPr>
          <w:rFonts w:hint="eastAsia" w:ascii="方正仿宋_GBK" w:hAnsi="方正仿宋_GBK" w:eastAsia="方正仿宋_GBK" w:cs="方正仿宋_GBK"/>
          <w:color w:val="000000"/>
          <w:sz w:val="28"/>
          <w:szCs w:val="28"/>
        </w:rPr>
      </w:pPr>
      <w:bookmarkStart w:id="9" w:name="_Toc288000488"/>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2.3 多雷达处理的方式为融合式多雷达跟踪处理（multi-radar tracking fusion），不采用马赛克方法。</w:t>
      </w:r>
      <w:bookmarkEnd w:id="9"/>
    </w:p>
    <w:p>
      <w:pPr>
        <w:ind w:firstLine="560" w:firstLineChars="200"/>
        <w:rPr>
          <w:rFonts w:hint="eastAsia" w:ascii="方正仿宋_GBK" w:hAnsi="方正仿宋_GBK" w:eastAsia="方正仿宋_GBK" w:cs="方正仿宋_GBK"/>
          <w:color w:val="000000"/>
          <w:sz w:val="28"/>
          <w:szCs w:val="28"/>
        </w:rPr>
      </w:pPr>
      <w:bookmarkStart w:id="10" w:name="_Toc288000489"/>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2.4 系统融合航迹刷新显示周期不大于5秒。</w:t>
      </w:r>
      <w:bookmarkEnd w:id="10"/>
    </w:p>
    <w:p>
      <w:pPr>
        <w:ind w:firstLine="560" w:firstLineChars="200"/>
        <w:rPr>
          <w:rFonts w:hint="eastAsia" w:ascii="方正仿宋_GBK" w:hAnsi="方正仿宋_GBK" w:eastAsia="方正仿宋_GBK" w:cs="方正仿宋_GBK"/>
          <w:color w:val="000000"/>
          <w:sz w:val="28"/>
          <w:szCs w:val="28"/>
        </w:rPr>
      </w:pPr>
      <w:bookmarkStart w:id="11" w:name="_Toc288000490"/>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2.5 单个雷达输入信号异常对系统航迹不产生影响。</w:t>
      </w:r>
      <w:bookmarkEnd w:id="11"/>
    </w:p>
    <w:p>
      <w:pPr>
        <w:ind w:firstLine="560" w:firstLineChars="200"/>
        <w:rPr>
          <w:rFonts w:hint="eastAsia" w:ascii="方正仿宋_GBK" w:hAnsi="方正仿宋_GBK" w:eastAsia="方正仿宋_GBK" w:cs="方正仿宋_GBK"/>
          <w:color w:val="000000"/>
          <w:sz w:val="28"/>
          <w:szCs w:val="28"/>
        </w:rPr>
      </w:pPr>
      <w:bookmarkStart w:id="12" w:name="_Toc288000491"/>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2.6 系统能够对单雷达航迹进行跟踪；能够建立单雷达跟踪历史记录；能够根据单雷达数据质量自动调整多雷达融合处理的动态加权系数</w:t>
      </w:r>
      <w:bookmarkEnd w:id="12"/>
      <w:r>
        <w:rPr>
          <w:rFonts w:hint="eastAsia" w:ascii="方正仿宋_GBK" w:hAnsi="方正仿宋_GBK" w:eastAsia="方正仿宋_GBK" w:cs="方正仿宋_GBK"/>
          <w:color w:val="000000"/>
          <w:sz w:val="28"/>
          <w:szCs w:val="28"/>
        </w:rPr>
        <w:t>。</w:t>
      </w:r>
    </w:p>
    <w:p>
      <w:pPr>
        <w:ind w:firstLine="560" w:firstLineChars="200"/>
        <w:rPr>
          <w:rFonts w:hint="default" w:ascii="方正仿宋_GBK" w:hAnsi="方正仿宋_GBK" w:eastAsia="方正仿宋_GBK" w:cs="方正仿宋_GBK"/>
          <w:color w:val="000000"/>
          <w:sz w:val="28"/>
          <w:szCs w:val="28"/>
          <w:lang w:val="en-US" w:eastAsia="zh-CN"/>
        </w:rPr>
      </w:pPr>
      <w:bookmarkStart w:id="13" w:name="_Toc288000492"/>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2.7 雷达数据处理系统平均故障间隔时间（MTBF），</w:t>
      </w:r>
      <w:bookmarkEnd w:id="13"/>
      <w:r>
        <w:rPr>
          <w:rFonts w:hint="eastAsia" w:ascii="方正仿宋_GBK" w:hAnsi="方正仿宋_GBK" w:eastAsia="方正仿宋_GBK" w:cs="方正仿宋_GBK"/>
          <w:color w:val="000000"/>
          <w:sz w:val="28"/>
          <w:szCs w:val="28"/>
          <w:lang w:val="en-US" w:eastAsia="zh-CN"/>
        </w:rPr>
        <w:t>满足7*24小时要求</w:t>
      </w:r>
    </w:p>
    <w:p>
      <w:pPr>
        <w:ind w:firstLine="560" w:firstLineChars="200"/>
        <w:rPr>
          <w:rFonts w:hint="eastAsia" w:ascii="方正仿宋_GBK" w:hAnsi="方正仿宋_GBK" w:eastAsia="方正仿宋_GBK" w:cs="方正仿宋_GBK"/>
          <w:color w:val="000000"/>
          <w:sz w:val="28"/>
          <w:szCs w:val="28"/>
        </w:rPr>
      </w:pPr>
      <w:bookmarkStart w:id="14" w:name="_Toc288000493"/>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2.8系统能够通过软件的设置接收并处理用户要求的任何格式的雷达信号。在用户对雷达格式没有提出特别要求时，至少应能处理以下厂家生产的原始雷达格式信号：</w:t>
      </w:r>
      <w:bookmarkEnd w:id="14"/>
    </w:p>
    <w:p>
      <w:pPr>
        <w:numPr>
          <w:ilvl w:val="0"/>
          <w:numId w:val="1"/>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Raytheon雷达</w:t>
      </w:r>
    </w:p>
    <w:p>
      <w:pPr>
        <w:numPr>
          <w:ilvl w:val="0"/>
          <w:numId w:val="1"/>
        </w:numPr>
        <w:tabs>
          <w:tab w:val="left" w:pos="2730"/>
        </w:tabs>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ALENIA/Selex雷达</w:t>
      </w:r>
    </w:p>
    <w:p>
      <w:pPr>
        <w:numPr>
          <w:ilvl w:val="0"/>
          <w:numId w:val="1"/>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TOSHIBA雷达</w:t>
      </w:r>
    </w:p>
    <w:p>
      <w:pPr>
        <w:numPr>
          <w:ilvl w:val="0"/>
          <w:numId w:val="1"/>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Westinghouse雷达</w:t>
      </w:r>
    </w:p>
    <w:p>
      <w:pPr>
        <w:numPr>
          <w:ilvl w:val="0"/>
          <w:numId w:val="1"/>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Indra雷达</w:t>
      </w:r>
    </w:p>
    <w:p>
      <w:pPr>
        <w:numPr>
          <w:ilvl w:val="0"/>
          <w:numId w:val="1"/>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Siemens雷达</w:t>
      </w:r>
    </w:p>
    <w:p>
      <w:pPr>
        <w:numPr>
          <w:ilvl w:val="0"/>
          <w:numId w:val="1"/>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军航826雷达格式</w:t>
      </w:r>
      <w:bookmarkStart w:id="15" w:name="_Toc288000494"/>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2.9航迹处理能力</w:t>
      </w:r>
      <w:bookmarkEnd w:id="15"/>
      <w:r>
        <w:rPr>
          <w:rFonts w:hint="eastAsia" w:ascii="方正仿宋_GBK" w:hAnsi="方正仿宋_GBK" w:eastAsia="方正仿宋_GBK" w:cs="方正仿宋_GBK"/>
          <w:color w:val="000000"/>
          <w:sz w:val="28"/>
          <w:szCs w:val="28"/>
        </w:rPr>
        <w:t>：RDP系统至少应能同时处理1024个系统航迹</w:t>
      </w:r>
    </w:p>
    <w:p>
      <w:pPr>
        <w:ind w:firstLine="560" w:firstLineChars="200"/>
        <w:rPr>
          <w:rFonts w:hint="eastAsia" w:ascii="方正仿宋_GBK" w:hAnsi="方正仿宋_GBK" w:eastAsia="方正仿宋_GBK" w:cs="方正仿宋_GBK"/>
          <w:color w:val="000000"/>
          <w:sz w:val="28"/>
          <w:szCs w:val="28"/>
        </w:rPr>
      </w:pPr>
      <w:bookmarkStart w:id="16" w:name="_Toc288000495"/>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2.10系统应具备如下告警功能：</w:t>
      </w:r>
      <w:bookmarkEnd w:id="16"/>
    </w:p>
    <w:p>
      <w:pPr>
        <w:numPr>
          <w:ilvl w:val="0"/>
          <w:numId w:val="2"/>
        </w:numPr>
        <w:ind w:left="420" w:leftChars="0" w:hanging="420" w:firstLineChars="0"/>
        <w:rPr>
          <w:rFonts w:hint="eastAsia" w:ascii="方正仿宋_GBK" w:hAnsi="方正仿宋_GBK" w:eastAsia="方正仿宋_GBK" w:cs="方正仿宋_GBK"/>
          <w:color w:val="000000"/>
          <w:sz w:val="28"/>
          <w:szCs w:val="28"/>
        </w:rPr>
      </w:pPr>
      <w:bookmarkStart w:id="17" w:name="_Toc288000496"/>
      <w:r>
        <w:rPr>
          <w:rFonts w:hint="eastAsia" w:ascii="方正仿宋_GBK" w:hAnsi="方正仿宋_GBK" w:eastAsia="方正仿宋_GBK" w:cs="方正仿宋_GBK"/>
          <w:color w:val="000000"/>
          <w:sz w:val="28"/>
          <w:szCs w:val="28"/>
        </w:rPr>
        <w:t>雷达数据的通信处理功能，有相应的告警信息</w:t>
      </w:r>
      <w:bookmarkEnd w:id="17"/>
      <w:r>
        <w:rPr>
          <w:rFonts w:hint="eastAsia" w:ascii="方正仿宋_GBK" w:hAnsi="方正仿宋_GBK" w:eastAsia="方正仿宋_GBK" w:cs="方正仿宋_GBK"/>
          <w:color w:val="000000"/>
          <w:sz w:val="28"/>
          <w:szCs w:val="28"/>
        </w:rPr>
        <w:t>。</w:t>
      </w:r>
    </w:p>
    <w:p>
      <w:pPr>
        <w:numPr>
          <w:ilvl w:val="0"/>
          <w:numId w:val="2"/>
        </w:numPr>
        <w:ind w:left="420" w:leftChars="0" w:hanging="420" w:firstLineChars="0"/>
        <w:rPr>
          <w:rFonts w:hint="eastAsia" w:ascii="方正仿宋_GBK" w:hAnsi="方正仿宋_GBK" w:eastAsia="方正仿宋_GBK" w:cs="方正仿宋_GBK"/>
          <w:color w:val="000000"/>
          <w:sz w:val="28"/>
          <w:szCs w:val="28"/>
        </w:rPr>
      </w:pPr>
      <w:bookmarkStart w:id="18" w:name="_Toc288000497"/>
      <w:r>
        <w:rPr>
          <w:rFonts w:hint="eastAsia" w:ascii="方正仿宋_GBK" w:hAnsi="方正仿宋_GBK" w:eastAsia="方正仿宋_GBK" w:cs="方正仿宋_GBK"/>
          <w:color w:val="000000"/>
          <w:sz w:val="28"/>
          <w:szCs w:val="28"/>
        </w:rPr>
        <w:t>在接收到二次代码为7500、7600、7700时，向指挥员提供适当的声音和视频告警。</w:t>
      </w:r>
      <w:bookmarkEnd w:id="18"/>
    </w:p>
    <w:p>
      <w:pPr>
        <w:numPr>
          <w:ilvl w:val="0"/>
          <w:numId w:val="2"/>
        </w:numPr>
        <w:ind w:left="420" w:leftChars="0" w:hanging="420" w:firstLineChars="0"/>
        <w:rPr>
          <w:rFonts w:hint="eastAsia" w:ascii="方正仿宋_GBK" w:hAnsi="方正仿宋_GBK" w:eastAsia="方正仿宋_GBK" w:cs="方正仿宋_GBK"/>
          <w:color w:val="000000"/>
          <w:sz w:val="28"/>
          <w:szCs w:val="28"/>
        </w:rPr>
      </w:pPr>
      <w:bookmarkStart w:id="19" w:name="_Toc288000498"/>
      <w:r>
        <w:rPr>
          <w:rFonts w:hint="eastAsia" w:ascii="方正仿宋_GBK" w:hAnsi="方正仿宋_GBK" w:eastAsia="方正仿宋_GBK" w:cs="方正仿宋_GBK"/>
          <w:color w:val="000000"/>
          <w:sz w:val="28"/>
          <w:szCs w:val="28"/>
        </w:rPr>
        <w:t>雷达航迹冲突告警处理，应支持不同空域的可调的间隔标准，至少应保证两个雷达航迹冲突告警标准即终端区告警标准、航路冲突告警标准。</w:t>
      </w:r>
      <w:bookmarkEnd w:id="19"/>
    </w:p>
    <w:p>
      <w:pPr>
        <w:numPr>
          <w:ilvl w:val="0"/>
          <w:numId w:val="2"/>
        </w:numPr>
        <w:ind w:left="420" w:leftChars="0" w:hanging="420" w:firstLineChars="0"/>
        <w:rPr>
          <w:rFonts w:hint="eastAsia" w:ascii="方正仿宋_GBK" w:hAnsi="方正仿宋_GBK" w:eastAsia="方正仿宋_GBK" w:cs="方正仿宋_GBK"/>
          <w:color w:val="000000"/>
          <w:sz w:val="28"/>
          <w:szCs w:val="28"/>
        </w:rPr>
      </w:pPr>
      <w:bookmarkStart w:id="20" w:name="_Toc288000499"/>
      <w:r>
        <w:rPr>
          <w:rFonts w:hint="eastAsia" w:ascii="方正仿宋_GBK" w:hAnsi="方正仿宋_GBK" w:eastAsia="方正仿宋_GBK" w:cs="方正仿宋_GBK"/>
          <w:color w:val="000000"/>
          <w:sz w:val="28"/>
          <w:szCs w:val="28"/>
        </w:rPr>
        <w:t>禁区、限制区入侵告警处理，用于探测飞机侵入限制的或保留的空域。产生告警的区域可在系统中设置。</w:t>
      </w:r>
      <w:bookmarkEnd w:id="20"/>
      <w:bookmarkStart w:id="21" w:name="_Toc288000500"/>
    </w:p>
    <w:p>
      <w:pPr>
        <w:numPr>
          <w:ilvl w:val="0"/>
          <w:numId w:val="2"/>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具备雷达等数据中断警示，以及单雷达航迹航迹的处理显示能力。</w:t>
      </w:r>
      <w:bookmarkEnd w:id="21"/>
    </w:p>
    <w:p>
      <w:pPr>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1.3 软件部分</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3.1 软件界面应具备如下信息：</w:t>
      </w:r>
    </w:p>
    <w:p>
      <w:pPr>
        <w:numPr>
          <w:ilvl w:val="0"/>
          <w:numId w:val="3"/>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周边地区航路、航线、机场、导航台等。</w:t>
      </w:r>
    </w:p>
    <w:p>
      <w:pPr>
        <w:numPr>
          <w:ilvl w:val="0"/>
          <w:numId w:val="3"/>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江北机场</w:t>
      </w:r>
      <w:r>
        <w:rPr>
          <w:rFonts w:hint="eastAsia" w:ascii="方正仿宋_GBK" w:hAnsi="方正仿宋_GBK" w:eastAsia="方正仿宋_GBK" w:cs="方正仿宋_GBK"/>
          <w:color w:val="000000"/>
          <w:sz w:val="28"/>
          <w:szCs w:val="28"/>
        </w:rPr>
        <w:t>机场进离场航线、常用转场航线、常用训练地标（名称、坐标、连线）</w:t>
      </w:r>
    </w:p>
    <w:p>
      <w:pPr>
        <w:numPr>
          <w:ilvl w:val="0"/>
          <w:numId w:val="3"/>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显示重要导航台。</w:t>
      </w:r>
    </w:p>
    <w:p>
      <w:pPr>
        <w:numPr>
          <w:ilvl w:val="0"/>
          <w:numId w:val="3"/>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江北</w:t>
      </w:r>
      <w:r>
        <w:rPr>
          <w:rFonts w:hint="eastAsia" w:ascii="方正仿宋_GBK" w:hAnsi="方正仿宋_GBK" w:eastAsia="方正仿宋_GBK" w:cs="方正仿宋_GBK"/>
          <w:color w:val="000000"/>
          <w:sz w:val="28"/>
          <w:szCs w:val="28"/>
        </w:rPr>
        <w:t>机场周围障碍物（天线杆、高压线、山的高度等</w:t>
      </w:r>
      <w:r>
        <w:rPr>
          <w:rFonts w:hint="eastAsia" w:ascii="方正仿宋_GBK" w:hAnsi="方正仿宋_GBK" w:eastAsia="方正仿宋_GBK" w:cs="方正仿宋_GBK"/>
          <w:color w:val="000000"/>
          <w:sz w:val="28"/>
          <w:szCs w:val="28"/>
          <w:lang w:eastAsia="zh-CN"/>
        </w:rPr>
        <w:t>）</w:t>
      </w:r>
    </w:p>
    <w:p>
      <w:pPr>
        <w:numPr>
          <w:ilvl w:val="0"/>
          <w:numId w:val="3"/>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航空地图所需的地形、地物、水系（注：根据图缩放可显示）。</w:t>
      </w:r>
    </w:p>
    <w:p>
      <w:pPr>
        <w:numPr>
          <w:ilvl w:val="0"/>
          <w:numId w:val="3"/>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临时地点、航线(坐标、名称)的添加和删除、保存。</w:t>
      </w:r>
    </w:p>
    <w:p>
      <w:pPr>
        <w:numPr>
          <w:ilvl w:val="0"/>
          <w:numId w:val="3"/>
        </w:numPr>
        <w:ind w:left="420" w:leftChars="0" w:hanging="420" w:firstLineChars="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具备增删机场控制区、禁区范围</w:t>
      </w:r>
      <w:r>
        <w:rPr>
          <w:rFonts w:hint="eastAsia" w:ascii="方正仿宋_GBK" w:hAnsi="方正仿宋_GBK" w:eastAsia="方正仿宋_GBK" w:cs="方正仿宋_GBK"/>
          <w:color w:val="000000"/>
          <w:sz w:val="28"/>
          <w:szCs w:val="28"/>
          <w:lang w:val="en-US" w:eastAsia="zh-CN"/>
        </w:rPr>
        <w:t>等功能</w:t>
      </w:r>
      <w:r>
        <w:rPr>
          <w:rFonts w:hint="eastAsia" w:ascii="方正仿宋_GBK" w:hAnsi="方正仿宋_GBK" w:eastAsia="方正仿宋_GBK" w:cs="方正仿宋_GBK"/>
          <w:color w:val="000000"/>
          <w:sz w:val="28"/>
          <w:szCs w:val="28"/>
        </w:rPr>
        <w:t>。</w:t>
      </w:r>
    </w:p>
    <w:p>
      <w:pPr>
        <w:numPr>
          <w:ilvl w:val="0"/>
          <w:numId w:val="3"/>
        </w:numPr>
        <w:ind w:left="420" w:leftChars="0" w:hanging="420" w:firstLineChars="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按甲方要求，需要增加的其他数据、功能图层以及相应图层</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3.2 航迹监视的技术要求：</w:t>
      </w:r>
    </w:p>
    <w:p>
      <w:pPr>
        <w:numPr>
          <w:ilvl w:val="0"/>
          <w:numId w:val="4"/>
        </w:numPr>
        <w:ind w:left="420" w:leftChars="0" w:hanging="420" w:firstLineChars="0"/>
        <w:rPr>
          <w:rFonts w:hint="eastAsia" w:ascii="方正仿宋_GBK" w:hAnsi="方正仿宋_GBK" w:eastAsia="方正仿宋_GBK" w:cs="方正仿宋_GBK"/>
          <w:color w:val="000000"/>
          <w:sz w:val="28"/>
          <w:szCs w:val="28"/>
        </w:rPr>
      </w:pPr>
      <w:bookmarkStart w:id="22" w:name="_Toc288000510"/>
      <w:r>
        <w:rPr>
          <w:rFonts w:hint="eastAsia" w:ascii="方正仿宋_GBK" w:hAnsi="方正仿宋_GBK" w:eastAsia="方正仿宋_GBK" w:cs="方正仿宋_GBK"/>
          <w:color w:val="000000"/>
          <w:sz w:val="28"/>
          <w:szCs w:val="28"/>
        </w:rPr>
        <w:t>简单背景图操作：偏心、距离测量、符号大小选择、标牌大小、方向等</w:t>
      </w:r>
      <w:bookmarkEnd w:id="22"/>
    </w:p>
    <w:p>
      <w:pPr>
        <w:numPr>
          <w:ilvl w:val="0"/>
          <w:numId w:val="4"/>
        </w:numPr>
        <w:ind w:left="420" w:leftChars="0" w:hanging="420" w:firstLineChars="0"/>
        <w:rPr>
          <w:rFonts w:hint="eastAsia" w:ascii="方正仿宋_GBK" w:hAnsi="方正仿宋_GBK" w:eastAsia="方正仿宋_GBK" w:cs="方正仿宋_GBK"/>
          <w:color w:val="000000"/>
          <w:sz w:val="28"/>
          <w:szCs w:val="28"/>
        </w:rPr>
      </w:pPr>
      <w:bookmarkStart w:id="23" w:name="_Toc288000511"/>
      <w:r>
        <w:rPr>
          <w:rFonts w:hint="eastAsia" w:ascii="方正仿宋_GBK" w:hAnsi="方正仿宋_GBK" w:eastAsia="方正仿宋_GBK" w:cs="方正仿宋_GBK"/>
          <w:color w:val="000000"/>
          <w:sz w:val="28"/>
          <w:szCs w:val="28"/>
        </w:rPr>
        <w:t>显示航迹数量400个以上。</w:t>
      </w:r>
      <w:bookmarkEnd w:id="23"/>
    </w:p>
    <w:p>
      <w:pPr>
        <w:numPr>
          <w:ilvl w:val="0"/>
          <w:numId w:val="4"/>
        </w:numPr>
        <w:ind w:left="420" w:leftChars="0" w:hanging="420" w:firstLineChars="0"/>
        <w:rPr>
          <w:rFonts w:hint="eastAsia" w:ascii="方正仿宋_GBK" w:hAnsi="方正仿宋_GBK" w:eastAsia="方正仿宋_GBK" w:cs="方正仿宋_GBK"/>
          <w:color w:val="000000"/>
          <w:sz w:val="28"/>
          <w:szCs w:val="28"/>
        </w:rPr>
      </w:pPr>
      <w:bookmarkStart w:id="24" w:name="_Toc288000512"/>
      <w:r>
        <w:rPr>
          <w:rFonts w:hint="eastAsia" w:ascii="方正仿宋_GBK" w:hAnsi="方正仿宋_GBK" w:eastAsia="方正仿宋_GBK" w:cs="方正仿宋_GBK"/>
          <w:color w:val="000000"/>
          <w:sz w:val="28"/>
          <w:szCs w:val="28"/>
        </w:rPr>
        <w:t>告警信息应有视频和声音提示，声音告警可人工抑制，对于不同的告警可通过颜色和声音进行区别，告警声音采用独立扬声器。</w:t>
      </w:r>
      <w:bookmarkEnd w:id="24"/>
    </w:p>
    <w:p>
      <w:pPr>
        <w:numPr>
          <w:ilvl w:val="0"/>
          <w:numId w:val="4"/>
        </w:numPr>
        <w:ind w:left="420" w:leftChars="0" w:hanging="420" w:firstLineChars="0"/>
        <w:rPr>
          <w:rFonts w:hint="eastAsia" w:ascii="方正仿宋_GBK" w:hAnsi="方正仿宋_GBK" w:eastAsia="方正仿宋_GBK" w:cs="方正仿宋_GBK"/>
          <w:color w:val="000000"/>
          <w:sz w:val="28"/>
          <w:szCs w:val="28"/>
        </w:rPr>
      </w:pPr>
      <w:bookmarkStart w:id="25" w:name="_Toc288000513"/>
      <w:r>
        <w:rPr>
          <w:rFonts w:hint="eastAsia" w:ascii="方正仿宋_GBK" w:hAnsi="方正仿宋_GBK" w:eastAsia="方正仿宋_GBK" w:cs="方正仿宋_GBK"/>
          <w:color w:val="000000"/>
          <w:sz w:val="28"/>
          <w:szCs w:val="28"/>
        </w:rPr>
        <w:t>显示目标内容包括:航迹符号、标牌、引线、历史点迹、特殊代码等。</w:t>
      </w:r>
      <w:bookmarkEnd w:id="25"/>
    </w:p>
    <w:p>
      <w:pPr>
        <w:numPr>
          <w:ilvl w:val="0"/>
          <w:numId w:val="4"/>
        </w:numPr>
        <w:ind w:left="420" w:leftChars="0" w:hanging="420" w:firstLineChars="0"/>
        <w:rPr>
          <w:rFonts w:hint="eastAsia" w:ascii="方正仿宋_GBK" w:hAnsi="方正仿宋_GBK" w:eastAsia="方正仿宋_GBK" w:cs="方正仿宋_GBK"/>
          <w:color w:val="000000"/>
          <w:sz w:val="28"/>
          <w:szCs w:val="28"/>
        </w:rPr>
      </w:pPr>
      <w:bookmarkStart w:id="26" w:name="_Toc288000514"/>
      <w:r>
        <w:rPr>
          <w:rFonts w:hint="eastAsia" w:ascii="方正仿宋_GBK" w:hAnsi="方正仿宋_GBK" w:eastAsia="方正仿宋_GBK" w:cs="方正仿宋_GBK"/>
          <w:color w:val="000000"/>
          <w:sz w:val="28"/>
          <w:szCs w:val="28"/>
        </w:rPr>
        <w:t>标牌内容包括:航班号/二次代码、高度、地速、尾迹类别、AIDC标识等。</w:t>
      </w:r>
      <w:bookmarkEnd w:id="26"/>
    </w:p>
    <w:p>
      <w:pPr>
        <w:numPr>
          <w:ilvl w:val="0"/>
          <w:numId w:val="4"/>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重要二次代码航迹区别显示。</w:t>
      </w:r>
    </w:p>
    <w:p>
      <w:pPr>
        <w:numPr>
          <w:ilvl w:val="0"/>
          <w:numId w:val="4"/>
        </w:numPr>
        <w:ind w:left="420" w:leftChars="0" w:hanging="420" w:firstLineChars="0"/>
        <w:rPr>
          <w:rFonts w:hint="eastAsia" w:ascii="方正仿宋_GBK" w:hAnsi="方正仿宋_GBK" w:eastAsia="方正仿宋_GBK" w:cs="方正仿宋_GBK"/>
          <w:color w:val="000000"/>
          <w:sz w:val="28"/>
          <w:szCs w:val="28"/>
        </w:rPr>
      </w:pPr>
      <w:bookmarkStart w:id="27" w:name="_Toc288000515"/>
      <w:r>
        <w:rPr>
          <w:rFonts w:hint="eastAsia" w:ascii="方正仿宋_GBK" w:hAnsi="方正仿宋_GBK" w:eastAsia="方正仿宋_GBK" w:cs="方正仿宋_GBK"/>
          <w:color w:val="000000"/>
          <w:sz w:val="28"/>
          <w:szCs w:val="28"/>
        </w:rPr>
        <w:t>可进行人工</w:t>
      </w:r>
      <w:r>
        <w:rPr>
          <w:rFonts w:hint="eastAsia" w:ascii="方正仿宋_GBK" w:hAnsi="方正仿宋_GBK" w:eastAsia="方正仿宋_GBK" w:cs="方正仿宋_GBK"/>
          <w:color w:val="000000"/>
          <w:sz w:val="28"/>
          <w:szCs w:val="28"/>
          <w:lang w:val="en-US" w:eastAsia="zh-CN"/>
        </w:rPr>
        <w:t>/自动</w:t>
      </w:r>
      <w:r>
        <w:rPr>
          <w:rFonts w:hint="eastAsia" w:ascii="方正仿宋_GBK" w:hAnsi="方正仿宋_GBK" w:eastAsia="方正仿宋_GBK" w:cs="方正仿宋_GBK"/>
          <w:color w:val="000000"/>
          <w:sz w:val="28"/>
          <w:szCs w:val="28"/>
        </w:rPr>
        <w:t>标牌偏置,以减少标牌重叠引起的干扰。</w:t>
      </w:r>
      <w:bookmarkEnd w:id="27"/>
    </w:p>
    <w:p>
      <w:pPr>
        <w:numPr>
          <w:ilvl w:val="0"/>
          <w:numId w:val="4"/>
        </w:numPr>
        <w:ind w:left="420" w:leftChars="0" w:hanging="420" w:firstLineChars="0"/>
        <w:rPr>
          <w:rFonts w:hint="eastAsia" w:ascii="方正仿宋_GBK" w:hAnsi="方正仿宋_GBK" w:eastAsia="方正仿宋_GBK" w:cs="方正仿宋_GBK"/>
          <w:color w:val="000000"/>
          <w:sz w:val="28"/>
          <w:szCs w:val="28"/>
        </w:rPr>
      </w:pPr>
      <w:bookmarkStart w:id="28" w:name="_Toc288000517"/>
      <w:r>
        <w:rPr>
          <w:rFonts w:hint="eastAsia" w:ascii="方正仿宋_GBK" w:hAnsi="方正仿宋_GBK" w:eastAsia="方正仿宋_GBK" w:cs="方正仿宋_GBK"/>
          <w:color w:val="000000"/>
          <w:sz w:val="28"/>
          <w:szCs w:val="28"/>
        </w:rPr>
        <w:t>偏心显示及快速中心恢复(最大径向不小于1024公里)。</w:t>
      </w:r>
      <w:bookmarkEnd w:id="28"/>
    </w:p>
    <w:p>
      <w:pPr>
        <w:numPr>
          <w:ilvl w:val="0"/>
          <w:numId w:val="4"/>
        </w:numPr>
        <w:ind w:left="420" w:leftChars="0" w:hanging="420" w:firstLineChars="0"/>
        <w:rPr>
          <w:rFonts w:hint="eastAsia" w:ascii="方正仿宋_GBK" w:hAnsi="方正仿宋_GBK" w:eastAsia="方正仿宋_GBK" w:cs="方正仿宋_GBK"/>
          <w:color w:val="000000"/>
          <w:sz w:val="28"/>
          <w:szCs w:val="28"/>
        </w:rPr>
      </w:pPr>
      <w:bookmarkStart w:id="29" w:name="_Toc288000518"/>
      <w:r>
        <w:rPr>
          <w:rFonts w:hint="eastAsia" w:ascii="方正仿宋_GBK" w:hAnsi="方正仿宋_GBK" w:eastAsia="方正仿宋_GBK" w:cs="方正仿宋_GBK"/>
          <w:color w:val="000000"/>
          <w:sz w:val="28"/>
          <w:szCs w:val="28"/>
        </w:rPr>
        <w:t>距离环可在线选择或预先设置距离等级。</w:t>
      </w:r>
      <w:bookmarkEnd w:id="29"/>
    </w:p>
    <w:p>
      <w:pPr>
        <w:numPr>
          <w:ilvl w:val="0"/>
          <w:numId w:val="4"/>
        </w:numPr>
        <w:ind w:left="420" w:leftChars="0" w:hanging="420" w:firstLineChars="0"/>
        <w:rPr>
          <w:rFonts w:hint="eastAsia" w:ascii="方正仿宋_GBK" w:hAnsi="方正仿宋_GBK" w:eastAsia="方正仿宋_GBK" w:cs="方正仿宋_GBK"/>
          <w:color w:val="000000"/>
          <w:sz w:val="28"/>
          <w:szCs w:val="28"/>
        </w:rPr>
      </w:pPr>
      <w:bookmarkStart w:id="30" w:name="_Toc288000519"/>
      <w:r>
        <w:rPr>
          <w:rFonts w:hint="eastAsia" w:ascii="方正仿宋_GBK" w:hAnsi="方正仿宋_GBK" w:eastAsia="方正仿宋_GBK" w:cs="方正仿宋_GBK"/>
          <w:color w:val="000000"/>
          <w:sz w:val="28"/>
          <w:szCs w:val="28"/>
        </w:rPr>
        <w:t>能进行多重测量并显示任意两点间距离/角度(从活动目标到活动目标或到任意一点)。</w:t>
      </w:r>
      <w:bookmarkEnd w:id="30"/>
    </w:p>
    <w:p>
      <w:pPr>
        <w:numPr>
          <w:ilvl w:val="0"/>
          <w:numId w:val="3"/>
        </w:numPr>
        <w:ind w:left="420" w:leftChars="0" w:hanging="420" w:firstLineChars="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按甲方要求，需要增加的其他航迹功能。</w:t>
      </w:r>
    </w:p>
    <w:p>
      <w:pPr>
        <w:pStyle w:val="14"/>
        <w:keepNext w:val="0"/>
        <w:keepLines w:val="0"/>
        <w:pageBreakBefore w:val="0"/>
        <w:widowControl w:val="0"/>
        <w:kinsoku/>
        <w:wordWrap/>
        <w:overflowPunct/>
        <w:topLinePunct w:val="0"/>
        <w:autoSpaceDE/>
        <w:autoSpaceDN/>
        <w:bidi w:val="0"/>
        <w:adjustRightInd/>
        <w:snapToGrid/>
        <w:spacing w:line="400" w:lineRule="exact"/>
        <w:ind w:firstLine="600"/>
        <w:textAlignment w:val="auto"/>
        <w:rPr>
          <w:rFonts w:hint="eastAsia" w:ascii="仿宋" w:hAnsi="仿宋" w:eastAsia="仿宋"/>
          <w:b/>
          <w:bCs/>
          <w:color w:val="000000"/>
          <w:kern w:val="0"/>
          <w:sz w:val="28"/>
          <w:szCs w:val="28"/>
          <w:lang w:val="en-US" w:eastAsia="zh-CN"/>
        </w:rPr>
      </w:pPr>
      <w:r>
        <w:rPr>
          <w:rFonts w:hint="eastAsia" w:ascii="仿宋" w:hAnsi="仿宋" w:eastAsia="仿宋"/>
          <w:b/>
          <w:bCs/>
          <w:color w:val="000000"/>
          <w:kern w:val="0"/>
          <w:sz w:val="28"/>
          <w:szCs w:val="28"/>
          <w:lang w:val="en-US" w:eastAsia="zh-CN"/>
        </w:rPr>
        <w:t>1.4 采购内容和范围</w:t>
      </w:r>
    </w:p>
    <w:p>
      <w:pPr>
        <w:numPr>
          <w:ilvl w:val="0"/>
          <w:numId w:val="0"/>
        </w:numPr>
        <w:ind w:leftChars="0"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w:t>
      </w:r>
      <w:r>
        <w:rPr>
          <w:rFonts w:hint="eastAsia" w:ascii="仿宋" w:hAnsi="仿宋" w:eastAsia="仿宋" w:cs="Times New Roman"/>
          <w:color w:val="000000"/>
          <w:sz w:val="28"/>
          <w:szCs w:val="28"/>
          <w:lang w:val="en-US" w:eastAsia="zh-CN"/>
        </w:rPr>
        <w:t>4.1</w:t>
      </w:r>
      <w:r>
        <w:rPr>
          <w:rFonts w:hint="eastAsia" w:ascii="仿宋" w:hAnsi="仿宋" w:eastAsia="仿宋" w:cs="Times New Roman"/>
          <w:color w:val="000000"/>
          <w:sz w:val="28"/>
          <w:szCs w:val="28"/>
          <w:lang w:eastAsia="zh-CN"/>
        </w:rPr>
        <w:t>本合同项下乙方所供货物情况如下：</w:t>
      </w:r>
    </w:p>
    <w:p>
      <w:pPr>
        <w:pStyle w:val="2"/>
        <w:rPr>
          <w:rFonts w:hint="eastAsia" w:ascii="仿宋" w:hAnsi="仿宋" w:eastAsia="仿宋" w:cs="Times New Roman"/>
          <w:color w:val="000000"/>
          <w:sz w:val="28"/>
          <w:szCs w:val="28"/>
          <w:lang w:eastAsia="zh-CN"/>
        </w:rPr>
      </w:pPr>
    </w:p>
    <w:p>
      <w:pPr>
        <w:rPr>
          <w:rFonts w:hint="eastAsia"/>
          <w:lang w:eastAsia="zh-CN"/>
        </w:rPr>
      </w:pPr>
    </w:p>
    <w:tbl>
      <w:tblPr>
        <w:tblStyle w:val="9"/>
        <w:tblW w:w="11518" w:type="dxa"/>
        <w:jc w:val="center"/>
        <w:tblInd w:w="0" w:type="dxa"/>
        <w:tblLayout w:type="fixed"/>
        <w:tblCellMar>
          <w:top w:w="0" w:type="dxa"/>
          <w:left w:w="108" w:type="dxa"/>
          <w:bottom w:w="0" w:type="dxa"/>
          <w:right w:w="108" w:type="dxa"/>
        </w:tblCellMar>
      </w:tblPr>
      <w:tblGrid>
        <w:gridCol w:w="823"/>
        <w:gridCol w:w="3296"/>
        <w:gridCol w:w="3833"/>
        <w:gridCol w:w="1783"/>
        <w:gridCol w:w="1783"/>
      </w:tblGrid>
      <w:tr>
        <w:tblPrEx>
          <w:tblLayout w:type="fixed"/>
          <w:tblCellMar>
            <w:top w:w="0" w:type="dxa"/>
            <w:left w:w="108" w:type="dxa"/>
            <w:bottom w:w="0" w:type="dxa"/>
            <w:right w:w="108" w:type="dxa"/>
          </w:tblCellMar>
        </w:tblPrEx>
        <w:trPr>
          <w:trHeight w:val="285" w:hRule="atLeast"/>
          <w:jc w:val="center"/>
        </w:trPr>
        <w:tc>
          <w:tcPr>
            <w:tcW w:w="823" w:type="dxa"/>
            <w:tcBorders>
              <w:top w:val="single" w:color="auto" w:sz="4" w:space="0"/>
              <w:left w:val="single" w:color="auto" w:sz="4" w:space="0"/>
              <w:bottom w:val="single" w:color="auto" w:sz="4" w:space="0"/>
              <w:right w:val="single" w:color="auto" w:sz="4" w:space="0"/>
            </w:tcBorders>
            <w:shd w:val="clear" w:color="000000" w:fill="C0C0C0"/>
            <w:vAlign w:val="center"/>
          </w:tcPr>
          <w:p>
            <w:pPr>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序号</w:t>
            </w:r>
          </w:p>
        </w:tc>
        <w:tc>
          <w:tcPr>
            <w:tcW w:w="3296" w:type="dxa"/>
            <w:tcBorders>
              <w:top w:val="single" w:color="auto" w:sz="4" w:space="0"/>
              <w:left w:val="single" w:color="auto" w:sz="4" w:space="0"/>
              <w:bottom w:val="single" w:color="auto" w:sz="4" w:space="0"/>
              <w:right w:val="single" w:color="auto" w:sz="4" w:space="0"/>
            </w:tcBorders>
            <w:shd w:val="clear" w:color="000000" w:fill="C0C0C0"/>
            <w:vAlign w:val="center"/>
          </w:tcPr>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服务名称</w:t>
            </w:r>
          </w:p>
        </w:tc>
        <w:tc>
          <w:tcPr>
            <w:tcW w:w="3833" w:type="dxa"/>
            <w:tcBorders>
              <w:top w:val="single" w:color="auto" w:sz="4" w:space="0"/>
              <w:left w:val="single" w:color="auto" w:sz="4" w:space="0"/>
              <w:bottom w:val="single" w:color="auto" w:sz="4" w:space="0"/>
              <w:right w:val="single" w:color="auto" w:sz="4" w:space="0"/>
            </w:tcBorders>
            <w:shd w:val="clear" w:color="000000" w:fill="C0C0C0"/>
            <w:vAlign w:val="center"/>
          </w:tcPr>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描述</w:t>
            </w:r>
          </w:p>
        </w:tc>
        <w:tc>
          <w:tcPr>
            <w:tcW w:w="1783" w:type="dxa"/>
            <w:tcBorders>
              <w:top w:val="single" w:color="auto" w:sz="4" w:space="0"/>
              <w:left w:val="single" w:color="auto" w:sz="4" w:space="0"/>
              <w:bottom w:val="single" w:color="auto" w:sz="4" w:space="0"/>
              <w:right w:val="single" w:color="auto" w:sz="4" w:space="0"/>
            </w:tcBorders>
            <w:shd w:val="clear" w:color="000000" w:fill="C0C0C0"/>
            <w:vAlign w:val="center"/>
          </w:tcPr>
          <w:p>
            <w:pPr>
              <w:ind w:firstLine="560" w:firstLineChars="200"/>
              <w:rPr>
                <w:rFonts w:hint="default"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数量</w:t>
            </w:r>
          </w:p>
        </w:tc>
        <w:tc>
          <w:tcPr>
            <w:tcW w:w="1783" w:type="dxa"/>
            <w:tcBorders>
              <w:top w:val="single" w:color="auto" w:sz="4" w:space="0"/>
              <w:left w:val="single" w:color="auto" w:sz="4" w:space="0"/>
              <w:bottom w:val="single" w:color="auto" w:sz="4" w:space="0"/>
              <w:right w:val="single" w:color="auto" w:sz="4" w:space="0"/>
            </w:tcBorders>
            <w:shd w:val="clear" w:color="000000" w:fill="C0C0C0"/>
            <w:vAlign w:val="center"/>
          </w:tcPr>
          <w:p>
            <w:pPr>
              <w:ind w:firstLine="560" w:firstLineChars="200"/>
              <w:rPr>
                <w:rFonts w:hint="default"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单价</w:t>
            </w:r>
          </w:p>
        </w:tc>
      </w:tr>
      <w:tr>
        <w:tblPrEx>
          <w:tblLayout w:type="fixed"/>
          <w:tblCellMar>
            <w:top w:w="0" w:type="dxa"/>
            <w:left w:w="108" w:type="dxa"/>
            <w:bottom w:w="0" w:type="dxa"/>
            <w:right w:w="108" w:type="dxa"/>
          </w:tblCellMar>
        </w:tblPrEx>
        <w:trPr>
          <w:trHeight w:val="28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default" w:ascii="仿宋" w:hAnsi="仿宋" w:eastAsia="仿宋" w:cs="Times New Roman"/>
                <w:color w:val="000000"/>
                <w:sz w:val="24"/>
                <w:szCs w:val="24"/>
                <w:lang w:val="en-US" w:eastAsia="zh-CN"/>
              </w:rPr>
            </w:pPr>
            <w:r>
              <w:rPr>
                <w:rFonts w:hint="eastAsia" w:ascii="Times New Roman" w:hAnsi="Times New Roman" w:eastAsia="黑体" w:cs="黑体"/>
                <w:b/>
                <w:i w:val="0"/>
                <w:color w:val="000000"/>
                <w:kern w:val="0"/>
                <w:sz w:val="21"/>
                <w:szCs w:val="21"/>
                <w:u w:val="none"/>
                <w:lang w:val="en-US" w:eastAsia="zh-CN" w:bidi="ar"/>
              </w:rPr>
              <w:t>序号</w:t>
            </w:r>
          </w:p>
        </w:tc>
        <w:tc>
          <w:tcPr>
            <w:tcW w:w="3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default" w:ascii="仿宋" w:hAnsi="仿宋" w:eastAsia="仿宋" w:cs="Times New Roman"/>
                <w:color w:val="000000"/>
                <w:sz w:val="24"/>
                <w:szCs w:val="24"/>
                <w:lang w:val="en-US" w:eastAsia="zh-CN"/>
              </w:rPr>
            </w:pPr>
            <w:r>
              <w:rPr>
                <w:rFonts w:hint="eastAsia" w:ascii="Times New Roman" w:hAnsi="Times New Roman" w:eastAsia="黑体" w:cs="黑体"/>
                <w:b/>
                <w:i w:val="0"/>
                <w:color w:val="000000"/>
                <w:kern w:val="0"/>
                <w:sz w:val="21"/>
                <w:szCs w:val="21"/>
                <w:u w:val="none"/>
                <w:lang w:val="en-US" w:eastAsia="zh-CN" w:bidi="ar"/>
              </w:rPr>
              <w:t>名称</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黑体" w:cs="黑体"/>
                <w:b/>
                <w:i w:val="0"/>
                <w:color w:val="000000"/>
                <w:kern w:val="0"/>
                <w:sz w:val="21"/>
                <w:szCs w:val="21"/>
                <w:u w:val="none"/>
                <w:lang w:val="en-US" w:eastAsia="zh-CN" w:bidi="ar"/>
              </w:rPr>
              <w:t>规格</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黑体" w:cs="黑体"/>
                <w:b/>
                <w:i w:val="0"/>
                <w:color w:val="000000"/>
                <w:kern w:val="0"/>
                <w:sz w:val="21"/>
                <w:szCs w:val="21"/>
                <w:u w:val="none"/>
                <w:lang w:val="en-US" w:eastAsia="zh-CN" w:bidi="ar"/>
              </w:rPr>
            </w:pP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黑体" w:cs="黑体"/>
                <w:b/>
                <w:i w:val="0"/>
                <w:color w:val="000000"/>
                <w:kern w:val="0"/>
                <w:sz w:val="21"/>
                <w:szCs w:val="21"/>
                <w:u w:val="none"/>
                <w:lang w:val="en-US" w:eastAsia="zh-CN" w:bidi="ar"/>
              </w:rPr>
            </w:pPr>
          </w:p>
        </w:tc>
      </w:tr>
      <w:tr>
        <w:tblPrEx>
          <w:tblLayout w:type="fixed"/>
          <w:tblCellMar>
            <w:top w:w="0" w:type="dxa"/>
            <w:left w:w="108" w:type="dxa"/>
            <w:bottom w:w="0" w:type="dxa"/>
            <w:right w:w="108" w:type="dxa"/>
          </w:tblCellMar>
        </w:tblPrEx>
        <w:trPr>
          <w:trHeight w:val="28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default" w:ascii="仿宋" w:hAnsi="仿宋" w:eastAsia="仿宋" w:cs="Times New Roman"/>
                <w:color w:val="000000"/>
                <w:sz w:val="24"/>
                <w:szCs w:val="24"/>
                <w:lang w:val="en-US" w:eastAsia="zh-CN"/>
              </w:rPr>
            </w:pPr>
            <w:r>
              <w:rPr>
                <w:rFonts w:hint="eastAsia" w:ascii="Times New Roman" w:hAnsi="Times New Roman" w:eastAsia="宋体" w:cs="宋体"/>
                <w:b/>
                <w:i w:val="0"/>
                <w:color w:val="000000"/>
                <w:kern w:val="0"/>
                <w:sz w:val="21"/>
                <w:szCs w:val="21"/>
                <w:u w:val="none"/>
                <w:lang w:val="en-US" w:eastAsia="zh-CN" w:bidi="ar"/>
              </w:rPr>
              <w:t>1</w:t>
            </w:r>
          </w:p>
        </w:tc>
        <w:tc>
          <w:tcPr>
            <w:tcW w:w="3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雷达与ADSB接入设备</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8路接入</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r>
      <w:tr>
        <w:tblPrEx>
          <w:tblLayout w:type="fixed"/>
          <w:tblCellMar>
            <w:top w:w="0" w:type="dxa"/>
            <w:left w:w="108" w:type="dxa"/>
            <w:bottom w:w="0" w:type="dxa"/>
            <w:right w:w="108" w:type="dxa"/>
          </w:tblCellMar>
        </w:tblPrEx>
        <w:trPr>
          <w:trHeight w:val="28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b/>
                <w:i w:val="0"/>
                <w:color w:val="000000"/>
                <w:kern w:val="0"/>
                <w:sz w:val="21"/>
                <w:szCs w:val="21"/>
                <w:u w:val="none"/>
                <w:lang w:val="en-US" w:eastAsia="zh-CN" w:bidi="ar"/>
              </w:rPr>
              <w:t>2</w:t>
            </w:r>
          </w:p>
        </w:tc>
        <w:tc>
          <w:tcPr>
            <w:tcW w:w="3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空域规划移动终端设备</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32G内存、256G固态+2T存储</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r>
      <w:tr>
        <w:tblPrEx>
          <w:tblLayout w:type="fixed"/>
          <w:tblCellMar>
            <w:top w:w="0" w:type="dxa"/>
            <w:left w:w="108" w:type="dxa"/>
            <w:bottom w:w="0" w:type="dxa"/>
            <w:right w:w="108" w:type="dxa"/>
          </w:tblCellMar>
        </w:tblPrEx>
        <w:trPr>
          <w:trHeight w:val="28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b/>
                <w:i w:val="0"/>
                <w:color w:val="000000"/>
                <w:kern w:val="0"/>
                <w:sz w:val="21"/>
                <w:szCs w:val="21"/>
                <w:u w:val="none"/>
                <w:lang w:val="en-US" w:eastAsia="zh-CN" w:bidi="ar"/>
              </w:rPr>
              <w:t>3</w:t>
            </w:r>
          </w:p>
        </w:tc>
        <w:tc>
          <w:tcPr>
            <w:tcW w:w="3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空域态势终端设备</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32G内存、256G固态+2T存储</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r>
      <w:tr>
        <w:tblPrEx>
          <w:tblLayout w:type="fixed"/>
          <w:tblCellMar>
            <w:top w:w="0" w:type="dxa"/>
            <w:left w:w="108" w:type="dxa"/>
            <w:bottom w:w="0" w:type="dxa"/>
            <w:right w:w="108" w:type="dxa"/>
          </w:tblCellMar>
        </w:tblPrEx>
        <w:trPr>
          <w:trHeight w:val="28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cs="宋体"/>
                <w:b/>
                <w:i w:val="0"/>
                <w:color w:val="000000"/>
                <w:sz w:val="21"/>
                <w:szCs w:val="21"/>
                <w:u w:val="none"/>
                <w:lang w:val="en-US" w:eastAsia="zh-CN"/>
              </w:rPr>
              <w:t>4</w:t>
            </w:r>
          </w:p>
        </w:tc>
        <w:tc>
          <w:tcPr>
            <w:tcW w:w="3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空域规划数据库</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存储空域规划支撑数据、空域规划数据、空情数据</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r>
      <w:tr>
        <w:tblPrEx>
          <w:tblLayout w:type="fixed"/>
          <w:tblCellMar>
            <w:top w:w="0" w:type="dxa"/>
            <w:left w:w="108" w:type="dxa"/>
            <w:bottom w:w="0" w:type="dxa"/>
            <w:right w:w="108" w:type="dxa"/>
          </w:tblCellMar>
        </w:tblPrEx>
        <w:trPr>
          <w:trHeight w:val="28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cs="宋体"/>
                <w:b/>
                <w:i w:val="0"/>
                <w:color w:val="000000"/>
                <w:sz w:val="21"/>
                <w:szCs w:val="21"/>
                <w:u w:val="none"/>
                <w:lang w:val="en-US" w:eastAsia="zh-CN"/>
              </w:rPr>
              <w:t>5</w:t>
            </w:r>
          </w:p>
        </w:tc>
        <w:tc>
          <w:tcPr>
            <w:tcW w:w="3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空域规划终端软件</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空域态势显示、空域及进离场航线规划</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r>
      <w:tr>
        <w:tblPrEx>
          <w:tblLayout w:type="fixed"/>
          <w:tblCellMar>
            <w:top w:w="0" w:type="dxa"/>
            <w:left w:w="108" w:type="dxa"/>
            <w:bottom w:w="0" w:type="dxa"/>
            <w:right w:w="108" w:type="dxa"/>
          </w:tblCellMar>
        </w:tblPrEx>
        <w:trPr>
          <w:trHeight w:val="480"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cs="宋体"/>
                <w:b/>
                <w:i w:val="0"/>
                <w:color w:val="000000"/>
                <w:sz w:val="21"/>
                <w:szCs w:val="21"/>
                <w:u w:val="none"/>
                <w:lang w:val="en-US" w:eastAsia="zh-CN"/>
              </w:rPr>
              <w:t>6</w:t>
            </w:r>
          </w:p>
        </w:tc>
        <w:tc>
          <w:tcPr>
            <w:tcW w:w="3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空域态势展示终端软件</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监视数据接入、空情实时显示、空域及航线态势显示、导航资源规划、历史数据分析。</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r>
      <w:tr>
        <w:tblPrEx>
          <w:tblLayout w:type="fixed"/>
          <w:tblCellMar>
            <w:top w:w="0" w:type="dxa"/>
            <w:left w:w="108" w:type="dxa"/>
            <w:bottom w:w="0" w:type="dxa"/>
            <w:right w:w="108" w:type="dxa"/>
          </w:tblCellMar>
        </w:tblPrEx>
        <w:trPr>
          <w:trHeight w:val="478"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cs="宋体"/>
                <w:b/>
                <w:i w:val="0"/>
                <w:color w:val="000000"/>
                <w:sz w:val="21"/>
                <w:szCs w:val="21"/>
                <w:u w:val="none"/>
                <w:lang w:val="en-US" w:eastAsia="zh-CN"/>
              </w:rPr>
              <w:t>7</w:t>
            </w:r>
          </w:p>
        </w:tc>
        <w:tc>
          <w:tcPr>
            <w:tcW w:w="3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安装调试及培训</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现场安装、集成调试、现场培训</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r>
      <w:tr>
        <w:tblPrEx>
          <w:tblLayout w:type="fixed"/>
          <w:tblCellMar>
            <w:top w:w="0" w:type="dxa"/>
            <w:left w:w="108" w:type="dxa"/>
            <w:bottom w:w="0" w:type="dxa"/>
            <w:right w:w="108" w:type="dxa"/>
          </w:tblCellMar>
        </w:tblPrEx>
        <w:trPr>
          <w:trHeight w:val="480"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eastAsia="黑体" w:cs="黑体"/>
                <w:b/>
                <w:i w:val="0"/>
                <w:color w:val="000000"/>
                <w:sz w:val="21"/>
                <w:szCs w:val="21"/>
                <w:u w:val="none"/>
                <w:lang w:val="en-US" w:eastAsia="zh-CN"/>
              </w:rPr>
              <w:t>8</w:t>
            </w:r>
          </w:p>
        </w:tc>
        <w:tc>
          <w:tcPr>
            <w:tcW w:w="3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数据维护服务</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黑体" w:cs="黑体"/>
                <w:i w:val="0"/>
                <w:color w:val="000000"/>
                <w:kern w:val="0"/>
                <w:sz w:val="21"/>
                <w:szCs w:val="21"/>
                <w:u w:val="none"/>
                <w:lang w:val="en-US" w:eastAsia="zh-CN" w:bidi="ar"/>
              </w:rPr>
              <w:t>空域规划支撑数据更新及维护（</w:t>
            </w:r>
            <w:r>
              <w:rPr>
                <w:rFonts w:hint="eastAsia" w:eastAsia="黑体" w:cs="黑体"/>
                <w:i w:val="0"/>
                <w:color w:val="000000"/>
                <w:kern w:val="0"/>
                <w:sz w:val="21"/>
                <w:szCs w:val="21"/>
                <w:u w:val="none"/>
                <w:lang w:val="en-US" w:eastAsia="zh-CN" w:bidi="ar"/>
              </w:rPr>
              <w:t>3</w:t>
            </w:r>
            <w:r>
              <w:rPr>
                <w:rFonts w:hint="eastAsia" w:ascii="Times New Roman" w:hAnsi="Times New Roman" w:eastAsia="黑体" w:cs="黑体"/>
                <w:i w:val="0"/>
                <w:color w:val="000000"/>
                <w:kern w:val="0"/>
                <w:sz w:val="21"/>
                <w:szCs w:val="21"/>
                <w:u w:val="none"/>
                <w:lang w:val="en-US" w:eastAsia="zh-CN" w:bidi="ar"/>
              </w:rPr>
              <w:t>年）</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黑体" w:cs="黑体"/>
                <w:i w:val="0"/>
                <w:color w:val="000000"/>
                <w:kern w:val="0"/>
                <w:sz w:val="21"/>
                <w:szCs w:val="21"/>
                <w:u w:val="none"/>
                <w:lang w:val="en-US" w:eastAsia="zh-CN" w:bidi="ar"/>
              </w:rPr>
            </w:pP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黑体" w:cs="黑体"/>
                <w:i w:val="0"/>
                <w:color w:val="000000"/>
                <w:kern w:val="0"/>
                <w:sz w:val="21"/>
                <w:szCs w:val="21"/>
                <w:u w:val="none"/>
                <w:lang w:val="en-US" w:eastAsia="zh-CN" w:bidi="ar"/>
              </w:rPr>
            </w:pPr>
          </w:p>
        </w:tc>
      </w:tr>
    </w:tbl>
    <w:p>
      <w:pPr>
        <w:rPr>
          <w:rFonts w:hint="default"/>
          <w:lang w:val="en-US" w:eastAsia="zh-CN"/>
        </w:rPr>
      </w:pPr>
    </w:p>
    <w:p>
      <w:pPr>
        <w:rPr>
          <w:rFonts w:hint="eastAsia" w:ascii="仿宋" w:hAnsi="仿宋" w:eastAsia="仿宋"/>
          <w:b/>
          <w:bCs/>
          <w:color w:val="000000"/>
          <w:kern w:val="0"/>
          <w:sz w:val="28"/>
          <w:szCs w:val="28"/>
          <w:lang w:val="en-US" w:eastAsia="zh-CN"/>
        </w:rPr>
      </w:pPr>
      <w:r>
        <w:rPr>
          <w:rFonts w:hint="eastAsia" w:ascii="仿宋" w:hAnsi="仿宋" w:eastAsia="仿宋"/>
          <w:b/>
          <w:bCs/>
          <w:color w:val="000000"/>
          <w:kern w:val="0"/>
          <w:sz w:val="28"/>
          <w:szCs w:val="28"/>
          <w:lang w:val="en-US" w:eastAsia="zh-CN"/>
        </w:rPr>
        <w:t>1.5 安装调试及培训部分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 xml:space="preserve">1.5.1 </w:t>
      </w:r>
      <w:r>
        <w:rPr>
          <w:rFonts w:hint="eastAsia" w:ascii="仿宋" w:hAnsi="仿宋" w:eastAsia="仿宋"/>
          <w:color w:val="000000"/>
          <w:sz w:val="28"/>
          <w:szCs w:val="28"/>
        </w:rPr>
        <w:t>交货后</w:t>
      </w:r>
      <w:r>
        <w:rPr>
          <w:rFonts w:hint="eastAsia" w:ascii="仿宋" w:hAnsi="仿宋" w:eastAsia="仿宋"/>
          <w:color w:val="000000"/>
          <w:sz w:val="28"/>
          <w:szCs w:val="28"/>
          <w:lang w:val="en-US" w:eastAsia="zh-CN"/>
        </w:rPr>
        <w:t>乙</w:t>
      </w:r>
      <w:r>
        <w:rPr>
          <w:rFonts w:hint="eastAsia" w:ascii="仿宋" w:hAnsi="仿宋" w:eastAsia="仿宋"/>
          <w:color w:val="000000"/>
          <w:sz w:val="28"/>
          <w:szCs w:val="28"/>
        </w:rPr>
        <w:t>方须派技术人员指导用户进行现场实测，以验证仪器性能。</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1.5.2乙方负责对用户进行现场培训，并提供相应的安装、维护、操作、培训资料。</w:t>
      </w:r>
    </w:p>
    <w:p>
      <w:pPr>
        <w:rPr>
          <w:rFonts w:hint="eastAsia" w:ascii="仿宋" w:hAnsi="仿宋" w:eastAsia="仿宋"/>
          <w:b/>
          <w:bCs/>
          <w:color w:val="000000"/>
          <w:kern w:val="0"/>
          <w:sz w:val="28"/>
          <w:szCs w:val="28"/>
          <w:lang w:val="en-US" w:eastAsia="zh-CN"/>
        </w:rPr>
      </w:pPr>
      <w:r>
        <w:rPr>
          <w:rFonts w:hint="eastAsia" w:ascii="仿宋" w:hAnsi="仿宋" w:eastAsia="仿宋"/>
          <w:b/>
          <w:bCs/>
          <w:color w:val="000000"/>
          <w:kern w:val="0"/>
          <w:sz w:val="28"/>
          <w:szCs w:val="28"/>
          <w:lang w:val="en-US" w:eastAsia="zh-CN"/>
        </w:rPr>
        <w:t>1.6 技术服务</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1.6.1 乙方提供设备生命周期内的技术维修；</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1.6.2乙方对售后服务的需求必须在24小时内答复，在48小时内提供技术服务；</w:t>
      </w:r>
    </w:p>
    <w:p>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1.6.3乙方长期为甲方提供备件采购服务；</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1.6.4 乙方长期为甲方提供数据更新和供应服务。</w:t>
      </w:r>
    </w:p>
    <w:p>
      <w:pPr>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二、合格报价供应商</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auto"/>
          <w:sz w:val="28"/>
          <w:szCs w:val="28"/>
        </w:rPr>
        <w:t>必须开具增值税专用发票。比选响应单位必</w:t>
      </w:r>
      <w:r>
        <w:rPr>
          <w:rFonts w:hint="eastAsia" w:ascii="方正仿宋_GBK" w:hAnsi="方正仿宋_GBK" w:eastAsia="方正仿宋_GBK" w:cs="方正仿宋_GBK"/>
          <w:color w:val="000000"/>
          <w:sz w:val="28"/>
          <w:szCs w:val="28"/>
        </w:rPr>
        <w:t>须具备：</w:t>
      </w:r>
    </w:p>
    <w:p>
      <w:pPr>
        <w:widowControl/>
        <w:spacing w:line="360" w:lineRule="auto"/>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2.1.有效的营业执照，提供复印件，原件备查；</w:t>
      </w:r>
    </w:p>
    <w:p>
      <w:pPr>
        <w:widowControl/>
        <w:spacing w:line="360" w:lineRule="auto"/>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法定代表人身份证明及身份证扫描件（附件二）；</w:t>
      </w:r>
    </w:p>
    <w:p>
      <w:pPr>
        <w:widowControl/>
        <w:spacing w:line="360" w:lineRule="auto"/>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 xml:space="preserve"> 若报价人非法定代表人，需提供法人授权书及被授权人身份证明扫描件（附件三）；</w:t>
      </w:r>
    </w:p>
    <w:p>
      <w:pPr>
        <w:widowControl/>
        <w:spacing w:line="360" w:lineRule="auto"/>
        <w:ind w:firstLine="560" w:firstLineChars="200"/>
        <w:jc w:val="left"/>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2.4 报价函、报价清单等</w:t>
      </w:r>
    </w:p>
    <w:p>
      <w:pPr>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三、比选人资格及报价要求</w:t>
      </w:r>
    </w:p>
    <w:p>
      <w:pPr>
        <w:widowControl/>
        <w:spacing w:line="360" w:lineRule="auto"/>
        <w:ind w:firstLine="560" w:firstLineChars="200"/>
        <w:jc w:val="left"/>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3.1比选</w:t>
      </w:r>
      <w:r>
        <w:rPr>
          <w:rFonts w:hint="eastAsia" w:ascii="方正仿宋_GBK" w:hAnsi="方正仿宋_GBK" w:eastAsia="方正仿宋_GBK" w:cs="方正仿宋_GBK"/>
          <w:color w:val="000000"/>
          <w:sz w:val="28"/>
          <w:szCs w:val="28"/>
          <w:lang w:val="zh-CN"/>
        </w:rPr>
        <w:t>人须是中华人民共和国境内正式注册并具有有效独立法人资格的法人或其他组织，</w:t>
      </w:r>
      <w:r>
        <w:rPr>
          <w:rFonts w:hint="eastAsia" w:ascii="方正仿宋_GBK" w:hAnsi="方正仿宋_GBK" w:eastAsia="方正仿宋_GBK" w:cs="方正仿宋_GBK"/>
          <w:color w:val="000000"/>
          <w:sz w:val="28"/>
          <w:szCs w:val="28"/>
          <w:lang w:val="en-US" w:eastAsia="zh-CN"/>
        </w:rPr>
        <w:t>需提供有效营业执照（须提供营业执照复印件加盖鲜公章）</w:t>
      </w:r>
    </w:p>
    <w:p>
      <w:pPr>
        <w:widowControl/>
        <w:spacing w:line="360" w:lineRule="auto"/>
        <w:ind w:firstLine="560" w:firstLineChars="200"/>
        <w:jc w:val="left"/>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3.2比选</w:t>
      </w:r>
      <w:r>
        <w:rPr>
          <w:rFonts w:hint="eastAsia" w:ascii="方正仿宋_GBK" w:hAnsi="方正仿宋_GBK" w:eastAsia="方正仿宋_GBK" w:cs="方正仿宋_GBK"/>
          <w:color w:val="000000"/>
          <w:sz w:val="28"/>
          <w:szCs w:val="28"/>
          <w:lang w:val="zh-CN"/>
        </w:rPr>
        <w:t>人如为代理商，</w:t>
      </w:r>
      <w:r>
        <w:rPr>
          <w:rFonts w:hint="eastAsia" w:ascii="方正仿宋_GBK" w:hAnsi="方正仿宋_GBK" w:eastAsia="方正仿宋_GBK" w:cs="方正仿宋_GBK"/>
          <w:color w:val="000000"/>
          <w:sz w:val="28"/>
          <w:szCs w:val="28"/>
          <w:lang w:val="en-US" w:eastAsia="zh-CN"/>
        </w:rPr>
        <w:t>需提供有效的营业执照、所代理的生产厂家的有效营业执照及</w:t>
      </w:r>
      <w:r>
        <w:rPr>
          <w:rFonts w:hint="eastAsia" w:ascii="方正仿宋_GBK" w:hAnsi="方正仿宋_GBK" w:eastAsia="方正仿宋_GBK" w:cs="方正仿宋_GBK"/>
          <w:color w:val="000000"/>
          <w:sz w:val="28"/>
          <w:szCs w:val="28"/>
          <w:lang w:val="zh-CN"/>
        </w:rPr>
        <w:t>针对本项目出具的专项产品代理授权书。（</w:t>
      </w:r>
      <w:r>
        <w:rPr>
          <w:rFonts w:hint="eastAsia" w:ascii="方正仿宋_GBK" w:hAnsi="方正仿宋_GBK" w:eastAsia="方正仿宋_GBK" w:cs="方正仿宋_GBK"/>
          <w:color w:val="000000"/>
          <w:sz w:val="28"/>
          <w:szCs w:val="28"/>
          <w:lang w:val="en-US" w:eastAsia="zh-CN"/>
        </w:rPr>
        <w:t>须提供营业执照复印件加盖鲜公章、代理授权书原件加盖鲜公章</w:t>
      </w:r>
      <w:r>
        <w:rPr>
          <w:rFonts w:hint="eastAsia" w:ascii="方正仿宋_GBK" w:hAnsi="方正仿宋_GBK" w:eastAsia="方正仿宋_GBK" w:cs="方正仿宋_GBK"/>
          <w:color w:val="000000"/>
          <w:sz w:val="28"/>
          <w:szCs w:val="28"/>
          <w:lang w:val="zh-CN"/>
        </w:rPr>
        <w:t>）</w:t>
      </w:r>
    </w:p>
    <w:p>
      <w:pPr>
        <w:widowControl/>
        <w:spacing w:line="360" w:lineRule="auto"/>
        <w:ind w:firstLine="560" w:firstLineChars="200"/>
        <w:jc w:val="left"/>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3.3</w:t>
      </w:r>
      <w:r>
        <w:rPr>
          <w:rFonts w:hint="eastAsia" w:ascii="方正仿宋_GBK" w:hAnsi="方正仿宋_GBK" w:eastAsia="方正仿宋_GBK" w:cs="方正仿宋_GBK"/>
          <w:color w:val="000000"/>
          <w:sz w:val="28"/>
          <w:szCs w:val="28"/>
          <w:lang w:val="zh-CN"/>
        </w:rPr>
        <w:t xml:space="preserve"> 201</w:t>
      </w: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lang w:val="zh-CN"/>
        </w:rPr>
        <w:t>年1月1日至投标截止日内未因安全、质量等问题受到政府主管部门的处罚，无不良记录，并在资金、人员、设备、技术等方面具有相应</w:t>
      </w:r>
      <w:r>
        <w:rPr>
          <w:rFonts w:hint="eastAsia" w:ascii="方正仿宋_GBK" w:hAnsi="方正仿宋_GBK" w:eastAsia="方正仿宋_GBK" w:cs="方正仿宋_GBK"/>
          <w:color w:val="000000"/>
          <w:sz w:val="28"/>
          <w:szCs w:val="28"/>
          <w:lang w:val="en-US" w:eastAsia="zh-CN"/>
        </w:rPr>
        <w:t>承接项目的</w:t>
      </w:r>
      <w:r>
        <w:rPr>
          <w:rFonts w:hint="eastAsia" w:ascii="方正仿宋_GBK" w:hAnsi="方正仿宋_GBK" w:eastAsia="方正仿宋_GBK" w:cs="方正仿宋_GBK"/>
          <w:color w:val="000000"/>
          <w:sz w:val="28"/>
          <w:szCs w:val="28"/>
          <w:lang w:val="zh-CN"/>
        </w:rPr>
        <w:t>能力。</w:t>
      </w:r>
    </w:p>
    <w:p>
      <w:pPr>
        <w:widowControl/>
        <w:spacing w:line="360" w:lineRule="auto"/>
        <w:ind w:firstLine="560" w:firstLineChars="200"/>
        <w:jc w:val="left"/>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lang w:val="zh-CN"/>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lang w:val="zh-CN"/>
        </w:rPr>
        <w:t xml:space="preserve"> 单位负责人为同一人或者存在控股、管理关系的不同单位，不得同时参加本招标项目同一标段投标。</w:t>
      </w:r>
    </w:p>
    <w:p>
      <w:pPr>
        <w:widowControl/>
        <w:spacing w:line="360" w:lineRule="auto"/>
        <w:ind w:firstLine="560" w:firstLineChars="200"/>
        <w:jc w:val="left"/>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lang w:val="zh-CN"/>
        </w:rPr>
        <w:t>.</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lang w:val="zh-CN"/>
        </w:rPr>
        <w:t>本次招标不接受联合体投标。</w:t>
      </w:r>
    </w:p>
    <w:p>
      <w:pPr>
        <w:widowControl/>
        <w:spacing w:line="360" w:lineRule="auto"/>
        <w:ind w:firstLine="560" w:firstLineChars="200"/>
        <w:jc w:val="left"/>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lang w:val="zh-CN"/>
        </w:rPr>
        <w:t>.</w:t>
      </w: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lang w:val="zh-CN"/>
        </w:rPr>
        <w:t>本项目不允许分包。</w:t>
      </w:r>
    </w:p>
    <w:p>
      <w:pPr>
        <w:widowControl/>
        <w:spacing w:line="360" w:lineRule="auto"/>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项目的报价应包括：报价为充分考虑了各种因素后的综合报价，包括软件系统开发及数据处理、需求分析、安装、调试、检验、培训等所需要的一切费用，还包含税费、材料工本费、后续服务工作费等履行合同所有费用。除采购方根据情况调整服务范围、服务内容外，本项目报价即为合同价，不作任何调整。</w:t>
      </w:r>
    </w:p>
    <w:p>
      <w:pPr>
        <w:widowControl/>
        <w:spacing w:line="360" w:lineRule="auto"/>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本项目总价最高限价为</w:t>
      </w:r>
      <w:r>
        <w:rPr>
          <w:rFonts w:hint="eastAsia" w:ascii="方正仿宋_GBK" w:hAnsi="方正仿宋_GBK" w:eastAsia="方正仿宋_GBK" w:cs="方正仿宋_GBK"/>
          <w:color w:val="000000"/>
          <w:sz w:val="28"/>
          <w:szCs w:val="28"/>
          <w:lang w:val="en-US" w:eastAsia="zh-CN"/>
        </w:rPr>
        <w:t>不</w:t>
      </w:r>
      <w:r>
        <w:rPr>
          <w:rFonts w:hint="eastAsia" w:ascii="方正仿宋_GBK" w:hAnsi="方正仿宋_GBK" w:eastAsia="方正仿宋_GBK" w:cs="方正仿宋_GBK"/>
          <w:color w:val="000000"/>
          <w:sz w:val="28"/>
          <w:szCs w:val="28"/>
        </w:rPr>
        <w:t>含税价</w:t>
      </w:r>
      <w:r>
        <w:rPr>
          <w:rFonts w:hint="eastAsia" w:ascii="方正仿宋_GBK" w:hAnsi="方正仿宋_GBK" w:eastAsia="方正仿宋_GBK" w:cs="方正仿宋_GBK"/>
          <w:color w:val="000000"/>
          <w:sz w:val="28"/>
          <w:szCs w:val="28"/>
          <w:u w:val="single"/>
          <w:lang w:val="en-US" w:eastAsia="zh-CN"/>
        </w:rPr>
        <w:t>330000</w:t>
      </w:r>
      <w:r>
        <w:rPr>
          <w:rFonts w:hint="eastAsia" w:ascii="方正仿宋_GBK" w:hAnsi="方正仿宋_GBK" w:eastAsia="方正仿宋_GBK" w:cs="方正仿宋_GBK"/>
          <w:color w:val="000000"/>
          <w:sz w:val="28"/>
          <w:szCs w:val="28"/>
        </w:rPr>
        <w:t>元（大写：人民币</w:t>
      </w:r>
      <w:r>
        <w:rPr>
          <w:rFonts w:hint="eastAsia" w:ascii="方正仿宋_GBK" w:hAnsi="方正仿宋_GBK" w:eastAsia="方正仿宋_GBK" w:cs="方正仿宋_GBK"/>
          <w:color w:val="000000"/>
          <w:sz w:val="28"/>
          <w:szCs w:val="28"/>
          <w:u w:val="single"/>
          <w:lang w:val="en-US" w:eastAsia="zh-CN"/>
        </w:rPr>
        <w:t>叁拾叁万</w:t>
      </w:r>
      <w:r>
        <w:rPr>
          <w:rFonts w:hint="eastAsia" w:ascii="方正仿宋_GBK" w:hAnsi="方正仿宋_GBK" w:eastAsia="方正仿宋_GBK" w:cs="方正仿宋_GBK"/>
          <w:color w:val="000000"/>
          <w:sz w:val="28"/>
          <w:szCs w:val="28"/>
          <w:lang w:val="en-US" w:eastAsia="zh-CN"/>
        </w:rPr>
        <w:t>元</w:t>
      </w:r>
      <w:r>
        <w:rPr>
          <w:rFonts w:hint="eastAsia" w:ascii="方正仿宋_GBK" w:hAnsi="方正仿宋_GBK" w:eastAsia="方正仿宋_GBK" w:cs="方正仿宋_GBK"/>
          <w:color w:val="000000"/>
          <w:sz w:val="28"/>
          <w:szCs w:val="28"/>
        </w:rPr>
        <w:t>整），报价超过最高限价，将取消比选响应方的比选资格。</w:t>
      </w:r>
    </w:p>
    <w:p>
      <w:pPr>
        <w:spacing w:line="360" w:lineRule="auto"/>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lang w:val="en-US" w:eastAsia="zh-CN"/>
        </w:rPr>
        <w:t>四</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hint="eastAsia" w:ascii="方正仿宋_GBK" w:hAnsi="方正仿宋_GBK" w:eastAsia="方正仿宋_GBK" w:cs="方正仿宋_GBK"/>
          <w:bCs/>
          <w:color w:val="000000"/>
          <w:sz w:val="28"/>
          <w:szCs w:val="28"/>
          <w:lang w:eastAsia="zh-CN"/>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val="en-US" w:eastAsia="zh-CN"/>
        </w:rPr>
        <w:t>成交人</w:t>
      </w:r>
      <w:r>
        <w:rPr>
          <w:rFonts w:hint="eastAsia" w:ascii="方正仿宋_GBK" w:hAnsi="方正仿宋_GBK" w:eastAsia="方正仿宋_GBK" w:cs="方正仿宋_GBK"/>
          <w:bCs/>
          <w:color w:val="000000"/>
          <w:sz w:val="28"/>
          <w:szCs w:val="28"/>
        </w:rPr>
        <w:t>确定办法采用</w:t>
      </w:r>
      <w:r>
        <w:rPr>
          <w:rFonts w:hint="eastAsia" w:ascii="方正仿宋_GBK" w:hAnsi="方正仿宋_GBK" w:eastAsia="方正仿宋_GBK" w:cs="方正仿宋_GBK"/>
          <w:bCs/>
          <w:color w:val="000000"/>
          <w:sz w:val="28"/>
          <w:szCs w:val="28"/>
          <w:lang w:val="en-US" w:eastAsia="zh-CN"/>
        </w:rPr>
        <w:t>综合评价法</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kern w:val="0"/>
          <w:sz w:val="28"/>
          <w:szCs w:val="28"/>
        </w:rPr>
        <w:t>成交标准如下：</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3.1递交比选响应文件截止时，送达的比选响应文件少于3个的，应停止比选活动，将递交的比选响应文件退还比选响应人，并重新组织比选。重新比选仍然不足3个单位的，比选项目将可以继续进行比选。</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3.3项目重新比选时，经评审有有效比选人的，应当按规定程序，根据符合项目需求、质量和服务，且报价最低的原则确定成交候选人。</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3.4本项目各参与比选单位的报价函（附件一）中的报价为评选报价，报价函中的大小写报价不一致时，以大写报价为准。</w:t>
      </w:r>
    </w:p>
    <w:p>
      <w:pPr>
        <w:adjustRightInd w:val="0"/>
        <w:snapToGrid w:val="0"/>
        <w:spacing w:line="360" w:lineRule="auto"/>
        <w:rPr>
          <w:rFonts w:hint="default" w:ascii="方正仿宋_GBK" w:hAnsi="方正仿宋_GBK" w:eastAsia="方正仿宋_GBK" w:cs="方正仿宋_GBK"/>
          <w:b/>
          <w:sz w:val="28"/>
          <w:szCs w:val="28"/>
          <w:lang w:val="en-US" w:eastAsia="zh-CN"/>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w:t>
      </w:r>
      <w:r>
        <w:rPr>
          <w:rFonts w:hint="eastAsia" w:ascii="方正仿宋_GBK" w:hAnsi="方正仿宋_GBK" w:eastAsia="方正仿宋_GBK" w:cs="方正仿宋_GBK"/>
          <w:b/>
          <w:sz w:val="28"/>
          <w:szCs w:val="28"/>
          <w:lang w:val="en-US" w:eastAsia="zh-CN"/>
        </w:rPr>
        <w:t>发布方式及时间</w:t>
      </w:r>
    </w:p>
    <w:p>
      <w:pPr>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4</w:t>
      </w:r>
      <w:r>
        <w:rPr>
          <w:rFonts w:ascii="方正仿宋_GBK" w:hAnsi="方正仿宋_GBK" w:eastAsia="方正仿宋_GBK" w:cs="方正仿宋_GBK"/>
          <w:kern w:val="0"/>
          <w:sz w:val="28"/>
          <w:szCs w:val="28"/>
        </w:rPr>
        <w:t xml:space="preserve">.1 </w:t>
      </w:r>
      <w:r>
        <w:rPr>
          <w:rFonts w:hint="eastAsia" w:ascii="方正仿宋_GBK" w:hAnsi="方正仿宋_GBK" w:eastAsia="方正仿宋_GBK" w:cs="方正仿宋_GBK"/>
          <w:kern w:val="0"/>
          <w:sz w:val="28"/>
          <w:szCs w:val="28"/>
        </w:rPr>
        <w:t>发布方式：比选采购文件及相关资料由重庆</w:t>
      </w:r>
      <w:r>
        <w:rPr>
          <w:rFonts w:hint="eastAsia" w:ascii="方正仿宋_GBK" w:hAnsi="方正仿宋_GBK" w:eastAsia="方正仿宋_GBK" w:cs="方正仿宋_GBK"/>
          <w:kern w:val="0"/>
          <w:sz w:val="28"/>
          <w:szCs w:val="28"/>
          <w:lang w:val="en-US" w:eastAsia="zh-CN"/>
        </w:rPr>
        <w:t>江北国际机场</w:t>
      </w:r>
      <w:r>
        <w:rPr>
          <w:rFonts w:hint="eastAsia" w:ascii="方正仿宋_GBK" w:hAnsi="方正仿宋_GBK" w:eastAsia="方正仿宋_GBK" w:cs="方正仿宋_GBK"/>
          <w:kern w:val="0"/>
          <w:sz w:val="28"/>
          <w:szCs w:val="28"/>
        </w:rPr>
        <w:t>有限公司</w:t>
      </w:r>
      <w:r>
        <w:rPr>
          <w:rFonts w:hint="eastAsia" w:ascii="方正仿宋_GBK" w:hAnsi="方正仿宋_GBK" w:eastAsia="方正仿宋_GBK" w:cs="方正仿宋_GBK"/>
          <w:kern w:val="0"/>
          <w:sz w:val="28"/>
          <w:szCs w:val="28"/>
          <w:lang w:val="en-US" w:eastAsia="zh-CN"/>
        </w:rPr>
        <w:t>航务管理部</w:t>
      </w:r>
      <w:r>
        <w:rPr>
          <w:rFonts w:hint="eastAsia" w:ascii="方正仿宋_GBK" w:hAnsi="方正仿宋_GBK" w:eastAsia="方正仿宋_GBK" w:cs="方正仿宋_GBK"/>
          <w:kern w:val="0"/>
          <w:sz w:val="28"/>
          <w:szCs w:val="28"/>
        </w:rPr>
        <w:t>采购办公室公开发布于重庆机场集团有限公司官方网站（www.cqa.cn）。</w:t>
      </w:r>
    </w:p>
    <w:p>
      <w:pPr>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4</w:t>
      </w:r>
      <w:r>
        <w:rPr>
          <w:rFonts w:ascii="方正仿宋_GBK" w:hAnsi="方正仿宋_GBK" w:eastAsia="方正仿宋_GBK" w:cs="方正仿宋_GBK"/>
          <w:kern w:val="0"/>
          <w:sz w:val="28"/>
          <w:szCs w:val="28"/>
        </w:rPr>
        <w:t xml:space="preserve">.2 </w:t>
      </w:r>
      <w:r>
        <w:rPr>
          <w:rFonts w:hint="eastAsia" w:ascii="方正仿宋_GBK" w:hAnsi="方正仿宋_GBK" w:eastAsia="方正仿宋_GBK" w:cs="方正仿宋_GBK"/>
          <w:kern w:val="0"/>
          <w:sz w:val="28"/>
          <w:szCs w:val="28"/>
        </w:rPr>
        <w:t>发布时间：</w:t>
      </w:r>
      <w:r>
        <w:rPr>
          <w:rFonts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rPr>
        <w:t>2021年</w:t>
      </w:r>
      <w:r>
        <w:rPr>
          <w:rFonts w:hint="eastAsia" w:ascii="方正仿宋_GBK" w:hAnsi="方正仿宋_GBK" w:eastAsia="方正仿宋_GBK" w:cs="方正仿宋_GBK"/>
          <w:kern w:val="0"/>
          <w:sz w:val="28"/>
          <w:szCs w:val="28"/>
          <w:lang w:val="en-US" w:eastAsia="zh-CN"/>
        </w:rPr>
        <w:t>8</w:t>
      </w:r>
      <w:r>
        <w:rPr>
          <w:rFonts w:hint="eastAsia" w:ascii="方正仿宋_GBK" w:hAnsi="方正仿宋_GBK" w:eastAsia="方正仿宋_GBK" w:cs="方正仿宋_GBK"/>
          <w:kern w:val="0"/>
          <w:sz w:val="28"/>
          <w:szCs w:val="28"/>
        </w:rPr>
        <w:t xml:space="preserve">月 </w:t>
      </w: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日。</w:t>
      </w:r>
    </w:p>
    <w:p>
      <w:pPr>
        <w:adjustRightInd w:val="0"/>
        <w:snapToGrid w:val="0"/>
        <w:spacing w:line="360" w:lineRule="auto"/>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五、</w:t>
      </w:r>
      <w:r>
        <w:rPr>
          <w:rFonts w:hint="eastAsia" w:ascii="方正仿宋_GBK" w:hAnsi="方正仿宋_GBK" w:eastAsia="方正仿宋_GBK" w:cs="方正仿宋_GBK"/>
          <w:b/>
          <w:color w:val="000000"/>
          <w:sz w:val="28"/>
          <w:szCs w:val="28"/>
        </w:rPr>
        <w:t>支付方式</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5.1 合同总额为：</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color w:val="000000"/>
          <w:kern w:val="0"/>
          <w:sz w:val="28"/>
          <w:szCs w:val="28"/>
          <w:lang w:val="en-US" w:eastAsia="zh-CN"/>
        </w:rPr>
        <w:t>整（不含税）大写：人民币</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color w:val="000000"/>
          <w:kern w:val="0"/>
          <w:sz w:val="28"/>
          <w:szCs w:val="28"/>
          <w:lang w:val="en-US" w:eastAsia="zh-CN"/>
        </w:rPr>
        <w:t>整（不含税）；</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5.2 合同总额由甲方</w:t>
      </w:r>
      <w:r>
        <w:rPr>
          <w:rFonts w:hint="eastAsia" w:ascii="方正仿宋_GBK" w:hAnsi="方正仿宋_GBK" w:eastAsia="方正仿宋_GBK" w:cs="方正仿宋_GBK"/>
          <w:color w:val="000000"/>
          <w:kern w:val="0"/>
          <w:sz w:val="28"/>
          <w:szCs w:val="28"/>
          <w:u w:val="single"/>
          <w:lang w:val="en-US" w:eastAsia="zh-CN"/>
        </w:rPr>
        <w:t>分期</w:t>
      </w:r>
      <w:r>
        <w:rPr>
          <w:rFonts w:hint="eastAsia" w:ascii="方正仿宋_GBK" w:hAnsi="方正仿宋_GBK" w:eastAsia="方正仿宋_GBK" w:cs="方正仿宋_GBK"/>
          <w:color w:val="000000"/>
          <w:kern w:val="0"/>
          <w:sz w:val="28"/>
          <w:szCs w:val="28"/>
          <w:lang w:val="en-US" w:eastAsia="zh-CN"/>
        </w:rPr>
        <w:t>支付乙方；</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5.3 具体支付方式和时间如下：</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u w:val="single"/>
          <w:lang w:val="en-US" w:eastAsia="zh-CN"/>
        </w:rPr>
      </w:pPr>
      <w:r>
        <w:rPr>
          <w:rFonts w:hint="eastAsia" w:ascii="方正仿宋_GBK" w:hAnsi="方正仿宋_GBK" w:eastAsia="方正仿宋_GBK" w:cs="方正仿宋_GBK"/>
          <w:color w:val="000000"/>
          <w:kern w:val="0"/>
          <w:sz w:val="28"/>
          <w:szCs w:val="28"/>
          <w:lang w:val="en-US" w:eastAsia="zh-CN"/>
        </w:rPr>
        <w:t>5.3.1</w:t>
      </w:r>
      <w:r>
        <w:rPr>
          <w:rFonts w:hint="eastAsia" w:ascii="方正仿宋_GBK" w:hAnsi="方正仿宋_GBK" w:eastAsia="方正仿宋_GBK" w:cs="方正仿宋_GBK"/>
          <w:color w:val="000000"/>
          <w:kern w:val="0"/>
          <w:sz w:val="28"/>
          <w:szCs w:val="28"/>
          <w:u w:val="single"/>
          <w:lang w:val="en-US" w:eastAsia="zh-CN"/>
        </w:rPr>
        <w:t>甲乙双方签订合同后，乙方按要求开具税率为6%的全额增值税专用发票，甲方在收到发票后45个工作日内支付合同价款的30%；</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u w:val="single"/>
          <w:lang w:val="en-US" w:eastAsia="zh-CN"/>
        </w:rPr>
      </w:pPr>
      <w:r>
        <w:rPr>
          <w:rFonts w:hint="eastAsia" w:ascii="方正仿宋_GBK" w:hAnsi="方正仿宋_GBK" w:eastAsia="方正仿宋_GBK" w:cs="方正仿宋_GBK"/>
          <w:color w:val="000000"/>
          <w:kern w:val="0"/>
          <w:sz w:val="28"/>
          <w:szCs w:val="28"/>
          <w:u w:val="none"/>
          <w:lang w:val="en-US" w:eastAsia="zh-CN"/>
        </w:rPr>
        <w:t>5.3.2</w:t>
      </w:r>
      <w:r>
        <w:rPr>
          <w:rFonts w:hint="eastAsia" w:ascii="方正仿宋_GBK" w:hAnsi="方正仿宋_GBK" w:eastAsia="方正仿宋_GBK" w:cs="方正仿宋_GBK"/>
          <w:color w:val="000000"/>
          <w:kern w:val="0"/>
          <w:sz w:val="28"/>
          <w:szCs w:val="28"/>
          <w:u w:val="single"/>
          <w:lang w:val="en-US" w:eastAsia="zh-CN"/>
        </w:rPr>
        <w:t>经甲方人员验收合格后，甲方在30个工作日内支付合同价款的67%；</w:t>
      </w:r>
    </w:p>
    <w:p>
      <w:pPr>
        <w:spacing w:line="360" w:lineRule="auto"/>
        <w:ind w:firstLine="560" w:firstLineChars="200"/>
        <w:rPr>
          <w:rFonts w:hint="eastAsia" w:ascii="方正仿宋_GBK" w:hAnsi="方正仿宋_GBK" w:eastAsia="方正仿宋_GBK" w:cs="方正仿宋_GBK"/>
          <w:color w:val="000000"/>
          <w:kern w:val="0"/>
          <w:sz w:val="28"/>
          <w:szCs w:val="28"/>
          <w:u w:val="single"/>
          <w:lang w:val="en-US" w:eastAsia="zh-CN"/>
        </w:rPr>
      </w:pPr>
      <w:r>
        <w:rPr>
          <w:rFonts w:hint="eastAsia" w:ascii="方正仿宋_GBK" w:hAnsi="方正仿宋_GBK" w:eastAsia="方正仿宋_GBK" w:cs="方正仿宋_GBK"/>
          <w:color w:val="000000"/>
          <w:kern w:val="0"/>
          <w:sz w:val="28"/>
          <w:szCs w:val="28"/>
          <w:lang w:val="en-US" w:eastAsia="zh-CN"/>
        </w:rPr>
        <w:t>5.3.3</w:t>
      </w:r>
      <w:r>
        <w:rPr>
          <w:rFonts w:hint="eastAsia" w:ascii="方正仿宋_GBK" w:hAnsi="方正仿宋_GBK" w:eastAsia="方正仿宋_GBK" w:cs="方正仿宋_GBK"/>
          <w:color w:val="000000"/>
          <w:kern w:val="0"/>
          <w:sz w:val="28"/>
          <w:szCs w:val="28"/>
          <w:u w:val="single"/>
          <w:lang w:val="en-US" w:eastAsia="zh-CN"/>
        </w:rPr>
        <w:t>质保期结束30个工作日内支付剩下合同款的3%。</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乙方开户银行名称、户名和账号为：</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开户银行：        </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户名：            </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            </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5.3.4 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xml:space="preserve">5.3.5付款方式为银行转账或银行承兑汇票。 </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5.3.6如税率发生国家法规调整，折算为不含税价后以新适用税率结算。</w:t>
      </w:r>
    </w:p>
    <w:p>
      <w:pPr>
        <w:adjustRightInd w:val="0"/>
        <w:snapToGrid w:val="0"/>
        <w:spacing w:line="360" w:lineRule="auto"/>
        <w:rPr>
          <w:rFonts w:hint="eastAsia" w:ascii="方正仿宋_GBK" w:hAnsi="方正仿宋_GBK" w:eastAsia="方正仿宋_GBK" w:cs="方正仿宋_GBK"/>
          <w:b/>
          <w:color w:val="000000"/>
          <w:sz w:val="28"/>
          <w:szCs w:val="28"/>
          <w:lang w:val="en-US" w:eastAsia="zh-CN"/>
        </w:rPr>
      </w:pPr>
      <w:r>
        <w:rPr>
          <w:rFonts w:hint="eastAsia" w:ascii="方正仿宋_GBK" w:hAnsi="方正仿宋_GBK" w:eastAsia="方正仿宋_GBK" w:cs="方正仿宋_GBK"/>
          <w:b/>
          <w:color w:val="000000"/>
          <w:kern w:val="0"/>
          <w:sz w:val="28"/>
          <w:szCs w:val="28"/>
          <w:lang w:val="en-US" w:eastAsia="zh-CN"/>
        </w:rPr>
        <w:t>六</w:t>
      </w:r>
      <w:r>
        <w:rPr>
          <w:rFonts w:hint="eastAsia" w:ascii="方正仿宋_GBK" w:hAnsi="方正仿宋_GBK" w:eastAsia="方正仿宋_GBK" w:cs="方正仿宋_GBK"/>
          <w:b/>
          <w:color w:val="000000"/>
          <w:kern w:val="0"/>
          <w:sz w:val="28"/>
          <w:szCs w:val="28"/>
        </w:rPr>
        <w:t>、</w:t>
      </w:r>
      <w:r>
        <w:rPr>
          <w:rFonts w:hint="eastAsia" w:ascii="方正仿宋_GBK" w:hAnsi="方正仿宋_GBK" w:eastAsia="方正仿宋_GBK" w:cs="方正仿宋_GBK"/>
          <w:b/>
          <w:color w:val="000000"/>
          <w:sz w:val="28"/>
          <w:szCs w:val="28"/>
          <w:lang w:val="en-US" w:eastAsia="zh-CN"/>
        </w:rPr>
        <w:t>履约保证金及质保期</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6.1乙方应在中标通知书发出15个工作日内，一次性向甲方缴纳合同总额的10%作为履约保证金；</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6.2履约保证金应由乙方名义开立的账户支付到甲方账户，否则视为未支付，甲方有权追究乙方逾期付款责任；</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开户名：重庆江北国际机场有限公司</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开户银行：中国建设银行股份有限公司重庆渝北机场支行</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账号：5005 0108 3800 0000 0060</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6.3 乙方支付履约保证金时，应在“付款备注”中写明“（合同编号）XX合同履约保证金”。乙方不得与其他合同、其他缴费项目一起支付履约保证金，若因混合支付造成无法确认为本合同款项到账的，视为逾期未支付；</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6.4本合同期限届满，若乙方在约定时间内履行完成合同义务且无违约情形，甲方在收到乙方退还履约保证金的申请后，40天内退还（不计利息）；</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6.5付款方式为银行转账或银行承兑汇票；</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6.6如税率发生国家法规调整，折算为不含税价后以新适用税率结算。</w:t>
      </w:r>
    </w:p>
    <w:p>
      <w:pPr>
        <w:adjustRightInd w:val="0"/>
        <w:snapToGrid w:val="0"/>
        <w:spacing w:line="360" w:lineRule="auto"/>
        <w:ind w:firstLine="560"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color w:val="000000"/>
          <w:kern w:val="0"/>
          <w:sz w:val="28"/>
          <w:szCs w:val="28"/>
          <w:lang w:val="en-US" w:eastAsia="zh-CN"/>
        </w:rPr>
        <w:t>6.7本项目质保期为：3年</w:t>
      </w:r>
    </w:p>
    <w:p>
      <w:pPr>
        <w:spacing w:line="360" w:lineRule="auto"/>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en-US" w:eastAsia="zh-CN"/>
        </w:rPr>
        <w:t>七</w:t>
      </w:r>
      <w:r>
        <w:rPr>
          <w:rFonts w:hint="eastAsia" w:ascii="方正仿宋_GBK" w:hAnsi="方正仿宋_GBK" w:eastAsia="方正仿宋_GBK" w:cs="方正仿宋_GBK"/>
          <w:b/>
          <w:color w:val="000000"/>
          <w:sz w:val="28"/>
          <w:szCs w:val="28"/>
        </w:rPr>
        <w:t>、工期时间：</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自合同签订之日起</w:t>
      </w:r>
      <w:r>
        <w:rPr>
          <w:rFonts w:hint="eastAsia" w:ascii="方正仿宋_GBK" w:hAnsi="方正仿宋_GBK" w:eastAsia="方正仿宋_GBK" w:cs="方正仿宋_GBK"/>
          <w:color w:val="000000"/>
          <w:sz w:val="28"/>
          <w:szCs w:val="28"/>
          <w:lang w:val="en-US" w:eastAsia="zh-CN"/>
        </w:rPr>
        <w:t>90</w:t>
      </w:r>
      <w:r>
        <w:rPr>
          <w:rFonts w:hint="eastAsia" w:ascii="方正仿宋_GBK" w:hAnsi="方正仿宋_GBK" w:eastAsia="方正仿宋_GBK" w:cs="方正仿宋_GBK"/>
          <w:color w:val="000000"/>
          <w:sz w:val="28"/>
          <w:szCs w:val="28"/>
        </w:rPr>
        <w:t>日历天。</w:t>
      </w:r>
    </w:p>
    <w:p>
      <w:pPr>
        <w:widowControl/>
        <w:adjustRightInd w:val="0"/>
        <w:snapToGrid w:val="0"/>
        <w:spacing w:line="360" w:lineRule="auto"/>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lang w:val="en-US" w:eastAsia="zh-CN"/>
        </w:rPr>
        <w:t>八</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color w:val="000000"/>
          <w:kern w:val="0"/>
          <w:sz w:val="28"/>
          <w:szCs w:val="28"/>
        </w:rPr>
        <w:t>报价文件的编制和提交：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加盖公章的报价单及声明；</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lang w:val="zh-CN"/>
        </w:rPr>
        <w:t>.2.3</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技术部分。</w:t>
      </w:r>
      <w:r>
        <w:rPr>
          <w:rFonts w:hint="eastAsia" w:ascii="方正仿宋_GBK" w:hAnsi="方正仿宋_GBK" w:eastAsia="方正仿宋_GBK" w:cs="方正仿宋_GBK"/>
          <w:color w:val="000000"/>
          <w:sz w:val="28"/>
          <w:szCs w:val="28"/>
          <w:lang w:val="en-US" w:eastAsia="zh-CN"/>
        </w:rPr>
        <w:t>响应单位按照比选文件要求提出项目设计及施工技术方案、工程量清单、人员配置等相关技术资料。（表格自制）；</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lang w:val="zh-CN"/>
        </w:rPr>
        <w:t>.2.4</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报价部分。</w:t>
      </w:r>
      <w:r>
        <w:rPr>
          <w:rFonts w:hint="eastAsia" w:ascii="方正仿宋_GBK" w:hAnsi="方正仿宋_GBK" w:eastAsia="方正仿宋_GBK" w:cs="方正仿宋_GBK"/>
          <w:color w:val="000000"/>
          <w:sz w:val="28"/>
          <w:szCs w:val="28"/>
          <w:lang w:val="en-US" w:eastAsia="zh-CN"/>
        </w:rPr>
        <w:t>响应单位</w:t>
      </w:r>
      <w:r>
        <w:rPr>
          <w:rFonts w:hint="eastAsia" w:ascii="方正仿宋_GBK" w:hAnsi="方正仿宋_GBK" w:eastAsia="方正仿宋_GBK" w:cs="方正仿宋_GBK"/>
          <w:color w:val="000000"/>
          <w:sz w:val="28"/>
          <w:szCs w:val="28"/>
          <w:lang w:val="zh-CN"/>
        </w:rPr>
        <w:t>应按照</w:t>
      </w:r>
      <w:r>
        <w:rPr>
          <w:rFonts w:hint="eastAsia" w:ascii="方正仿宋_GBK" w:hAnsi="方正仿宋_GBK" w:eastAsia="方正仿宋_GBK" w:cs="方正仿宋_GBK"/>
          <w:color w:val="000000"/>
          <w:sz w:val="28"/>
          <w:szCs w:val="28"/>
          <w:lang w:val="en-US" w:eastAsia="zh-CN"/>
        </w:rPr>
        <w:t>比选</w:t>
      </w:r>
      <w:r>
        <w:rPr>
          <w:rFonts w:hint="eastAsia" w:ascii="方正仿宋_GBK" w:hAnsi="方正仿宋_GBK" w:eastAsia="方正仿宋_GBK" w:cs="方正仿宋_GBK"/>
          <w:color w:val="000000"/>
          <w:sz w:val="28"/>
          <w:szCs w:val="28"/>
          <w:lang w:val="zh-CN"/>
        </w:rPr>
        <w:t>文件要求报出拟提供货物的品牌、规格、单价、总价等详细内容，各项报价</w:t>
      </w:r>
      <w:r>
        <w:rPr>
          <w:rFonts w:hint="eastAsia" w:ascii="方正仿宋_GBK" w:hAnsi="方正仿宋_GBK" w:eastAsia="方正仿宋_GBK" w:cs="方正仿宋_GBK"/>
          <w:color w:val="000000"/>
          <w:sz w:val="28"/>
          <w:szCs w:val="28"/>
          <w:lang w:val="en-US" w:eastAsia="zh-CN"/>
        </w:rPr>
        <w:t>还</w:t>
      </w:r>
      <w:r>
        <w:rPr>
          <w:rFonts w:hint="eastAsia" w:ascii="方正仿宋_GBK" w:hAnsi="方正仿宋_GBK" w:eastAsia="方正仿宋_GBK" w:cs="方正仿宋_GBK"/>
          <w:color w:val="000000"/>
          <w:sz w:val="28"/>
          <w:szCs w:val="28"/>
          <w:lang w:val="zh-CN"/>
        </w:rPr>
        <w:t>应包括拟提供货物的运输、相关税金</w:t>
      </w:r>
      <w:r>
        <w:rPr>
          <w:rFonts w:hint="eastAsia" w:ascii="方正仿宋_GBK" w:hAnsi="方正仿宋_GBK" w:eastAsia="方正仿宋_GBK" w:cs="方正仿宋_GBK"/>
          <w:color w:val="000000"/>
          <w:sz w:val="28"/>
          <w:szCs w:val="28"/>
          <w:lang w:val="en-US" w:eastAsia="zh-CN"/>
        </w:rPr>
        <w:t>以及项目实施过程中产生的论证会、技术研讨会所产生的</w:t>
      </w:r>
      <w:r>
        <w:rPr>
          <w:rFonts w:hint="eastAsia" w:ascii="方正仿宋_GBK" w:hAnsi="方正仿宋_GBK" w:eastAsia="方正仿宋_GBK" w:cs="方正仿宋_GBK"/>
          <w:color w:val="000000"/>
          <w:sz w:val="28"/>
          <w:szCs w:val="28"/>
          <w:lang w:val="zh-CN"/>
        </w:rPr>
        <w:t>全部费用，报价为</w:t>
      </w:r>
      <w:r>
        <w:rPr>
          <w:rFonts w:hint="eastAsia" w:ascii="方正仿宋_GBK" w:hAnsi="方正仿宋_GBK" w:eastAsia="方正仿宋_GBK" w:cs="方正仿宋_GBK"/>
          <w:color w:val="000000"/>
          <w:sz w:val="28"/>
          <w:szCs w:val="28"/>
          <w:lang w:val="en-US" w:eastAsia="zh-CN"/>
        </w:rPr>
        <w:t>不含税报价</w:t>
      </w:r>
      <w:r>
        <w:rPr>
          <w:rFonts w:hint="eastAsia" w:ascii="方正仿宋_GBK" w:hAnsi="方正仿宋_GBK" w:eastAsia="方正仿宋_GBK" w:cs="方正仿宋_GBK"/>
          <w:color w:val="000000"/>
          <w:sz w:val="28"/>
          <w:szCs w:val="28"/>
          <w:lang w:val="zh-CN"/>
        </w:rPr>
        <w:t>，增值税税率；（表格自制）</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商务部分。主要包括三证合一的营业执照（复印件），法定代表人身份证明（</w:t>
      </w:r>
      <w:r>
        <w:rPr>
          <w:rFonts w:hint="eastAsia" w:ascii="方正仿宋_GBK" w:hAnsi="方正仿宋_GBK" w:eastAsia="方正仿宋_GBK" w:cs="方正仿宋_GBK"/>
          <w:color w:val="000000"/>
          <w:sz w:val="28"/>
          <w:szCs w:val="28"/>
          <w:lang w:val="en-US" w:eastAsia="zh-CN"/>
        </w:rPr>
        <w:t>原件</w:t>
      </w:r>
      <w:r>
        <w:rPr>
          <w:rFonts w:hint="eastAsia" w:ascii="方正仿宋_GBK" w:hAnsi="方正仿宋_GBK" w:eastAsia="方正仿宋_GBK" w:cs="方正仿宋_GBK"/>
          <w:color w:val="000000"/>
          <w:sz w:val="28"/>
          <w:szCs w:val="28"/>
          <w:lang w:val="zh-CN"/>
        </w:rPr>
        <w:t>）、法定代表</w:t>
      </w:r>
      <w:r>
        <w:rPr>
          <w:rFonts w:hint="eastAsia" w:ascii="方正仿宋_GBK" w:hAnsi="方正仿宋_GBK" w:eastAsia="方正仿宋_GBK" w:cs="方正仿宋_GBK"/>
          <w:color w:val="000000"/>
          <w:sz w:val="28"/>
          <w:szCs w:val="28"/>
          <w:lang w:val="en-US" w:eastAsia="zh-CN"/>
        </w:rPr>
        <w:t>人身份证复印件盖公章，法定代表人</w:t>
      </w:r>
      <w:r>
        <w:rPr>
          <w:rFonts w:hint="eastAsia" w:ascii="方正仿宋_GBK" w:hAnsi="方正仿宋_GBK" w:eastAsia="方正仿宋_GBK" w:cs="方正仿宋_GBK"/>
          <w:color w:val="000000"/>
          <w:sz w:val="28"/>
          <w:szCs w:val="28"/>
          <w:lang w:val="zh-CN"/>
        </w:rPr>
        <w:t>代表授权书、</w:t>
      </w:r>
      <w:r>
        <w:rPr>
          <w:rFonts w:hint="eastAsia" w:ascii="方正仿宋_GBK" w:hAnsi="方正仿宋_GBK" w:eastAsia="方正仿宋_GBK" w:cs="方正仿宋_GBK"/>
          <w:color w:val="000000"/>
          <w:sz w:val="28"/>
          <w:szCs w:val="28"/>
          <w:lang w:val="en-US" w:eastAsia="zh-CN"/>
        </w:rPr>
        <w:t>法定代表授权人身份证复印件盖公章，</w:t>
      </w:r>
      <w:r>
        <w:rPr>
          <w:rFonts w:hint="eastAsia" w:ascii="方正仿宋_GBK" w:hAnsi="方正仿宋_GBK" w:eastAsia="方正仿宋_GBK" w:cs="方正仿宋_GBK"/>
          <w:color w:val="000000"/>
          <w:sz w:val="28"/>
          <w:szCs w:val="28"/>
          <w:lang w:val="zh-CN"/>
        </w:rPr>
        <w:t>其它资格证明（如营业资质等）以及服务承诺等。（如企业资信证明、质量体系认证等）以及服务承诺等；</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pacing w:val="-8"/>
          <w:sz w:val="28"/>
          <w:szCs w:val="28"/>
          <w:lang w:eastAsia="zh-CN"/>
        </w:rPr>
      </w:pPr>
      <w:r>
        <w:rPr>
          <w:rFonts w:hint="eastAsia" w:ascii="方正仿宋_GBK" w:hAnsi="方正仿宋_GBK" w:eastAsia="方正仿宋_GBK" w:cs="方正仿宋_GBK"/>
          <w:color w:val="000000"/>
          <w:kern w:val="0"/>
          <w:sz w:val="28"/>
          <w:szCs w:val="28"/>
          <w:lang w:val="en-US" w:eastAsia="zh-CN"/>
        </w:rPr>
        <w:t>8</w:t>
      </w:r>
      <w:r>
        <w:rPr>
          <w:rFonts w:hint="eastAsia" w:ascii="方正仿宋_GBK" w:hAnsi="方正仿宋_GBK" w:eastAsia="方正仿宋_GBK" w:cs="方正仿宋_GBK"/>
          <w:color w:val="000000"/>
          <w:kern w:val="0"/>
          <w:sz w:val="28"/>
          <w:szCs w:val="28"/>
        </w:rPr>
        <w:t>.2.6</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封面上须注明“项目名称”及“比选文件编号”；</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kern w:val="0"/>
          <w:sz w:val="28"/>
          <w:szCs w:val="28"/>
        </w:rPr>
        <w:t>清单要求盖章或签字处及</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pacing w:val="-8"/>
          <w:sz w:val="28"/>
          <w:szCs w:val="28"/>
        </w:rPr>
        <w:t>外包装上密封处加盖比选响应方公章、法定代表人盖章或签字</w:t>
      </w:r>
      <w:r>
        <w:rPr>
          <w:rFonts w:hint="eastAsia" w:ascii="方正仿宋_GBK" w:hAnsi="方正仿宋_GBK" w:eastAsia="方正仿宋_GBK" w:cs="方正仿宋_GBK"/>
          <w:color w:val="000000"/>
          <w:spacing w:val="-8"/>
          <w:sz w:val="28"/>
          <w:szCs w:val="28"/>
          <w:lang w:eastAsia="zh-CN"/>
        </w:rPr>
        <w:t>；</w:t>
      </w:r>
    </w:p>
    <w:p>
      <w:pPr>
        <w:autoSpaceDE w:val="0"/>
        <w:autoSpaceDN w:val="0"/>
        <w:adjustRightInd w:val="0"/>
        <w:spacing w:line="360" w:lineRule="auto"/>
        <w:ind w:firstLine="630" w:firstLineChars="225"/>
        <w:rPr>
          <w:rFonts w:hint="eastAsia" w:ascii="方正仿宋_GBK" w:hAnsi="方正仿宋_GBK" w:eastAsia="方正仿宋_GBK" w:cs="方正仿宋_GBK"/>
          <w:b/>
          <w:color w:val="auto"/>
          <w:sz w:val="28"/>
          <w:szCs w:val="28"/>
          <w:u w:val="single"/>
        </w:rPr>
      </w:pP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lang w:val="zh-CN"/>
        </w:rPr>
        <w:t>.2.7</w:t>
      </w:r>
      <w:r>
        <w:rPr>
          <w:rFonts w:hint="eastAsia" w:ascii="方正仿宋_GBK" w:hAnsi="方正仿宋_GBK" w:eastAsia="方正仿宋_GBK" w:cs="方正仿宋_GBK"/>
          <w:color w:val="auto"/>
          <w:sz w:val="28"/>
          <w:szCs w:val="28"/>
          <w:lang w:val="zh-CN"/>
        </w:rPr>
        <w:t>比选响应文件一式</w:t>
      </w:r>
      <w:r>
        <w:rPr>
          <w:rFonts w:hint="eastAsia" w:ascii="方正仿宋_GBK" w:hAnsi="方正仿宋_GBK" w:eastAsia="方正仿宋_GBK" w:cs="方正仿宋_GBK"/>
          <w:color w:val="auto"/>
          <w:sz w:val="28"/>
          <w:szCs w:val="28"/>
          <w:lang w:val="en-US" w:eastAsia="zh-CN"/>
        </w:rPr>
        <w:t>贰</w:t>
      </w:r>
      <w:r>
        <w:rPr>
          <w:rFonts w:hint="eastAsia" w:ascii="方正仿宋_GBK" w:hAnsi="方正仿宋_GBK" w:eastAsia="方正仿宋_GBK" w:cs="方正仿宋_GBK"/>
          <w:color w:val="auto"/>
          <w:sz w:val="28"/>
          <w:szCs w:val="28"/>
          <w:lang w:val="zh-CN"/>
        </w:rPr>
        <w:t>份，其中正本</w:t>
      </w:r>
      <w:r>
        <w:rPr>
          <w:rFonts w:hint="eastAsia" w:ascii="方正仿宋_GBK" w:hAnsi="方正仿宋_GBK" w:eastAsia="方正仿宋_GBK" w:cs="方正仿宋_GBK"/>
          <w:color w:val="auto"/>
          <w:sz w:val="28"/>
          <w:szCs w:val="28"/>
          <w:lang w:val="en-US" w:eastAsia="zh-CN"/>
        </w:rPr>
        <w:t>壹</w:t>
      </w:r>
      <w:r>
        <w:rPr>
          <w:rFonts w:hint="eastAsia" w:ascii="方正仿宋_GBK" w:hAnsi="方正仿宋_GBK" w:eastAsia="方正仿宋_GBK" w:cs="方正仿宋_GBK"/>
          <w:color w:val="auto"/>
          <w:sz w:val="28"/>
          <w:szCs w:val="28"/>
          <w:lang w:val="zh-CN"/>
        </w:rPr>
        <w:t>份，副本</w:t>
      </w:r>
      <w:r>
        <w:rPr>
          <w:rFonts w:hint="eastAsia" w:ascii="方正仿宋_GBK" w:hAnsi="方正仿宋_GBK" w:eastAsia="方正仿宋_GBK" w:cs="方正仿宋_GBK"/>
          <w:color w:val="auto"/>
          <w:sz w:val="28"/>
          <w:szCs w:val="28"/>
          <w:lang w:val="en-US" w:eastAsia="zh-CN"/>
        </w:rPr>
        <w:t>壹</w:t>
      </w:r>
      <w:r>
        <w:rPr>
          <w:rFonts w:hint="eastAsia" w:ascii="方正仿宋_GBK" w:hAnsi="方正仿宋_GBK" w:eastAsia="方正仿宋_GBK" w:cs="方正仿宋_GBK"/>
          <w:color w:val="auto"/>
          <w:sz w:val="28"/>
          <w:szCs w:val="28"/>
          <w:lang w:val="zh-CN"/>
        </w:rPr>
        <w:t>份。</w:t>
      </w:r>
    </w:p>
    <w:p>
      <w:pPr>
        <w:autoSpaceDE w:val="0"/>
        <w:autoSpaceDN w:val="0"/>
        <w:adjustRightInd w:val="0"/>
        <w:spacing w:line="360" w:lineRule="auto"/>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en-US" w:eastAsia="zh-CN"/>
        </w:rPr>
        <w:t>九</w:t>
      </w:r>
      <w:r>
        <w:rPr>
          <w:rFonts w:hint="eastAsia" w:ascii="方正仿宋_GBK" w:hAnsi="方正仿宋_GBK" w:eastAsia="方正仿宋_GBK" w:cs="方正仿宋_GBK"/>
          <w:b/>
          <w:color w:val="000000"/>
          <w:sz w:val="28"/>
          <w:szCs w:val="28"/>
          <w:lang w:val="zh-CN"/>
        </w:rPr>
        <w:t>、比选响应文件作废条款</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pacing w:val="-8"/>
          <w:sz w:val="28"/>
          <w:szCs w:val="28"/>
        </w:rPr>
        <w:t>比选响应方</w:t>
      </w:r>
      <w:r>
        <w:rPr>
          <w:rFonts w:hint="eastAsia" w:ascii="方正仿宋_GBK" w:hAnsi="方正仿宋_GBK" w:eastAsia="方正仿宋_GBK" w:cs="方正仿宋_GBK"/>
          <w:color w:val="000000"/>
          <w:sz w:val="28"/>
          <w:szCs w:val="28"/>
        </w:rPr>
        <w:t>未按要求密封或未准时递交的</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val="en-US" w:eastAsia="zh-CN"/>
        </w:rPr>
        <w:t xml:space="preserve">9.2 </w:t>
      </w:r>
      <w:r>
        <w:rPr>
          <w:rFonts w:hint="eastAsia" w:ascii="方正仿宋_GBK" w:hAnsi="方正仿宋_GBK" w:eastAsia="方正仿宋_GBK" w:cs="方正仿宋_GBK"/>
          <w:color w:val="000000"/>
          <w:kern w:val="0"/>
          <w:sz w:val="28"/>
          <w:szCs w:val="28"/>
        </w:rPr>
        <w:t>封面上须注明“项目名称”及“比选文件编号”；</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kern w:val="0"/>
          <w:sz w:val="28"/>
          <w:szCs w:val="28"/>
        </w:rPr>
        <w:t>清单要求盖章或签字处及</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pacing w:val="-8"/>
          <w:sz w:val="28"/>
          <w:szCs w:val="28"/>
        </w:rPr>
        <w:t>外包装上密封处加盖比选响应方公章、法定代表人盖章或签字。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9.3 </w:t>
      </w:r>
      <w:r>
        <w:rPr>
          <w:rFonts w:hint="eastAsia" w:ascii="方正仿宋_GBK" w:hAnsi="方正仿宋_GBK" w:eastAsia="方正仿宋_GBK" w:cs="方正仿宋_GBK"/>
          <w:color w:val="000000"/>
          <w:sz w:val="28"/>
          <w:szCs w:val="28"/>
        </w:rPr>
        <w:t>比选响应文件散装或者活页装订的；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9.4 </w:t>
      </w:r>
      <w:r>
        <w:rPr>
          <w:rFonts w:hint="eastAsia" w:ascii="方正仿宋_GBK" w:hAnsi="方正仿宋_GBK" w:eastAsia="方正仿宋_GBK" w:cs="方正仿宋_GBK"/>
          <w:color w:val="000000"/>
          <w:sz w:val="28"/>
          <w:szCs w:val="28"/>
        </w:rPr>
        <w:t>资质不符或超出经营范围比选的；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9.5 </w:t>
      </w:r>
      <w:r>
        <w:rPr>
          <w:rFonts w:hint="eastAsia" w:ascii="方正仿宋_GBK" w:hAnsi="方正仿宋_GBK" w:eastAsia="方正仿宋_GBK" w:cs="方正仿宋_GBK"/>
          <w:color w:val="000000"/>
          <w:sz w:val="28"/>
          <w:szCs w:val="28"/>
        </w:rPr>
        <w:t>有串通比选或弄虚作假或有其他违法行为的；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9.6 </w:t>
      </w:r>
      <w:r>
        <w:rPr>
          <w:rFonts w:hint="eastAsia" w:ascii="方正仿宋_GBK" w:hAnsi="方正仿宋_GBK" w:eastAsia="方正仿宋_GBK" w:cs="方正仿宋_GBK"/>
          <w:color w:val="000000"/>
          <w:sz w:val="28"/>
          <w:szCs w:val="28"/>
        </w:rPr>
        <w:t>比选响应文件无法定代表签字或签字人无有效授权书的；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9.7 </w:t>
      </w:r>
      <w:r>
        <w:rPr>
          <w:rFonts w:hint="eastAsia" w:ascii="方正仿宋_GBK" w:hAnsi="方正仿宋_GBK" w:eastAsia="方正仿宋_GBK" w:cs="方正仿宋_GBK"/>
          <w:color w:val="000000"/>
          <w:sz w:val="28"/>
          <w:szCs w:val="28"/>
        </w:rPr>
        <w:t>比选有效期不足的；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9.8 </w:t>
      </w:r>
      <w:r>
        <w:rPr>
          <w:rFonts w:hint="eastAsia" w:ascii="方正仿宋_GBK" w:hAnsi="方正仿宋_GBK" w:eastAsia="方正仿宋_GBK" w:cs="方正仿宋_GBK"/>
          <w:color w:val="000000"/>
          <w:sz w:val="28"/>
          <w:szCs w:val="28"/>
        </w:rPr>
        <w:t>未按规定的格式填写，内容不全或关键字迹模糊、无法辨认的；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 xml:space="preserve">9.9 </w:t>
      </w:r>
      <w:r>
        <w:rPr>
          <w:rFonts w:hint="eastAsia" w:ascii="方正仿宋_GBK" w:hAnsi="方正仿宋_GBK" w:eastAsia="方正仿宋_GBK" w:cs="方正仿宋_GBK"/>
          <w:color w:val="000000"/>
          <w:sz w:val="28"/>
          <w:szCs w:val="28"/>
        </w:rPr>
        <w:t>评审委员会审查发现比选响应文件未能对比选文件提出的所有实质性要求和条件作出响应的</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rPr>
      </w:pPr>
      <w:r>
        <w:rPr>
          <w:rFonts w:hint="eastAsia" w:ascii="方正仿宋_GBK" w:hAnsi="方正仿宋_GBK" w:eastAsia="方正仿宋_GBK" w:cs="方正仿宋_GBK"/>
          <w:color w:val="000000"/>
          <w:sz w:val="28"/>
          <w:szCs w:val="28"/>
          <w:lang w:val="en-US" w:eastAsia="zh-CN"/>
        </w:rPr>
        <w:t xml:space="preserve">9.10 </w:t>
      </w:r>
      <w:r>
        <w:rPr>
          <w:rFonts w:hint="eastAsia" w:ascii="方正仿宋_GBK" w:hAnsi="方正仿宋_GBK" w:eastAsia="方正仿宋_GBK" w:cs="方正仿宋_GBK"/>
          <w:color w:val="000000"/>
          <w:sz w:val="28"/>
          <w:szCs w:val="28"/>
        </w:rPr>
        <w:t>比选相应人的报价超过比选最高限价的。</w:t>
      </w:r>
    </w:p>
    <w:p>
      <w:pPr>
        <w:autoSpaceDE w:val="0"/>
        <w:autoSpaceDN w:val="0"/>
        <w:adjustRightInd w:val="0"/>
        <w:spacing w:line="360" w:lineRule="auto"/>
        <w:rPr>
          <w:rFonts w:hint="eastAsia" w:ascii="方正仿宋_GBK" w:hAnsi="方正仿宋_GBK" w:eastAsia="方正仿宋_GBK" w:cs="方正仿宋_GBK"/>
          <w:b/>
          <w:bCs/>
          <w:color w:val="000000"/>
          <w:sz w:val="28"/>
          <w:szCs w:val="28"/>
          <w:lang w:val="en-US" w:eastAsia="zh-CN"/>
        </w:rPr>
      </w:pPr>
      <w:r>
        <w:rPr>
          <w:rFonts w:hint="eastAsia" w:ascii="方正仿宋_GBK" w:hAnsi="方正仿宋_GBK" w:eastAsia="方正仿宋_GBK" w:cs="方正仿宋_GBK"/>
          <w:b/>
          <w:bCs/>
          <w:color w:val="000000"/>
          <w:sz w:val="28"/>
          <w:szCs w:val="28"/>
          <w:lang w:val="en-US" w:eastAsia="zh-CN"/>
        </w:rPr>
        <w:t>十、异议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10.1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10.2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10.3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10.4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10.5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（三）招标投标法第四十四条规定保密的响应文件评审和比较情况、中标候选人推荐情况和评标有关的其他情况。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10.6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10.7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rPr>
          <w:rFonts w:hint="eastAsia" w:ascii="方正仿宋_GBK" w:hAnsi="方正仿宋_GBK" w:eastAsia="方正仿宋_GBK" w:cs="方正仿宋_GBK"/>
          <w:b/>
          <w:bCs/>
          <w:color w:val="000000"/>
          <w:sz w:val="28"/>
          <w:szCs w:val="28"/>
          <w:lang w:val="en-US" w:eastAsia="zh-CN"/>
        </w:rPr>
      </w:pPr>
      <w:r>
        <w:rPr>
          <w:rFonts w:hint="eastAsia" w:ascii="方正仿宋_GBK" w:hAnsi="方正仿宋_GBK" w:eastAsia="方正仿宋_GBK" w:cs="方正仿宋_GBK"/>
          <w:b/>
          <w:bCs/>
          <w:color w:val="000000"/>
          <w:sz w:val="28"/>
          <w:szCs w:val="28"/>
          <w:lang w:val="en-US" w:eastAsia="zh-CN"/>
        </w:rPr>
        <w:t>十一、监督部门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重庆江北国际机场有限公司航务管理部综合办公室</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地址：重庆江北国际机场有限公司航务楼</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电话：023-67155915</w:t>
      </w:r>
    </w:p>
    <w:p>
      <w:pPr>
        <w:autoSpaceDE w:val="0"/>
        <w:autoSpaceDN w:val="0"/>
        <w:adjustRightInd w:val="0"/>
        <w:spacing w:line="360" w:lineRule="auto"/>
        <w:rPr>
          <w:rFonts w:hint="eastAsia" w:ascii="方正仿宋_GBK" w:hAnsi="方正仿宋_GBK" w:eastAsia="方正仿宋_GBK" w:cs="方正仿宋_GBK"/>
          <w:b/>
          <w:bCs/>
          <w:color w:val="000000"/>
          <w:sz w:val="28"/>
          <w:szCs w:val="28"/>
          <w:lang w:val="en-US" w:eastAsia="zh-CN"/>
        </w:rPr>
      </w:pPr>
      <w:r>
        <w:rPr>
          <w:rFonts w:hint="eastAsia" w:ascii="方正仿宋_GBK" w:hAnsi="方正仿宋_GBK" w:eastAsia="方正仿宋_GBK" w:cs="方正仿宋_GBK"/>
          <w:b/>
          <w:bCs/>
          <w:color w:val="000000"/>
          <w:sz w:val="28"/>
          <w:szCs w:val="28"/>
          <w:lang w:val="en-US" w:eastAsia="zh-CN"/>
        </w:rPr>
        <w:t>十二、比选时间、地点及结果通知</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12.1比选报名资料必须在</w:t>
      </w:r>
      <w:r>
        <w:rPr>
          <w:rFonts w:hint="eastAsia" w:ascii="方正仿宋_GBK" w:hAnsi="方正仿宋_GBK" w:eastAsia="方正仿宋_GBK" w:cs="方正仿宋_GBK"/>
          <w:color w:val="000000"/>
          <w:sz w:val="28"/>
          <w:szCs w:val="28"/>
          <w:u w:val="single"/>
          <w:lang w:val="en-US" w:eastAsia="zh-CN"/>
        </w:rPr>
        <w:t>2021年8月9日16:00前送到</w:t>
      </w:r>
      <w:r>
        <w:rPr>
          <w:rFonts w:hint="eastAsia" w:ascii="方正仿宋_GBK" w:hAnsi="方正仿宋_GBK" w:eastAsia="方正仿宋_GBK" w:cs="方正仿宋_GBK"/>
          <w:color w:val="000000"/>
          <w:sz w:val="28"/>
          <w:szCs w:val="28"/>
          <w:lang w:val="en-US" w:eastAsia="zh-CN"/>
        </w:rPr>
        <w:t>重庆江北国际机场有限公司航务管理部4007办公室，过期不予受理。</w:t>
      </w:r>
    </w:p>
    <w:p>
      <w:pPr>
        <w:autoSpaceDE w:val="0"/>
        <w:autoSpaceDN w:val="0"/>
        <w:adjustRightInd w:val="0"/>
        <w:spacing w:line="360" w:lineRule="auto"/>
        <w:ind w:firstLine="560" w:firstLineChars="200"/>
        <w:rPr>
          <w:rFonts w:hint="default"/>
          <w:lang w:val="en-US" w:eastAsia="zh-CN"/>
        </w:rPr>
      </w:pPr>
      <w:r>
        <w:rPr>
          <w:rFonts w:hint="eastAsia" w:ascii="方正仿宋_GBK" w:hAnsi="方正仿宋_GBK" w:eastAsia="方正仿宋_GBK" w:cs="方正仿宋_GBK"/>
          <w:color w:val="000000"/>
          <w:sz w:val="28"/>
          <w:szCs w:val="28"/>
          <w:lang w:val="en-US" w:eastAsia="zh-CN"/>
        </w:rPr>
        <w:t>12.2 比选时间另行通知。</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12.2公布比选结果时间：待结果确定后会及时通知，原则上只通知被选中的比选响应方。对未被选中的比选响应方不通知、不解释。</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12.3比选响应人一经递交比选响应文件，不得查阅、取回递交的响应文件。</w:t>
      </w:r>
    </w:p>
    <w:p>
      <w:pPr>
        <w:autoSpaceDE w:val="0"/>
        <w:autoSpaceDN w:val="0"/>
        <w:adjustRightInd w:val="0"/>
        <w:spacing w:line="360" w:lineRule="auto"/>
        <w:rPr>
          <w:rFonts w:hint="eastAsia" w:ascii="方正仿宋_GBK" w:hAnsi="方正仿宋_GBK" w:eastAsia="方正仿宋_GBK" w:cs="方正仿宋_GBK"/>
          <w:b/>
          <w:bCs/>
          <w:color w:val="000000"/>
          <w:sz w:val="28"/>
          <w:szCs w:val="28"/>
          <w:lang w:val="en-US" w:eastAsia="zh-CN"/>
        </w:rPr>
      </w:pPr>
      <w:r>
        <w:rPr>
          <w:rFonts w:hint="eastAsia" w:ascii="方正仿宋_GBK" w:hAnsi="方正仿宋_GBK" w:eastAsia="方正仿宋_GBK" w:cs="方正仿宋_GBK"/>
          <w:b/>
          <w:bCs/>
          <w:color w:val="000000"/>
          <w:sz w:val="28"/>
          <w:szCs w:val="28"/>
          <w:lang w:val="en-US" w:eastAsia="zh-CN"/>
        </w:rPr>
        <w:t>十三、联系方式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业主：重庆江北国际机场有限公司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联系人：刘先生</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电话：023-67153980</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邮编：401120</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地址：重庆市渝北区两路街道机场东路15号航务管理部</w:t>
      </w:r>
    </w:p>
    <w:p>
      <w:pPr>
        <w:pStyle w:val="2"/>
        <w:rPr>
          <w:rFonts w:hint="eastAsia" w:ascii="仿宋" w:hAnsi="仿宋" w:eastAsia="仿宋"/>
          <w:kern w:val="0"/>
          <w:sz w:val="28"/>
          <w:szCs w:val="28"/>
        </w:rPr>
      </w:pPr>
    </w:p>
    <w:p>
      <w:pPr>
        <w:rPr>
          <w:rFonts w:hint="eastAsia" w:ascii="仿宋" w:hAnsi="仿宋" w:eastAsia="仿宋"/>
          <w:kern w:val="0"/>
          <w:sz w:val="28"/>
          <w:szCs w:val="28"/>
        </w:rPr>
      </w:pPr>
    </w:p>
    <w:p>
      <w:pPr>
        <w:pStyle w:val="2"/>
        <w:jc w:val="both"/>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jc w:val="both"/>
        <w:rPr>
          <w:rFonts w:hint="eastAsia"/>
        </w:rPr>
      </w:pPr>
    </w:p>
    <w:p>
      <w:pPr>
        <w:rPr>
          <w:rFonts w:hint="eastAsia"/>
        </w:rPr>
      </w:pPr>
    </w:p>
    <w:p>
      <w:pPr>
        <w:numPr>
          <w:ilvl w:val="0"/>
          <w:numId w:val="5"/>
        </w:numPr>
        <w:spacing w:line="4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比选办法（综合评分法）</w:t>
      </w:r>
    </w:p>
    <w:p>
      <w:pPr>
        <w:pStyle w:val="2"/>
        <w:rPr>
          <w:rFonts w:hint="eastAsia"/>
        </w:rPr>
      </w:pPr>
    </w:p>
    <w:p>
      <w:pPr>
        <w:widowControl/>
        <w:adjustRightInd w:val="0"/>
        <w:snapToGrid w:val="0"/>
        <w:spacing w:line="460" w:lineRule="exact"/>
        <w:ind w:firstLine="560" w:firstLineChars="200"/>
        <w:jc w:val="left"/>
        <w:textAlignment w:val="bottom"/>
        <w:rPr>
          <w:rFonts w:hint="eastAsia" w:ascii="方正仿宋_GBK" w:hAnsi="方正仿宋_GBK" w:eastAsia="方正仿宋_GBK" w:cs="方正仿宋_GBK"/>
        </w:rPr>
      </w:pPr>
      <w:r>
        <w:rPr>
          <w:rFonts w:hint="eastAsia" w:ascii="方正仿宋_GBK" w:hAnsi="方正仿宋_GBK" w:eastAsia="方正仿宋_GBK" w:cs="方正仿宋_GBK"/>
          <w:color w:val="000000" w:themeColor="text1"/>
          <w:sz w:val="28"/>
          <w:szCs w:val="28"/>
          <w14:textFill>
            <w14:solidFill>
              <w14:schemeClr w14:val="tx1"/>
            </w14:solidFill>
          </w14:textFill>
        </w:rPr>
        <w:t>本次比选采取综合评分法。在经过初步审查后对符合本文件基本要求的比选响应人进行详细评审，总得分为经济、技术、商务三种评定因素分别按照相应分值计算分项得分后相加，满分为100分，比选响应人得分最高得作为成交供应商，综合得分从高到底排名前1-3名的比选响应人作为成交候选人。</w:t>
      </w:r>
    </w:p>
    <w:tbl>
      <w:tblPr>
        <w:tblStyle w:val="9"/>
        <w:tblW w:w="910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755"/>
        <w:gridCol w:w="1253"/>
        <w:gridCol w:w="1276"/>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291" w:type="dxa"/>
            <w:gridSpan w:val="4"/>
            <w:vAlign w:val="center"/>
          </w:tcPr>
          <w:p>
            <w:pPr>
              <w:widowControl/>
              <w:adjustRightInd w:val="0"/>
              <w:snapToGrid w:val="0"/>
              <w:spacing w:line="460" w:lineRule="exact"/>
              <w:jc w:val="left"/>
              <w:textAlignment w:val="bottom"/>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分值构成(总分100分)</w:t>
            </w:r>
          </w:p>
        </w:tc>
        <w:tc>
          <w:tcPr>
            <w:tcW w:w="5811" w:type="dxa"/>
            <w:vAlign w:val="center"/>
          </w:tcPr>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商务部分</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24"/>
                <w14:textFill>
                  <w14:solidFill>
                    <w14:schemeClr w14:val="tx1"/>
                  </w14:solidFill>
                </w14:textFill>
              </w:rPr>
              <w:t>分  技术部分</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30</w:t>
            </w:r>
            <w:r>
              <w:rPr>
                <w:rFonts w:hint="eastAsia" w:ascii="方正仿宋_GBK" w:hAnsi="方正仿宋_GBK" w:eastAsia="方正仿宋_GBK" w:cs="方正仿宋_GBK"/>
                <w:color w:val="000000" w:themeColor="text1"/>
                <w:sz w:val="24"/>
                <w14:textFill>
                  <w14:solidFill>
                    <w14:schemeClr w14:val="tx1"/>
                  </w14:solidFill>
                </w14:textFill>
              </w:rPr>
              <w:t>分  经济部分</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50</w:t>
            </w:r>
            <w:r>
              <w:rPr>
                <w:rFonts w:hint="eastAsia" w:ascii="方正仿宋_GBK" w:hAnsi="方正仿宋_GBK" w:eastAsia="方正仿宋_GBK" w:cs="方正仿宋_GBK"/>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558" w:hRule="atLeast"/>
        </w:trPr>
        <w:tc>
          <w:tcPr>
            <w:tcW w:w="755" w:type="dxa"/>
            <w:vAlign w:val="center"/>
          </w:tcPr>
          <w:p>
            <w:pPr>
              <w:widowControl/>
              <w:adjustRightInd w:val="0"/>
              <w:snapToGrid w:val="0"/>
              <w:spacing w:line="460" w:lineRule="exact"/>
              <w:jc w:val="left"/>
              <w:textAlignment w:val="bottom"/>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序号</w:t>
            </w:r>
          </w:p>
        </w:tc>
        <w:tc>
          <w:tcPr>
            <w:tcW w:w="1253" w:type="dxa"/>
            <w:vAlign w:val="center"/>
          </w:tcPr>
          <w:p>
            <w:pPr>
              <w:widowControl/>
              <w:adjustRightInd w:val="0"/>
              <w:snapToGrid w:val="0"/>
              <w:spacing w:line="460" w:lineRule="exact"/>
              <w:jc w:val="left"/>
              <w:textAlignment w:val="bottom"/>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评审要素</w:t>
            </w:r>
          </w:p>
        </w:tc>
        <w:tc>
          <w:tcPr>
            <w:tcW w:w="1276" w:type="dxa"/>
            <w:vAlign w:val="center"/>
          </w:tcPr>
          <w:p>
            <w:pPr>
              <w:widowControl/>
              <w:adjustRightInd w:val="0"/>
              <w:snapToGrid w:val="0"/>
              <w:spacing w:line="460" w:lineRule="exact"/>
              <w:jc w:val="left"/>
              <w:textAlignment w:val="bottom"/>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分值</w:t>
            </w:r>
          </w:p>
        </w:tc>
        <w:tc>
          <w:tcPr>
            <w:tcW w:w="5811" w:type="dxa"/>
            <w:vAlign w:val="center"/>
          </w:tcPr>
          <w:p>
            <w:pPr>
              <w:widowControl/>
              <w:adjustRightInd w:val="0"/>
              <w:snapToGrid w:val="0"/>
              <w:spacing w:line="460" w:lineRule="exact"/>
              <w:ind w:firstLine="480" w:firstLineChars="200"/>
              <w:jc w:val="left"/>
              <w:textAlignment w:val="bottom"/>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095" w:hRule="atLeast"/>
        </w:trPr>
        <w:tc>
          <w:tcPr>
            <w:tcW w:w="755" w:type="dxa"/>
            <w:vMerge w:val="restart"/>
            <w:vAlign w:val="center"/>
          </w:tcPr>
          <w:p>
            <w:pPr>
              <w:widowControl/>
              <w:adjustRightInd w:val="0"/>
              <w:snapToGrid w:val="0"/>
              <w:spacing w:line="460" w:lineRule="exact"/>
              <w:jc w:val="left"/>
              <w:textAlignment w:val="bottom"/>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w:t>
            </w:r>
          </w:p>
        </w:tc>
        <w:tc>
          <w:tcPr>
            <w:tcW w:w="1253" w:type="dxa"/>
            <w:vMerge w:val="restart"/>
            <w:vAlign w:val="center"/>
          </w:tcPr>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商务部分</w:t>
            </w:r>
          </w:p>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24"/>
                <w14:textFill>
                  <w14:solidFill>
                    <w14:schemeClr w14:val="tx1"/>
                  </w14:solidFill>
                </w14:textFill>
              </w:rPr>
              <w:t>分）</w:t>
            </w:r>
          </w:p>
        </w:tc>
        <w:tc>
          <w:tcPr>
            <w:tcW w:w="1276" w:type="dxa"/>
            <w:vAlign w:val="center"/>
          </w:tcPr>
          <w:p>
            <w:pPr>
              <w:spacing w:line="400" w:lineRule="exact"/>
              <w:jc w:val="center"/>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2</w:t>
            </w:r>
          </w:p>
        </w:tc>
        <w:tc>
          <w:tcPr>
            <w:tcW w:w="5811" w:type="dxa"/>
            <w:vAlign w:val="center"/>
          </w:tcPr>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质量标准：</w:t>
            </w:r>
            <w:r>
              <w:rPr>
                <w:rFonts w:hint="eastAsia" w:ascii="方正仿宋_GBK" w:hAnsi="方正仿宋_GBK" w:eastAsia="方正仿宋_GBK" w:cs="方正仿宋_GBK"/>
                <w:color w:val="000000" w:themeColor="text1"/>
                <w:sz w:val="24"/>
                <w14:textFill>
                  <w14:solidFill>
                    <w14:schemeClr w14:val="tx1"/>
                  </w14:solidFill>
                </w14:textFill>
              </w:rPr>
              <w:t>编制规范、格式工整、主题突出，响应偏离、评分要素等内容检索快速准确，得2分；</w:t>
            </w:r>
          </w:p>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有少量非关键差错，得1分；</w:t>
            </w:r>
          </w:p>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有多处关键差错，或存在过多与投标要求无关的内容，或有影响审阅、理解的重要错误，得0分。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095" w:hRule="atLeast"/>
        </w:trPr>
        <w:tc>
          <w:tcPr>
            <w:tcW w:w="755" w:type="dxa"/>
            <w:vMerge w:val="continue"/>
            <w:vAlign w:val="center"/>
          </w:tcPr>
          <w:p>
            <w:pPr>
              <w:spacing w:line="400" w:lineRule="exact"/>
              <w:jc w:val="center"/>
              <w:rPr>
                <w:rFonts w:hint="eastAsia" w:ascii="方正仿宋_GBK" w:hAnsi="方正仿宋_GBK" w:eastAsia="方正仿宋_GBK" w:cs="方正仿宋_GBK"/>
              </w:rPr>
            </w:pPr>
          </w:p>
        </w:tc>
        <w:tc>
          <w:tcPr>
            <w:tcW w:w="1253" w:type="dxa"/>
            <w:vMerge w:val="continue"/>
            <w:vAlign w:val="center"/>
          </w:tcPr>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p>
        </w:tc>
        <w:tc>
          <w:tcPr>
            <w:tcW w:w="1276" w:type="dxa"/>
            <w:vAlign w:val="center"/>
          </w:tcPr>
          <w:p>
            <w:pPr>
              <w:spacing w:line="400" w:lineRule="exact"/>
              <w:jc w:val="center"/>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5</w:t>
            </w:r>
          </w:p>
        </w:tc>
        <w:tc>
          <w:tcPr>
            <w:tcW w:w="5811" w:type="dxa"/>
            <w:vAlign w:val="center"/>
          </w:tcPr>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技术服务：</w:t>
            </w:r>
            <w:r>
              <w:rPr>
                <w:rFonts w:hint="eastAsia" w:ascii="方正仿宋_GBK" w:hAnsi="方正仿宋_GBK" w:eastAsia="方正仿宋_GBK" w:cs="方正仿宋_GBK"/>
                <w:color w:val="000000" w:themeColor="text1"/>
                <w:sz w:val="24"/>
                <w14:textFill>
                  <w14:solidFill>
                    <w14:schemeClr w14:val="tx1"/>
                  </w14:solidFill>
                </w14:textFill>
              </w:rPr>
              <w:t>能够按照招标文件要求，提供售后服务和技术支持，加1分；</w:t>
            </w:r>
          </w:p>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能够保证及时的现场或者远程技术支持加1分；</w:t>
            </w:r>
          </w:p>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能够按要求制定、完成技术培训方案，并提供完整准确的技术资料，加1分。</w:t>
            </w:r>
          </w:p>
          <w:p>
            <w:pPr>
              <w:spacing w:line="400" w:lineRule="exact"/>
              <w:jc w:val="left"/>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免费售后服务时间在招标文件要求的基础上每增加1年，增加1分，最多增加2分。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583" w:hRule="atLeast"/>
        </w:trPr>
        <w:tc>
          <w:tcPr>
            <w:tcW w:w="755" w:type="dxa"/>
            <w:vMerge w:val="continue"/>
            <w:vAlign w:val="center"/>
          </w:tcPr>
          <w:p>
            <w:pPr>
              <w:widowControl/>
              <w:adjustRightInd w:val="0"/>
              <w:snapToGrid w:val="0"/>
              <w:spacing w:line="460" w:lineRule="exact"/>
              <w:jc w:val="left"/>
              <w:textAlignment w:val="bottom"/>
              <w:rPr>
                <w:rFonts w:hint="eastAsia" w:ascii="方正仿宋_GBK" w:hAnsi="方正仿宋_GBK" w:eastAsia="方正仿宋_GBK" w:cs="方正仿宋_GBK"/>
                <w:color w:val="000000" w:themeColor="text1"/>
                <w:sz w:val="24"/>
                <w14:textFill>
                  <w14:solidFill>
                    <w14:schemeClr w14:val="tx1"/>
                  </w14:solidFill>
                </w14:textFill>
              </w:rPr>
            </w:pPr>
          </w:p>
        </w:tc>
        <w:tc>
          <w:tcPr>
            <w:tcW w:w="1253" w:type="dxa"/>
            <w:vMerge w:val="continue"/>
            <w:vAlign w:val="center"/>
          </w:tcPr>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p>
        </w:tc>
        <w:tc>
          <w:tcPr>
            <w:tcW w:w="1276" w:type="dxa"/>
            <w:vAlign w:val="center"/>
          </w:tcPr>
          <w:p>
            <w:pPr>
              <w:spacing w:line="400" w:lineRule="exact"/>
              <w:jc w:val="center"/>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8</w:t>
            </w:r>
          </w:p>
        </w:tc>
        <w:tc>
          <w:tcPr>
            <w:tcW w:w="5811" w:type="dxa"/>
            <w:vAlign w:val="center"/>
          </w:tcPr>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行业经验及</w:t>
            </w:r>
            <w:r>
              <w:rPr>
                <w:rFonts w:hint="eastAsia" w:ascii="方正仿宋_GBK" w:hAnsi="方正仿宋_GBK" w:eastAsia="方正仿宋_GBK" w:cs="方正仿宋_GBK"/>
                <w:color w:val="000000" w:themeColor="text1"/>
                <w:sz w:val="24"/>
                <w14:textFill>
                  <w14:solidFill>
                    <w14:schemeClr w14:val="tx1"/>
                  </w14:solidFill>
                </w14:textFill>
              </w:rPr>
              <w:t>综合评价：技术成熟，提供过相关产品或开展过相关技术研究。</w:t>
            </w:r>
          </w:p>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（1）近五年承担空域管理领域相关项目及实施履行情况（审核依据为申请材料中提供的加盖供方单位公章的合同复印件）；</w:t>
            </w:r>
          </w:p>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14:textFill>
                  <w14:solidFill>
                    <w14:schemeClr w14:val="tx1"/>
                  </w14:solidFill>
                </w14:textFill>
              </w:rPr>
              <w:t>未承担过类似项目或履约过程中有自身原因造成重大质量问题或延期的，得0分。</w:t>
            </w:r>
          </w:p>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承担过</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空域管理领域相关</w:t>
            </w:r>
            <w:r>
              <w:rPr>
                <w:rFonts w:hint="eastAsia" w:ascii="方正仿宋_GBK" w:hAnsi="方正仿宋_GBK" w:eastAsia="方正仿宋_GBK" w:cs="方正仿宋_GBK"/>
                <w:color w:val="000000" w:themeColor="text1"/>
                <w:sz w:val="24"/>
                <w14:textFill>
                  <w14:solidFill>
                    <w14:schemeClr w14:val="tx1"/>
                  </w14:solidFill>
                </w14:textFill>
              </w:rPr>
              <w:t>项目，基本分为2分；每增加一个项目增加1分，此分项上限为8分。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666" w:hRule="atLeast"/>
        </w:trPr>
        <w:tc>
          <w:tcPr>
            <w:tcW w:w="755" w:type="dxa"/>
            <w:vMerge w:val="continue"/>
            <w:vAlign w:val="center"/>
          </w:tcPr>
          <w:p>
            <w:pPr>
              <w:widowControl/>
              <w:adjustRightInd w:val="0"/>
              <w:snapToGrid w:val="0"/>
              <w:spacing w:line="460" w:lineRule="exact"/>
              <w:jc w:val="left"/>
              <w:textAlignment w:val="bottom"/>
              <w:rPr>
                <w:rFonts w:hint="eastAsia" w:ascii="方正仿宋_GBK" w:hAnsi="方正仿宋_GBK" w:eastAsia="方正仿宋_GBK" w:cs="方正仿宋_GBK"/>
                <w:color w:val="000000" w:themeColor="text1"/>
                <w:sz w:val="24"/>
                <w14:textFill>
                  <w14:solidFill>
                    <w14:schemeClr w14:val="tx1"/>
                  </w14:solidFill>
                </w14:textFill>
              </w:rPr>
            </w:pPr>
          </w:p>
        </w:tc>
        <w:tc>
          <w:tcPr>
            <w:tcW w:w="1253" w:type="dxa"/>
            <w:vMerge w:val="continue"/>
            <w:vAlign w:val="center"/>
          </w:tcPr>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p>
        </w:tc>
        <w:tc>
          <w:tcPr>
            <w:tcW w:w="1276" w:type="dxa"/>
            <w:vAlign w:val="center"/>
          </w:tcPr>
          <w:p>
            <w:pPr>
              <w:spacing w:line="400" w:lineRule="exact"/>
              <w:jc w:val="center"/>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2</w:t>
            </w:r>
          </w:p>
        </w:tc>
        <w:tc>
          <w:tcPr>
            <w:tcW w:w="5811" w:type="dxa"/>
            <w:vAlign w:val="center"/>
          </w:tcPr>
          <w:p>
            <w:pPr>
              <w:spacing w:line="400" w:lineRule="exact"/>
              <w:jc w:val="left"/>
              <w:rPr>
                <w:rFonts w:hint="eastAsia" w:ascii="方正仿宋_GBK" w:hAnsi="方正仿宋_GBK" w:eastAsia="方正仿宋_GBK" w:cs="方正仿宋_GBK"/>
                <w:color w:val="000000" w:themeColor="text1"/>
                <w:sz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人力资源：项目组成员</w:t>
            </w:r>
            <w:r>
              <w:rPr>
                <w:rFonts w:hint="eastAsia" w:ascii="方正仿宋_GBK" w:hAnsi="方正仿宋_GBK" w:eastAsia="方正仿宋_GBK" w:cs="方正仿宋_GBK"/>
                <w:color w:val="000000" w:themeColor="text1"/>
                <w:sz w:val="24"/>
                <w14:textFill>
                  <w14:solidFill>
                    <w14:schemeClr w14:val="tx1"/>
                  </w14:solidFill>
                </w14:textFill>
              </w:rPr>
              <w:t>满足项目需求，分工明确，人员稳定，高级、中级、初级技术职称比例合理</w:t>
            </w:r>
            <w:r>
              <w:rPr>
                <w:rFonts w:hint="eastAsia" w:ascii="方正仿宋_GBK" w:hAnsi="方正仿宋_GBK" w:eastAsia="方正仿宋_GBK" w:cs="方正仿宋_GBK"/>
                <w:color w:val="000000" w:themeColor="text1"/>
                <w:sz w:val="24"/>
                <w:lang w:eastAsia="zh-CN"/>
                <w14:textFill>
                  <w14:solidFill>
                    <w14:schemeClr w14:val="tx1"/>
                  </w14:solidFill>
                </w14:textFill>
              </w:rPr>
              <w:t>。</w:t>
            </w:r>
          </w:p>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最高拥有空管领域高级工程师1名</w:t>
            </w:r>
            <w:r>
              <w:rPr>
                <w:rFonts w:hint="eastAsia" w:ascii="方正仿宋_GBK" w:hAnsi="方正仿宋_GBK" w:eastAsia="方正仿宋_GBK" w:cs="方正仿宋_GBK"/>
                <w:color w:val="000000" w:themeColor="text1"/>
                <w:sz w:val="24"/>
                <w14:textFill>
                  <w14:solidFill>
                    <w14:schemeClr w14:val="tx1"/>
                  </w14:solidFill>
                </w14:textFill>
              </w:rPr>
              <w:t>,得2分；</w:t>
            </w:r>
          </w:p>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最高拥有空管领域中级工程师1名</w:t>
            </w:r>
            <w:r>
              <w:rPr>
                <w:rFonts w:hint="eastAsia" w:ascii="方正仿宋_GBK" w:hAnsi="方正仿宋_GBK" w:eastAsia="方正仿宋_GBK" w:cs="方正仿宋_GBK"/>
                <w:color w:val="000000" w:themeColor="text1"/>
                <w:sz w:val="24"/>
                <w14:textFill>
                  <w14:solidFill>
                    <w14:schemeClr w14:val="tx1"/>
                  </w14:solidFill>
                </w14:textFill>
              </w:rPr>
              <w:t>，得1分；</w:t>
            </w:r>
          </w:p>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缺少关键技术人员,无法满足项目需求，得0分。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666" w:hRule="atLeast"/>
        </w:trPr>
        <w:tc>
          <w:tcPr>
            <w:tcW w:w="755" w:type="dxa"/>
            <w:vMerge w:val="continue"/>
            <w:vAlign w:val="center"/>
          </w:tcPr>
          <w:p>
            <w:pPr>
              <w:spacing w:line="400" w:lineRule="exact"/>
              <w:jc w:val="center"/>
              <w:rPr>
                <w:rFonts w:hint="eastAsia" w:ascii="方正仿宋_GBK" w:hAnsi="方正仿宋_GBK" w:eastAsia="方正仿宋_GBK" w:cs="方正仿宋_GBK"/>
              </w:rPr>
            </w:pPr>
          </w:p>
        </w:tc>
        <w:tc>
          <w:tcPr>
            <w:tcW w:w="1253" w:type="dxa"/>
            <w:vMerge w:val="continue"/>
            <w:vAlign w:val="center"/>
          </w:tcPr>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p>
        </w:tc>
        <w:tc>
          <w:tcPr>
            <w:tcW w:w="1276" w:type="dxa"/>
            <w:vAlign w:val="center"/>
          </w:tcPr>
          <w:p>
            <w:pPr>
              <w:spacing w:line="400" w:lineRule="exact"/>
              <w:jc w:val="center"/>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3</w:t>
            </w:r>
          </w:p>
        </w:tc>
        <w:tc>
          <w:tcPr>
            <w:tcW w:w="5811" w:type="dxa"/>
            <w:vAlign w:val="center"/>
          </w:tcPr>
          <w:p>
            <w:pPr>
              <w:spacing w:line="400" w:lineRule="exact"/>
              <w:jc w:val="left"/>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财务状况：</w:t>
            </w:r>
            <w:r>
              <w:rPr>
                <w:rFonts w:hint="eastAsia" w:ascii="方正仿宋_GBK" w:hAnsi="方正仿宋_GBK" w:eastAsia="方正仿宋_GBK" w:cs="方正仿宋_GBK"/>
                <w:color w:val="000000" w:themeColor="text1"/>
                <w:sz w:val="24"/>
                <w14:textFill>
                  <w14:solidFill>
                    <w14:schemeClr w14:val="tx1"/>
                  </w14:solidFill>
                </w14:textFill>
              </w:rPr>
              <w:t>各投标单位横向比较，优得3分，良得2分，一般得1分。分数可精确到小数点后1位。</w:t>
            </w:r>
          </w:p>
        </w:tc>
      </w:tr>
    </w:tbl>
    <w:p>
      <w:pPr>
        <w:rPr>
          <w:rFonts w:hint="eastAsia" w:ascii="方正仿宋_GBK" w:hAnsi="方正仿宋_GBK" w:eastAsia="方正仿宋_GBK" w:cs="方正仿宋_GBK"/>
        </w:rPr>
      </w:pPr>
    </w:p>
    <w:tbl>
      <w:tblPr>
        <w:tblStyle w:val="9"/>
        <w:tblW w:w="937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253"/>
        <w:gridCol w:w="1276"/>
        <w:gridCol w:w="5811"/>
        <w:gridCol w:w="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4" w:type="dxa"/>
          <w:cantSplit/>
          <w:trHeight w:val="2905" w:hRule="atLeast"/>
        </w:trPr>
        <w:tc>
          <w:tcPr>
            <w:tcW w:w="755" w:type="dxa"/>
            <w:vMerge w:val="restart"/>
            <w:vAlign w:val="center"/>
          </w:tcPr>
          <w:p>
            <w:pPr>
              <w:adjustRightInd w:val="0"/>
              <w:snapToGrid w:val="0"/>
              <w:spacing w:line="460" w:lineRule="exact"/>
              <w:jc w:val="left"/>
              <w:textAlignment w:val="bottom"/>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2</w:t>
            </w:r>
          </w:p>
        </w:tc>
        <w:tc>
          <w:tcPr>
            <w:tcW w:w="1253" w:type="dxa"/>
            <w:vMerge w:val="restart"/>
            <w:vAlign w:val="center"/>
          </w:tcPr>
          <w:p>
            <w:pPr>
              <w:adjustRightInd w:val="0"/>
              <w:snapToGrid w:val="0"/>
              <w:spacing w:line="460" w:lineRule="exact"/>
              <w:jc w:val="left"/>
              <w:textAlignment w:val="bottom"/>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技术部分</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30</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分）</w:t>
            </w:r>
          </w:p>
          <w:p>
            <w:pPr>
              <w:pStyle w:val="2"/>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276" w:type="dxa"/>
            <w:vAlign w:val="center"/>
          </w:tcPr>
          <w:p>
            <w:pPr>
              <w:spacing w:line="400" w:lineRule="exact"/>
              <w:jc w:val="center"/>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10</w:t>
            </w:r>
          </w:p>
        </w:tc>
        <w:tc>
          <w:tcPr>
            <w:tcW w:w="5811" w:type="dxa"/>
            <w:vAlign w:val="center"/>
          </w:tcPr>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对本项目的需求分析和理解正确、深入、全面，符合研制周期要求，进度安排和实施计划合理可行，并有详细周密的分析说明。</w:t>
            </w:r>
          </w:p>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8-10分：需求分析和理解正确、深入、全面，符合任务保障周期要求，进度安排和实施计划合理可行，分析说明详细周密；</w:t>
            </w:r>
          </w:p>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4-7分：需求分析和理解比较正确、深入、全面，符合任务保障周期要求，进度安排和实施计划比较合理可行，分析说明比较详细周密；</w:t>
            </w:r>
          </w:p>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0-3分以下：需求分析和理解的正确性、深入性和全面性均不够，基本符合任务保障周期要求，进度安排和实施计划合理性不够，分析说明不够详细周密。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4" w:type="dxa"/>
          <w:cantSplit/>
          <w:trHeight w:val="2905" w:hRule="atLeast"/>
        </w:trPr>
        <w:tc>
          <w:tcPr>
            <w:tcW w:w="755" w:type="dxa"/>
            <w:vMerge w:val="continue"/>
            <w:vAlign w:val="center"/>
          </w:tcPr>
          <w:p>
            <w:pPr>
              <w:adjustRightInd w:val="0"/>
              <w:snapToGrid w:val="0"/>
              <w:spacing w:line="460" w:lineRule="exact"/>
              <w:jc w:val="left"/>
              <w:textAlignment w:val="bottom"/>
              <w:rPr>
                <w:rFonts w:hint="eastAsia" w:ascii="方正仿宋_GBK" w:hAnsi="方正仿宋_GBK" w:eastAsia="方正仿宋_GBK" w:cs="方正仿宋_GBK"/>
              </w:rPr>
            </w:pPr>
          </w:p>
        </w:tc>
        <w:tc>
          <w:tcPr>
            <w:tcW w:w="1253" w:type="dxa"/>
            <w:vMerge w:val="continue"/>
            <w:vAlign w:val="center"/>
          </w:tcPr>
          <w:p>
            <w:pPr>
              <w:adjustRightInd w:val="0"/>
              <w:snapToGrid w:val="0"/>
              <w:spacing w:line="460" w:lineRule="exact"/>
              <w:jc w:val="left"/>
              <w:textAlignment w:val="bottom"/>
              <w:rPr>
                <w:rFonts w:hint="eastAsia" w:ascii="方正仿宋_GBK" w:hAnsi="方正仿宋_GBK" w:eastAsia="方正仿宋_GBK" w:cs="方正仿宋_GBK"/>
              </w:rPr>
            </w:pPr>
          </w:p>
        </w:tc>
        <w:tc>
          <w:tcPr>
            <w:tcW w:w="1276" w:type="dxa"/>
            <w:vAlign w:val="center"/>
          </w:tcPr>
          <w:p>
            <w:pPr>
              <w:spacing w:line="400" w:lineRule="exact"/>
              <w:jc w:val="center"/>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20</w:t>
            </w:r>
          </w:p>
        </w:tc>
        <w:tc>
          <w:tcPr>
            <w:tcW w:w="5811" w:type="dxa"/>
            <w:vAlign w:val="center"/>
          </w:tcPr>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系统设计方案完整，工艺先进，分析设计正确、清晰、全面，设备的部署方案详细科学，整个方案体现技术先进性、科学性和合理性；根据投标文件逐项比较配置、功能、性能等要求，要全部响应技术规格要求，有一项不满足或未响应扣2分。</w:t>
            </w:r>
          </w:p>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15-</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24"/>
                <w14:textFill>
                  <w14:solidFill>
                    <w14:schemeClr w14:val="tx1"/>
                  </w14:solidFill>
                </w14:textFill>
              </w:rPr>
              <w:t>分：提供完善详细的系统解决方案、成套设备的详细说明，满足全部任务要求的技术途径，各项指标分析正确、清晰、全面；</w:t>
            </w:r>
          </w:p>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11-14分：提供比价较完善详细的系统解决方案、成套设备的说明，满足全部任务要求的技术途径，初步方案满足主要任务要求，各项指标分析比较正确、清晰、全面；</w:t>
            </w:r>
          </w:p>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6-10分：提供完整的系统解决方案、主要设备的说明，满足全部任务要求的技术途径，初步方案基本满足主要任务要求，各项指标分析比较正确、清晰、全面；</w:t>
            </w:r>
          </w:p>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1-5分：提供基本完整的系统解决方案、主要设备的说明，初步方案满足主要任务要求的部分需求，各项指标分析基本正确、清晰、全面；</w:t>
            </w:r>
          </w:p>
          <w:p>
            <w:pPr>
              <w:spacing w:line="400" w:lineRule="exact"/>
              <w:jc w:val="left"/>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0分：不能提供完整的成套系统解决方案，初步方案基本满足主要任务要求的部分需求或全部不满足，各项指标分析基本正确、清晰、全面。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4" w:type="dxa"/>
          <w:cantSplit/>
          <w:trHeight w:val="1793" w:hRule="atLeast"/>
        </w:trPr>
        <w:tc>
          <w:tcPr>
            <w:tcW w:w="755" w:type="dxa"/>
            <w:vAlign w:val="center"/>
          </w:tcPr>
          <w:p>
            <w:pPr>
              <w:widowControl/>
              <w:adjustRightInd w:val="0"/>
              <w:snapToGrid w:val="0"/>
              <w:spacing w:line="460" w:lineRule="exact"/>
              <w:jc w:val="left"/>
              <w:textAlignment w:val="bottom"/>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w:t>
            </w:r>
          </w:p>
        </w:tc>
        <w:tc>
          <w:tcPr>
            <w:tcW w:w="1253" w:type="dxa"/>
            <w:vAlign w:val="center"/>
          </w:tcPr>
          <w:p>
            <w:pPr>
              <w:widowControl/>
              <w:adjustRightInd w:val="0"/>
              <w:snapToGrid w:val="0"/>
              <w:spacing w:line="460" w:lineRule="exact"/>
              <w:jc w:val="left"/>
              <w:textAlignment w:val="bottom"/>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经济部分</w:t>
            </w:r>
          </w:p>
          <w:p>
            <w:pPr>
              <w:pStyle w:val="2"/>
              <w:rPr>
                <w:rFonts w:hint="eastAsia" w:ascii="方正仿宋_GBK" w:hAnsi="方正仿宋_GBK" w:eastAsia="方正仿宋_GBK" w:cs="方正仿宋_GBK"/>
              </w:rPr>
            </w:pP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50</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分）</w:t>
            </w:r>
          </w:p>
        </w:tc>
        <w:tc>
          <w:tcPr>
            <w:tcW w:w="7087" w:type="dxa"/>
            <w:gridSpan w:val="2"/>
            <w:vAlign w:val="center"/>
          </w:tcPr>
          <w:p>
            <w:pPr>
              <w:spacing w:line="400" w:lineRule="exact"/>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在所有经初步评审合格的响应人的总报价中去掉1/6（不能整除的按小数前整数取整，不足六家报价则不去掉）的最高价和相同家数的最低价后进行算术平均，所得的算术平均值下浮</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14:textFill>
                  <w14:solidFill>
                    <w14:schemeClr w14:val="tx1"/>
                  </w14:solidFill>
                </w14:textFill>
              </w:rPr>
              <w:t>%，即为投标总报价的评标基准价。（投标报价及评标基准价保留“元”小数点后两位）。所有经初步评审合格的</w:t>
            </w:r>
            <w:r>
              <w:rPr>
                <w:rFonts w:hint="eastAsia" w:ascii="方正仿宋_GBK" w:hAnsi="方正仿宋_GBK" w:eastAsia="方正仿宋_GBK" w:cs="方正仿宋_GBK"/>
                <w:color w:val="000000" w:themeColor="text1"/>
                <w:sz w:val="24"/>
                <w:lang w:eastAsia="zh-CN"/>
                <w14:textFill>
                  <w14:solidFill>
                    <w14:schemeClr w14:val="tx1"/>
                  </w14:solidFill>
                </w14:textFill>
              </w:rPr>
              <w:t>响应人</w:t>
            </w:r>
            <w:r>
              <w:rPr>
                <w:rFonts w:hint="eastAsia" w:ascii="方正仿宋_GBK" w:hAnsi="方正仿宋_GBK" w:eastAsia="方正仿宋_GBK" w:cs="方正仿宋_GBK"/>
                <w:color w:val="000000" w:themeColor="text1"/>
                <w:sz w:val="24"/>
                <w14:textFill>
                  <w14:solidFill>
                    <w14:schemeClr w14:val="tx1"/>
                  </w14:solidFill>
                </w14:textFill>
              </w:rPr>
              <w:t>的投标总报价与评标基准价进行比较，等于评审基准价的得X分；有效报价与评审基准价格相比，每增加1％扣 1 分，每减少1％扣0.5分；扣完为止。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6" w:hRule="atLeast"/>
        </w:trPr>
        <w:tc>
          <w:tcPr>
            <w:tcW w:w="9379" w:type="dxa"/>
            <w:gridSpan w:val="5"/>
            <w:tcBorders>
              <w:bottom w:val="nil"/>
            </w:tcBorders>
          </w:tcPr>
          <w:p>
            <w:pPr>
              <w:widowControl/>
              <w:adjustRightInd w:val="0"/>
              <w:snapToGrid w:val="0"/>
              <w:spacing w:line="460" w:lineRule="exact"/>
              <w:jc w:val="left"/>
              <w:textAlignment w:val="bottom"/>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设计方案由评标委员会记名评标，评标委员会人员取算术平均值为所得分。　</w:t>
            </w:r>
          </w:p>
        </w:tc>
      </w:tr>
    </w:tbl>
    <w:p>
      <w:pPr>
        <w:snapToGrid w:val="0"/>
        <w:spacing w:line="460" w:lineRule="exact"/>
        <w:ind w:firstLine="539"/>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综合评分相同时，</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技术部分</w:t>
      </w:r>
      <w:r>
        <w:rPr>
          <w:rFonts w:hint="eastAsia" w:ascii="方正仿宋_GBK" w:hAnsi="方正仿宋_GBK" w:eastAsia="方正仿宋_GBK" w:cs="方正仿宋_GBK"/>
          <w:color w:val="000000" w:themeColor="text1"/>
          <w:sz w:val="28"/>
          <w:szCs w:val="28"/>
          <w14:textFill>
            <w14:solidFill>
              <w14:schemeClr w14:val="tx1"/>
            </w14:solidFill>
          </w14:textFill>
        </w:rPr>
        <w:t>综合评分高者排名靠前。</w:t>
      </w:r>
    </w:p>
    <w:p>
      <w:pPr>
        <w:snapToGrid w:val="0"/>
        <w:spacing w:line="360" w:lineRule="auto"/>
        <w:ind w:firstLine="539"/>
        <w:rPr>
          <w:rFonts w:ascii="仿宋" w:hAnsi="仿宋" w:eastAsia="仿宋"/>
          <w:b/>
          <w:sz w:val="32"/>
          <w:szCs w:val="32"/>
        </w:rPr>
      </w:pPr>
      <w:r>
        <w:rPr>
          <w:rFonts w:ascii="仿宋" w:hAnsi="仿宋" w:eastAsia="仿宋"/>
          <w:b/>
          <w:sz w:val="32"/>
          <w:szCs w:val="32"/>
        </w:rPr>
        <w:br w:type="page"/>
      </w:r>
    </w:p>
    <w:p>
      <w:pPr>
        <w:rPr>
          <w:rFonts w:ascii="仿宋" w:hAnsi="仿宋" w:eastAsia="仿宋"/>
          <w:b/>
          <w:sz w:val="32"/>
          <w:szCs w:val="32"/>
        </w:rPr>
      </w:pPr>
      <w:r>
        <w:rPr>
          <w:rFonts w:hint="eastAsia" w:ascii="仿宋" w:hAnsi="仿宋" w:eastAsia="仿宋"/>
          <w:b/>
          <w:sz w:val="32"/>
          <w:szCs w:val="32"/>
        </w:rPr>
        <w:t>附件一</w:t>
      </w:r>
    </w:p>
    <w:p>
      <w:pPr>
        <w:jc w:val="center"/>
        <w:outlineLvl w:val="0"/>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 xml:space="preserve">元（¥  </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sz w:val="28"/>
          <w:szCs w:val="28"/>
        </w:rPr>
        <w:t>含增值税专用发票的总报价，不含增值税专用发票的总报价：</w:t>
      </w:r>
      <w:r>
        <w:rPr>
          <w:rFonts w:hint="eastAsia" w:ascii="仿宋" w:hAnsi="仿宋" w:eastAsia="仿宋"/>
          <w:sz w:val="28"/>
          <w:szCs w:val="28"/>
          <w:u w:val="single"/>
        </w:rPr>
        <w:t xml:space="preserve">      元（¥   ）</w:t>
      </w:r>
      <w:r>
        <w:rPr>
          <w:rFonts w:hint="eastAsia" w:ascii="仿宋" w:hAnsi="仿宋" w:eastAsia="仿宋"/>
          <w:sz w:val="28"/>
          <w:szCs w:val="28"/>
        </w:rPr>
        <w:t>，增值税率</w:t>
      </w:r>
      <w:r>
        <w:rPr>
          <w:rFonts w:ascii="仿宋" w:hAnsi="仿宋" w:eastAsia="仿宋"/>
          <w:sz w:val="28"/>
          <w:szCs w:val="28"/>
          <w:u w:val="single"/>
        </w:rPr>
        <w:t xml:space="preserve">      %</w:t>
      </w:r>
      <w:r>
        <w:rPr>
          <w:rFonts w:hint="eastAsia" w:ascii="仿宋" w:hAnsi="仿宋" w:eastAsia="仿宋"/>
          <w:sz w:val="28"/>
          <w:szCs w:val="28"/>
        </w:rPr>
        <w:t>，工期</w:t>
      </w:r>
      <w:r>
        <w:rPr>
          <w:rFonts w:hint="eastAsia"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．我方在此声明，所递交的比选文件及有关资料内容完整、真实和准确。</w:t>
      </w:r>
    </w:p>
    <w:p>
      <w:pPr>
        <w:autoSpaceDE w:val="0"/>
        <w:autoSpaceDN w:val="0"/>
        <w:adjustRightInd w:val="0"/>
        <w:spacing w:line="354" w:lineRule="auto"/>
        <w:ind w:left="120"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autoSpaceDE w:val="0"/>
        <w:autoSpaceDN w:val="0"/>
        <w:adjustRightInd w:val="0"/>
        <w:spacing w:line="354" w:lineRule="auto"/>
        <w:ind w:left="120" w:right="-9"/>
        <w:jc w:val="left"/>
        <w:rPr>
          <w:rFonts w:ascii="仿宋" w:hAnsi="仿宋" w:eastAsia="仿宋"/>
          <w:sz w:val="28"/>
          <w:szCs w:val="28"/>
        </w:rPr>
      </w:pPr>
    </w:p>
    <w:p>
      <w:pPr>
        <w:autoSpaceDE w:val="0"/>
        <w:autoSpaceDN w:val="0"/>
        <w:adjustRightInd w:val="0"/>
        <w:spacing w:line="354" w:lineRule="auto"/>
        <w:ind w:left="120" w:right="-9"/>
        <w:jc w:val="left"/>
        <w:rPr>
          <w:rFonts w:ascii="仿宋" w:hAnsi="仿宋" w:eastAsia="仿宋"/>
          <w:sz w:val="28"/>
          <w:szCs w:val="28"/>
        </w:rPr>
      </w:pPr>
    </w:p>
    <w:p>
      <w:pPr>
        <w:autoSpaceDE w:val="0"/>
        <w:autoSpaceDN w:val="0"/>
        <w:adjustRightInd w:val="0"/>
        <w:spacing w:line="354" w:lineRule="auto"/>
        <w:ind w:left="120" w:right="-9"/>
        <w:jc w:val="left"/>
        <w:rPr>
          <w:rFonts w:ascii="仿宋" w:hAnsi="仿宋" w:eastAsia="仿宋"/>
          <w:sz w:val="28"/>
          <w:szCs w:val="28"/>
        </w:rPr>
      </w:pPr>
    </w:p>
    <w:p>
      <w:pPr>
        <w:autoSpaceDE w:val="0"/>
        <w:autoSpaceDN w:val="0"/>
        <w:adjustRightInd w:val="0"/>
        <w:spacing w:line="354" w:lineRule="auto"/>
        <w:ind w:left="120" w:right="-9"/>
        <w:jc w:val="left"/>
        <w:rPr>
          <w:rFonts w:ascii="仿宋" w:hAnsi="仿宋" w:eastAsia="仿宋"/>
          <w:sz w:val="28"/>
          <w:szCs w:val="28"/>
        </w:rPr>
      </w:pPr>
    </w:p>
    <w:p>
      <w:pPr>
        <w:autoSpaceDE w:val="0"/>
        <w:autoSpaceDN w:val="0"/>
        <w:adjustRightInd w:val="0"/>
        <w:spacing w:line="354" w:lineRule="auto"/>
        <w:ind w:left="120" w:right="-9"/>
        <w:jc w:val="left"/>
        <w:rPr>
          <w:rFonts w:ascii="仿宋" w:hAnsi="仿宋" w:eastAsia="仿宋"/>
          <w:sz w:val="28"/>
          <w:szCs w:val="28"/>
        </w:rPr>
      </w:pP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 xml:space="preserve">                 （盖单位公章）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xml:space="preserve">                                       </w:t>
      </w:r>
      <w:r>
        <w:rPr>
          <w:rFonts w:hint="eastAsia" w:ascii="仿宋" w:hAnsi="仿宋" w:eastAsia="仿宋"/>
          <w:sz w:val="28"/>
          <w:szCs w:val="28"/>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p>
    <w:p>
      <w:pPr>
        <w:jc w:val="righ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 w:val="28"/>
          <w:szCs w:val="28"/>
        </w:rPr>
      </w:pPr>
      <w:r>
        <w:rPr>
          <w:rFonts w:ascii="仿宋" w:hAnsi="仿宋" w:eastAsia="仿宋"/>
          <w:sz w:val="28"/>
          <w:szCs w:val="28"/>
        </w:rPr>
        <w:br w:type="page"/>
      </w:r>
    </w:p>
    <w:p>
      <w:pPr>
        <w:jc w:val="right"/>
        <w:rPr>
          <w:rFonts w:ascii="仿宋" w:hAnsi="仿宋" w:eastAsia="仿宋"/>
          <w:sz w:val="28"/>
          <w:szCs w:val="28"/>
        </w:rPr>
      </w:pPr>
    </w:p>
    <w:p>
      <w:pPr>
        <w:rPr>
          <w:rFonts w:ascii="仿宋" w:hAnsi="仿宋" w:eastAsia="仿宋"/>
          <w:b/>
          <w:sz w:val="32"/>
          <w:szCs w:val="32"/>
        </w:rPr>
      </w:pPr>
      <w:r>
        <w:rPr>
          <w:rFonts w:hint="eastAsia" w:ascii="仿宋" w:hAnsi="仿宋" w:eastAsia="仿宋"/>
          <w:b/>
          <w:sz w:val="32"/>
          <w:szCs w:val="32"/>
        </w:rPr>
        <w:t>附件二</w:t>
      </w:r>
    </w:p>
    <w:p>
      <w:pPr>
        <w:jc w:val="center"/>
        <w:outlineLvl w:val="0"/>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比选响应单位：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kern w:val="0"/>
          <w:sz w:val="28"/>
          <w:szCs w:val="28"/>
        </w:rPr>
      </w:pPr>
      <w:r>
        <w:rPr>
          <w:rFonts w:hint="eastAsia" w:ascii="仿宋" w:hAnsi="仿宋" w:eastAsia="仿宋"/>
          <w:kern w:val="0"/>
          <w:sz w:val="28"/>
          <w:szCs w:val="28"/>
        </w:rPr>
        <w:t>附法定代表人身份证复印件</w:t>
      </w:r>
      <w:r>
        <w:rPr>
          <w:rFonts w:ascii="仿宋" w:hAnsi="仿宋" w:eastAsia="仿宋"/>
          <w:kern w:val="0"/>
          <w:sz w:val="28"/>
          <w:szCs w:val="28"/>
        </w:rPr>
        <w:br w:type="page"/>
      </w:r>
    </w:p>
    <w:p>
      <w:pPr>
        <w:widowControl/>
        <w:jc w:val="left"/>
        <w:rPr>
          <w:rFonts w:ascii="仿宋" w:hAnsi="仿宋" w:eastAsia="仿宋"/>
          <w:b/>
          <w:sz w:val="32"/>
          <w:szCs w:val="28"/>
        </w:rPr>
      </w:pPr>
      <w:r>
        <w:rPr>
          <w:rFonts w:hint="eastAsia" w:ascii="仿宋" w:hAnsi="仿宋" w:eastAsia="仿宋"/>
          <w:b/>
          <w:sz w:val="32"/>
          <w:szCs w:val="28"/>
        </w:rPr>
        <w:t>附件三：</w:t>
      </w:r>
    </w:p>
    <w:p>
      <w:pPr>
        <w:jc w:val="center"/>
        <w:rPr>
          <w:rFonts w:ascii="仿宋" w:hAnsi="仿宋" w:eastAsia="仿宋"/>
          <w:b/>
          <w:sz w:val="32"/>
          <w:szCs w:val="32"/>
        </w:rPr>
      </w:pPr>
    </w:p>
    <w:p>
      <w:pPr>
        <w:jc w:val="center"/>
        <w:outlineLvl w:val="0"/>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wordWrap w:val="0"/>
        <w:topLinePunct/>
        <w:spacing w:line="480" w:lineRule="auto"/>
        <w:ind w:firstLine="980" w:firstLineChars="350"/>
        <w:rPr>
          <w:rFonts w:ascii="仿宋" w:hAnsi="仿宋" w:eastAsia="仿宋"/>
          <w:sz w:val="28"/>
          <w:szCs w:val="28"/>
        </w:rPr>
      </w:pPr>
      <w:r>
        <w:rPr>
          <w:rFonts w:hint="eastAsia" w:ascii="仿宋" w:hAnsi="仿宋" w:eastAsia="仿宋"/>
          <w:sz w:val="28"/>
          <w:szCs w:val="28"/>
        </w:rPr>
        <w:t>本授权书申明</w:t>
      </w:r>
      <w:r>
        <w:rPr>
          <w:rFonts w:hint="eastAsia" w:ascii="仿宋" w:hAnsi="仿宋" w:eastAsia="仿宋"/>
          <w:sz w:val="28"/>
          <w:szCs w:val="28"/>
          <w:u w:val="single"/>
        </w:rPr>
        <w:t xml:space="preserve">                         </w:t>
      </w:r>
      <w:r>
        <w:rPr>
          <w:rFonts w:hint="eastAsia" w:ascii="仿宋" w:hAnsi="仿宋" w:eastAsia="仿宋"/>
          <w:sz w:val="28"/>
          <w:szCs w:val="28"/>
        </w:rPr>
        <w:t>（公司注册地点）</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ascii="仿宋" w:hAnsi="仿宋" w:eastAsia="仿宋"/>
          <w:sz w:val="28"/>
          <w:szCs w:val="28"/>
        </w:rPr>
        <w:t>(</w:t>
      </w:r>
      <w:r>
        <w:rPr>
          <w:rFonts w:hint="eastAsia" w:ascii="仿宋" w:hAnsi="仿宋" w:eastAsia="仿宋"/>
          <w:sz w:val="28"/>
          <w:szCs w:val="28"/>
        </w:rPr>
        <w:t>公司名称</w:t>
      </w:r>
      <w:r>
        <w:rPr>
          <w:rFonts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rPr>
        <w:t>(</w:t>
      </w:r>
      <w:r>
        <w:rPr>
          <w:rFonts w:hint="eastAsia" w:ascii="仿宋" w:hAnsi="仿宋" w:eastAsia="仿宋"/>
          <w:sz w:val="28"/>
          <w:szCs w:val="28"/>
        </w:rPr>
        <w:t>职务</w:t>
      </w:r>
      <w:r>
        <w:rPr>
          <w:rFonts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rPr>
        <w:t>(</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为本公司法定代表人，特授权本公司</w:t>
      </w:r>
      <w:r>
        <w:rPr>
          <w:rFonts w:hint="eastAsia" w:ascii="仿宋" w:hAnsi="仿宋" w:eastAsia="仿宋"/>
          <w:sz w:val="28"/>
          <w:szCs w:val="28"/>
          <w:u w:val="single"/>
        </w:rPr>
        <w:t xml:space="preserve">                </w:t>
      </w:r>
      <w:r>
        <w:rPr>
          <w:rFonts w:hint="eastAsia" w:ascii="仿宋" w:hAnsi="仿宋" w:eastAsia="仿宋"/>
          <w:sz w:val="28"/>
          <w:szCs w:val="28"/>
        </w:rPr>
        <w:t>(公司名称)</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r>
        <w:rPr>
          <w:rFonts w:hint="eastAsia" w:ascii="仿宋" w:hAnsi="仿宋" w:eastAsia="仿宋"/>
          <w:sz w:val="28"/>
          <w:szCs w:val="28"/>
        </w:rPr>
        <w:t>(姓名)</w:t>
      </w:r>
      <w:r>
        <w:rPr>
          <w:rFonts w:ascii="仿宋" w:hAnsi="仿宋" w:eastAsia="仿宋"/>
          <w:sz w:val="28"/>
          <w:szCs w:val="28"/>
          <w:u w:val="single"/>
        </w:rPr>
        <w:t xml:space="preserve">         </w:t>
      </w:r>
      <w:r>
        <w:rPr>
          <w:rFonts w:hint="eastAsia" w:ascii="仿宋" w:hAnsi="仿宋" w:eastAsia="仿宋"/>
          <w:sz w:val="28"/>
          <w:szCs w:val="28"/>
        </w:rPr>
        <w:t>（电话）为正式的合法代理人，并授权该代理人在项目的比选活动中，以我单位的名义签署比选响应文件，与业主协商、签定合同协议书以及执行一切与此有关的事务。</w:t>
      </w:r>
    </w:p>
    <w:p>
      <w:pPr>
        <w:spacing w:line="480" w:lineRule="auto"/>
        <w:ind w:firstLine="700" w:firstLineChars="250"/>
        <w:rPr>
          <w:rFonts w:ascii="仿宋" w:hAnsi="仿宋" w:eastAsia="仿宋"/>
          <w:sz w:val="28"/>
          <w:szCs w:val="28"/>
        </w:rPr>
      </w:pP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hint="eastAsia" w:ascii="仿宋" w:hAnsi="仿宋" w:eastAsia="仿宋"/>
          <w:sz w:val="28"/>
          <w:szCs w:val="28"/>
          <w:u w:val="single"/>
        </w:rPr>
        <w:t xml:space="preserve">           </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hint="eastAsia" w:ascii="仿宋" w:hAnsi="仿宋" w:eastAsia="仿宋"/>
          <w:sz w:val="28"/>
          <w:szCs w:val="28"/>
          <w:u w:val="single"/>
        </w:rPr>
        <w:t xml:space="preserve">                 </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hint="eastAsia" w:ascii="仿宋" w:hAnsi="仿宋" w:eastAsia="仿宋"/>
          <w:sz w:val="28"/>
          <w:szCs w:val="28"/>
          <w:u w:val="single"/>
        </w:rPr>
        <w:t xml:space="preserve">                </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rPr>
          <w:rFonts w:hint="eastAsia" w:ascii="仿宋" w:hAnsi="仿宋" w:eastAsia="仿宋"/>
          <w:sz w:val="28"/>
          <w:szCs w:val="28"/>
        </w:rPr>
      </w:pPr>
      <w:r>
        <w:rPr>
          <w:rFonts w:hint="eastAsia" w:ascii="仿宋" w:hAnsi="仿宋" w:eastAsia="仿宋"/>
          <w:sz w:val="28"/>
          <w:szCs w:val="28"/>
        </w:rPr>
        <w:t>附被授权人代理人身份证复印件</w:t>
      </w:r>
    </w:p>
    <w:p>
      <w:pPr>
        <w:snapToGrid w:val="0"/>
        <w:spacing w:line="460" w:lineRule="exact"/>
        <w:rPr>
          <w:rFonts w:ascii="方正仿宋_GBK" w:hAnsi="仿宋" w:eastAsia="方正仿宋_GBK"/>
          <w:b/>
          <w:bCs/>
          <w:sz w:val="28"/>
          <w:szCs w:val="28"/>
        </w:rPr>
      </w:pPr>
      <w:r>
        <w:rPr>
          <w:rFonts w:hint="eastAsia" w:ascii="方正仿宋_GBK" w:hAnsi="仿宋" w:eastAsia="方正仿宋_GBK"/>
          <w:b/>
          <w:bCs/>
          <w:sz w:val="28"/>
          <w:szCs w:val="28"/>
        </w:rPr>
        <w:t>附件</w:t>
      </w:r>
      <w:r>
        <w:rPr>
          <w:rFonts w:hint="eastAsia" w:ascii="方正仿宋_GBK" w:hAnsi="仿宋" w:eastAsia="方正仿宋_GBK"/>
          <w:b/>
          <w:bCs/>
          <w:sz w:val="28"/>
          <w:szCs w:val="28"/>
          <w:lang w:val="en-US" w:eastAsia="zh-CN"/>
        </w:rPr>
        <w:t>四</w:t>
      </w:r>
      <w:r>
        <w:rPr>
          <w:rFonts w:hint="eastAsia" w:ascii="方正仿宋_GBK" w:hAnsi="仿宋" w:eastAsia="方正仿宋_GBK"/>
          <w:b/>
          <w:bCs/>
          <w:sz w:val="28"/>
          <w:szCs w:val="28"/>
        </w:rPr>
        <w:t>：</w:t>
      </w:r>
    </w:p>
    <w:p>
      <w:pPr>
        <w:widowControl/>
        <w:spacing w:line="460" w:lineRule="exact"/>
        <w:jc w:val="left"/>
      </w:pPr>
    </w:p>
    <w:p>
      <w:r>
        <w:rPr>
          <w:rFonts w:ascii="Calibri" w:hAnsi="Calibri"/>
          <w:b/>
          <w:bCs/>
          <w:sz w:val="32"/>
          <w:szCs w:val="32"/>
        </w:rPr>
        <w:t xml:space="preserve">               </w:t>
      </w:r>
    </w:p>
    <w:p>
      <w:pPr>
        <w:widowControl/>
        <w:adjustRightInd w:val="0"/>
        <w:snapToGrid w:val="0"/>
        <w:spacing w:line="460" w:lineRule="exact"/>
        <w:ind w:firstLine="560" w:firstLineChars="200"/>
        <w:jc w:val="left"/>
        <w:textAlignment w:val="bottom"/>
        <w:rPr>
          <w:rFonts w:ascii="仿宋" w:hAnsi="仿宋" w:eastAsia="仿宋" w:cs="方正仿宋_GBK"/>
          <w:color w:val="000000" w:themeColor="text1"/>
          <w:sz w:val="28"/>
          <w:szCs w:val="28"/>
          <w14:textFill>
            <w14:solidFill>
              <w14:schemeClr w14:val="tx1"/>
            </w14:solidFill>
          </w14:textFill>
        </w:rPr>
      </w:pPr>
    </w:p>
    <w:p>
      <w:pPr>
        <w:spacing w:after="156" w:afterLines="50"/>
        <w:ind w:right="964" w:firstLine="480" w:firstLineChars="200"/>
        <w:jc w:val="right"/>
        <w:rPr>
          <w:rFonts w:hint="eastAsia" w:ascii="黑体" w:hAnsi="黑体" w:eastAsia="黑体"/>
          <w:color w:val="000000"/>
          <w:sz w:val="24"/>
        </w:rPr>
      </w:pPr>
    </w:p>
    <w:p>
      <w:pPr>
        <w:spacing w:after="156" w:afterLines="50"/>
        <w:ind w:right="964" w:firstLine="480" w:firstLineChars="200"/>
        <w:jc w:val="right"/>
        <w:rPr>
          <w:rFonts w:hint="eastAsia" w:ascii="黑体" w:hAnsi="黑体" w:eastAsia="黑体"/>
          <w:color w:val="000000"/>
          <w:sz w:val="24"/>
        </w:rPr>
      </w:pPr>
    </w:p>
    <w:p>
      <w:pPr>
        <w:spacing w:after="156" w:afterLines="50"/>
        <w:ind w:right="964" w:firstLine="480" w:firstLineChars="200"/>
        <w:jc w:val="center"/>
        <w:rPr>
          <w:rFonts w:ascii="黑体" w:hAnsi="黑体" w:eastAsia="黑体"/>
          <w:color w:val="000000"/>
          <w:sz w:val="24"/>
        </w:rPr>
      </w:pPr>
      <w:r>
        <w:rPr>
          <w:rFonts w:hint="eastAsia" w:ascii="黑体" w:hAnsi="黑体" w:eastAsia="黑体"/>
          <w:color w:val="000000"/>
          <w:sz w:val="24"/>
          <w:lang w:val="en-US" w:eastAsia="zh-CN"/>
        </w:rPr>
        <w:t xml:space="preserve">                                  </w:t>
      </w:r>
      <w:r>
        <w:rPr>
          <w:rFonts w:hint="eastAsia" w:ascii="黑体" w:hAnsi="黑体" w:eastAsia="黑体"/>
          <w:color w:val="000000"/>
          <w:sz w:val="24"/>
        </w:rPr>
        <w:t>合同编号：</w:t>
      </w:r>
    </w:p>
    <w:p>
      <w:pPr>
        <w:spacing w:after="156" w:afterLines="50"/>
        <w:ind w:firstLine="422" w:firstLineChars="200"/>
        <w:jc w:val="center"/>
        <w:rPr>
          <w:rFonts w:ascii="仿宋" w:hAnsi="仿宋" w:eastAsia="仿宋"/>
          <w:b/>
          <w:color w:val="000000"/>
        </w:rPr>
      </w:pPr>
    </w:p>
    <w:p>
      <w:pPr>
        <w:snapToGrid w:val="0"/>
        <w:spacing w:line="360" w:lineRule="auto"/>
        <w:jc w:val="center"/>
        <w:rPr>
          <w:rFonts w:cs="Calibri"/>
          <w:b/>
          <w:sz w:val="32"/>
          <w:szCs w:val="32"/>
        </w:rPr>
      </w:pPr>
    </w:p>
    <w:p>
      <w:pPr>
        <w:snapToGrid w:val="0"/>
        <w:spacing w:line="360" w:lineRule="auto"/>
        <w:jc w:val="center"/>
        <w:rPr>
          <w:rFonts w:cs="Calibri"/>
          <w:b/>
          <w:sz w:val="32"/>
          <w:szCs w:val="32"/>
        </w:rPr>
      </w:pPr>
    </w:p>
    <w:p>
      <w:pPr>
        <w:snapToGrid w:val="0"/>
        <w:spacing w:line="360" w:lineRule="auto"/>
        <w:rPr>
          <w:b/>
          <w:sz w:val="32"/>
          <w:szCs w:val="32"/>
        </w:rPr>
      </w:pPr>
      <w:r>
        <w:rPr>
          <w:rFonts w:hint="eastAsia"/>
          <w:b/>
          <w:sz w:val="32"/>
          <w:szCs w:val="32"/>
        </w:rPr>
        <w:t xml:space="preserve"> </w:t>
      </w:r>
      <w:r>
        <w:rPr>
          <w:rFonts w:hint="eastAsia" w:ascii="仿宋" w:hAnsi="仿宋" w:eastAsia="仿宋"/>
          <w:b/>
          <w:color w:val="000000"/>
          <w:sz w:val="36"/>
          <w:szCs w:val="36"/>
          <w:lang w:val="en-US" w:eastAsia="zh-CN"/>
        </w:rPr>
        <w:t>《重庆地区空域结构与航班流研究系统》采购合同</w:t>
      </w:r>
    </w:p>
    <w:p>
      <w:pPr>
        <w:snapToGrid w:val="0"/>
        <w:spacing w:line="360" w:lineRule="auto"/>
        <w:rPr>
          <w:rFonts w:eastAsiaTheme="minorEastAsia"/>
          <w:b/>
          <w:sz w:val="32"/>
          <w:szCs w:val="32"/>
        </w:rPr>
      </w:pPr>
    </w:p>
    <w:p>
      <w:pPr>
        <w:snapToGrid w:val="0"/>
        <w:spacing w:line="360" w:lineRule="auto"/>
        <w:jc w:val="center"/>
        <w:rPr>
          <w:b/>
          <w:sz w:val="32"/>
          <w:szCs w:val="32"/>
        </w:rPr>
      </w:pPr>
    </w:p>
    <w:p>
      <w:pPr>
        <w:tabs>
          <w:tab w:val="left" w:pos="7096"/>
        </w:tabs>
        <w:snapToGrid w:val="0"/>
        <w:spacing w:line="360" w:lineRule="auto"/>
        <w:rPr>
          <w:b/>
          <w:sz w:val="32"/>
          <w:szCs w:val="32"/>
        </w:rPr>
      </w:pPr>
      <w:r>
        <w:rPr>
          <w:rFonts w:hint="eastAsia"/>
          <w:b/>
          <w:sz w:val="32"/>
          <w:szCs w:val="32"/>
        </w:rPr>
        <w:tab/>
      </w:r>
    </w:p>
    <w:p>
      <w:pPr>
        <w:snapToGrid w:val="0"/>
        <w:spacing w:line="360" w:lineRule="auto"/>
        <w:jc w:val="center"/>
        <w:rPr>
          <w:b/>
          <w:sz w:val="32"/>
          <w:szCs w:val="32"/>
        </w:rPr>
      </w:pPr>
    </w:p>
    <w:p>
      <w:pPr>
        <w:snapToGrid w:val="0"/>
        <w:spacing w:line="360" w:lineRule="auto"/>
        <w:jc w:val="center"/>
        <w:rPr>
          <w:rFonts w:ascii="黑体" w:hAnsi="黑体" w:eastAsia="黑体"/>
          <w:sz w:val="30"/>
          <w:szCs w:val="30"/>
        </w:rPr>
      </w:pPr>
      <w:r>
        <w:rPr>
          <w:rFonts w:hint="eastAsia" w:ascii="黑体" w:hAnsi="黑体" w:eastAsia="黑体"/>
          <w:sz w:val="30"/>
          <w:szCs w:val="30"/>
        </w:rPr>
        <w:t>甲方：重庆</w:t>
      </w:r>
      <w:r>
        <w:rPr>
          <w:rFonts w:hint="eastAsia" w:ascii="黑体" w:hAnsi="黑体" w:eastAsia="黑体"/>
          <w:sz w:val="30"/>
          <w:szCs w:val="30"/>
          <w:lang w:val="en-US" w:eastAsia="zh-CN"/>
        </w:rPr>
        <w:t>江北国际机场</w:t>
      </w:r>
      <w:r>
        <w:rPr>
          <w:rFonts w:hint="eastAsia" w:ascii="黑体" w:hAnsi="黑体" w:eastAsia="黑体"/>
          <w:sz w:val="30"/>
          <w:szCs w:val="30"/>
        </w:rPr>
        <w:t>有限公司</w:t>
      </w:r>
    </w:p>
    <w:p>
      <w:pPr>
        <w:snapToGrid w:val="0"/>
        <w:spacing w:line="360" w:lineRule="auto"/>
        <w:rPr>
          <w:rFonts w:ascii="黑体" w:hAnsi="黑体" w:eastAsia="黑体"/>
          <w:b/>
          <w:bCs/>
          <w:sz w:val="30"/>
          <w:szCs w:val="30"/>
          <w:u w:val="single"/>
        </w:rPr>
      </w:pP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ascii="黑体" w:hAnsi="黑体" w:eastAsia="黑体" w:cstheme="minorBidi"/>
          <w:b/>
          <w:bCs/>
          <w:color w:val="000000"/>
          <w:sz w:val="32"/>
          <w:szCs w:val="32"/>
        </w:rPr>
      </w:pPr>
    </w:p>
    <w:p>
      <w:pPr>
        <w:rPr>
          <w:rFonts w:ascii="黑体" w:hAnsi="黑体" w:eastAsia="黑体"/>
          <w:b/>
          <w:bCs/>
          <w:color w:val="000000"/>
          <w:sz w:val="32"/>
          <w:szCs w:val="32"/>
        </w:rPr>
        <w:sectPr>
          <w:headerReference r:id="rId3" w:type="default"/>
          <w:footerReference r:id="rId4" w:type="default"/>
          <w:pgSz w:w="11900" w:h="16840"/>
          <w:pgMar w:top="1440" w:right="1800" w:bottom="1440" w:left="1800" w:header="851" w:footer="992" w:gutter="0"/>
          <w:cols w:space="720" w:num="1"/>
          <w:docGrid w:type="lines" w:linePitch="312" w:charSpace="0"/>
        </w:sectPr>
      </w:pPr>
    </w:p>
    <w:p>
      <w:pPr>
        <w:pStyle w:val="14"/>
        <w:ind w:firstLine="0" w:firstLineChars="0"/>
        <w:rPr>
          <w:rFonts w:hint="eastAsia" w:ascii="仿宋" w:hAnsi="仿宋" w:eastAsia="仿宋" w:cs="仿宋"/>
          <w:bCs/>
          <w:sz w:val="28"/>
          <w:szCs w:val="28"/>
        </w:rPr>
      </w:pPr>
      <w:r>
        <w:rPr>
          <w:rFonts w:hint="eastAsia" w:ascii="仿宋" w:hAnsi="仿宋" w:eastAsia="仿宋" w:cs="仿宋"/>
          <w:bCs/>
          <w:sz w:val="28"/>
          <w:szCs w:val="28"/>
        </w:rPr>
        <w:t>甲方：重庆</w:t>
      </w:r>
      <w:r>
        <w:rPr>
          <w:rFonts w:hint="eastAsia" w:ascii="仿宋" w:hAnsi="仿宋" w:eastAsia="仿宋" w:cs="仿宋"/>
          <w:bCs/>
          <w:sz w:val="28"/>
          <w:szCs w:val="28"/>
          <w:lang w:val="en-US" w:eastAsia="zh-CN"/>
        </w:rPr>
        <w:t>江北国际机场</w:t>
      </w:r>
      <w:r>
        <w:rPr>
          <w:rFonts w:hint="eastAsia" w:ascii="仿宋" w:hAnsi="仿宋" w:eastAsia="仿宋" w:cs="仿宋"/>
          <w:bCs/>
          <w:sz w:val="28"/>
          <w:szCs w:val="28"/>
        </w:rPr>
        <w:t>有限公司</w:t>
      </w:r>
    </w:p>
    <w:p>
      <w:pPr>
        <w:pStyle w:val="14"/>
        <w:ind w:firstLine="0" w:firstLineChars="0"/>
        <w:rPr>
          <w:rFonts w:hint="eastAsia" w:ascii="仿宋" w:hAnsi="仿宋" w:eastAsia="仿宋" w:cs="仿宋"/>
          <w:bCs/>
          <w:sz w:val="28"/>
          <w:szCs w:val="28"/>
        </w:rPr>
      </w:pPr>
      <w:r>
        <w:rPr>
          <w:rFonts w:hint="eastAsia" w:ascii="仿宋" w:hAnsi="仿宋" w:eastAsia="仿宋" w:cs="仿宋"/>
          <w:bCs/>
          <w:sz w:val="28"/>
          <w:szCs w:val="28"/>
        </w:rPr>
        <w:t>统一社会信用代码：</w:t>
      </w:r>
    </w:p>
    <w:p>
      <w:pPr>
        <w:pStyle w:val="14"/>
        <w:ind w:firstLine="0" w:firstLineChars="0"/>
        <w:rPr>
          <w:rFonts w:hint="eastAsia" w:ascii="仿宋" w:hAnsi="仿宋" w:eastAsia="仿宋" w:cs="仿宋"/>
          <w:bCs/>
          <w:sz w:val="28"/>
          <w:szCs w:val="28"/>
        </w:rPr>
      </w:pPr>
      <w:r>
        <w:rPr>
          <w:rFonts w:hint="eastAsia" w:ascii="仿宋" w:hAnsi="仿宋" w:eastAsia="仿宋" w:cs="仿宋"/>
          <w:bCs/>
          <w:sz w:val="28"/>
          <w:szCs w:val="28"/>
        </w:rPr>
        <w:t>通讯地址：</w:t>
      </w:r>
    </w:p>
    <w:p>
      <w:pPr>
        <w:pStyle w:val="14"/>
        <w:ind w:firstLine="0" w:firstLineChars="0"/>
        <w:rPr>
          <w:rFonts w:hint="eastAsia" w:ascii="仿宋" w:hAnsi="仿宋" w:eastAsia="仿宋" w:cs="仿宋"/>
          <w:bCs/>
          <w:sz w:val="28"/>
          <w:szCs w:val="28"/>
        </w:rPr>
      </w:pPr>
      <w:r>
        <w:rPr>
          <w:rFonts w:hint="eastAsia" w:ascii="仿宋" w:hAnsi="仿宋" w:eastAsia="仿宋" w:cs="仿宋"/>
          <w:bCs/>
          <w:sz w:val="28"/>
          <w:szCs w:val="28"/>
        </w:rPr>
        <w:t xml:space="preserve">法定代表人或委托代理人： </w:t>
      </w:r>
    </w:p>
    <w:p>
      <w:pPr>
        <w:pStyle w:val="14"/>
        <w:ind w:firstLine="0" w:firstLineChars="0"/>
        <w:rPr>
          <w:rFonts w:hint="eastAsia" w:ascii="仿宋" w:hAnsi="仿宋" w:eastAsia="仿宋" w:cs="仿宋"/>
          <w:bCs/>
          <w:sz w:val="28"/>
          <w:szCs w:val="28"/>
        </w:rPr>
      </w:pPr>
      <w:r>
        <w:rPr>
          <w:rFonts w:hint="eastAsia" w:ascii="仿宋" w:hAnsi="仿宋" w:eastAsia="仿宋" w:cs="仿宋"/>
          <w:bCs/>
          <w:sz w:val="28"/>
          <w:szCs w:val="28"/>
        </w:rPr>
        <w:t>联系电话：</w:t>
      </w:r>
    </w:p>
    <w:p>
      <w:pPr>
        <w:pStyle w:val="14"/>
        <w:ind w:firstLine="0" w:firstLineChars="0"/>
        <w:rPr>
          <w:rFonts w:hint="eastAsia" w:ascii="仿宋" w:hAnsi="仿宋" w:eastAsia="仿宋" w:cs="仿宋"/>
          <w:bCs/>
          <w:sz w:val="28"/>
          <w:szCs w:val="28"/>
        </w:rPr>
      </w:pPr>
      <w:r>
        <w:rPr>
          <w:rFonts w:hint="eastAsia" w:ascii="仿宋" w:hAnsi="仿宋" w:eastAsia="仿宋" w:cs="仿宋"/>
          <w:bCs/>
          <w:sz w:val="28"/>
          <w:szCs w:val="28"/>
        </w:rPr>
        <w:t>邮箱地址：</w:t>
      </w:r>
    </w:p>
    <w:p>
      <w:pPr>
        <w:pStyle w:val="14"/>
        <w:ind w:firstLine="0" w:firstLineChars="0"/>
        <w:rPr>
          <w:rFonts w:hint="eastAsia" w:ascii="仿宋" w:hAnsi="仿宋" w:eastAsia="仿宋" w:cs="仿宋"/>
          <w:bCs/>
          <w:sz w:val="28"/>
          <w:szCs w:val="28"/>
        </w:rPr>
      </w:pPr>
      <w:r>
        <w:rPr>
          <w:rFonts w:hint="eastAsia" w:ascii="仿宋" w:hAnsi="仿宋" w:eastAsia="仿宋" w:cs="仿宋"/>
          <w:bCs/>
          <w:sz w:val="28"/>
          <w:szCs w:val="28"/>
        </w:rPr>
        <w:t xml:space="preserve">开户银行： </w:t>
      </w:r>
      <w:r>
        <w:rPr>
          <w:rFonts w:hint="eastAsia" w:ascii="仿宋" w:hAnsi="仿宋" w:eastAsia="仿宋" w:cs="仿宋"/>
          <w:color w:val="000000"/>
          <w:kern w:val="0"/>
          <w:sz w:val="28"/>
          <w:szCs w:val="28"/>
        </w:rPr>
        <w:t>中国建设银行股份有限公司重庆渝北机场支行</w:t>
      </w:r>
    </w:p>
    <w:p>
      <w:pPr>
        <w:pStyle w:val="14"/>
        <w:ind w:firstLine="0" w:firstLineChars="0"/>
        <w:rPr>
          <w:rFonts w:hint="eastAsia" w:ascii="仿宋" w:hAnsi="仿宋" w:eastAsia="仿宋" w:cs="仿宋"/>
          <w:bCs/>
          <w:sz w:val="28"/>
          <w:szCs w:val="28"/>
        </w:rPr>
      </w:pPr>
      <w:r>
        <w:rPr>
          <w:rFonts w:hint="eastAsia" w:ascii="仿宋" w:hAnsi="仿宋" w:eastAsia="仿宋" w:cs="仿宋"/>
          <w:bCs/>
          <w:sz w:val="28"/>
          <w:szCs w:val="28"/>
        </w:rPr>
        <w:t>开户名称：</w:t>
      </w:r>
      <w:r>
        <w:rPr>
          <w:rFonts w:hint="eastAsia" w:ascii="仿宋" w:hAnsi="仿宋" w:eastAsia="仿宋" w:cs="仿宋"/>
          <w:color w:val="000000"/>
          <w:kern w:val="0"/>
          <w:sz w:val="28"/>
          <w:szCs w:val="28"/>
        </w:rPr>
        <w:t>重庆江北国际机场有限公司</w:t>
      </w:r>
    </w:p>
    <w:p>
      <w:pPr>
        <w:pStyle w:val="14"/>
        <w:ind w:firstLine="0" w:firstLineChars="0"/>
        <w:rPr>
          <w:rFonts w:hint="eastAsia" w:ascii="仿宋" w:hAnsi="仿宋" w:eastAsia="仿宋" w:cs="仿宋"/>
          <w:color w:val="000000"/>
          <w:kern w:val="0"/>
          <w:sz w:val="28"/>
          <w:szCs w:val="28"/>
        </w:rPr>
      </w:pPr>
      <w:r>
        <w:rPr>
          <w:rFonts w:hint="eastAsia" w:ascii="仿宋" w:hAnsi="仿宋" w:eastAsia="仿宋" w:cs="仿宋"/>
          <w:bCs/>
          <w:sz w:val="28"/>
          <w:szCs w:val="28"/>
        </w:rPr>
        <w:t>账号：</w:t>
      </w:r>
      <w:r>
        <w:rPr>
          <w:rFonts w:hint="eastAsia" w:ascii="仿宋" w:hAnsi="仿宋" w:eastAsia="仿宋" w:cs="仿宋"/>
          <w:color w:val="000000"/>
          <w:kern w:val="0"/>
          <w:sz w:val="28"/>
          <w:szCs w:val="28"/>
        </w:rPr>
        <w:t>5005 0108 3800 0000 0060</w:t>
      </w:r>
    </w:p>
    <w:p>
      <w:pPr>
        <w:pStyle w:val="14"/>
        <w:ind w:firstLine="0" w:firstLineChars="0"/>
        <w:rPr>
          <w:rFonts w:hint="eastAsia" w:ascii="仿宋" w:hAnsi="仿宋" w:eastAsia="仿宋" w:cs="仿宋"/>
          <w:color w:val="000000"/>
          <w:kern w:val="0"/>
          <w:sz w:val="28"/>
          <w:szCs w:val="28"/>
        </w:rPr>
      </w:pPr>
    </w:p>
    <w:p>
      <w:pPr>
        <w:pStyle w:val="14"/>
        <w:ind w:firstLine="0" w:firstLineChars="0"/>
        <w:rPr>
          <w:rFonts w:hint="eastAsia" w:ascii="仿宋" w:hAnsi="仿宋" w:eastAsia="仿宋" w:cs="仿宋"/>
          <w:bCs/>
          <w:sz w:val="28"/>
          <w:szCs w:val="28"/>
        </w:rPr>
      </w:pPr>
      <w:r>
        <w:rPr>
          <w:rFonts w:hint="eastAsia" w:ascii="仿宋" w:hAnsi="仿宋" w:eastAsia="仿宋" w:cs="仿宋"/>
          <w:bCs/>
          <w:sz w:val="28"/>
          <w:szCs w:val="28"/>
        </w:rPr>
        <w:t>乙方：</w:t>
      </w:r>
    </w:p>
    <w:p>
      <w:pPr>
        <w:pStyle w:val="14"/>
        <w:ind w:firstLine="0" w:firstLineChars="0"/>
        <w:rPr>
          <w:rFonts w:hint="eastAsia" w:ascii="仿宋" w:hAnsi="仿宋" w:eastAsia="仿宋" w:cs="仿宋"/>
          <w:bCs/>
          <w:sz w:val="28"/>
          <w:szCs w:val="28"/>
        </w:rPr>
      </w:pPr>
      <w:r>
        <w:rPr>
          <w:rFonts w:hint="eastAsia" w:ascii="仿宋" w:hAnsi="仿宋" w:eastAsia="仿宋" w:cs="仿宋"/>
          <w:bCs/>
          <w:sz w:val="28"/>
          <w:szCs w:val="28"/>
        </w:rPr>
        <w:t>统一社会信用代码：</w:t>
      </w:r>
    </w:p>
    <w:p>
      <w:pPr>
        <w:pStyle w:val="14"/>
        <w:ind w:firstLine="0" w:firstLineChars="0"/>
        <w:rPr>
          <w:rFonts w:hint="eastAsia" w:ascii="仿宋" w:hAnsi="仿宋" w:eastAsia="仿宋" w:cs="仿宋"/>
          <w:bCs/>
          <w:sz w:val="28"/>
          <w:szCs w:val="28"/>
        </w:rPr>
      </w:pPr>
      <w:r>
        <w:rPr>
          <w:rFonts w:hint="eastAsia" w:ascii="仿宋" w:hAnsi="仿宋" w:eastAsia="仿宋" w:cs="仿宋"/>
          <w:bCs/>
          <w:sz w:val="28"/>
          <w:szCs w:val="28"/>
        </w:rPr>
        <w:t>通讯地址：</w:t>
      </w:r>
    </w:p>
    <w:p>
      <w:pPr>
        <w:pStyle w:val="14"/>
        <w:ind w:firstLine="0" w:firstLineChars="0"/>
        <w:rPr>
          <w:rFonts w:hint="eastAsia" w:ascii="仿宋" w:hAnsi="仿宋" w:eastAsia="仿宋" w:cs="仿宋"/>
          <w:bCs/>
          <w:sz w:val="28"/>
          <w:szCs w:val="28"/>
        </w:rPr>
      </w:pPr>
      <w:r>
        <w:rPr>
          <w:rFonts w:hint="eastAsia" w:ascii="仿宋" w:hAnsi="仿宋" w:eastAsia="仿宋" w:cs="仿宋"/>
          <w:bCs/>
          <w:sz w:val="28"/>
          <w:szCs w:val="28"/>
        </w:rPr>
        <w:t xml:space="preserve">法定代表人或委托代理人： </w:t>
      </w:r>
    </w:p>
    <w:p>
      <w:pPr>
        <w:pStyle w:val="14"/>
        <w:ind w:firstLine="0" w:firstLineChars="0"/>
        <w:rPr>
          <w:rFonts w:hint="eastAsia" w:ascii="仿宋" w:hAnsi="仿宋" w:eastAsia="仿宋" w:cs="仿宋"/>
          <w:bCs/>
          <w:sz w:val="28"/>
          <w:szCs w:val="28"/>
        </w:rPr>
      </w:pPr>
      <w:r>
        <w:rPr>
          <w:rFonts w:hint="eastAsia" w:ascii="仿宋" w:hAnsi="仿宋" w:eastAsia="仿宋" w:cs="仿宋"/>
          <w:bCs/>
          <w:sz w:val="28"/>
          <w:szCs w:val="28"/>
        </w:rPr>
        <w:t>联系电话：</w:t>
      </w:r>
    </w:p>
    <w:p>
      <w:pPr>
        <w:pStyle w:val="14"/>
        <w:ind w:firstLine="0" w:firstLineChars="0"/>
        <w:rPr>
          <w:rFonts w:hint="eastAsia" w:ascii="仿宋" w:hAnsi="仿宋" w:eastAsia="仿宋" w:cs="仿宋"/>
          <w:bCs/>
          <w:sz w:val="28"/>
          <w:szCs w:val="28"/>
        </w:rPr>
      </w:pPr>
      <w:r>
        <w:rPr>
          <w:rFonts w:hint="eastAsia" w:ascii="仿宋" w:hAnsi="仿宋" w:eastAsia="仿宋" w:cs="仿宋"/>
          <w:bCs/>
          <w:sz w:val="28"/>
          <w:szCs w:val="28"/>
        </w:rPr>
        <w:t>邮箱地址：</w:t>
      </w:r>
    </w:p>
    <w:p>
      <w:pPr>
        <w:pStyle w:val="14"/>
        <w:ind w:firstLine="0" w:firstLineChars="0"/>
        <w:rPr>
          <w:rFonts w:hint="eastAsia" w:ascii="仿宋" w:hAnsi="仿宋" w:eastAsia="仿宋" w:cs="仿宋"/>
          <w:bCs/>
          <w:sz w:val="28"/>
          <w:szCs w:val="28"/>
        </w:rPr>
      </w:pPr>
      <w:r>
        <w:rPr>
          <w:rFonts w:hint="eastAsia" w:ascii="仿宋" w:hAnsi="仿宋" w:eastAsia="仿宋" w:cs="仿宋"/>
          <w:bCs/>
          <w:sz w:val="28"/>
          <w:szCs w:val="28"/>
        </w:rPr>
        <w:t xml:space="preserve">开户银行： </w:t>
      </w:r>
    </w:p>
    <w:p>
      <w:pPr>
        <w:pStyle w:val="14"/>
        <w:ind w:firstLine="0" w:firstLineChars="0"/>
        <w:rPr>
          <w:rFonts w:hint="eastAsia" w:ascii="仿宋" w:hAnsi="仿宋" w:eastAsia="仿宋" w:cs="仿宋"/>
          <w:bCs/>
          <w:sz w:val="28"/>
          <w:szCs w:val="28"/>
        </w:rPr>
      </w:pPr>
      <w:r>
        <w:rPr>
          <w:rFonts w:hint="eastAsia" w:ascii="仿宋" w:hAnsi="仿宋" w:eastAsia="仿宋" w:cs="仿宋"/>
          <w:bCs/>
          <w:sz w:val="28"/>
          <w:szCs w:val="28"/>
        </w:rPr>
        <w:t>开户名称：</w:t>
      </w:r>
    </w:p>
    <w:p>
      <w:pPr>
        <w:pStyle w:val="14"/>
        <w:ind w:firstLine="0" w:firstLineChars="0"/>
        <w:rPr>
          <w:rFonts w:hint="eastAsia" w:ascii="仿宋" w:hAnsi="仿宋" w:eastAsia="仿宋" w:cs="仿宋"/>
          <w:bCs/>
          <w:sz w:val="28"/>
          <w:szCs w:val="28"/>
        </w:rPr>
      </w:pPr>
      <w:r>
        <w:rPr>
          <w:rFonts w:hint="eastAsia" w:ascii="仿宋" w:hAnsi="仿宋" w:eastAsia="仿宋" w:cs="仿宋"/>
          <w:bCs/>
          <w:sz w:val="28"/>
          <w:szCs w:val="28"/>
        </w:rPr>
        <w:t>账号：</w:t>
      </w:r>
    </w:p>
    <w:p>
      <w:pPr>
        <w:pStyle w:val="14"/>
        <w:ind w:firstLine="0" w:firstLineChars="0"/>
        <w:rPr>
          <w:rFonts w:hint="eastAsia" w:ascii="仿宋" w:hAnsi="仿宋" w:eastAsia="仿宋" w:cs="仿宋"/>
          <w:bCs/>
          <w:sz w:val="28"/>
          <w:szCs w:val="28"/>
        </w:rPr>
      </w:pPr>
    </w:p>
    <w:p>
      <w:pPr>
        <w:pStyle w:val="14"/>
        <w:ind w:firstLine="0" w:firstLineChars="0"/>
        <w:rPr>
          <w:rFonts w:hint="eastAsia" w:ascii="仿宋" w:hAnsi="仿宋" w:eastAsia="仿宋" w:cs="仿宋"/>
          <w:bCs/>
          <w:sz w:val="28"/>
          <w:szCs w:val="28"/>
        </w:rPr>
      </w:pPr>
    </w:p>
    <w:p>
      <w:pPr>
        <w:pStyle w:val="14"/>
        <w:ind w:firstLine="0" w:firstLineChars="0"/>
        <w:rPr>
          <w:rFonts w:hint="eastAsia" w:ascii="仿宋" w:hAnsi="仿宋" w:eastAsia="仿宋" w:cs="仿宋"/>
          <w:bCs/>
          <w:sz w:val="28"/>
          <w:szCs w:val="28"/>
        </w:rPr>
      </w:pP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鉴于甲方</w:t>
      </w:r>
      <w:r>
        <w:rPr>
          <w:rFonts w:hint="eastAsia" w:ascii="仿宋" w:hAnsi="仿宋" w:eastAsia="仿宋" w:cs="仿宋"/>
          <w:color w:val="000000"/>
          <w:sz w:val="28"/>
          <w:szCs w:val="28"/>
          <w:lang w:val="en-US" w:eastAsia="zh-CN"/>
        </w:rPr>
        <w:t>向乙方采购</w:t>
      </w:r>
      <w:r>
        <w:rPr>
          <w:rFonts w:hint="eastAsia" w:ascii="仿宋" w:hAnsi="仿宋" w:eastAsia="仿宋" w:cs="仿宋"/>
          <w:color w:val="000000"/>
          <w:sz w:val="28"/>
          <w:szCs w:val="28"/>
          <w:u w:val="single"/>
          <w:lang w:val="en-US" w:eastAsia="zh-CN"/>
        </w:rPr>
        <w:t>重庆地区空域结构与航班流研究系统</w:t>
      </w:r>
      <w:r>
        <w:rPr>
          <w:rFonts w:hint="eastAsia" w:ascii="仿宋" w:hAnsi="仿宋" w:eastAsia="仿宋" w:cs="仿宋"/>
          <w:color w:val="000000"/>
          <w:sz w:val="28"/>
          <w:szCs w:val="28"/>
          <w:u w:val="single"/>
        </w:rPr>
        <w:t>项目</w:t>
      </w:r>
      <w:r>
        <w:rPr>
          <w:rFonts w:hint="eastAsia" w:ascii="仿宋" w:hAnsi="仿宋" w:eastAsia="仿宋" w:cs="仿宋"/>
          <w:color w:val="000000"/>
          <w:sz w:val="28"/>
          <w:szCs w:val="28"/>
          <w:u w:val="single"/>
          <w:lang w:eastAsia="zh-CN"/>
        </w:rPr>
        <w:t>，</w:t>
      </w:r>
      <w:r>
        <w:rPr>
          <w:rFonts w:hint="eastAsia" w:ascii="仿宋" w:hAnsi="仿宋" w:eastAsia="仿宋" w:cs="仿宋"/>
          <w:color w:val="000000"/>
          <w:sz w:val="28"/>
          <w:szCs w:val="28"/>
        </w:rPr>
        <w:t>经双方平等协商，在真实、充分地表达各自意愿的基础上，根据《中华人民共和国</w:t>
      </w:r>
      <w:r>
        <w:rPr>
          <w:rFonts w:hint="eastAsia" w:ascii="仿宋" w:hAnsi="仿宋" w:eastAsia="仿宋" w:cs="仿宋"/>
          <w:color w:val="000000"/>
          <w:sz w:val="28"/>
          <w:szCs w:val="28"/>
          <w:lang w:val="en-US" w:eastAsia="zh-CN"/>
        </w:rPr>
        <w:t>民法典</w:t>
      </w:r>
      <w:r>
        <w:rPr>
          <w:rFonts w:hint="eastAsia" w:ascii="仿宋" w:hAnsi="仿宋" w:eastAsia="仿宋" w:cs="仿宋"/>
          <w:color w:val="000000"/>
          <w:sz w:val="28"/>
          <w:szCs w:val="28"/>
        </w:rPr>
        <w:t>》等相关法律法规规定，达成本协议， 并由双方共同恪守。</w:t>
      </w:r>
    </w:p>
    <w:p>
      <w:pPr>
        <w:spacing w:line="36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第一条</w:t>
      </w:r>
      <w:r>
        <w:rPr>
          <w:rFonts w:hint="eastAsia" w:ascii="仿宋" w:hAnsi="仿宋" w:eastAsia="仿宋" w:cs="仿宋"/>
          <w:b/>
          <w:bCs/>
          <w:color w:val="000000"/>
          <w:sz w:val="24"/>
        </w:rPr>
        <w:t xml:space="preserve"> </w:t>
      </w:r>
      <w:r>
        <w:rPr>
          <w:rFonts w:hint="eastAsia" w:ascii="仿宋" w:hAnsi="仿宋" w:eastAsia="仿宋" w:cs="仿宋"/>
          <w:b/>
          <w:bCs/>
          <w:color w:val="000000"/>
          <w:sz w:val="28"/>
          <w:szCs w:val="28"/>
          <w:lang w:val="en-US" w:eastAsia="zh-CN"/>
        </w:rPr>
        <w:t>项目实施</w:t>
      </w:r>
      <w:r>
        <w:rPr>
          <w:rFonts w:hint="eastAsia" w:ascii="仿宋" w:hAnsi="仿宋" w:eastAsia="仿宋" w:cs="仿宋"/>
          <w:b/>
          <w:bCs/>
          <w:color w:val="000000"/>
          <w:sz w:val="28"/>
          <w:szCs w:val="28"/>
        </w:rPr>
        <w:t>内容</w:t>
      </w:r>
      <w:r>
        <w:rPr>
          <w:rFonts w:hint="eastAsia" w:ascii="仿宋" w:hAnsi="仿宋" w:eastAsia="仿宋" w:cs="仿宋"/>
          <w:b/>
          <w:bCs/>
          <w:color w:val="000000"/>
          <w:sz w:val="28"/>
          <w:szCs w:val="28"/>
          <w:lang w:val="en-US" w:eastAsia="zh-CN"/>
        </w:rPr>
        <w:t>及</w:t>
      </w:r>
      <w:r>
        <w:rPr>
          <w:rFonts w:hint="eastAsia" w:ascii="仿宋" w:hAnsi="仿宋" w:eastAsia="仿宋" w:cs="仿宋"/>
          <w:b/>
          <w:bCs/>
          <w:color w:val="000000"/>
          <w:sz w:val="28"/>
          <w:szCs w:val="28"/>
        </w:rPr>
        <w:t>要求</w:t>
      </w:r>
    </w:p>
    <w:p>
      <w:pPr>
        <w:widowControl/>
        <w:spacing w:line="360" w:lineRule="auto"/>
        <w:jc w:val="left"/>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1.1 硬件部分</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1.1 显示系统硬件配置应为符合工业标准的主流货架产品，采用高可靠性的通用操作系统软件平台。</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1.2 中央处理器工作频率不小于2Ghz，正常工作状态下CPU占用率不能超过25%。</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3 内存要求不小于</w:t>
      </w:r>
      <w:r>
        <w:rPr>
          <w:rFonts w:hint="eastAsia" w:ascii="方正仿宋_GBK" w:hAnsi="方正仿宋_GBK" w:eastAsia="方正仿宋_GBK" w:cs="方正仿宋_GBK"/>
          <w:color w:val="000000"/>
          <w:sz w:val="28"/>
          <w:szCs w:val="28"/>
          <w:lang w:val="en-US" w:eastAsia="zh-CN"/>
        </w:rPr>
        <w:t>32G</w:t>
      </w:r>
      <w:r>
        <w:rPr>
          <w:rFonts w:hint="eastAsia" w:ascii="方正仿宋_GBK" w:hAnsi="方正仿宋_GBK" w:eastAsia="方正仿宋_GBK" w:cs="方正仿宋_GBK"/>
          <w:color w:val="000000"/>
          <w:sz w:val="28"/>
          <w:szCs w:val="28"/>
        </w:rPr>
        <w:t>容量。</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4 硬盘容量不小于</w:t>
      </w:r>
      <w:r>
        <w:rPr>
          <w:rFonts w:hint="eastAsia" w:ascii="方正仿宋_GBK" w:hAnsi="方正仿宋_GBK" w:eastAsia="方正仿宋_GBK" w:cs="方正仿宋_GBK"/>
          <w:color w:val="000000"/>
          <w:sz w:val="28"/>
          <w:szCs w:val="28"/>
          <w:lang w:val="en-US" w:eastAsia="zh-CN"/>
        </w:rPr>
        <w:t>256G固态</w:t>
      </w:r>
      <w:r>
        <w:rPr>
          <w:rFonts w:hint="eastAsia" w:ascii="方正仿宋_GBK" w:hAnsi="方正仿宋_GBK" w:eastAsia="方正仿宋_GBK" w:cs="方正仿宋_GBK"/>
          <w:color w:val="000000"/>
          <w:sz w:val="28"/>
          <w:szCs w:val="28"/>
        </w:rPr>
        <w:t>。</w:t>
      </w:r>
    </w:p>
    <w:p>
      <w:pPr>
        <w:ind w:firstLine="560" w:firstLineChars="200"/>
        <w:rPr>
          <w:rFonts w:hint="default" w:eastAsia="方正仿宋_GBK"/>
          <w:lang w:val="en-US" w:eastAsia="zh-CN"/>
        </w:rPr>
      </w:pPr>
      <w:r>
        <w:rPr>
          <w:rFonts w:hint="eastAsia" w:ascii="方正仿宋_GBK" w:hAnsi="方正仿宋_GBK" w:eastAsia="方正仿宋_GBK" w:cs="方正仿宋_GBK"/>
          <w:color w:val="000000"/>
          <w:sz w:val="28"/>
          <w:szCs w:val="28"/>
          <w:lang w:val="en-US" w:eastAsia="zh-CN"/>
        </w:rPr>
        <w:t>1.1.5 存储容量不小于2T。</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1.6</w:t>
      </w:r>
      <w:r>
        <w:rPr>
          <w:rFonts w:hint="eastAsia" w:ascii="方正仿宋_GBK" w:hAnsi="方正仿宋_GBK" w:eastAsia="方正仿宋_GBK" w:cs="方正仿宋_GBK"/>
          <w:color w:val="000000"/>
          <w:sz w:val="28"/>
          <w:szCs w:val="28"/>
        </w:rPr>
        <w:t xml:space="preserve"> 有相应的外设设备（光驱等）。</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1.7</w:t>
      </w:r>
      <w:r>
        <w:rPr>
          <w:rFonts w:hint="eastAsia" w:ascii="方正仿宋_GBK" w:hAnsi="方正仿宋_GBK" w:eastAsia="方正仿宋_GBK" w:cs="方正仿宋_GBK"/>
          <w:color w:val="000000"/>
          <w:sz w:val="28"/>
          <w:szCs w:val="28"/>
        </w:rPr>
        <w:t xml:space="preserve"> 监控显示器不小于24寸LCD显示器。</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1.8</w:t>
      </w:r>
      <w:r>
        <w:rPr>
          <w:rFonts w:hint="eastAsia" w:ascii="方正仿宋_GBK" w:hAnsi="方正仿宋_GBK" w:eastAsia="方正仿宋_GBK" w:cs="方正仿宋_GBK"/>
          <w:color w:val="000000"/>
          <w:sz w:val="28"/>
          <w:szCs w:val="28"/>
        </w:rPr>
        <w:t xml:space="preserve"> 配备符合工业标准相对应的高速网卡(100/1000M</w:t>
      </w:r>
      <w:r>
        <w:rPr>
          <w:rFonts w:hint="eastAsia" w:ascii="方正仿宋_GBK" w:hAnsi="方正仿宋_GBK" w:eastAsia="方正仿宋_GBK" w:cs="方正仿宋_GBK"/>
          <w:color w:val="000000"/>
          <w:sz w:val="28"/>
          <w:szCs w:val="28"/>
          <w:lang w:val="en-US" w:eastAsia="zh-CN"/>
        </w:rPr>
        <w:t>及以上</w:t>
      </w:r>
      <w:r>
        <w:rPr>
          <w:rFonts w:hint="eastAsia" w:ascii="方正仿宋_GBK" w:hAnsi="方正仿宋_GBK" w:eastAsia="方正仿宋_GBK" w:cs="方正仿宋_GBK"/>
          <w:color w:val="000000"/>
          <w:sz w:val="28"/>
          <w:szCs w:val="28"/>
        </w:rPr>
        <w:t>自适应网卡)。</w:t>
      </w:r>
    </w:p>
    <w:p>
      <w:pPr>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1.2 二次雷达接入及处理技术</w:t>
      </w:r>
    </w:p>
    <w:p>
      <w:pPr>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.1 具有同时处理场监雷达、航管雷达、ADS-B、MLAT、空管自动化综合航迹、塔台管制自动化综合航迹等信号能力。</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2.2 系统的处理范围为1024公里×1024公里。</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2.3 多雷达处理的方式为融合式多雷达跟踪处理（multi-radar tracking fusion），不采用马赛克方法。</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2.4 系统融合航迹刷新显示周期不大于5秒。</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2.5 单个雷达输入信号异常对系统航迹不产生影响。</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2.6 系统能够对单雷达航迹进行跟踪；能够建立单雷达跟踪历史记录；能够根据单雷达数据质量自动调整多雷达融合处理的动态加权系数。</w:t>
      </w:r>
    </w:p>
    <w:p>
      <w:pPr>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2.7 雷达数据处理系统平均故障间隔时间（MTBF），</w:t>
      </w:r>
      <w:r>
        <w:rPr>
          <w:rFonts w:hint="eastAsia" w:ascii="方正仿宋_GBK" w:hAnsi="方正仿宋_GBK" w:eastAsia="方正仿宋_GBK" w:cs="方正仿宋_GBK"/>
          <w:color w:val="000000"/>
          <w:sz w:val="28"/>
          <w:szCs w:val="28"/>
          <w:lang w:val="en-US" w:eastAsia="zh-CN"/>
        </w:rPr>
        <w:t>满足7*24小时要求</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2.8系统能够通过软件的设置接收并处理用户要求的任何格式的雷达信号。在用户对雷达格式没有提出特别要求时，至少应能处理以下厂家生产的原始雷达格式信号：</w:t>
      </w:r>
    </w:p>
    <w:p>
      <w:pPr>
        <w:numPr>
          <w:ilvl w:val="0"/>
          <w:numId w:val="1"/>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Raytheon雷达</w:t>
      </w:r>
    </w:p>
    <w:p>
      <w:pPr>
        <w:numPr>
          <w:ilvl w:val="0"/>
          <w:numId w:val="1"/>
        </w:numPr>
        <w:tabs>
          <w:tab w:val="left" w:pos="2730"/>
        </w:tabs>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ALENIA/Selex雷达</w:t>
      </w:r>
    </w:p>
    <w:p>
      <w:pPr>
        <w:numPr>
          <w:ilvl w:val="0"/>
          <w:numId w:val="1"/>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TOSHIBA雷达</w:t>
      </w:r>
    </w:p>
    <w:p>
      <w:pPr>
        <w:numPr>
          <w:ilvl w:val="0"/>
          <w:numId w:val="1"/>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Westinghouse雷达</w:t>
      </w:r>
    </w:p>
    <w:p>
      <w:pPr>
        <w:numPr>
          <w:ilvl w:val="0"/>
          <w:numId w:val="1"/>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Indra雷达</w:t>
      </w:r>
    </w:p>
    <w:p>
      <w:pPr>
        <w:numPr>
          <w:ilvl w:val="0"/>
          <w:numId w:val="1"/>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Siemens雷达</w:t>
      </w:r>
    </w:p>
    <w:p>
      <w:pPr>
        <w:numPr>
          <w:ilvl w:val="0"/>
          <w:numId w:val="1"/>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军航826雷达格式</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2.9航迹处理能力：RDP系统至少应能同时处理1024个系统航迹</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2.10系统应具备如下告警功能：</w:t>
      </w:r>
    </w:p>
    <w:p>
      <w:pPr>
        <w:numPr>
          <w:ilvl w:val="0"/>
          <w:numId w:val="2"/>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雷达数据的通信处理功能，有相应的告警信息。</w:t>
      </w:r>
    </w:p>
    <w:p>
      <w:pPr>
        <w:numPr>
          <w:ilvl w:val="0"/>
          <w:numId w:val="2"/>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在接收到二次代码为7500、7600、7700时，向指挥员提供适当的声音和视频告警。</w:t>
      </w:r>
    </w:p>
    <w:p>
      <w:pPr>
        <w:numPr>
          <w:ilvl w:val="0"/>
          <w:numId w:val="2"/>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雷达航迹冲突告警处理，应支持不同空域的可调的间隔标准，至少应保证两个雷达航迹冲突告警标准即终端区告警标准、航路冲突告警标准。</w:t>
      </w:r>
    </w:p>
    <w:p>
      <w:pPr>
        <w:numPr>
          <w:ilvl w:val="0"/>
          <w:numId w:val="2"/>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禁区、限制区入侵告警处理，用于探测飞机侵入限制的或保留的空域。产生告警的区域可在系统中设置。</w:t>
      </w:r>
    </w:p>
    <w:p>
      <w:pPr>
        <w:numPr>
          <w:ilvl w:val="0"/>
          <w:numId w:val="2"/>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具备雷达等数据中断警示，以及单雷达航迹航迹的处理显示能力。</w:t>
      </w:r>
    </w:p>
    <w:p>
      <w:pPr>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1.3 软件部分</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3.1 软件界面应具备如下信息：</w:t>
      </w:r>
    </w:p>
    <w:p>
      <w:pPr>
        <w:numPr>
          <w:ilvl w:val="0"/>
          <w:numId w:val="3"/>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周边地区航路、航线、机场、导航台等。</w:t>
      </w:r>
    </w:p>
    <w:p>
      <w:pPr>
        <w:numPr>
          <w:ilvl w:val="0"/>
          <w:numId w:val="3"/>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江北机场</w:t>
      </w:r>
      <w:r>
        <w:rPr>
          <w:rFonts w:hint="eastAsia" w:ascii="方正仿宋_GBK" w:hAnsi="方正仿宋_GBK" w:eastAsia="方正仿宋_GBK" w:cs="方正仿宋_GBK"/>
          <w:color w:val="000000"/>
          <w:sz w:val="28"/>
          <w:szCs w:val="28"/>
        </w:rPr>
        <w:t>机场进离场航线、常用转场航线、常用训练地标（名称、坐标、连线）</w:t>
      </w:r>
    </w:p>
    <w:p>
      <w:pPr>
        <w:numPr>
          <w:ilvl w:val="0"/>
          <w:numId w:val="3"/>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显示重要导航台。</w:t>
      </w:r>
    </w:p>
    <w:p>
      <w:pPr>
        <w:numPr>
          <w:ilvl w:val="0"/>
          <w:numId w:val="3"/>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江北</w:t>
      </w:r>
      <w:r>
        <w:rPr>
          <w:rFonts w:hint="eastAsia" w:ascii="方正仿宋_GBK" w:hAnsi="方正仿宋_GBK" w:eastAsia="方正仿宋_GBK" w:cs="方正仿宋_GBK"/>
          <w:color w:val="000000"/>
          <w:sz w:val="28"/>
          <w:szCs w:val="28"/>
        </w:rPr>
        <w:t>机场周围障碍物（天线杆、高压线、山的高度等</w:t>
      </w:r>
      <w:r>
        <w:rPr>
          <w:rFonts w:hint="eastAsia" w:ascii="方正仿宋_GBK" w:hAnsi="方正仿宋_GBK" w:eastAsia="方正仿宋_GBK" w:cs="方正仿宋_GBK"/>
          <w:color w:val="000000"/>
          <w:sz w:val="28"/>
          <w:szCs w:val="28"/>
          <w:lang w:eastAsia="zh-CN"/>
        </w:rPr>
        <w:t>）</w:t>
      </w:r>
    </w:p>
    <w:p>
      <w:pPr>
        <w:numPr>
          <w:ilvl w:val="0"/>
          <w:numId w:val="3"/>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航空地图所需的地形、地物、水系（注：根据图缩放可显示）。</w:t>
      </w:r>
    </w:p>
    <w:p>
      <w:pPr>
        <w:numPr>
          <w:ilvl w:val="0"/>
          <w:numId w:val="3"/>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临时地点、航线(坐标、名称)的添加和删除、保存。</w:t>
      </w:r>
    </w:p>
    <w:p>
      <w:pPr>
        <w:numPr>
          <w:ilvl w:val="0"/>
          <w:numId w:val="3"/>
        </w:numPr>
        <w:ind w:left="420" w:leftChars="0" w:hanging="420" w:firstLineChars="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具备增删机场控制区、禁区范围</w:t>
      </w:r>
      <w:r>
        <w:rPr>
          <w:rFonts w:hint="eastAsia" w:ascii="方正仿宋_GBK" w:hAnsi="方正仿宋_GBK" w:eastAsia="方正仿宋_GBK" w:cs="方正仿宋_GBK"/>
          <w:color w:val="000000"/>
          <w:sz w:val="28"/>
          <w:szCs w:val="28"/>
          <w:lang w:val="en-US" w:eastAsia="zh-CN"/>
        </w:rPr>
        <w:t>等功能</w:t>
      </w:r>
      <w:r>
        <w:rPr>
          <w:rFonts w:hint="eastAsia" w:ascii="方正仿宋_GBK" w:hAnsi="方正仿宋_GBK" w:eastAsia="方正仿宋_GBK" w:cs="方正仿宋_GBK"/>
          <w:color w:val="000000"/>
          <w:sz w:val="28"/>
          <w:szCs w:val="28"/>
        </w:rPr>
        <w:t>。</w:t>
      </w:r>
    </w:p>
    <w:p>
      <w:pPr>
        <w:numPr>
          <w:ilvl w:val="0"/>
          <w:numId w:val="3"/>
        </w:numPr>
        <w:ind w:left="420" w:leftChars="0" w:hanging="420" w:firstLineChars="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按甲方要求，需要增加的其他数据、功能图层以及相应图层</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3.2 航迹监视的技术要求：</w:t>
      </w:r>
    </w:p>
    <w:p>
      <w:pPr>
        <w:numPr>
          <w:ilvl w:val="0"/>
          <w:numId w:val="4"/>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简单背景图操作：偏心、距离测量、符号大小选择、标牌大小、方向等</w:t>
      </w:r>
    </w:p>
    <w:p>
      <w:pPr>
        <w:numPr>
          <w:ilvl w:val="0"/>
          <w:numId w:val="4"/>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显示航迹数量400个以上。</w:t>
      </w:r>
    </w:p>
    <w:p>
      <w:pPr>
        <w:numPr>
          <w:ilvl w:val="0"/>
          <w:numId w:val="4"/>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告警信息应有视频和声音提示，声音告警可人工抑制，对于不同的告警可通过颜色和声音进行区别，告警声音采用独立扬声器。</w:t>
      </w:r>
    </w:p>
    <w:p>
      <w:pPr>
        <w:numPr>
          <w:ilvl w:val="0"/>
          <w:numId w:val="4"/>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显示目标内容包括:航迹符号、标牌、引线、历史点迹、特殊代码等。</w:t>
      </w:r>
    </w:p>
    <w:p>
      <w:pPr>
        <w:numPr>
          <w:ilvl w:val="0"/>
          <w:numId w:val="4"/>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标牌内容包括:航班号/二次代码、高度、地速、尾迹类别、AIDC标识等。</w:t>
      </w:r>
    </w:p>
    <w:p>
      <w:pPr>
        <w:numPr>
          <w:ilvl w:val="0"/>
          <w:numId w:val="4"/>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重要二次代码航迹区别显示。</w:t>
      </w:r>
    </w:p>
    <w:p>
      <w:pPr>
        <w:numPr>
          <w:ilvl w:val="0"/>
          <w:numId w:val="4"/>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可进行人工</w:t>
      </w:r>
      <w:r>
        <w:rPr>
          <w:rFonts w:hint="eastAsia" w:ascii="方正仿宋_GBK" w:hAnsi="方正仿宋_GBK" w:eastAsia="方正仿宋_GBK" w:cs="方正仿宋_GBK"/>
          <w:color w:val="000000"/>
          <w:sz w:val="28"/>
          <w:szCs w:val="28"/>
          <w:lang w:val="en-US" w:eastAsia="zh-CN"/>
        </w:rPr>
        <w:t>/自动</w:t>
      </w:r>
      <w:r>
        <w:rPr>
          <w:rFonts w:hint="eastAsia" w:ascii="方正仿宋_GBK" w:hAnsi="方正仿宋_GBK" w:eastAsia="方正仿宋_GBK" w:cs="方正仿宋_GBK"/>
          <w:color w:val="000000"/>
          <w:sz w:val="28"/>
          <w:szCs w:val="28"/>
        </w:rPr>
        <w:t>标牌偏置,以减少标牌重叠引起的干扰。</w:t>
      </w:r>
    </w:p>
    <w:p>
      <w:pPr>
        <w:numPr>
          <w:ilvl w:val="0"/>
          <w:numId w:val="4"/>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偏心显示及快速中心恢复(最大径向不小于1024公里)。</w:t>
      </w:r>
    </w:p>
    <w:p>
      <w:pPr>
        <w:numPr>
          <w:ilvl w:val="0"/>
          <w:numId w:val="4"/>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距离环可在线选择或预先设置距离等级。</w:t>
      </w:r>
    </w:p>
    <w:p>
      <w:pPr>
        <w:numPr>
          <w:ilvl w:val="0"/>
          <w:numId w:val="4"/>
        </w:numPr>
        <w:ind w:left="420" w:leftChars="0" w:hanging="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能进行多重测量并显示任意两点间距离/角度(从活动目标到活动目标或到任意一点)。</w:t>
      </w:r>
    </w:p>
    <w:p>
      <w:pPr>
        <w:numPr>
          <w:ilvl w:val="0"/>
          <w:numId w:val="3"/>
        </w:numPr>
        <w:ind w:left="420" w:leftChars="0" w:hanging="420" w:firstLineChars="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按甲方要求，需要增加的其他航迹功能。</w:t>
      </w:r>
    </w:p>
    <w:p>
      <w:pPr>
        <w:pStyle w:val="14"/>
        <w:keepNext w:val="0"/>
        <w:keepLines w:val="0"/>
        <w:pageBreakBefore w:val="0"/>
        <w:widowControl w:val="0"/>
        <w:kinsoku/>
        <w:wordWrap/>
        <w:overflowPunct/>
        <w:topLinePunct w:val="0"/>
        <w:autoSpaceDE/>
        <w:autoSpaceDN/>
        <w:bidi w:val="0"/>
        <w:adjustRightInd/>
        <w:snapToGrid/>
        <w:spacing w:line="400" w:lineRule="exact"/>
        <w:ind w:firstLine="600"/>
        <w:textAlignment w:val="auto"/>
        <w:rPr>
          <w:rFonts w:hint="eastAsia" w:ascii="仿宋" w:hAnsi="仿宋" w:eastAsia="仿宋"/>
          <w:b/>
          <w:bCs/>
          <w:color w:val="000000"/>
          <w:kern w:val="0"/>
          <w:sz w:val="28"/>
          <w:szCs w:val="28"/>
          <w:lang w:val="en-US" w:eastAsia="zh-CN"/>
        </w:rPr>
      </w:pPr>
      <w:r>
        <w:rPr>
          <w:rFonts w:hint="eastAsia" w:ascii="仿宋" w:hAnsi="仿宋" w:eastAsia="仿宋"/>
          <w:b/>
          <w:bCs/>
          <w:color w:val="000000"/>
          <w:kern w:val="0"/>
          <w:sz w:val="28"/>
          <w:szCs w:val="28"/>
          <w:lang w:val="en-US" w:eastAsia="zh-CN"/>
        </w:rPr>
        <w:t>1.4 采购内容和范围</w:t>
      </w:r>
    </w:p>
    <w:p>
      <w:pPr>
        <w:numPr>
          <w:ilvl w:val="0"/>
          <w:numId w:val="0"/>
        </w:numPr>
        <w:ind w:leftChars="0"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w:t>
      </w:r>
      <w:r>
        <w:rPr>
          <w:rFonts w:hint="eastAsia" w:ascii="仿宋" w:hAnsi="仿宋" w:eastAsia="仿宋" w:cs="Times New Roman"/>
          <w:color w:val="000000"/>
          <w:sz w:val="28"/>
          <w:szCs w:val="28"/>
          <w:lang w:val="en-US" w:eastAsia="zh-CN"/>
        </w:rPr>
        <w:t>4.1</w:t>
      </w:r>
      <w:r>
        <w:rPr>
          <w:rFonts w:hint="eastAsia" w:ascii="仿宋" w:hAnsi="仿宋" w:eastAsia="仿宋" w:cs="Times New Roman"/>
          <w:color w:val="000000"/>
          <w:sz w:val="28"/>
          <w:szCs w:val="28"/>
          <w:lang w:eastAsia="zh-CN"/>
        </w:rPr>
        <w:t>本合同项下乙方所供货物情况如下：</w:t>
      </w:r>
    </w:p>
    <w:tbl>
      <w:tblPr>
        <w:tblStyle w:val="9"/>
        <w:tblW w:w="11518" w:type="dxa"/>
        <w:jc w:val="center"/>
        <w:tblInd w:w="0" w:type="dxa"/>
        <w:tblLayout w:type="fixed"/>
        <w:tblCellMar>
          <w:top w:w="0" w:type="dxa"/>
          <w:left w:w="108" w:type="dxa"/>
          <w:bottom w:w="0" w:type="dxa"/>
          <w:right w:w="108" w:type="dxa"/>
        </w:tblCellMar>
      </w:tblPr>
      <w:tblGrid>
        <w:gridCol w:w="823"/>
        <w:gridCol w:w="3296"/>
        <w:gridCol w:w="3833"/>
        <w:gridCol w:w="1783"/>
        <w:gridCol w:w="1783"/>
      </w:tblGrid>
      <w:tr>
        <w:tblPrEx>
          <w:tblLayout w:type="fixed"/>
          <w:tblCellMar>
            <w:top w:w="0" w:type="dxa"/>
            <w:left w:w="108" w:type="dxa"/>
            <w:bottom w:w="0" w:type="dxa"/>
            <w:right w:w="108" w:type="dxa"/>
          </w:tblCellMar>
        </w:tblPrEx>
        <w:trPr>
          <w:trHeight w:val="285" w:hRule="atLeast"/>
          <w:jc w:val="center"/>
        </w:trPr>
        <w:tc>
          <w:tcPr>
            <w:tcW w:w="823" w:type="dxa"/>
            <w:tcBorders>
              <w:top w:val="single" w:color="auto" w:sz="4" w:space="0"/>
              <w:left w:val="single" w:color="auto" w:sz="4" w:space="0"/>
              <w:bottom w:val="single" w:color="auto" w:sz="4" w:space="0"/>
              <w:right w:val="single" w:color="auto" w:sz="4" w:space="0"/>
            </w:tcBorders>
            <w:shd w:val="clear" w:color="000000" w:fill="C0C0C0"/>
            <w:vAlign w:val="center"/>
          </w:tcPr>
          <w:p>
            <w:pPr>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序号</w:t>
            </w:r>
          </w:p>
        </w:tc>
        <w:tc>
          <w:tcPr>
            <w:tcW w:w="3296" w:type="dxa"/>
            <w:tcBorders>
              <w:top w:val="single" w:color="auto" w:sz="4" w:space="0"/>
              <w:left w:val="single" w:color="auto" w:sz="4" w:space="0"/>
              <w:bottom w:val="single" w:color="auto" w:sz="4" w:space="0"/>
              <w:right w:val="single" w:color="auto" w:sz="4" w:space="0"/>
            </w:tcBorders>
            <w:shd w:val="clear" w:color="000000" w:fill="C0C0C0"/>
            <w:vAlign w:val="center"/>
          </w:tcPr>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服务名称</w:t>
            </w:r>
          </w:p>
        </w:tc>
        <w:tc>
          <w:tcPr>
            <w:tcW w:w="3833" w:type="dxa"/>
            <w:tcBorders>
              <w:top w:val="single" w:color="auto" w:sz="4" w:space="0"/>
              <w:left w:val="single" w:color="auto" w:sz="4" w:space="0"/>
              <w:bottom w:val="single" w:color="auto" w:sz="4" w:space="0"/>
              <w:right w:val="single" w:color="auto" w:sz="4" w:space="0"/>
            </w:tcBorders>
            <w:shd w:val="clear" w:color="000000" w:fill="C0C0C0"/>
            <w:vAlign w:val="center"/>
          </w:tcPr>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描述</w:t>
            </w:r>
          </w:p>
        </w:tc>
        <w:tc>
          <w:tcPr>
            <w:tcW w:w="1783" w:type="dxa"/>
            <w:tcBorders>
              <w:top w:val="single" w:color="auto" w:sz="4" w:space="0"/>
              <w:left w:val="single" w:color="auto" w:sz="4" w:space="0"/>
              <w:bottom w:val="single" w:color="auto" w:sz="4" w:space="0"/>
              <w:right w:val="single" w:color="auto" w:sz="4" w:space="0"/>
            </w:tcBorders>
            <w:shd w:val="clear" w:color="000000" w:fill="C0C0C0"/>
            <w:vAlign w:val="center"/>
          </w:tcPr>
          <w:p>
            <w:pPr>
              <w:ind w:firstLine="560" w:firstLineChars="200"/>
              <w:rPr>
                <w:rFonts w:hint="default"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数量</w:t>
            </w:r>
          </w:p>
        </w:tc>
        <w:tc>
          <w:tcPr>
            <w:tcW w:w="1783" w:type="dxa"/>
            <w:tcBorders>
              <w:top w:val="single" w:color="auto" w:sz="4" w:space="0"/>
              <w:left w:val="single" w:color="auto" w:sz="4" w:space="0"/>
              <w:bottom w:val="single" w:color="auto" w:sz="4" w:space="0"/>
              <w:right w:val="single" w:color="auto" w:sz="4" w:space="0"/>
            </w:tcBorders>
            <w:shd w:val="clear" w:color="000000" w:fill="C0C0C0"/>
            <w:vAlign w:val="center"/>
          </w:tcPr>
          <w:p>
            <w:pPr>
              <w:ind w:firstLine="560" w:firstLineChars="200"/>
              <w:rPr>
                <w:rFonts w:hint="default"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单价</w:t>
            </w:r>
          </w:p>
        </w:tc>
      </w:tr>
      <w:tr>
        <w:tblPrEx>
          <w:tblLayout w:type="fixed"/>
          <w:tblCellMar>
            <w:top w:w="0" w:type="dxa"/>
            <w:left w:w="108" w:type="dxa"/>
            <w:bottom w:w="0" w:type="dxa"/>
            <w:right w:w="108" w:type="dxa"/>
          </w:tblCellMar>
        </w:tblPrEx>
        <w:trPr>
          <w:trHeight w:val="28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default" w:ascii="仿宋" w:hAnsi="仿宋" w:eastAsia="仿宋" w:cs="Times New Roman"/>
                <w:color w:val="000000"/>
                <w:sz w:val="24"/>
                <w:szCs w:val="24"/>
                <w:lang w:val="en-US" w:eastAsia="zh-CN"/>
              </w:rPr>
            </w:pPr>
            <w:r>
              <w:rPr>
                <w:rFonts w:hint="eastAsia" w:ascii="Times New Roman" w:hAnsi="Times New Roman" w:eastAsia="黑体" w:cs="黑体"/>
                <w:b/>
                <w:i w:val="0"/>
                <w:color w:val="000000"/>
                <w:kern w:val="0"/>
                <w:sz w:val="21"/>
                <w:szCs w:val="21"/>
                <w:u w:val="none"/>
                <w:lang w:val="en-US" w:eastAsia="zh-CN" w:bidi="ar"/>
              </w:rPr>
              <w:t>序号</w:t>
            </w:r>
          </w:p>
        </w:tc>
        <w:tc>
          <w:tcPr>
            <w:tcW w:w="3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default" w:ascii="仿宋" w:hAnsi="仿宋" w:eastAsia="仿宋" w:cs="Times New Roman"/>
                <w:color w:val="000000"/>
                <w:sz w:val="24"/>
                <w:szCs w:val="24"/>
                <w:lang w:val="en-US" w:eastAsia="zh-CN"/>
              </w:rPr>
            </w:pPr>
            <w:r>
              <w:rPr>
                <w:rFonts w:hint="eastAsia" w:ascii="Times New Roman" w:hAnsi="Times New Roman" w:eastAsia="黑体" w:cs="黑体"/>
                <w:b/>
                <w:i w:val="0"/>
                <w:color w:val="000000"/>
                <w:kern w:val="0"/>
                <w:sz w:val="21"/>
                <w:szCs w:val="21"/>
                <w:u w:val="none"/>
                <w:lang w:val="en-US" w:eastAsia="zh-CN" w:bidi="ar"/>
              </w:rPr>
              <w:t>名称</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黑体" w:cs="黑体"/>
                <w:b/>
                <w:i w:val="0"/>
                <w:color w:val="000000"/>
                <w:kern w:val="0"/>
                <w:sz w:val="21"/>
                <w:szCs w:val="21"/>
                <w:u w:val="none"/>
                <w:lang w:val="en-US" w:eastAsia="zh-CN" w:bidi="ar"/>
              </w:rPr>
              <w:t>规格</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黑体" w:cs="黑体"/>
                <w:b/>
                <w:i w:val="0"/>
                <w:color w:val="000000"/>
                <w:kern w:val="0"/>
                <w:sz w:val="21"/>
                <w:szCs w:val="21"/>
                <w:u w:val="none"/>
                <w:lang w:val="en-US" w:eastAsia="zh-CN" w:bidi="ar"/>
              </w:rPr>
            </w:pP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黑体" w:cs="黑体"/>
                <w:b/>
                <w:i w:val="0"/>
                <w:color w:val="000000"/>
                <w:kern w:val="0"/>
                <w:sz w:val="21"/>
                <w:szCs w:val="21"/>
                <w:u w:val="none"/>
                <w:lang w:val="en-US" w:eastAsia="zh-CN" w:bidi="ar"/>
              </w:rPr>
            </w:pPr>
          </w:p>
        </w:tc>
      </w:tr>
      <w:tr>
        <w:tblPrEx>
          <w:tblLayout w:type="fixed"/>
          <w:tblCellMar>
            <w:top w:w="0" w:type="dxa"/>
            <w:left w:w="108" w:type="dxa"/>
            <w:bottom w:w="0" w:type="dxa"/>
            <w:right w:w="108" w:type="dxa"/>
          </w:tblCellMar>
        </w:tblPrEx>
        <w:trPr>
          <w:trHeight w:val="28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default" w:ascii="仿宋" w:hAnsi="仿宋" w:eastAsia="仿宋" w:cs="Times New Roman"/>
                <w:color w:val="000000"/>
                <w:sz w:val="24"/>
                <w:szCs w:val="24"/>
                <w:lang w:val="en-US" w:eastAsia="zh-CN"/>
              </w:rPr>
            </w:pPr>
            <w:r>
              <w:rPr>
                <w:rFonts w:hint="eastAsia" w:ascii="Times New Roman" w:hAnsi="Times New Roman" w:eastAsia="宋体" w:cs="宋体"/>
                <w:b/>
                <w:i w:val="0"/>
                <w:color w:val="000000"/>
                <w:kern w:val="0"/>
                <w:sz w:val="21"/>
                <w:szCs w:val="21"/>
                <w:u w:val="none"/>
                <w:lang w:val="en-US" w:eastAsia="zh-CN" w:bidi="ar"/>
              </w:rPr>
              <w:t>1</w:t>
            </w:r>
          </w:p>
        </w:tc>
        <w:tc>
          <w:tcPr>
            <w:tcW w:w="3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雷达与ADSB接入设备</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8路接入</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r>
      <w:tr>
        <w:tblPrEx>
          <w:tblLayout w:type="fixed"/>
          <w:tblCellMar>
            <w:top w:w="0" w:type="dxa"/>
            <w:left w:w="108" w:type="dxa"/>
            <w:bottom w:w="0" w:type="dxa"/>
            <w:right w:w="108" w:type="dxa"/>
          </w:tblCellMar>
        </w:tblPrEx>
        <w:trPr>
          <w:trHeight w:val="28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b/>
                <w:i w:val="0"/>
                <w:color w:val="000000"/>
                <w:kern w:val="0"/>
                <w:sz w:val="21"/>
                <w:szCs w:val="21"/>
                <w:u w:val="none"/>
                <w:lang w:val="en-US" w:eastAsia="zh-CN" w:bidi="ar"/>
              </w:rPr>
              <w:t>2</w:t>
            </w:r>
          </w:p>
        </w:tc>
        <w:tc>
          <w:tcPr>
            <w:tcW w:w="3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空域规划移动终端设备</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32G内存、256G固态+2T存储</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r>
      <w:tr>
        <w:tblPrEx>
          <w:tblLayout w:type="fixed"/>
          <w:tblCellMar>
            <w:top w:w="0" w:type="dxa"/>
            <w:left w:w="108" w:type="dxa"/>
            <w:bottom w:w="0" w:type="dxa"/>
            <w:right w:w="108" w:type="dxa"/>
          </w:tblCellMar>
        </w:tblPrEx>
        <w:trPr>
          <w:trHeight w:val="28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b/>
                <w:i w:val="0"/>
                <w:color w:val="000000"/>
                <w:kern w:val="0"/>
                <w:sz w:val="21"/>
                <w:szCs w:val="21"/>
                <w:u w:val="none"/>
                <w:lang w:val="en-US" w:eastAsia="zh-CN" w:bidi="ar"/>
              </w:rPr>
              <w:t>3</w:t>
            </w:r>
          </w:p>
        </w:tc>
        <w:tc>
          <w:tcPr>
            <w:tcW w:w="3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空域态势终端设备</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32G内存、256G固态+2T存储</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r>
      <w:tr>
        <w:tblPrEx>
          <w:tblLayout w:type="fixed"/>
          <w:tblCellMar>
            <w:top w:w="0" w:type="dxa"/>
            <w:left w:w="108" w:type="dxa"/>
            <w:bottom w:w="0" w:type="dxa"/>
            <w:right w:w="108" w:type="dxa"/>
          </w:tblCellMar>
        </w:tblPrEx>
        <w:trPr>
          <w:trHeight w:val="28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cs="宋体"/>
                <w:b/>
                <w:i w:val="0"/>
                <w:color w:val="000000"/>
                <w:sz w:val="21"/>
                <w:szCs w:val="21"/>
                <w:u w:val="none"/>
                <w:lang w:val="en-US" w:eastAsia="zh-CN"/>
              </w:rPr>
              <w:t>4</w:t>
            </w:r>
          </w:p>
        </w:tc>
        <w:tc>
          <w:tcPr>
            <w:tcW w:w="3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空域规划数据库</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存储空域规划支撑数据、空域规划数据、空情数据</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r>
      <w:tr>
        <w:tblPrEx>
          <w:tblLayout w:type="fixed"/>
          <w:tblCellMar>
            <w:top w:w="0" w:type="dxa"/>
            <w:left w:w="108" w:type="dxa"/>
            <w:bottom w:w="0" w:type="dxa"/>
            <w:right w:w="108" w:type="dxa"/>
          </w:tblCellMar>
        </w:tblPrEx>
        <w:trPr>
          <w:trHeight w:val="28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cs="宋体"/>
                <w:b/>
                <w:i w:val="0"/>
                <w:color w:val="000000"/>
                <w:sz w:val="21"/>
                <w:szCs w:val="21"/>
                <w:u w:val="none"/>
                <w:lang w:val="en-US" w:eastAsia="zh-CN"/>
              </w:rPr>
              <w:t>5</w:t>
            </w:r>
          </w:p>
        </w:tc>
        <w:tc>
          <w:tcPr>
            <w:tcW w:w="3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空域规划终端软件</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空域态势显示、空域及进离场航线规划</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r>
      <w:tr>
        <w:tblPrEx>
          <w:tblLayout w:type="fixed"/>
          <w:tblCellMar>
            <w:top w:w="0" w:type="dxa"/>
            <w:left w:w="108" w:type="dxa"/>
            <w:bottom w:w="0" w:type="dxa"/>
            <w:right w:w="108" w:type="dxa"/>
          </w:tblCellMar>
        </w:tblPrEx>
        <w:trPr>
          <w:trHeight w:val="480"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cs="宋体"/>
                <w:b/>
                <w:i w:val="0"/>
                <w:color w:val="000000"/>
                <w:sz w:val="21"/>
                <w:szCs w:val="21"/>
                <w:u w:val="none"/>
                <w:lang w:val="en-US" w:eastAsia="zh-CN"/>
              </w:rPr>
              <w:t>6</w:t>
            </w:r>
          </w:p>
        </w:tc>
        <w:tc>
          <w:tcPr>
            <w:tcW w:w="3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空域态势展示终端软件</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监视数据接入、空情实时显示、空域及航线态势显示、导航资源规划、历史数据分析。</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r>
      <w:tr>
        <w:tblPrEx>
          <w:tblLayout w:type="fixed"/>
          <w:tblCellMar>
            <w:top w:w="0" w:type="dxa"/>
            <w:left w:w="108" w:type="dxa"/>
            <w:bottom w:w="0" w:type="dxa"/>
            <w:right w:w="108" w:type="dxa"/>
          </w:tblCellMar>
        </w:tblPrEx>
        <w:trPr>
          <w:trHeight w:val="478"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cs="宋体"/>
                <w:b/>
                <w:i w:val="0"/>
                <w:color w:val="000000"/>
                <w:sz w:val="21"/>
                <w:szCs w:val="21"/>
                <w:u w:val="none"/>
                <w:lang w:val="en-US" w:eastAsia="zh-CN"/>
              </w:rPr>
              <w:t>7</w:t>
            </w:r>
          </w:p>
        </w:tc>
        <w:tc>
          <w:tcPr>
            <w:tcW w:w="3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安装调试及培训</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现场安装、集成调试、现场培训</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宋体" w:cs="宋体"/>
                <w:i w:val="0"/>
                <w:color w:val="000000"/>
                <w:kern w:val="0"/>
                <w:sz w:val="21"/>
                <w:szCs w:val="21"/>
                <w:u w:val="none"/>
                <w:lang w:val="en-US" w:eastAsia="zh-CN" w:bidi="ar"/>
              </w:rPr>
            </w:pPr>
          </w:p>
        </w:tc>
      </w:tr>
      <w:tr>
        <w:tblPrEx>
          <w:tblLayout w:type="fixed"/>
          <w:tblCellMar>
            <w:top w:w="0" w:type="dxa"/>
            <w:left w:w="108" w:type="dxa"/>
            <w:bottom w:w="0" w:type="dxa"/>
            <w:right w:w="108" w:type="dxa"/>
          </w:tblCellMar>
        </w:tblPrEx>
        <w:trPr>
          <w:trHeight w:val="480"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eastAsia="黑体" w:cs="黑体"/>
                <w:b/>
                <w:i w:val="0"/>
                <w:color w:val="000000"/>
                <w:sz w:val="21"/>
                <w:szCs w:val="21"/>
                <w:u w:val="none"/>
                <w:lang w:val="en-US" w:eastAsia="zh-CN"/>
              </w:rPr>
              <w:t>8</w:t>
            </w:r>
          </w:p>
        </w:tc>
        <w:tc>
          <w:tcPr>
            <w:tcW w:w="3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宋体" w:cs="宋体"/>
                <w:i w:val="0"/>
                <w:color w:val="000000"/>
                <w:kern w:val="0"/>
                <w:sz w:val="21"/>
                <w:szCs w:val="21"/>
                <w:u w:val="none"/>
                <w:lang w:val="en-US" w:eastAsia="zh-CN" w:bidi="ar"/>
              </w:rPr>
              <w:t>数据维护服务</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Times New Roman"/>
                <w:color w:val="000000"/>
                <w:sz w:val="24"/>
                <w:szCs w:val="24"/>
                <w:lang w:val="en-US" w:eastAsia="zh-CN"/>
              </w:rPr>
            </w:pPr>
            <w:r>
              <w:rPr>
                <w:rFonts w:hint="eastAsia" w:ascii="Times New Roman" w:hAnsi="Times New Roman" w:eastAsia="黑体" w:cs="黑体"/>
                <w:i w:val="0"/>
                <w:color w:val="000000"/>
                <w:kern w:val="0"/>
                <w:sz w:val="21"/>
                <w:szCs w:val="21"/>
                <w:u w:val="none"/>
                <w:lang w:val="en-US" w:eastAsia="zh-CN" w:bidi="ar"/>
              </w:rPr>
              <w:t>空域规划支撑数据更新及维护（3年）</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黑体" w:cs="黑体"/>
                <w:i w:val="0"/>
                <w:color w:val="000000"/>
                <w:kern w:val="0"/>
                <w:sz w:val="21"/>
                <w:szCs w:val="21"/>
                <w:u w:val="none"/>
                <w:lang w:val="en-US" w:eastAsia="zh-CN" w:bidi="ar"/>
              </w:rPr>
            </w:pP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黑体" w:cs="黑体"/>
                <w:i w:val="0"/>
                <w:color w:val="000000"/>
                <w:kern w:val="0"/>
                <w:sz w:val="21"/>
                <w:szCs w:val="21"/>
                <w:u w:val="none"/>
                <w:lang w:val="en-US" w:eastAsia="zh-CN" w:bidi="ar"/>
              </w:rPr>
            </w:pPr>
          </w:p>
        </w:tc>
      </w:tr>
    </w:tbl>
    <w:p>
      <w:pPr>
        <w:rPr>
          <w:rFonts w:hint="default"/>
          <w:lang w:val="en-US" w:eastAsia="zh-CN"/>
        </w:rPr>
      </w:pPr>
    </w:p>
    <w:p>
      <w:pPr>
        <w:rPr>
          <w:rFonts w:hint="eastAsia" w:ascii="仿宋" w:hAnsi="仿宋" w:eastAsia="仿宋"/>
          <w:b/>
          <w:bCs/>
          <w:color w:val="000000"/>
          <w:kern w:val="0"/>
          <w:sz w:val="28"/>
          <w:szCs w:val="28"/>
          <w:lang w:val="en-US" w:eastAsia="zh-CN"/>
        </w:rPr>
      </w:pPr>
      <w:r>
        <w:rPr>
          <w:rFonts w:hint="eastAsia" w:ascii="仿宋" w:hAnsi="仿宋" w:eastAsia="仿宋"/>
          <w:b/>
          <w:bCs/>
          <w:color w:val="000000"/>
          <w:kern w:val="0"/>
          <w:sz w:val="28"/>
          <w:szCs w:val="28"/>
          <w:lang w:val="en-US" w:eastAsia="zh-CN"/>
        </w:rPr>
        <w:t>1.5 安装调试及培训部分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 xml:space="preserve">1.5.1 </w:t>
      </w:r>
      <w:r>
        <w:rPr>
          <w:rFonts w:hint="eastAsia" w:ascii="仿宋" w:hAnsi="仿宋" w:eastAsia="仿宋"/>
          <w:color w:val="000000"/>
          <w:sz w:val="28"/>
          <w:szCs w:val="28"/>
        </w:rPr>
        <w:t>交货后</w:t>
      </w:r>
      <w:r>
        <w:rPr>
          <w:rFonts w:hint="eastAsia" w:ascii="仿宋" w:hAnsi="仿宋" w:eastAsia="仿宋"/>
          <w:color w:val="000000"/>
          <w:sz w:val="28"/>
          <w:szCs w:val="28"/>
          <w:lang w:val="en-US" w:eastAsia="zh-CN"/>
        </w:rPr>
        <w:t>乙方</w:t>
      </w:r>
      <w:r>
        <w:rPr>
          <w:rFonts w:hint="eastAsia" w:ascii="仿宋" w:hAnsi="仿宋" w:eastAsia="仿宋"/>
          <w:color w:val="000000"/>
          <w:sz w:val="28"/>
          <w:szCs w:val="28"/>
        </w:rPr>
        <w:t>须派技术人员指导用户进行现场实测，以验证仪器性能。</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1.5.2乙方负责对用户进行现场培训，并提供相应的安装、维护、操作、培训资料。</w:t>
      </w:r>
    </w:p>
    <w:p>
      <w:pPr>
        <w:rPr>
          <w:rFonts w:hint="eastAsia" w:ascii="仿宋" w:hAnsi="仿宋" w:eastAsia="仿宋"/>
          <w:b/>
          <w:bCs/>
          <w:color w:val="000000"/>
          <w:kern w:val="0"/>
          <w:sz w:val="28"/>
          <w:szCs w:val="28"/>
          <w:lang w:val="en-US" w:eastAsia="zh-CN"/>
        </w:rPr>
      </w:pPr>
      <w:r>
        <w:rPr>
          <w:rFonts w:hint="eastAsia" w:ascii="仿宋" w:hAnsi="仿宋" w:eastAsia="仿宋"/>
          <w:b/>
          <w:bCs/>
          <w:color w:val="000000"/>
          <w:kern w:val="0"/>
          <w:sz w:val="28"/>
          <w:szCs w:val="28"/>
          <w:lang w:val="en-US" w:eastAsia="zh-CN"/>
        </w:rPr>
        <w:t>1.6 技术服务</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1.6.1 乙方提供设备生命周期内的技术维修；</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1.6.2乙方对售后服务的需求必须在24小时内答复，在48小时内提供技术服务；</w:t>
      </w:r>
    </w:p>
    <w:p>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1.6.3乙方长期为甲方提供备件采购服务；</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1.6.4 乙方长期为甲方提供数据更新和供应服务。</w:t>
      </w: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第二条 履行的期限、地点</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2.1</w:t>
      </w:r>
      <w:r>
        <w:rPr>
          <w:rFonts w:hint="eastAsia" w:ascii="仿宋" w:hAnsi="仿宋" w:eastAsia="仿宋" w:cs="仿宋"/>
          <w:color w:val="000000"/>
          <w:sz w:val="28"/>
          <w:szCs w:val="28"/>
          <w:lang w:val="en-US" w:eastAsia="zh-CN"/>
        </w:rPr>
        <w:t>项目实施</w:t>
      </w:r>
      <w:r>
        <w:rPr>
          <w:rFonts w:hint="eastAsia" w:ascii="仿宋" w:hAnsi="仿宋" w:eastAsia="仿宋" w:cs="仿宋"/>
          <w:color w:val="000000"/>
          <w:sz w:val="28"/>
          <w:szCs w:val="28"/>
        </w:rPr>
        <w:t>地点：</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single"/>
          <w:lang w:val="en-US" w:eastAsia="zh-CN"/>
        </w:rPr>
        <w:t>重庆江北国际机场</w:t>
      </w:r>
      <w:r>
        <w:rPr>
          <w:rFonts w:hint="eastAsia" w:ascii="仿宋" w:hAnsi="仿宋" w:eastAsia="仿宋" w:cs="仿宋"/>
          <w:color w:val="000000"/>
          <w:sz w:val="28"/>
          <w:szCs w:val="28"/>
        </w:rPr>
        <w:t>；</w:t>
      </w:r>
    </w:p>
    <w:p>
      <w:pPr>
        <w:spacing w:line="360" w:lineRule="auto"/>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rPr>
        <w:t>2.2</w:t>
      </w:r>
      <w:r>
        <w:rPr>
          <w:rFonts w:hint="eastAsia" w:ascii="仿宋" w:hAnsi="仿宋" w:eastAsia="仿宋" w:cs="仿宋"/>
          <w:color w:val="000000"/>
          <w:sz w:val="28"/>
          <w:szCs w:val="28"/>
          <w:lang w:val="en-US" w:eastAsia="zh-CN"/>
        </w:rPr>
        <w:t>项目工期</w:t>
      </w:r>
      <w:r>
        <w:rPr>
          <w:rFonts w:hint="eastAsia" w:ascii="仿宋" w:hAnsi="仿宋" w:eastAsia="仿宋" w:cs="仿宋"/>
          <w:color w:val="000000"/>
          <w:sz w:val="28"/>
          <w:szCs w:val="28"/>
        </w:rPr>
        <w:t>： </w:t>
      </w:r>
      <w:r>
        <w:rPr>
          <w:rFonts w:hint="eastAsia" w:ascii="仿宋" w:hAnsi="仿宋" w:eastAsia="仿宋" w:cs="仿宋"/>
          <w:color w:val="000000"/>
          <w:sz w:val="28"/>
          <w:szCs w:val="28"/>
          <w:u w:val="single"/>
          <w:lang w:val="en-GB"/>
        </w:rPr>
        <w:t>从《合同协议书》生效之日起</w:t>
      </w:r>
      <w:r>
        <w:rPr>
          <w:rFonts w:hint="eastAsia" w:ascii="仿宋" w:hAnsi="仿宋" w:eastAsia="仿宋" w:cs="仿宋"/>
          <w:color w:val="000000"/>
          <w:sz w:val="28"/>
          <w:szCs w:val="28"/>
          <w:u w:val="single"/>
          <w:lang w:val="en-US" w:eastAsia="zh-CN"/>
        </w:rPr>
        <w:t>90个日历天；</w:t>
      </w:r>
    </w:p>
    <w:p>
      <w:pPr>
        <w:spacing w:line="360" w:lineRule="auto"/>
        <w:rPr>
          <w:rFonts w:hint="default"/>
          <w:u w:val="none"/>
          <w:lang w:val="en-US"/>
        </w:rPr>
      </w:pPr>
      <w:r>
        <w:rPr>
          <w:rFonts w:hint="eastAsia" w:ascii="仿宋" w:hAnsi="仿宋" w:eastAsia="仿宋" w:cs="仿宋"/>
          <w:color w:val="000000"/>
          <w:sz w:val="28"/>
          <w:szCs w:val="28"/>
          <w:u w:val="none"/>
          <w:lang w:val="en-US" w:eastAsia="zh-CN"/>
        </w:rPr>
        <w:t>2.3质保期：3</w:t>
      </w:r>
      <w:r>
        <w:rPr>
          <w:rFonts w:hint="eastAsia" w:ascii="仿宋" w:hAnsi="仿宋" w:eastAsia="仿宋" w:cs="仿宋"/>
          <w:color w:val="000000"/>
          <w:sz w:val="28"/>
          <w:szCs w:val="28"/>
          <w:u w:val="single"/>
          <w:lang w:val="en-US" w:eastAsia="zh-CN"/>
        </w:rPr>
        <w:t>年</w:t>
      </w:r>
    </w:p>
    <w:p>
      <w:pPr>
        <w:numPr>
          <w:ilvl w:val="0"/>
          <w:numId w:val="6"/>
        </w:numPr>
        <w:spacing w:line="36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合同价款</w:t>
      </w:r>
    </w:p>
    <w:p>
      <w:pPr>
        <w:adjustRightInd w:val="0"/>
        <w:snapToGrid w:val="0"/>
        <w:spacing w:line="360" w:lineRule="auto"/>
        <w:ind w:firstLine="560" w:firstLineChars="200"/>
        <w:rPr>
          <w:rFonts w:hint="eastAsia"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3</w:t>
      </w:r>
      <w:r>
        <w:rPr>
          <w:rFonts w:hint="default" w:ascii="仿宋" w:hAnsi="仿宋" w:eastAsia="仿宋"/>
          <w:color w:val="000000"/>
          <w:kern w:val="0"/>
          <w:sz w:val="28"/>
          <w:szCs w:val="28"/>
          <w:lang w:val="en-US" w:eastAsia="zh-CN"/>
        </w:rPr>
        <w:t xml:space="preserve">.1 </w:t>
      </w:r>
      <w:r>
        <w:rPr>
          <w:rFonts w:hint="eastAsia" w:ascii="仿宋" w:hAnsi="仿宋" w:eastAsia="仿宋"/>
          <w:color w:val="000000"/>
          <w:kern w:val="0"/>
          <w:sz w:val="28"/>
          <w:szCs w:val="28"/>
          <w:lang w:val="en-US" w:eastAsia="zh-CN"/>
        </w:rPr>
        <w:t>合同总额为：</w:t>
      </w:r>
      <w:r>
        <w:rPr>
          <w:rFonts w:hint="eastAsia" w:ascii="仿宋" w:hAnsi="仿宋" w:eastAsia="仿宋"/>
          <w:color w:val="000000"/>
          <w:kern w:val="0"/>
          <w:sz w:val="28"/>
          <w:szCs w:val="28"/>
          <w:u w:val="single"/>
          <w:lang w:val="en-US" w:eastAsia="zh-CN"/>
        </w:rPr>
        <w:t xml:space="preserve">  </w:t>
      </w:r>
      <w:r>
        <w:rPr>
          <w:rFonts w:hint="eastAsia" w:ascii="仿宋" w:hAnsi="仿宋" w:eastAsia="仿宋"/>
          <w:color w:val="000000"/>
          <w:kern w:val="0"/>
          <w:sz w:val="28"/>
          <w:szCs w:val="28"/>
          <w:lang w:val="en-US" w:eastAsia="zh-CN"/>
        </w:rPr>
        <w:t>整（不含税）大写：人民币</w:t>
      </w:r>
      <w:r>
        <w:rPr>
          <w:rFonts w:hint="eastAsia" w:ascii="仿宋" w:hAnsi="仿宋" w:eastAsia="仿宋"/>
          <w:color w:val="000000"/>
          <w:kern w:val="0"/>
          <w:sz w:val="28"/>
          <w:szCs w:val="28"/>
          <w:u w:val="single"/>
          <w:lang w:val="en-US" w:eastAsia="zh-CN"/>
        </w:rPr>
        <w:t xml:space="preserve">  </w:t>
      </w:r>
      <w:r>
        <w:rPr>
          <w:rFonts w:hint="eastAsia" w:ascii="仿宋" w:hAnsi="仿宋" w:eastAsia="仿宋"/>
          <w:color w:val="000000"/>
          <w:kern w:val="0"/>
          <w:sz w:val="28"/>
          <w:szCs w:val="28"/>
          <w:lang w:val="en-US" w:eastAsia="zh-CN"/>
        </w:rPr>
        <w:t>整（不含税）；</w:t>
      </w:r>
    </w:p>
    <w:p>
      <w:pPr>
        <w:adjustRightInd w:val="0"/>
        <w:snapToGrid w:val="0"/>
        <w:spacing w:line="360" w:lineRule="auto"/>
        <w:ind w:firstLine="560" w:firstLineChars="200"/>
        <w:rPr>
          <w:rFonts w:hint="eastAsia"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3.2 合同总额由甲方</w:t>
      </w:r>
      <w:r>
        <w:rPr>
          <w:rFonts w:hint="eastAsia" w:ascii="仿宋" w:hAnsi="仿宋" w:eastAsia="仿宋"/>
          <w:color w:val="000000"/>
          <w:kern w:val="0"/>
          <w:sz w:val="28"/>
          <w:szCs w:val="28"/>
          <w:u w:val="single"/>
          <w:lang w:val="en-US" w:eastAsia="zh-CN"/>
        </w:rPr>
        <w:t>分期</w:t>
      </w:r>
      <w:r>
        <w:rPr>
          <w:rFonts w:hint="eastAsia" w:ascii="仿宋" w:hAnsi="仿宋" w:eastAsia="仿宋"/>
          <w:color w:val="000000"/>
          <w:kern w:val="0"/>
          <w:sz w:val="28"/>
          <w:szCs w:val="28"/>
          <w:lang w:val="en-US" w:eastAsia="zh-CN"/>
        </w:rPr>
        <w:t>支付乙方；</w:t>
      </w:r>
    </w:p>
    <w:p>
      <w:pPr>
        <w:adjustRightInd w:val="0"/>
        <w:snapToGrid w:val="0"/>
        <w:spacing w:line="360" w:lineRule="auto"/>
        <w:ind w:firstLine="560" w:firstLineChars="200"/>
        <w:rPr>
          <w:rFonts w:hint="eastAsia"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3.3 具体支付方式和时间如下：</w:t>
      </w:r>
    </w:p>
    <w:p>
      <w:pPr>
        <w:adjustRightInd w:val="0"/>
        <w:snapToGrid w:val="0"/>
        <w:spacing w:line="360" w:lineRule="auto"/>
        <w:ind w:firstLine="560" w:firstLineChars="200"/>
        <w:rPr>
          <w:rFonts w:hint="default" w:ascii="仿宋" w:hAnsi="仿宋" w:eastAsia="仿宋"/>
          <w:color w:val="000000"/>
          <w:kern w:val="0"/>
          <w:sz w:val="28"/>
          <w:szCs w:val="28"/>
          <w:u w:val="single"/>
          <w:lang w:val="en-US" w:eastAsia="zh-CN"/>
        </w:rPr>
      </w:pPr>
      <w:r>
        <w:rPr>
          <w:rFonts w:hint="eastAsia" w:ascii="仿宋" w:hAnsi="仿宋" w:eastAsia="仿宋"/>
          <w:color w:val="000000"/>
          <w:kern w:val="0"/>
          <w:sz w:val="28"/>
          <w:szCs w:val="28"/>
          <w:lang w:val="en-US" w:eastAsia="zh-CN"/>
        </w:rPr>
        <w:t>3.3.1</w:t>
      </w:r>
      <w:r>
        <w:rPr>
          <w:rFonts w:hint="default" w:ascii="仿宋" w:hAnsi="仿宋" w:eastAsia="仿宋"/>
          <w:color w:val="000000"/>
          <w:kern w:val="0"/>
          <w:sz w:val="28"/>
          <w:szCs w:val="28"/>
          <w:u w:val="single"/>
          <w:lang w:val="en-US" w:eastAsia="zh-CN"/>
        </w:rPr>
        <w:t>甲乙双方签订合同后，乙方按要求开具税率为6%的</w:t>
      </w:r>
      <w:r>
        <w:rPr>
          <w:rFonts w:hint="eastAsia" w:ascii="仿宋" w:hAnsi="仿宋" w:eastAsia="仿宋"/>
          <w:color w:val="000000"/>
          <w:kern w:val="0"/>
          <w:sz w:val="28"/>
          <w:szCs w:val="28"/>
          <w:u w:val="single"/>
          <w:lang w:val="en-US" w:eastAsia="zh-CN"/>
        </w:rPr>
        <w:t>全额</w:t>
      </w:r>
      <w:r>
        <w:rPr>
          <w:rFonts w:hint="default" w:ascii="仿宋" w:hAnsi="仿宋" w:eastAsia="仿宋"/>
          <w:color w:val="000000"/>
          <w:kern w:val="0"/>
          <w:sz w:val="28"/>
          <w:szCs w:val="28"/>
          <w:u w:val="single"/>
          <w:lang w:val="en-US" w:eastAsia="zh-CN"/>
        </w:rPr>
        <w:t>增值税专用发票，甲方在</w:t>
      </w:r>
      <w:r>
        <w:rPr>
          <w:rFonts w:hint="eastAsia" w:ascii="仿宋" w:hAnsi="仿宋" w:eastAsia="仿宋"/>
          <w:color w:val="000000"/>
          <w:kern w:val="0"/>
          <w:sz w:val="28"/>
          <w:szCs w:val="28"/>
          <w:u w:val="single"/>
          <w:lang w:val="en-US" w:eastAsia="zh-CN"/>
        </w:rPr>
        <w:t>收到发票后</w:t>
      </w:r>
      <w:r>
        <w:rPr>
          <w:rFonts w:hint="default" w:ascii="仿宋" w:hAnsi="仿宋" w:eastAsia="仿宋"/>
          <w:color w:val="000000"/>
          <w:kern w:val="0"/>
          <w:sz w:val="28"/>
          <w:szCs w:val="28"/>
          <w:u w:val="single"/>
          <w:lang w:val="en-US" w:eastAsia="zh-CN"/>
        </w:rPr>
        <w:t>45个工作日内支付合同价款的30%；</w:t>
      </w:r>
    </w:p>
    <w:p>
      <w:pPr>
        <w:adjustRightInd w:val="0"/>
        <w:snapToGrid w:val="0"/>
        <w:spacing w:line="360" w:lineRule="auto"/>
        <w:ind w:firstLine="560" w:firstLineChars="200"/>
        <w:rPr>
          <w:rFonts w:hint="eastAsia" w:ascii="仿宋" w:hAnsi="仿宋" w:eastAsia="仿宋"/>
          <w:color w:val="000000"/>
          <w:kern w:val="0"/>
          <w:sz w:val="28"/>
          <w:szCs w:val="28"/>
          <w:u w:val="single"/>
          <w:lang w:val="en-US" w:eastAsia="zh-CN"/>
        </w:rPr>
      </w:pPr>
      <w:r>
        <w:rPr>
          <w:rFonts w:hint="eastAsia" w:ascii="仿宋" w:hAnsi="仿宋" w:eastAsia="仿宋"/>
          <w:color w:val="000000"/>
          <w:kern w:val="0"/>
          <w:sz w:val="28"/>
          <w:szCs w:val="28"/>
          <w:u w:val="none"/>
          <w:lang w:val="en-US" w:eastAsia="zh-CN"/>
        </w:rPr>
        <w:t>3.3.2</w:t>
      </w:r>
      <w:r>
        <w:rPr>
          <w:rFonts w:hint="default" w:ascii="仿宋" w:hAnsi="仿宋" w:eastAsia="仿宋"/>
          <w:color w:val="000000"/>
          <w:kern w:val="0"/>
          <w:sz w:val="28"/>
          <w:szCs w:val="28"/>
          <w:u w:val="single"/>
          <w:lang w:val="en-US" w:eastAsia="zh-CN"/>
        </w:rPr>
        <w:t>经甲方验收合格后，甲方在30个工作日内支付合同价款的67%</w:t>
      </w:r>
      <w:r>
        <w:rPr>
          <w:rFonts w:hint="eastAsia" w:ascii="仿宋" w:hAnsi="仿宋" w:eastAsia="仿宋"/>
          <w:color w:val="000000"/>
          <w:kern w:val="0"/>
          <w:sz w:val="28"/>
          <w:szCs w:val="28"/>
          <w:u w:val="single"/>
          <w:lang w:val="en-US" w:eastAsia="zh-CN"/>
        </w:rPr>
        <w:t>；</w:t>
      </w:r>
    </w:p>
    <w:p>
      <w:pPr>
        <w:adjustRightInd w:val="0"/>
        <w:snapToGrid w:val="0"/>
        <w:spacing w:line="360" w:lineRule="auto"/>
        <w:ind w:firstLine="560" w:firstLineChars="200"/>
        <w:rPr>
          <w:rFonts w:hint="eastAsia"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3.3.3</w:t>
      </w:r>
      <w:r>
        <w:rPr>
          <w:rFonts w:hint="default" w:ascii="仿宋" w:hAnsi="仿宋" w:eastAsia="仿宋"/>
          <w:color w:val="000000"/>
          <w:kern w:val="0"/>
          <w:sz w:val="28"/>
          <w:szCs w:val="28"/>
          <w:u w:val="single"/>
          <w:lang w:val="en-US" w:eastAsia="zh-CN"/>
        </w:rPr>
        <w:t>质保期结束30个工作日内支付剩下合同款的3%</w:t>
      </w:r>
      <w:r>
        <w:rPr>
          <w:rFonts w:hint="eastAsia" w:ascii="仿宋" w:hAnsi="仿宋" w:eastAsia="仿宋"/>
          <w:color w:val="000000"/>
          <w:kern w:val="0"/>
          <w:sz w:val="28"/>
          <w:szCs w:val="28"/>
          <w:lang w:val="en-US" w:eastAsia="zh-CN"/>
        </w:rPr>
        <w:t>。</w:t>
      </w:r>
    </w:p>
    <w:p>
      <w:pPr>
        <w:spacing w:line="360" w:lineRule="auto"/>
        <w:rPr>
          <w:rFonts w:hint="eastAsia" w:ascii="仿宋" w:hAnsi="仿宋" w:eastAsia="仿宋" w:cs="仿宋"/>
          <w:color w:val="000000"/>
          <w:sz w:val="28"/>
          <w:szCs w:val="28"/>
          <w:u w:val="none"/>
        </w:rPr>
      </w:pPr>
      <w:r>
        <w:rPr>
          <w:rFonts w:hint="eastAsia" w:ascii="仿宋" w:hAnsi="仿宋" w:eastAsia="仿宋" w:cs="仿宋"/>
          <w:color w:val="000000"/>
          <w:sz w:val="28"/>
          <w:szCs w:val="28"/>
          <w:u w:val="none"/>
        </w:rPr>
        <w:t>乙方开户银行名称、户名和账号为：</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户名：</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账号：</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3.4 乙方需向甲方提供正规增值税发票。如果乙方提供增值税普通发票，甲方支付金额为不含增值税金额；如果乙方提供增值税专用发票，甲方支付金额=不含增值税金额+增值税税额。</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3.5 付款方式为银行转账或银行承兑汇票。 </w:t>
      </w:r>
    </w:p>
    <w:p>
      <w:pPr>
        <w:spacing w:line="360" w:lineRule="auto"/>
        <w:ind w:firstLine="560" w:firstLineChars="200"/>
        <w:rPr>
          <w:rFonts w:hint="default"/>
          <w:lang w:val="en-US" w:eastAsia="zh-CN"/>
        </w:rPr>
      </w:pPr>
      <w:r>
        <w:rPr>
          <w:rFonts w:hint="eastAsia" w:ascii="仿宋" w:hAnsi="仿宋" w:eastAsia="仿宋" w:cs="仿宋"/>
          <w:color w:val="auto"/>
          <w:sz w:val="28"/>
          <w:szCs w:val="28"/>
          <w:lang w:val="en-US" w:eastAsia="zh-CN"/>
        </w:rPr>
        <w:t>3.6 如税率发生国家法规调整，折算为不含税价后以新适用税率结算。</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第四条</w:t>
      </w:r>
      <w:r>
        <w:rPr>
          <w:rFonts w:hint="eastAsia" w:ascii="仿宋" w:hAnsi="仿宋" w:eastAsia="仿宋" w:cs="仿宋"/>
          <w:b/>
          <w:bCs/>
          <w:sz w:val="28"/>
          <w:szCs w:val="28"/>
        </w:rPr>
        <w:t xml:space="preserve"> 履约保证金</w:t>
      </w:r>
    </w:p>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4.1乙方应在中标通知书发出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15个工作</w:t>
      </w:r>
      <w:r>
        <w:rPr>
          <w:rFonts w:hint="eastAsia" w:ascii="仿宋" w:hAnsi="仿宋" w:eastAsia="仿宋" w:cs="仿宋"/>
          <w:color w:val="auto"/>
          <w:sz w:val="28"/>
          <w:szCs w:val="28"/>
        </w:rPr>
        <w:t>日内，一次性向甲方缴纳履约保证金人民币：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元。履约保证金不计利息。</w:t>
      </w:r>
    </w:p>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4.2履约保证金应由乙方名义开立的账户支付到甲方账户，否则视为未支付，甲方有权追究乙方逾期付款责任。</w:t>
      </w:r>
    </w:p>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4.3 乙方支付履约保证金时，应在“付款备注”中写明“（合同编号）XX技术服务合同履约保证金”。乙方不得与其他合同、其他缴费项目一起支付履约保证金，若因混合支付造成无法确认为本合同款项到账的，视为逾期未支付。</w:t>
      </w:r>
    </w:p>
    <w:p>
      <w:pPr>
        <w:spacing w:line="360" w:lineRule="auto"/>
        <w:rPr>
          <w:rFonts w:hint="eastAsia" w:ascii="仿宋" w:hAnsi="仿宋" w:eastAsia="仿宋" w:cs="仿宋"/>
          <w:sz w:val="28"/>
          <w:szCs w:val="28"/>
          <w:lang w:eastAsia="zh-CN"/>
        </w:rPr>
      </w:pPr>
      <w:r>
        <w:rPr>
          <w:rFonts w:hint="eastAsia" w:ascii="仿宋" w:hAnsi="仿宋" w:eastAsia="仿宋" w:cs="仿宋"/>
          <w:color w:val="auto"/>
          <w:sz w:val="28"/>
          <w:szCs w:val="28"/>
        </w:rPr>
        <w:t>4.4本合同期限届满，若乙方在约定时间内履行完成合同义务且无违约情形，甲方在收到乙方退还履约保证金的申请后</w:t>
      </w:r>
      <w:r>
        <w:rPr>
          <w:rFonts w:hint="eastAsia" w:ascii="仿宋" w:hAnsi="仿宋" w:eastAsia="仿宋" w:cs="仿宋"/>
          <w:color w:val="auto"/>
          <w:sz w:val="28"/>
          <w:szCs w:val="28"/>
          <w:lang w:val="en-US" w:eastAsia="zh-CN"/>
        </w:rPr>
        <w:t>40天内</w:t>
      </w:r>
      <w:r>
        <w:rPr>
          <w:rFonts w:hint="eastAsia" w:ascii="仿宋" w:hAnsi="仿宋" w:eastAsia="仿宋" w:cs="仿宋"/>
          <w:color w:val="auto"/>
          <w:sz w:val="28"/>
          <w:szCs w:val="28"/>
        </w:rPr>
        <w:t>退还（不</w:t>
      </w:r>
      <w:r>
        <w:rPr>
          <w:rFonts w:hint="eastAsia" w:ascii="仿宋" w:hAnsi="仿宋" w:eastAsia="仿宋" w:cs="仿宋"/>
          <w:color w:val="auto"/>
          <w:sz w:val="28"/>
          <w:szCs w:val="28"/>
          <w:lang w:val="en-US" w:eastAsia="zh-CN"/>
        </w:rPr>
        <w:t>计</w:t>
      </w:r>
      <w:r>
        <w:rPr>
          <w:rFonts w:hint="eastAsia" w:ascii="仿宋" w:hAnsi="仿宋" w:eastAsia="仿宋" w:cs="仿宋"/>
          <w:color w:val="auto"/>
          <w:sz w:val="28"/>
          <w:szCs w:val="28"/>
        </w:rPr>
        <w:t>利息）</w:t>
      </w:r>
      <w:r>
        <w:rPr>
          <w:rFonts w:hint="eastAsia" w:ascii="仿宋" w:hAnsi="仿宋" w:eastAsia="仿宋" w:cs="仿宋"/>
          <w:color w:val="auto"/>
          <w:sz w:val="28"/>
          <w:szCs w:val="28"/>
          <w:lang w:eastAsia="zh-CN"/>
        </w:rPr>
        <w:t>。</w:t>
      </w:r>
    </w:p>
    <w:p>
      <w:pPr>
        <w:spacing w:line="36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第五条 技术情报和资料的保密</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7"/>
        <w:shd w:val="clear" w:color="auto" w:fill="FFFFFF"/>
        <w:spacing w:beforeAutospacing="0" w:after="192"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7"/>
        <w:shd w:val="clear" w:color="auto" w:fill="FFFFFF"/>
        <w:spacing w:beforeAutospacing="0" w:after="192"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7"/>
        <w:shd w:val="clear" w:color="auto" w:fill="FFFFFF"/>
        <w:spacing w:beforeAutospacing="0" w:after="192"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5.4.本合同有效期结束后相关保密条款继续生效。</w:t>
      </w:r>
    </w:p>
    <w:p>
      <w:pPr>
        <w:spacing w:line="36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第六条 验收标准和方式</w:t>
      </w:r>
    </w:p>
    <w:p>
      <w:pPr>
        <w:pStyle w:val="7"/>
        <w:shd w:val="clear" w:color="auto" w:fill="FFFFFF"/>
        <w:spacing w:beforeAutospacing="0" w:after="192" w:afterAutospacing="0"/>
        <w:rPr>
          <w:rFonts w:hint="default"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default" w:ascii="仿宋" w:hAnsi="仿宋" w:eastAsia="仿宋" w:cs="仿宋"/>
          <w:color w:val="000000"/>
          <w:sz w:val="28"/>
          <w:szCs w:val="28"/>
        </w:rPr>
        <w:t>.1项目验收需满足采购内容和范围中关于设备、软件、服务的要求，如无法满足，则项目验收不合格。</w:t>
      </w:r>
    </w:p>
    <w:p>
      <w:pPr>
        <w:pStyle w:val="7"/>
        <w:shd w:val="clear" w:color="auto" w:fill="FFFFFF"/>
        <w:spacing w:beforeAutospacing="0" w:after="192" w:afterAutospacing="0"/>
        <w:rPr>
          <w:rFonts w:hint="default"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default" w:ascii="仿宋" w:hAnsi="仿宋" w:eastAsia="仿宋" w:cs="仿宋"/>
          <w:color w:val="000000"/>
          <w:sz w:val="28"/>
          <w:szCs w:val="28"/>
        </w:rPr>
        <w:t>.2由甲方组织</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乙方配合</w:t>
      </w:r>
      <w:r>
        <w:rPr>
          <w:rFonts w:hint="default" w:ascii="仿宋" w:hAnsi="仿宋" w:eastAsia="仿宋" w:cs="仿宋"/>
          <w:color w:val="000000"/>
          <w:sz w:val="28"/>
          <w:szCs w:val="28"/>
        </w:rPr>
        <w:t>进行现场测试。</w:t>
      </w:r>
    </w:p>
    <w:p>
      <w:pPr>
        <w:pStyle w:val="7"/>
        <w:shd w:val="clear" w:color="auto" w:fill="FFFFFF"/>
        <w:spacing w:beforeAutospacing="0" w:after="192" w:afterAutospacing="0"/>
        <w:rPr>
          <w:rFonts w:hint="default"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default" w:ascii="仿宋" w:hAnsi="仿宋" w:eastAsia="仿宋" w:cs="仿宋"/>
          <w:color w:val="000000"/>
          <w:sz w:val="28"/>
          <w:szCs w:val="28"/>
        </w:rPr>
        <w:t>.3乙方应对所有的测试结果进行评价和分析，并把含有结论性意见的《测试评价分析报告》提交甲方。</w:t>
      </w:r>
    </w:p>
    <w:p>
      <w:pPr>
        <w:pStyle w:val="7"/>
        <w:shd w:val="clear" w:color="auto" w:fill="FFFFFF"/>
        <w:spacing w:beforeAutospacing="0" w:after="192" w:afterAutospacing="0"/>
        <w:rPr>
          <w:rFonts w:hint="default"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default" w:ascii="仿宋" w:hAnsi="仿宋" w:eastAsia="仿宋" w:cs="仿宋"/>
          <w:color w:val="000000"/>
          <w:sz w:val="28"/>
          <w:szCs w:val="28"/>
        </w:rPr>
        <w:t>.4竣工验收时如果测试不能满足本技术规格书中的业务指标和性能要求，应免费升级相关硬件、软件或增加相应设备，以满足相关指标与要求。否则，将不予验收。</w:t>
      </w:r>
    </w:p>
    <w:p>
      <w:pPr>
        <w:pStyle w:val="7"/>
        <w:shd w:val="clear" w:color="auto" w:fill="FFFFFF"/>
        <w:spacing w:beforeAutospacing="0" w:after="192" w:afterAutospacing="0"/>
        <w:rPr>
          <w:rFonts w:hint="default"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default" w:ascii="仿宋" w:hAnsi="仿宋" w:eastAsia="仿宋" w:cs="仿宋"/>
          <w:color w:val="000000"/>
          <w:sz w:val="28"/>
          <w:szCs w:val="28"/>
        </w:rPr>
        <w:t>.5提交合同货物文件、现场安装测试报告和其他甲方要求的资料文件。</w:t>
      </w:r>
    </w:p>
    <w:p>
      <w:pPr>
        <w:pStyle w:val="7"/>
        <w:shd w:val="clear" w:color="auto" w:fill="FFFFFF"/>
        <w:spacing w:beforeAutospacing="0" w:after="192" w:afterAutospacing="0"/>
        <w:rPr>
          <w:rFonts w:hint="default" w:ascii="仿宋" w:hAnsi="仿宋" w:eastAsia="仿宋" w:cs="仿宋"/>
          <w:color w:val="000000"/>
          <w:sz w:val="28"/>
          <w:szCs w:val="28"/>
        </w:rPr>
      </w:pPr>
      <w:r>
        <w:rPr>
          <w:rFonts w:hint="default" w:ascii="仿宋" w:hAnsi="仿宋" w:eastAsia="仿宋" w:cs="仿宋"/>
          <w:color w:val="000000"/>
          <w:sz w:val="28"/>
          <w:szCs w:val="28"/>
        </w:rPr>
        <w:t>完成上述工作后，乙方向甲方提出竣工验收合格申请并出具证明材料。经甲方批准后，竣工验收通过。</w:t>
      </w:r>
    </w:p>
    <w:p>
      <w:pPr>
        <w:spacing w:line="36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第七条 技术服务成果归属与分享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双方约定，履行本合同所形成的成果归属甲方</w:t>
      </w:r>
      <w:r>
        <w:rPr>
          <w:rFonts w:hint="eastAsia" w:ascii="仿宋" w:hAnsi="仿宋" w:eastAsia="仿宋" w:cs="仿宋"/>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lang w:val="en-US" w:eastAsia="zh-CN"/>
        </w:rPr>
      </w:pPr>
      <w:r>
        <w:rPr>
          <w:rFonts w:hint="eastAsia" w:ascii="仿宋" w:hAnsi="仿宋" w:eastAsia="仿宋" w:cs="仿宋"/>
          <w:color w:val="000000"/>
          <w:sz w:val="28"/>
          <w:szCs w:val="28"/>
          <w:lang w:val="en-US" w:eastAsia="zh-CN"/>
        </w:rPr>
        <w:t>2.根据实际需要，甲方使用成果开展相关研究，如：发表论文、申请专利、软件著作权及相关奖项，乙方需无条件支持，其中部分理论成果经双方商讨，可以共同署名。</w:t>
      </w:r>
    </w:p>
    <w:p>
      <w:pPr>
        <w:spacing w:line="36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第八条 违约责任</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8.1甲方的违约责任</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（2）甲方未按期支付报酬的，应当断续支付，每逾期一日，按应付未付金额的万分之一计付违约金；</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（3）甲方无故不提供技术资料、数据和工作条件，导致乙方无法开展工作的，乙方有权解除合同。</w:t>
      </w:r>
    </w:p>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8.2乙方的违约责任</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single"/>
          <w:lang w:val="en-US" w:eastAsia="zh-CN"/>
        </w:rPr>
        <w:t>30</w:t>
      </w:r>
      <w:r>
        <w:rPr>
          <w:rFonts w:hint="eastAsia" w:ascii="仿宋" w:hAnsi="仿宋" w:eastAsia="仿宋" w:cs="仿宋"/>
          <w:color w:val="000000"/>
          <w:sz w:val="28"/>
          <w:szCs w:val="28"/>
        </w:rPr>
        <w:t>日仍未提交服务成果，甲方有权解除合同；</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（2）乙方所提交的服务成果不符合合同约定，或未通过验收的，甲方可拒付报酬，并有权要求乙方按合同总额</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single"/>
          <w:lang w:val="en-US" w:eastAsia="zh-CN"/>
        </w:rPr>
        <w:t>2</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softHyphen/>
      </w:r>
      <w:r>
        <w:rPr>
          <w:rFonts w:hint="eastAsia" w:ascii="仿宋" w:hAnsi="仿宋" w:eastAsia="仿宋" w:cs="仿宋"/>
          <w:color w:val="000000"/>
          <w:sz w:val="28"/>
          <w:szCs w:val="28"/>
        </w:rPr>
        <w:softHyphen/>
      </w:r>
      <w:r>
        <w:rPr>
          <w:rFonts w:hint="eastAsia" w:ascii="仿宋" w:hAnsi="仿宋" w:eastAsia="仿宋" w:cs="仿宋"/>
          <w:color w:val="000000"/>
          <w:sz w:val="28"/>
          <w:szCs w:val="28"/>
        </w:rPr>
        <w:t>%支付违约金；</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（3）乙方在接到甲方提交的技术资料和数据之日起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rPr>
        <w:t>日内，不开展服务工作的，甲方有权解除合同，乙方应当返还已收的报酬，并有权要求乙方按合同总额</w:t>
      </w:r>
      <w:r>
        <w:rPr>
          <w:rFonts w:hint="eastAsia" w:ascii="仿宋" w:hAnsi="仿宋" w:eastAsia="仿宋" w:cs="仿宋"/>
          <w:color w:val="000000"/>
          <w:sz w:val="28"/>
          <w:szCs w:val="28"/>
          <w:u w:val="single"/>
          <w:lang w:val="en-US" w:eastAsia="zh-CN"/>
        </w:rPr>
        <w:t>2</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%支付违约金。</w:t>
      </w:r>
    </w:p>
    <w:p>
      <w:pPr>
        <w:spacing w:line="36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第九条</w:t>
      </w: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lang w:val="en-US" w:eastAsia="zh-CN"/>
        </w:rPr>
        <w:t>协调联系</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双方确定，在本合同有效期内，甲方指定</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为甲方项目联系人，乙方指定</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为乙方项目联系人。项目联系人履行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职责。一方变更项目联系人的，应当及时以书面形式通知另一方。未及时通知并影响本合同履行或造成损失的，应承担相应的责任。</w:t>
      </w:r>
    </w:p>
    <w:p>
      <w:pPr>
        <w:spacing w:line="36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 xml:space="preserve">第十条 </w:t>
      </w:r>
      <w:r>
        <w:rPr>
          <w:rFonts w:hint="eastAsia" w:ascii="仿宋" w:hAnsi="仿宋" w:eastAsia="仿宋" w:cs="仿宋"/>
          <w:color w:val="000000"/>
          <w:sz w:val="28"/>
          <w:szCs w:val="28"/>
        </w:rPr>
        <w:t>双方因履行本合同而发生的争议，应协商、调解解决。协商、调解不成的，确定按以下方式处理：</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10.1提交</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甲方所在地</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仲裁委员会仲裁；</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10.2依法向</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single"/>
          <w:lang w:val="en-US" w:eastAsia="zh-CN"/>
        </w:rPr>
        <w:t>甲方所在地</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人民法院起诉。</w:t>
      </w:r>
    </w:p>
    <w:p>
      <w:pPr>
        <w:spacing w:line="36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第十一条</w:t>
      </w:r>
      <w:r>
        <w:rPr>
          <w:rFonts w:hint="eastAsia" w:ascii="仿宋" w:hAnsi="仿宋" w:eastAsia="仿宋" w:cs="仿宋"/>
          <w:color w:val="000000"/>
          <w:sz w:val="28"/>
          <w:szCs w:val="28"/>
        </w:rPr>
        <w:t xml:space="preserve"> 双方约定本合同其他相关事项为：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single"/>
          <w:lang w:val="en-US" w:eastAsia="zh-CN"/>
        </w:rPr>
        <w:t>无</w:t>
      </w:r>
      <w:r>
        <w:rPr>
          <w:rFonts w:hint="eastAsia" w:ascii="仿宋" w:hAnsi="仿宋" w:eastAsia="仿宋" w:cs="仿宋"/>
          <w:color w:val="000000"/>
          <w:sz w:val="28"/>
          <w:szCs w:val="28"/>
          <w:u w:val="single"/>
        </w:rPr>
        <w:t xml:space="preserve">       </w:t>
      </w:r>
      <w:r>
        <w:rPr>
          <w:rFonts w:hint="eastAsia" w:ascii="仿宋" w:hAnsi="仿宋" w:eastAsia="仿宋" w:cs="仿宋"/>
          <w:b/>
          <w:bCs/>
          <w:color w:val="000000"/>
          <w:sz w:val="28"/>
          <w:szCs w:val="28"/>
        </w:rPr>
        <w:t>。</w:t>
      </w:r>
    </w:p>
    <w:p>
      <w:pPr>
        <w:spacing w:line="360" w:lineRule="auto"/>
        <w:rPr>
          <w:rFonts w:hint="eastAsia" w:ascii="仿宋" w:hAnsi="仿宋" w:eastAsia="仿宋" w:cs="仿宋"/>
          <w:b/>
          <w:bCs/>
          <w:color w:val="000000"/>
          <w:sz w:val="28"/>
          <w:szCs w:val="28"/>
        </w:rPr>
      </w:pPr>
      <w:bookmarkStart w:id="31" w:name="_Hlk10152663"/>
      <w:r>
        <w:rPr>
          <w:rFonts w:hint="eastAsia" w:ascii="仿宋" w:hAnsi="仿宋" w:eastAsia="仿宋" w:cs="仿宋"/>
          <w:b/>
          <w:bCs/>
          <w:color w:val="000000"/>
          <w:sz w:val="28"/>
          <w:szCs w:val="28"/>
          <w:lang w:val="zh-TW"/>
        </w:rPr>
        <w:t>第十</w:t>
      </w:r>
      <w:r>
        <w:rPr>
          <w:rFonts w:hint="eastAsia" w:ascii="仿宋" w:hAnsi="仿宋" w:eastAsia="仿宋" w:cs="仿宋"/>
          <w:b/>
          <w:bCs/>
          <w:color w:val="000000"/>
          <w:sz w:val="28"/>
          <w:szCs w:val="28"/>
        </w:rPr>
        <w:t>二</w:t>
      </w:r>
      <w:r>
        <w:rPr>
          <w:rFonts w:hint="eastAsia" w:ascii="仿宋" w:hAnsi="仿宋" w:eastAsia="仿宋" w:cs="仿宋"/>
          <w:b/>
          <w:bCs/>
          <w:color w:val="000000"/>
          <w:sz w:val="28"/>
          <w:szCs w:val="28"/>
          <w:lang w:val="zh-TW"/>
        </w:rPr>
        <w:t>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lang w:val="zh-TW"/>
        </w:rPr>
        <w:t>除本合同另有约定外，根据本合同发出的或与本合同有关的通知应以专人送达、传真、电子邮件或邮寄方式发送至以下地址：</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TW"/>
        </w:rPr>
        <w:t>1</w:t>
      </w:r>
      <w:r>
        <w:rPr>
          <w:rFonts w:hint="eastAsia" w:ascii="仿宋" w:hAnsi="仿宋" w:eastAsia="仿宋" w:cs="仿宋"/>
          <w:color w:val="000000"/>
          <w:sz w:val="28"/>
          <w:szCs w:val="28"/>
        </w:rPr>
        <w:t>2</w:t>
      </w:r>
      <w:r>
        <w:rPr>
          <w:rFonts w:hint="eastAsia" w:ascii="仿宋" w:hAnsi="仿宋" w:eastAsia="仿宋" w:cs="仿宋"/>
          <w:color w:val="000000"/>
          <w:sz w:val="28"/>
          <w:szCs w:val="28"/>
          <w:lang w:val="zh-TW"/>
        </w:rPr>
        <w:t>.1甲方指定的联系方式包括：</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联系人：</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联系电话：</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通讯地址：</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电子邮件：</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乙方指定的联系方式包括：</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联系人：</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联系电话：</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通讯地址：</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电子邮件：</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12.2</w:t>
      </w:r>
      <w:r>
        <w:rPr>
          <w:rFonts w:hint="eastAsia" w:ascii="仿宋" w:hAnsi="仿宋" w:eastAsia="仿宋" w:cs="仿宋"/>
          <w:color w:val="000000"/>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12.3</w:t>
      </w:r>
      <w:r>
        <w:rPr>
          <w:rFonts w:hint="eastAsia" w:ascii="仿宋" w:hAnsi="仿宋" w:eastAsia="仿宋" w:cs="仿宋"/>
          <w:color w:val="000000"/>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12.4</w:t>
      </w:r>
      <w:r>
        <w:rPr>
          <w:rFonts w:hint="eastAsia" w:ascii="仿宋" w:hAnsi="仿宋" w:eastAsia="仿宋" w:cs="仿宋"/>
          <w:color w:val="000000"/>
          <w:sz w:val="28"/>
          <w:szCs w:val="28"/>
          <w:lang w:val="zh-TW"/>
        </w:rPr>
        <w:t>本合同任何一方可书面通知另一方变更其在本合同第</w:t>
      </w:r>
      <w:r>
        <w:rPr>
          <w:rFonts w:hint="eastAsia" w:ascii="仿宋" w:hAnsi="仿宋" w:eastAsia="仿宋" w:cs="仿宋"/>
          <w:color w:val="000000"/>
          <w:sz w:val="28"/>
          <w:szCs w:val="28"/>
        </w:rPr>
        <w:t>12.1</w:t>
      </w:r>
      <w:r>
        <w:rPr>
          <w:rFonts w:hint="eastAsia" w:ascii="仿宋" w:hAnsi="仿宋" w:eastAsia="仿宋" w:cs="仿宋"/>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31"/>
    <w:p>
      <w:pPr>
        <w:spacing w:line="360" w:lineRule="auto"/>
        <w:rPr>
          <w:rFonts w:hint="eastAsia" w:ascii="仿宋" w:hAnsi="仿宋" w:eastAsia="仿宋" w:cs="仿宋"/>
          <w:color w:val="000000"/>
          <w:sz w:val="28"/>
          <w:szCs w:val="28"/>
          <w:lang w:val="zh-TW"/>
        </w:rPr>
      </w:pPr>
      <w:r>
        <w:rPr>
          <w:rFonts w:hint="eastAsia" w:ascii="仿宋" w:hAnsi="仿宋" w:eastAsia="仿宋" w:cs="仿宋"/>
          <w:b/>
          <w:bCs/>
          <w:color w:val="000000"/>
          <w:sz w:val="28"/>
          <w:szCs w:val="28"/>
          <w:lang w:val="zh-TW"/>
        </w:rPr>
        <w:t>第十三条</w:t>
      </w:r>
      <w:r>
        <w:rPr>
          <w:rFonts w:hint="eastAsia" w:ascii="仿宋" w:hAnsi="仿宋" w:eastAsia="仿宋" w:cs="仿宋"/>
          <w:color w:val="000000"/>
          <w:sz w:val="28"/>
          <w:szCs w:val="28"/>
          <w:lang w:val="zh-TW"/>
        </w:rPr>
        <w:t xml:space="preserve"> 本合同一式 </w:t>
      </w:r>
      <w:r>
        <w:rPr>
          <w:rFonts w:hint="eastAsia" w:ascii="仿宋" w:hAnsi="仿宋" w:eastAsia="仿宋" w:cs="仿宋"/>
          <w:color w:val="000000"/>
          <w:sz w:val="28"/>
          <w:szCs w:val="28"/>
          <w:lang w:val="en-US" w:eastAsia="zh-CN"/>
        </w:rPr>
        <w:t>捌</w:t>
      </w:r>
      <w:r>
        <w:rPr>
          <w:rFonts w:hint="eastAsia" w:ascii="仿宋" w:hAnsi="仿宋" w:eastAsia="仿宋" w:cs="仿宋"/>
          <w:color w:val="000000"/>
          <w:sz w:val="28"/>
          <w:szCs w:val="28"/>
          <w:lang w:val="zh-TW"/>
        </w:rPr>
        <w:t xml:space="preserve">份，甲方执  </w:t>
      </w:r>
      <w:r>
        <w:rPr>
          <w:rFonts w:hint="eastAsia" w:ascii="仿宋" w:hAnsi="仿宋" w:eastAsia="仿宋" w:cs="仿宋"/>
          <w:color w:val="000000"/>
          <w:sz w:val="28"/>
          <w:szCs w:val="28"/>
          <w:lang w:val="en-US" w:eastAsia="zh-CN"/>
        </w:rPr>
        <w:t>肆</w:t>
      </w:r>
      <w:r>
        <w:rPr>
          <w:rFonts w:hint="eastAsia" w:ascii="仿宋" w:hAnsi="仿宋" w:eastAsia="仿宋" w:cs="仿宋"/>
          <w:color w:val="000000"/>
          <w:sz w:val="28"/>
          <w:szCs w:val="28"/>
          <w:lang w:val="zh-TW"/>
        </w:rPr>
        <w:t> 份，乙方执 </w:t>
      </w:r>
      <w:r>
        <w:rPr>
          <w:rFonts w:hint="eastAsia" w:ascii="仿宋" w:hAnsi="仿宋" w:eastAsia="仿宋" w:cs="仿宋"/>
          <w:color w:val="000000"/>
          <w:sz w:val="28"/>
          <w:szCs w:val="28"/>
          <w:lang w:val="en-US" w:eastAsia="zh-CN"/>
        </w:rPr>
        <w:t>肆</w:t>
      </w:r>
      <w:r>
        <w:rPr>
          <w:rFonts w:hint="eastAsia" w:ascii="仿宋" w:hAnsi="仿宋" w:eastAsia="仿宋" w:cs="仿宋"/>
          <w:color w:val="000000"/>
          <w:sz w:val="28"/>
          <w:szCs w:val="28"/>
          <w:lang w:val="zh-TW"/>
        </w:rPr>
        <w:t xml:space="preserve">   份，具有同等法律效力。</w:t>
      </w:r>
    </w:p>
    <w:p>
      <w:pPr>
        <w:spacing w:line="360" w:lineRule="auto"/>
        <w:rPr>
          <w:rFonts w:hint="eastAsia" w:ascii="仿宋" w:hAnsi="仿宋" w:eastAsia="仿宋" w:cs="仿宋"/>
          <w:color w:val="000000"/>
          <w:sz w:val="28"/>
          <w:szCs w:val="28"/>
          <w:lang w:val="zh-TW"/>
        </w:rPr>
      </w:pPr>
      <w:r>
        <w:rPr>
          <w:rFonts w:hint="eastAsia" w:ascii="仿宋" w:hAnsi="仿宋" w:eastAsia="仿宋" w:cs="仿宋"/>
          <w:b/>
          <w:bCs/>
          <w:color w:val="000000"/>
          <w:sz w:val="28"/>
          <w:szCs w:val="28"/>
          <w:lang w:val="zh-TW"/>
        </w:rPr>
        <w:t>第十四条</w:t>
      </w:r>
      <w:r>
        <w:rPr>
          <w:rFonts w:hint="eastAsia" w:ascii="仿宋" w:hAnsi="仿宋" w:eastAsia="仿宋" w:cs="仿宋"/>
          <w:color w:val="000000"/>
          <w:sz w:val="28"/>
          <w:szCs w:val="28"/>
          <w:lang w:val="zh-TW"/>
        </w:rPr>
        <w:t xml:space="preserve"> 本合同经双方代表签字盖章后生效。</w:t>
      </w:r>
    </w:p>
    <w:p>
      <w:pPr>
        <w:pStyle w:val="2"/>
        <w:rPr>
          <w:rFonts w:hint="eastAsia"/>
          <w:lang w:val="zh-TW"/>
        </w:rPr>
      </w:pP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甲方（盖章）： </w:t>
      </w:r>
      <w:r>
        <w:rPr>
          <w:rFonts w:hint="eastAsia" w:ascii="仿宋" w:hAnsi="仿宋" w:eastAsia="仿宋" w:cs="仿宋"/>
          <w:b/>
          <w:bCs/>
          <w:color w:val="000000"/>
          <w:sz w:val="28"/>
          <w:szCs w:val="28"/>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法定代表人/授权代表（签字）：</w:t>
      </w:r>
    </w:p>
    <w:p>
      <w:pPr>
        <w:spacing w:line="360" w:lineRule="auto"/>
        <w:rPr>
          <w:rFonts w:hint="eastAsia" w:ascii="仿宋" w:hAnsi="仿宋" w:eastAsia="仿宋" w:cs="仿宋"/>
          <w:color w:val="000000"/>
          <w:sz w:val="28"/>
          <w:szCs w:val="28"/>
        </w:rPr>
      </w:pP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乙方（盖章）：</w:t>
      </w:r>
      <w:r>
        <w:rPr>
          <w:rFonts w:hint="eastAsia" w:ascii="仿宋" w:hAnsi="仿宋" w:eastAsia="仿宋" w:cs="仿宋"/>
          <w:b/>
          <w:bCs/>
          <w:color w:val="000000"/>
          <w:sz w:val="28"/>
          <w:szCs w:val="28"/>
        </w:rPr>
        <w:t xml:space="preserve">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法定代表人/授权代表（签字）：</w:t>
      </w:r>
    </w:p>
    <w:p>
      <w:pPr>
        <w:pStyle w:val="2"/>
        <w:rPr>
          <w:rFonts w:hint="eastAsia"/>
        </w:rPr>
      </w:pP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签署时间：    年    月    日</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签订地点：</w:t>
      </w:r>
    </w:p>
    <w:p>
      <w:pPr>
        <w:ind w:right="-153"/>
        <w:rPr>
          <w:rFonts w:ascii="仿宋" w:hAnsi="仿宋" w:eastAsia="仿宋"/>
        </w:rPr>
      </w:pPr>
    </w:p>
    <w:p>
      <w:pPr>
        <w:snapToGrid w:val="0"/>
        <w:spacing w:line="360" w:lineRule="auto"/>
        <w:rPr>
          <w:rFonts w:ascii="仿宋" w:hAnsi="仿宋" w:eastAsia="仿宋"/>
          <w:sz w:val="28"/>
          <w:szCs w:val="28"/>
        </w:rPr>
      </w:pPr>
    </w:p>
    <w:p>
      <w:pPr>
        <w:pStyle w:val="2"/>
      </w:pPr>
    </w:p>
    <w:p/>
    <w:p>
      <w:pPr>
        <w:pStyle w:val="2"/>
      </w:pPr>
    </w:p>
    <w:p/>
    <w:p>
      <w:pPr>
        <w:pStyle w:val="2"/>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26</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0C3232"/>
    <w:multiLevelType w:val="singleLevel"/>
    <w:tmpl w:val="AE0C3232"/>
    <w:lvl w:ilvl="0" w:tentative="0">
      <w:start w:val="1"/>
      <w:numFmt w:val="bullet"/>
      <w:lvlText w:val=""/>
      <w:lvlJc w:val="left"/>
      <w:pPr>
        <w:ind w:left="420" w:hanging="420"/>
      </w:pPr>
      <w:rPr>
        <w:rFonts w:hint="default" w:ascii="Wingdings" w:hAnsi="Wingdings"/>
      </w:rPr>
    </w:lvl>
  </w:abstractNum>
  <w:abstractNum w:abstractNumId="1">
    <w:nsid w:val="BFFFF5C9"/>
    <w:multiLevelType w:val="singleLevel"/>
    <w:tmpl w:val="BFFFF5C9"/>
    <w:lvl w:ilvl="0" w:tentative="0">
      <w:start w:val="3"/>
      <w:numFmt w:val="chineseCounting"/>
      <w:suff w:val="space"/>
      <w:lvlText w:val="第%1条"/>
      <w:lvlJc w:val="left"/>
      <w:rPr>
        <w:rFonts w:hint="eastAsia"/>
      </w:rPr>
    </w:lvl>
  </w:abstractNum>
  <w:abstractNum w:abstractNumId="2">
    <w:nsid w:val="179FA73A"/>
    <w:multiLevelType w:val="singleLevel"/>
    <w:tmpl w:val="179FA73A"/>
    <w:lvl w:ilvl="0" w:tentative="0">
      <w:start w:val="1"/>
      <w:numFmt w:val="bullet"/>
      <w:lvlText w:val=""/>
      <w:lvlJc w:val="left"/>
      <w:pPr>
        <w:ind w:left="420" w:hanging="420"/>
      </w:pPr>
      <w:rPr>
        <w:rFonts w:hint="default" w:ascii="Wingdings" w:hAnsi="Wingdings"/>
      </w:rPr>
    </w:lvl>
  </w:abstractNum>
  <w:abstractNum w:abstractNumId="3">
    <w:nsid w:val="5F3984D1"/>
    <w:multiLevelType w:val="singleLevel"/>
    <w:tmpl w:val="5F3984D1"/>
    <w:lvl w:ilvl="0" w:tentative="0">
      <w:start w:val="2"/>
      <w:numFmt w:val="chineseCounting"/>
      <w:suff w:val="space"/>
      <w:lvlText w:val="第%1章"/>
      <w:lvlJc w:val="left"/>
      <w:rPr>
        <w:rFonts w:hint="eastAsia"/>
        <w:b/>
        <w:bCs/>
        <w:sz w:val="32"/>
        <w:szCs w:val="32"/>
      </w:rPr>
    </w:lvl>
  </w:abstractNum>
  <w:abstractNum w:abstractNumId="4">
    <w:nsid w:val="668FCE80"/>
    <w:multiLevelType w:val="singleLevel"/>
    <w:tmpl w:val="668FCE80"/>
    <w:lvl w:ilvl="0" w:tentative="0">
      <w:start w:val="1"/>
      <w:numFmt w:val="bullet"/>
      <w:lvlText w:val=""/>
      <w:lvlJc w:val="left"/>
      <w:pPr>
        <w:ind w:left="420" w:hanging="420"/>
      </w:pPr>
      <w:rPr>
        <w:rFonts w:hint="default" w:ascii="Wingdings" w:hAnsi="Wingdings"/>
      </w:rPr>
    </w:lvl>
  </w:abstractNum>
  <w:abstractNum w:abstractNumId="5">
    <w:nsid w:val="66952403"/>
    <w:multiLevelType w:val="singleLevel"/>
    <w:tmpl w:val="66952403"/>
    <w:lvl w:ilvl="0" w:tentative="0">
      <w:start w:val="1"/>
      <w:numFmt w:val="bullet"/>
      <w:lvlText w:val=""/>
      <w:lvlJc w:val="left"/>
      <w:pPr>
        <w:ind w:left="420" w:hanging="420"/>
      </w:pPr>
      <w:rPr>
        <w:rFonts w:hint="default" w:ascii="Wingdings" w:hAnsi="Wingdings"/>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39E"/>
    <w:rsid w:val="00105BA6"/>
    <w:rsid w:val="00235E6A"/>
    <w:rsid w:val="00285527"/>
    <w:rsid w:val="00391259"/>
    <w:rsid w:val="003A0935"/>
    <w:rsid w:val="00451388"/>
    <w:rsid w:val="00472B66"/>
    <w:rsid w:val="004871A7"/>
    <w:rsid w:val="0048776E"/>
    <w:rsid w:val="004B7E51"/>
    <w:rsid w:val="00555B03"/>
    <w:rsid w:val="00565FC7"/>
    <w:rsid w:val="005E1AFC"/>
    <w:rsid w:val="00651A8D"/>
    <w:rsid w:val="0069542D"/>
    <w:rsid w:val="006A48CA"/>
    <w:rsid w:val="006E20CA"/>
    <w:rsid w:val="007D1BD3"/>
    <w:rsid w:val="0083661C"/>
    <w:rsid w:val="00863797"/>
    <w:rsid w:val="00903AC0"/>
    <w:rsid w:val="00907371"/>
    <w:rsid w:val="009079F3"/>
    <w:rsid w:val="00950553"/>
    <w:rsid w:val="00965EC2"/>
    <w:rsid w:val="00AB6B4D"/>
    <w:rsid w:val="00AD4680"/>
    <w:rsid w:val="00AF76F5"/>
    <w:rsid w:val="00C90573"/>
    <w:rsid w:val="00CE219A"/>
    <w:rsid w:val="00CF6E96"/>
    <w:rsid w:val="00E02872"/>
    <w:rsid w:val="00E4523C"/>
    <w:rsid w:val="00F57FD3"/>
    <w:rsid w:val="00F92AFC"/>
    <w:rsid w:val="00FE039E"/>
    <w:rsid w:val="00FE0B52"/>
    <w:rsid w:val="00FE27EA"/>
    <w:rsid w:val="0192223E"/>
    <w:rsid w:val="023C623B"/>
    <w:rsid w:val="02D155A0"/>
    <w:rsid w:val="0329324D"/>
    <w:rsid w:val="03F608B5"/>
    <w:rsid w:val="056B2AA0"/>
    <w:rsid w:val="05C542E6"/>
    <w:rsid w:val="079E76EA"/>
    <w:rsid w:val="088E717E"/>
    <w:rsid w:val="09A061B2"/>
    <w:rsid w:val="0AAF566B"/>
    <w:rsid w:val="0B2F30D9"/>
    <w:rsid w:val="0BAD3015"/>
    <w:rsid w:val="0C4E6BBF"/>
    <w:rsid w:val="0C5F2B5F"/>
    <w:rsid w:val="0CBF03AB"/>
    <w:rsid w:val="0D7337BC"/>
    <w:rsid w:val="0E6E4CE7"/>
    <w:rsid w:val="0E821434"/>
    <w:rsid w:val="10597299"/>
    <w:rsid w:val="106424A9"/>
    <w:rsid w:val="10D73017"/>
    <w:rsid w:val="124825EB"/>
    <w:rsid w:val="12E2173D"/>
    <w:rsid w:val="1512735C"/>
    <w:rsid w:val="179F6DA8"/>
    <w:rsid w:val="191051BC"/>
    <w:rsid w:val="1A61221C"/>
    <w:rsid w:val="1B292D63"/>
    <w:rsid w:val="1B9B2361"/>
    <w:rsid w:val="1E692740"/>
    <w:rsid w:val="1EF4774D"/>
    <w:rsid w:val="20AF456B"/>
    <w:rsid w:val="20E67E28"/>
    <w:rsid w:val="23E720D7"/>
    <w:rsid w:val="2554544F"/>
    <w:rsid w:val="262C6B37"/>
    <w:rsid w:val="28190F7A"/>
    <w:rsid w:val="294E123C"/>
    <w:rsid w:val="295A1A4A"/>
    <w:rsid w:val="2A452282"/>
    <w:rsid w:val="2C130946"/>
    <w:rsid w:val="2E1B2EFA"/>
    <w:rsid w:val="30967922"/>
    <w:rsid w:val="31DF451A"/>
    <w:rsid w:val="338C2E67"/>
    <w:rsid w:val="342219F9"/>
    <w:rsid w:val="3433510A"/>
    <w:rsid w:val="35423FE2"/>
    <w:rsid w:val="35AD09CF"/>
    <w:rsid w:val="3635651B"/>
    <w:rsid w:val="381E55E9"/>
    <w:rsid w:val="382E023A"/>
    <w:rsid w:val="38565F43"/>
    <w:rsid w:val="38743EC0"/>
    <w:rsid w:val="394A34DF"/>
    <w:rsid w:val="39F41CB1"/>
    <w:rsid w:val="3A3930A1"/>
    <w:rsid w:val="3BBC34CD"/>
    <w:rsid w:val="3BFF1F8E"/>
    <w:rsid w:val="3C60360C"/>
    <w:rsid w:val="3D6C4421"/>
    <w:rsid w:val="3DD951D0"/>
    <w:rsid w:val="3E0E5219"/>
    <w:rsid w:val="3E920948"/>
    <w:rsid w:val="3E9B1F9B"/>
    <w:rsid w:val="3E9E2F63"/>
    <w:rsid w:val="41A8213F"/>
    <w:rsid w:val="4A4414A4"/>
    <w:rsid w:val="4B8F55BA"/>
    <w:rsid w:val="4BD36856"/>
    <w:rsid w:val="4D883B8F"/>
    <w:rsid w:val="4DA153C3"/>
    <w:rsid w:val="4E7A21E6"/>
    <w:rsid w:val="4F4645EC"/>
    <w:rsid w:val="4F7B1022"/>
    <w:rsid w:val="506A6474"/>
    <w:rsid w:val="522A02EA"/>
    <w:rsid w:val="5470152A"/>
    <w:rsid w:val="54BC7FEB"/>
    <w:rsid w:val="5591769D"/>
    <w:rsid w:val="580C61FA"/>
    <w:rsid w:val="58BF3627"/>
    <w:rsid w:val="5A753DEC"/>
    <w:rsid w:val="5B2F7CA9"/>
    <w:rsid w:val="5B353786"/>
    <w:rsid w:val="5B45670E"/>
    <w:rsid w:val="5BBE7A0F"/>
    <w:rsid w:val="5DC818F1"/>
    <w:rsid w:val="5E4D1442"/>
    <w:rsid w:val="5FC24CE7"/>
    <w:rsid w:val="60FA2550"/>
    <w:rsid w:val="614B646E"/>
    <w:rsid w:val="62D512EE"/>
    <w:rsid w:val="62E0401B"/>
    <w:rsid w:val="6348309F"/>
    <w:rsid w:val="63675F03"/>
    <w:rsid w:val="63AA74B6"/>
    <w:rsid w:val="63F00E79"/>
    <w:rsid w:val="643942E7"/>
    <w:rsid w:val="64426C3C"/>
    <w:rsid w:val="654F5FFE"/>
    <w:rsid w:val="679516C2"/>
    <w:rsid w:val="696E09C8"/>
    <w:rsid w:val="69F62606"/>
    <w:rsid w:val="6CCD12B7"/>
    <w:rsid w:val="6D1E7EEA"/>
    <w:rsid w:val="724F157E"/>
    <w:rsid w:val="73925114"/>
    <w:rsid w:val="74213398"/>
    <w:rsid w:val="76DE48C1"/>
    <w:rsid w:val="77AC7E5A"/>
    <w:rsid w:val="7A2C386A"/>
    <w:rsid w:val="7A4416D6"/>
    <w:rsid w:val="7BC15F24"/>
    <w:rsid w:val="7C5657CE"/>
    <w:rsid w:val="7E2D7532"/>
    <w:rsid w:val="7E565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annotation text"/>
    <w:basedOn w:val="1"/>
    <w:semiHidden/>
    <w:unhideWhenUsed/>
    <w:qFormat/>
    <w:uiPriority w:val="99"/>
    <w:pPr>
      <w:jc w:val="left"/>
    </w:pPr>
  </w:style>
  <w:style w:type="paragraph" w:styleId="4">
    <w:name w:val="Balloon Text"/>
    <w:basedOn w:val="1"/>
    <w:link w:val="13"/>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
    <w:name w:val="页眉 字符"/>
    <w:basedOn w:val="8"/>
    <w:link w:val="6"/>
    <w:qFormat/>
    <w:uiPriority w:val="0"/>
    <w:rPr>
      <w:rFonts w:ascii="Times New Roman" w:hAnsi="Times New Roman"/>
      <w:kern w:val="2"/>
      <w:sz w:val="18"/>
      <w:szCs w:val="18"/>
    </w:rPr>
  </w:style>
  <w:style w:type="character" w:customStyle="1" w:styleId="11">
    <w:name w:val="页脚 字符"/>
    <w:basedOn w:val="8"/>
    <w:link w:val="5"/>
    <w:qFormat/>
    <w:uiPriority w:val="0"/>
    <w:rPr>
      <w:rFonts w:ascii="Times New Roman" w:hAnsi="Times New Roman"/>
      <w:kern w:val="2"/>
      <w:sz w:val="18"/>
      <w:szCs w:val="18"/>
    </w:rPr>
  </w:style>
  <w:style w:type="paragraph" w:styleId="12">
    <w:name w:val="List Paragraph"/>
    <w:basedOn w:val="1"/>
    <w:qFormat/>
    <w:uiPriority w:val="99"/>
    <w:pPr>
      <w:ind w:firstLine="420" w:firstLineChars="200"/>
    </w:pPr>
  </w:style>
  <w:style w:type="character" w:customStyle="1" w:styleId="13">
    <w:name w:val="批注框文本 字符"/>
    <w:basedOn w:val="8"/>
    <w:link w:val="4"/>
    <w:qFormat/>
    <w:uiPriority w:val="0"/>
    <w:rPr>
      <w:rFonts w:ascii="Times New Roman" w:hAnsi="Times New Roman"/>
      <w:kern w:val="2"/>
      <w:sz w:val="18"/>
      <w:szCs w:val="18"/>
    </w:rPr>
  </w:style>
  <w:style w:type="paragraph" w:customStyle="1" w:styleId="14">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customStyle="1" w:styleId="15">
    <w:name w:val="列出段落1"/>
    <w:basedOn w:val="1"/>
    <w:qFormat/>
    <w:uiPriority w:val="0"/>
    <w:pPr>
      <w:spacing w:line="240" w:lineRule="auto"/>
      <w:ind w:firstLine="420" w:firstLineChars="200"/>
    </w:pPr>
    <w:rPr>
      <w:rFonts w:cs="Times New Roman"/>
      <w:color w:val="auto"/>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583</Words>
  <Characters>3324</Characters>
  <Lines>27</Lines>
  <Paragraphs>7</Paragraphs>
  <TotalTime>2</TotalTime>
  <ScaleCrop>false</ScaleCrop>
  <LinksUpToDate>false</LinksUpToDate>
  <CharactersWithSpaces>3900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2020-03-18T09:44:00Z</dcterms:created>
  <dc:creator>W</dc:creator>
  <cp:lastModifiedBy>liuhuan0047</cp:lastModifiedBy>
  <cp:lastPrinted>2021-08-05T06:19:00Z</cp:lastPrinted>
  <dcterms:modified xsi:type="dcterms:W3CDTF">2021-08-05T08:32:00Z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6B79E0865BD64EE1AD31D66A851690B7</vt:lpwstr>
  </property>
  <property fmtid="{D5CDD505-2E9C-101B-9397-08002B2CF9AE}" pid="4" name="KSOSaveFontToCloudKey">
    <vt:lpwstr>314207058_btnclosed</vt:lpwstr>
  </property>
</Properties>
</file>